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66459" w14:textId="77777777" w:rsidR="0077195C" w:rsidRPr="00707064" w:rsidRDefault="0077195C" w:rsidP="0077195C">
      <w:pPr>
        <w:spacing w:after="240"/>
        <w:jc w:val="center"/>
        <w:rPr>
          <w:b/>
          <w:i/>
          <w:szCs w:val="24"/>
          <w:highlight w:val="yellow"/>
        </w:rPr>
      </w:pPr>
      <w:r>
        <w:rPr>
          <w:rFonts w:ascii="Arial" w:hAnsi="Arial" w:cs="Arial"/>
          <w:b/>
          <w:noProof/>
          <w:color w:val="000080"/>
          <w:sz w:val="28"/>
          <w:szCs w:val="28"/>
        </w:rPr>
        <w:drawing>
          <wp:inline distT="0" distB="0" distL="0" distR="0" wp14:anchorId="05372D8F" wp14:editId="30DB89DD">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9845BF0" w14:textId="77777777" w:rsidR="0077195C" w:rsidRPr="00F715D1" w:rsidRDefault="0077195C" w:rsidP="0077195C">
      <w:pPr>
        <w:pStyle w:val="Title"/>
        <w:tabs>
          <w:tab w:val="left" w:pos="1926"/>
          <w:tab w:val="center" w:pos="4513"/>
        </w:tabs>
        <w:jc w:val="left"/>
      </w:pPr>
      <w:r>
        <w:tab/>
      </w:r>
      <w:r>
        <w:tab/>
      </w:r>
      <w:r w:rsidRPr="00F715D1">
        <w:t>Public Summary Document</w:t>
      </w:r>
    </w:p>
    <w:p w14:paraId="05C7C31C" w14:textId="77777777" w:rsidR="0077195C" w:rsidRPr="00F715D1" w:rsidRDefault="0077195C" w:rsidP="0077195C">
      <w:pPr>
        <w:pStyle w:val="Subtitle"/>
      </w:pPr>
      <w:r w:rsidRPr="00F715D1">
        <w:t xml:space="preserve">Application No. </w:t>
      </w:r>
      <w:r>
        <w:t>1544</w:t>
      </w:r>
      <w:r w:rsidRPr="00F715D1">
        <w:t xml:space="preserve"> – </w:t>
      </w:r>
      <w:r w:rsidRPr="0077195C">
        <w:t>Genome-wide microarray testing for people with multiple myeloma and chronic lymphocytic leukaemia</w:t>
      </w:r>
    </w:p>
    <w:p w14:paraId="5B94B022" w14:textId="77777777" w:rsidR="0077195C" w:rsidRPr="00F715D1" w:rsidRDefault="0077195C" w:rsidP="0078753E">
      <w:pPr>
        <w:tabs>
          <w:tab w:val="left" w:pos="3686"/>
        </w:tabs>
        <w:spacing w:before="360" w:after="240"/>
        <w:ind w:left="1440" w:hanging="14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t>The Royal College of Pathologists of Australasia (RCPA)</w:t>
      </w:r>
    </w:p>
    <w:p w14:paraId="7235F392" w14:textId="77777777" w:rsidR="0077195C" w:rsidRPr="00F715D1" w:rsidRDefault="0077195C" w:rsidP="0077195C">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77</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28-29 November 2019</w:t>
      </w:r>
    </w:p>
    <w:p w14:paraId="1ACE2579" w14:textId="77777777" w:rsidR="0077195C" w:rsidRPr="00B03EAB" w:rsidRDefault="0077195C" w:rsidP="0077195C">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1804921" w14:textId="35D04BFD" w:rsidR="0077195C" w:rsidRPr="00F715D1" w:rsidRDefault="0077195C" w:rsidP="0077195C">
      <w:pPr>
        <w:pStyle w:val="Heading1"/>
      </w:pPr>
      <w:r w:rsidRPr="00F715D1">
        <w:t>Purpose of application</w:t>
      </w:r>
    </w:p>
    <w:p w14:paraId="61825D57" w14:textId="7E537B9E" w:rsidR="001B2593" w:rsidRDefault="001B2593" w:rsidP="001B2593">
      <w:pPr>
        <w:spacing w:after="240"/>
        <w:rPr>
          <w:i/>
        </w:rPr>
      </w:pPr>
      <w:r>
        <w:t>A proposal to extend the</w:t>
      </w:r>
      <w:r w:rsidRPr="006843C1">
        <w:t xml:space="preserve"> </w:t>
      </w:r>
      <w:r w:rsidR="004216C4" w:rsidRPr="004216C4">
        <w:t xml:space="preserve">Medicare Benefits Schedule </w:t>
      </w:r>
      <w:r w:rsidR="004216C4">
        <w:t>(</w:t>
      </w:r>
      <w:r w:rsidRPr="006843C1">
        <w:t>MBS</w:t>
      </w:r>
      <w:r w:rsidR="004216C4">
        <w:t>)</w:t>
      </w:r>
      <w:r w:rsidRPr="006843C1">
        <w:t xml:space="preserve"> listing of genome</w:t>
      </w:r>
      <w:r w:rsidRPr="007B35AD">
        <w:t>-wide microarray</w:t>
      </w:r>
      <w:r>
        <w:t xml:space="preserve"> (GWMA)</w:t>
      </w:r>
      <w:r w:rsidRPr="007B35AD">
        <w:t xml:space="preserve"> testing </w:t>
      </w:r>
      <w:r>
        <w:t>to include</w:t>
      </w:r>
      <w:r w:rsidRPr="007B35AD">
        <w:t xml:space="preserve"> patients with multiple myeloma (MM) and chronic lymphocytic leukaemia (CLL),</w:t>
      </w:r>
      <w:r>
        <w:t xml:space="preserve"> </w:t>
      </w:r>
      <w:r w:rsidRPr="006843C1">
        <w:t xml:space="preserve">was </w:t>
      </w:r>
      <w:r>
        <w:t>referred from the Genetics Working Group of the MBS Reviews Taskforce. The RCPA agreed to act as applicant for this application.</w:t>
      </w:r>
    </w:p>
    <w:p w14:paraId="6143B13D" w14:textId="77777777" w:rsidR="0077195C" w:rsidRPr="00F715D1" w:rsidRDefault="0077195C" w:rsidP="001B2593">
      <w:pPr>
        <w:pStyle w:val="Heading1"/>
      </w:pPr>
      <w:r w:rsidRPr="00F715D1">
        <w:t>MSAC’s advice to the Minister</w:t>
      </w:r>
    </w:p>
    <w:p w14:paraId="04720EEC" w14:textId="20BD99E4" w:rsidR="009634F6" w:rsidRPr="009634F6" w:rsidRDefault="009634F6" w:rsidP="00490211">
      <w:pPr>
        <w:spacing w:after="240"/>
      </w:pPr>
      <w:r w:rsidRPr="009634F6">
        <w:t>After considering the strength of the available evidence in relation to comparative safety, clinical effectiveness and cost-effectiveness, MSAC supported MBS funding of genome-wide microarray testing (GWMA) for people with multiple myeloma (MM) and chronic lymphocytic leukaemia (CLL), because MSAC accepted that GWMA was superior to karyotyping.</w:t>
      </w:r>
    </w:p>
    <w:p w14:paraId="27424845" w14:textId="03F0F647" w:rsidR="00273704" w:rsidRDefault="009634F6" w:rsidP="00490211">
      <w:pPr>
        <w:spacing w:after="240"/>
      </w:pPr>
      <w:r>
        <w:t xml:space="preserve">For MM, MSAC supported the creation of a new MBS item for GWMA limited to one use per patient lifetime, acknowledging the complementary nature of this test with fluorescence </w:t>
      </w:r>
      <w:r w:rsidRPr="002D7C31">
        <w:rPr>
          <w:i/>
        </w:rPr>
        <w:t>in situ</w:t>
      </w:r>
      <w:r>
        <w:t xml:space="preserve"> hybridisation (FISH)</w:t>
      </w:r>
      <w:r w:rsidR="00E836F9">
        <w:t xml:space="preserve">, which </w:t>
      </w:r>
      <w:r>
        <w:t>MSAC had supported in August 2019.</w:t>
      </w:r>
    </w:p>
    <w:p w14:paraId="2E0D6D6A" w14:textId="27EF2A73" w:rsidR="00273704" w:rsidRDefault="009634F6" w:rsidP="00490211">
      <w:pPr>
        <w:spacing w:after="240"/>
      </w:pPr>
      <w:r>
        <w:t xml:space="preserve">For CLL, MSAC </w:t>
      </w:r>
      <w:r w:rsidRPr="00073C33">
        <w:t xml:space="preserve">supported the modification of </w:t>
      </w:r>
      <w:r w:rsidRPr="00E533C5">
        <w:t>MBS item 73343</w:t>
      </w:r>
      <w:r>
        <w:t xml:space="preserve"> to allow either FISH or GWMA as alternatives, </w:t>
      </w:r>
      <w:r w:rsidR="00F978A2">
        <w:t>limited to tes</w:t>
      </w:r>
      <w:r w:rsidR="00C7015A">
        <w:t>ting no more frequently than on</w:t>
      </w:r>
      <w:r w:rsidR="00F978A2">
        <w:t xml:space="preserve">e </w:t>
      </w:r>
      <w:r w:rsidR="00C7015A">
        <w:t xml:space="preserve">test </w:t>
      </w:r>
      <w:r w:rsidR="00F978A2">
        <w:t xml:space="preserve">per year, and </w:t>
      </w:r>
      <w:r>
        <w:t>accepting that the requested fee for GWMA also apply to FISH testing on the grounds that the current fee underestimates the cost of all the probes necessary for complete testing.</w:t>
      </w:r>
    </w:p>
    <w:p w14:paraId="102C5BD3" w14:textId="29279710" w:rsidR="00273704" w:rsidRPr="00D05FB8" w:rsidRDefault="009634F6" w:rsidP="00490211">
      <w:pPr>
        <w:spacing w:after="240"/>
      </w:pPr>
      <w:r>
        <w:t xml:space="preserve">MSAC advised that implementation of this advice </w:t>
      </w:r>
      <w:r w:rsidR="00223E1A">
        <w:t xml:space="preserve">in relation to MBS item 73343 </w:t>
      </w:r>
      <w:r>
        <w:t>would need coordination via the PBAC to change the existing and recommended PBS restrictions for ibrutinib, idelalisib and venetoclax.</w:t>
      </w:r>
    </w:p>
    <w:p w14:paraId="021306A8" w14:textId="63BA6750" w:rsidR="009634F6" w:rsidRDefault="009634F6" w:rsidP="009634F6">
      <w:r>
        <w:t xml:space="preserve">MSAC recommended that this item number be reviewed in </w:t>
      </w:r>
      <w:r w:rsidR="004216C4">
        <w:t>two</w:t>
      </w:r>
      <w:r>
        <w:t> years, to ensure that all similar testing item numbers align with each other in terms of costing, testing frequency and technologies.</w:t>
      </w:r>
    </w:p>
    <w:p w14:paraId="2EF3012C" w14:textId="77777777" w:rsidR="009634F6" w:rsidRDefault="009634F6" w:rsidP="009634F6">
      <w:pPr>
        <w:pStyle w:val="BoxName"/>
      </w:pPr>
      <w:r>
        <w:lastRenderedPageBreak/>
        <w:t>Consumer summary</w:t>
      </w:r>
    </w:p>
    <w:p w14:paraId="3B80B9EC" w14:textId="6D203E94" w:rsidR="009634F6" w:rsidRDefault="009634F6" w:rsidP="003B7C65">
      <w:pPr>
        <w:pStyle w:val="BoxText"/>
        <w:spacing w:after="240"/>
      </w:pPr>
      <w:r>
        <w:t xml:space="preserve">The </w:t>
      </w:r>
      <w:r w:rsidR="003A3B89">
        <w:t>Genetics Working Group of the MBS Reviews Taskforce recommended extending</w:t>
      </w:r>
      <w:r>
        <w:t xml:space="preserve"> public funding through the MBS for genetic testing in </w:t>
      </w:r>
      <w:r w:rsidRPr="00D866BF">
        <w:t xml:space="preserve">people with multiple myeloma </w:t>
      </w:r>
      <w:r>
        <w:t xml:space="preserve">(MM) </w:t>
      </w:r>
      <w:r w:rsidRPr="00D866BF">
        <w:t>and chronic lymphocytic leukaemia</w:t>
      </w:r>
      <w:r>
        <w:t xml:space="preserve"> (CLL)</w:t>
      </w:r>
      <w:r w:rsidR="007D6BE0">
        <w:t>, which are cancers of blood cells</w:t>
      </w:r>
      <w:r>
        <w:t>.</w:t>
      </w:r>
      <w:r w:rsidRPr="00B23A37">
        <w:t xml:space="preserve"> </w:t>
      </w:r>
      <w:r>
        <w:t>The test would be done by a method called genome-wide microarray testing (GWMA)</w:t>
      </w:r>
      <w:r w:rsidR="00D84DEE">
        <w:t xml:space="preserve">, which is a pathology </w:t>
      </w:r>
      <w:r w:rsidR="00D84DEE" w:rsidRPr="00D84DEE">
        <w:t>laboratory tool used to analy</w:t>
      </w:r>
      <w:r w:rsidR="00D84DEE">
        <w:t>s</w:t>
      </w:r>
      <w:r w:rsidR="00D84DEE" w:rsidRPr="00D84DEE">
        <w:t>e large numbers of genes at one time</w:t>
      </w:r>
      <w:r>
        <w:t>.</w:t>
      </w:r>
    </w:p>
    <w:p w14:paraId="54696168" w14:textId="4A2675EA" w:rsidR="009634F6" w:rsidRDefault="009634F6" w:rsidP="003B7C65">
      <w:pPr>
        <w:pStyle w:val="BoxText"/>
        <w:spacing w:after="240"/>
      </w:pPr>
      <w:r>
        <w:t>Some people with MM and CLL have certain genetic mutations. These people are often sicker than people who don’t have these mutations. People with MM and CLL can already get a genetic test called karyotyping through the MBS. Karyotyping can tell them if they have any of these mutations. However, karyotyping is a</w:t>
      </w:r>
      <w:r w:rsidR="00D84DEE">
        <w:t xml:space="preserve"> less accurate </w:t>
      </w:r>
      <w:r>
        <w:t xml:space="preserve">method, and GWMA can </w:t>
      </w:r>
      <w:r w:rsidR="00D84DEE">
        <w:t xml:space="preserve">largely </w:t>
      </w:r>
      <w:r>
        <w:t xml:space="preserve">replace it. GWMA is faster and </w:t>
      </w:r>
      <w:r w:rsidR="003A3B89">
        <w:t xml:space="preserve">identifies more affected patients </w:t>
      </w:r>
      <w:r>
        <w:t>than karyotyping. Using GWMA means that people with CLL and MM will find out their results faster. For people with CLL, it means they might get a different treatment faster.</w:t>
      </w:r>
    </w:p>
    <w:p w14:paraId="69CAC857" w14:textId="4DA281F3" w:rsidR="009634F6" w:rsidRPr="000A0160" w:rsidRDefault="009634F6" w:rsidP="009634F6">
      <w:pPr>
        <w:pStyle w:val="BoxHeading"/>
      </w:pPr>
      <w:r>
        <w:t xml:space="preserve">MSAC’s </w:t>
      </w:r>
      <w:r w:rsidR="00D57D34">
        <w:t xml:space="preserve">advice </w:t>
      </w:r>
      <w:r w:rsidRPr="000A0160">
        <w:t>to the Commonwealth Minister</w:t>
      </w:r>
      <w:r w:rsidR="00D57D34">
        <w:t xml:space="preserve"> for </w:t>
      </w:r>
      <w:r w:rsidR="00D57D34" w:rsidRPr="000A0160">
        <w:t>Health</w:t>
      </w:r>
    </w:p>
    <w:p w14:paraId="2374B196" w14:textId="0DE940A4" w:rsidR="009634F6" w:rsidRPr="0045471C" w:rsidRDefault="009634F6" w:rsidP="009634F6">
      <w:pPr>
        <w:pStyle w:val="BoxText"/>
      </w:pPr>
      <w:r>
        <w:t xml:space="preserve">MSAC </w:t>
      </w:r>
      <w:r w:rsidR="00D84DEE">
        <w:t xml:space="preserve">supported public funding of </w:t>
      </w:r>
      <w:r>
        <w:t xml:space="preserve">GWMA testing for people with CLL or MM. This is because MSAC believes GWMA is a better </w:t>
      </w:r>
      <w:r w:rsidR="00D84DEE">
        <w:t xml:space="preserve">and faster </w:t>
      </w:r>
      <w:r>
        <w:t>test than karyotyping.</w:t>
      </w:r>
    </w:p>
    <w:p w14:paraId="3D05FC96" w14:textId="7943B205" w:rsidR="0077195C" w:rsidRPr="00F715D1" w:rsidRDefault="0077195C" w:rsidP="0077195C">
      <w:pPr>
        <w:pStyle w:val="Heading1"/>
      </w:pPr>
      <w:r w:rsidRPr="00F715D1">
        <w:t xml:space="preserve">Summary of consideration </w:t>
      </w:r>
      <w:r w:rsidR="00223E1A">
        <w:t>and rationale for MSAC’s advice</w:t>
      </w:r>
    </w:p>
    <w:p w14:paraId="4C51EBD8" w14:textId="27321FAD" w:rsidR="002C55C1" w:rsidRDefault="002C55C1" w:rsidP="00490211">
      <w:pPr>
        <w:spacing w:after="240"/>
      </w:pPr>
      <w:r>
        <w:t xml:space="preserve">MSAC </w:t>
      </w:r>
      <w:r w:rsidRPr="00073C33">
        <w:t xml:space="preserve">noted the purpose of the application was to extend the current genome-wide microarray (GWMA) genetic testing </w:t>
      </w:r>
      <w:r w:rsidRPr="00E533C5">
        <w:t>item 73292 to</w:t>
      </w:r>
      <w:r>
        <w:t xml:space="preserve"> include analysis of two haematological malignancies – </w:t>
      </w:r>
      <w:r w:rsidRPr="00025BCB">
        <w:t xml:space="preserve">multiple myeloma </w:t>
      </w:r>
      <w:r>
        <w:t xml:space="preserve">(MM) </w:t>
      </w:r>
      <w:r w:rsidRPr="00025BCB">
        <w:t>and chronic lymphocytic leukaemia</w:t>
      </w:r>
      <w:r w:rsidR="00223E1A">
        <w:t xml:space="preserve"> (CLL). </w:t>
      </w:r>
      <w:r>
        <w:t>MSAC accepted that GWMA is superior technology to karyotyping, and noted that GWMA testing has already replaced karyotyping in some jurisdictions. GWMA is faster</w:t>
      </w:r>
      <w:r w:rsidR="00595661">
        <w:t xml:space="preserve"> (2-4 days turnaround time rather than 18 days for karyotyping)</w:t>
      </w:r>
      <w:r>
        <w:t>, more accurate</w:t>
      </w:r>
      <w:r w:rsidR="004E585A">
        <w:t>,</w:t>
      </w:r>
      <w:r>
        <w:t xml:space="preserve"> detects more genetic variations</w:t>
      </w:r>
      <w:r w:rsidR="00595661">
        <w:t>,</w:t>
      </w:r>
      <w:r w:rsidR="00595661" w:rsidRPr="00595661">
        <w:t xml:space="preserve"> </w:t>
      </w:r>
      <w:r w:rsidR="00595661">
        <w:t>and has a lower failure rate</w:t>
      </w:r>
      <w:r>
        <w:t xml:space="preserve"> than karyotyping. MSAC accepted that detecting chromosomal arrangements in CLL and MM has prognostic value; for CLL, testing also has predictive value</w:t>
      </w:r>
      <w:r w:rsidR="00223E1A">
        <w:t xml:space="preserve"> in helping select appropriate treatment options</w:t>
      </w:r>
      <w:r>
        <w:t>.</w:t>
      </w:r>
    </w:p>
    <w:p w14:paraId="3C7864DF" w14:textId="0F3CBD4B" w:rsidR="0005197E" w:rsidRDefault="002C55C1" w:rsidP="00490211">
      <w:pPr>
        <w:spacing w:after="240"/>
      </w:pPr>
      <w:r>
        <w:t>MSAC noted the clinical algorithms for CLL and MM, and the significant out-of-pocket costs for patients currently undergoing genetic testing</w:t>
      </w:r>
      <w:r w:rsidR="007A6BF1">
        <w:t xml:space="preserve"> via GMWH </w:t>
      </w:r>
      <w:r w:rsidR="00D00337">
        <w:t>or FISH (unless the patient has</w:t>
      </w:r>
      <w:r w:rsidR="007A6BF1">
        <w:t xml:space="preserve"> relapsed/refractory CLL)</w:t>
      </w:r>
      <w:r>
        <w:t xml:space="preserve">. </w:t>
      </w:r>
      <w:r w:rsidRPr="00913091">
        <w:t xml:space="preserve">However, MSAC noted that </w:t>
      </w:r>
      <w:r w:rsidR="00F978A2">
        <w:t xml:space="preserve">the relevant part of </w:t>
      </w:r>
      <w:r w:rsidR="000B6D56" w:rsidRPr="00913091">
        <w:t>A</w:t>
      </w:r>
      <w:r w:rsidRPr="00913091">
        <w:t>pplication 1526</w:t>
      </w:r>
      <w:r w:rsidR="000B6D56">
        <w:t xml:space="preserve"> has been supported </w:t>
      </w:r>
      <w:r w:rsidRPr="00913091">
        <w:t xml:space="preserve">and </w:t>
      </w:r>
      <w:r w:rsidR="00F978A2">
        <w:t>would</w:t>
      </w:r>
      <w:r w:rsidRPr="00913091">
        <w:t xml:space="preserve"> cover the patient costs</w:t>
      </w:r>
      <w:r w:rsidR="007A6BF1">
        <w:t xml:space="preserve"> of FISH testing of patients with MM</w:t>
      </w:r>
      <w:r w:rsidRPr="00913091">
        <w:t>.</w:t>
      </w:r>
    </w:p>
    <w:p w14:paraId="6D686FE9" w14:textId="35BDD6EA" w:rsidR="00F978A2" w:rsidRDefault="004E585A" w:rsidP="00490211">
      <w:pPr>
        <w:spacing w:after="240"/>
      </w:pPr>
      <w:r>
        <w:t xml:space="preserve">In relation to the results of the accuracy studies reported in Section 11, MSAC considered </w:t>
      </w:r>
      <w:r w:rsidR="00165513">
        <w:t>that the greater failure rate of karyotyping could not be disregarded in these analyses</w:t>
      </w:r>
      <w:r>
        <w:t>. In addition, MSAC considered</w:t>
      </w:r>
      <w:r w:rsidR="00165513">
        <w:t xml:space="preserve"> that </w:t>
      </w:r>
      <w:r w:rsidR="00721345">
        <w:t>“</w:t>
      </w:r>
      <w:r w:rsidR="00165513">
        <w:t>karyotyping + FISH</w:t>
      </w:r>
      <w:r w:rsidR="00721345">
        <w:t>”</w:t>
      </w:r>
      <w:r w:rsidR="00165513">
        <w:t xml:space="preserve"> could not be considered to be a reference standard, and thus that additional GWMA findings could not be considered to be false positive results</w:t>
      </w:r>
      <w:r>
        <w:t xml:space="preserve">. </w:t>
      </w:r>
      <w:r w:rsidR="00721345">
        <w:t xml:space="preserve">MSAC considered that the total count of </w:t>
      </w:r>
      <w:r w:rsidR="00721345" w:rsidRPr="005E4930">
        <w:rPr>
          <w:color w:val="000000"/>
        </w:rPr>
        <w:t>copy number variation</w:t>
      </w:r>
      <w:r w:rsidR="00721345" w:rsidRPr="002B5F4C">
        <w:t xml:space="preserve"> </w:t>
      </w:r>
      <w:r w:rsidR="00721345">
        <w:t xml:space="preserve">(CNVs) would have prognostic value for a patient with MM (and possibly CLL) beyond detecting whether the patient had any CNV. </w:t>
      </w:r>
      <w:r>
        <w:t xml:space="preserve">MSAC agreed with the Applicant that combining all GWMA types in these analyses resulted in the inclusion of </w:t>
      </w:r>
      <w:r w:rsidR="00165513">
        <w:t xml:space="preserve">GWMA </w:t>
      </w:r>
      <w:r>
        <w:t>techniques which have since been superseded as they were inferior</w:t>
      </w:r>
      <w:r w:rsidR="00165513">
        <w:t xml:space="preserve"> to the techniques now used in Australia</w:t>
      </w:r>
      <w:r w:rsidR="008C1AE6">
        <w:t xml:space="preserve">, </w:t>
      </w:r>
      <w:r w:rsidR="00A93CAB">
        <w:t xml:space="preserve">which mostly involve </w:t>
      </w:r>
      <w:r w:rsidR="008C1AE6">
        <w:t>single nucleotide polymorphism (SNP) GWMA</w:t>
      </w:r>
      <w:r>
        <w:t>.</w:t>
      </w:r>
    </w:p>
    <w:p w14:paraId="18F95DE1" w14:textId="6982006B" w:rsidR="004E585A" w:rsidRDefault="00F978A2" w:rsidP="00490211">
      <w:pPr>
        <w:spacing w:after="240"/>
      </w:pPr>
      <w:r>
        <w:t>MSAC noted the economic evaluation only included the cost of substituting karyotyping ± FISH for GWMA without any additional economic analysis of healthcare resource usage</w:t>
      </w:r>
      <w:r w:rsidR="00595661">
        <w:t xml:space="preserve"> beyond the procedural item for re-biopsy in 4% of patients with MM</w:t>
      </w:r>
      <w:r>
        <w:t>, and considered this to be overly simplified. In addition, the cost-minimisation analysis excluded the cost of failed tests associated with karyotyping (60-80% failed culture rates), and did not consider the potential reduction in cost of FISH in MM</w:t>
      </w:r>
      <w:r w:rsidR="00595661">
        <w:t>. T</w:t>
      </w:r>
      <w:r>
        <w:t xml:space="preserve">hese omissions favoured the comparator. On balance, MSAC considered GWMA to have acceptable cost-effectiveness (relative to the comparator) and that the modelling uncertainties would not have a large </w:t>
      </w:r>
      <w:r w:rsidR="00892388">
        <w:t xml:space="preserve">impact on the </w:t>
      </w:r>
      <w:r>
        <w:t xml:space="preserve">budget </w:t>
      </w:r>
      <w:r w:rsidR="00892388">
        <w:t>estimates</w:t>
      </w:r>
      <w:r>
        <w:t>.</w:t>
      </w:r>
      <w:r w:rsidR="00235709">
        <w:t xml:space="preserve"> MSAC therefore considered that the estimated budgetary impact was reasonable. </w:t>
      </w:r>
    </w:p>
    <w:p w14:paraId="7CBEA75A" w14:textId="041C66D5" w:rsidR="00A26FA7" w:rsidRDefault="002C55C1" w:rsidP="002C55C1">
      <w:r>
        <w:t xml:space="preserve">MSAC </w:t>
      </w:r>
      <w:r w:rsidR="002756D2">
        <w:t xml:space="preserve">advised on the following issues for </w:t>
      </w:r>
      <w:r>
        <w:t>implementation</w:t>
      </w:r>
      <w:r w:rsidR="00A26FA7">
        <w:t>:</w:t>
      </w:r>
    </w:p>
    <w:p w14:paraId="17325ABE" w14:textId="7EED3F5E" w:rsidR="002C55C1" w:rsidRDefault="002C55C1" w:rsidP="00490211">
      <w:pPr>
        <w:pStyle w:val="ListParagraph"/>
        <w:numPr>
          <w:ilvl w:val="0"/>
          <w:numId w:val="6"/>
        </w:numPr>
        <w:spacing w:after="240"/>
        <w:ind w:left="714" w:hanging="357"/>
        <w:contextualSpacing w:val="0"/>
      </w:pPr>
      <w:r>
        <w:t xml:space="preserve">MSAC </w:t>
      </w:r>
      <w:r w:rsidR="002756D2">
        <w:t>advised</w:t>
      </w:r>
      <w:r>
        <w:t xml:space="preserve"> that GWMA </w:t>
      </w:r>
      <w:r w:rsidR="002756D2">
        <w:t xml:space="preserve">should </w:t>
      </w:r>
      <w:r>
        <w:t xml:space="preserve">replace fluorescence </w:t>
      </w:r>
      <w:r w:rsidRPr="002D7C31">
        <w:rPr>
          <w:i/>
        </w:rPr>
        <w:t>in situ</w:t>
      </w:r>
      <w:r>
        <w:t xml:space="preserve"> hybridisation (FISH) for CLL in many instances. MSAC considered that FISH testing for </w:t>
      </w:r>
      <w:r w:rsidRPr="00C946E4">
        <w:t>17p deletion</w:t>
      </w:r>
      <w:r>
        <w:t xml:space="preserve"> (</w:t>
      </w:r>
      <w:proofErr w:type="gramStart"/>
      <w:r w:rsidR="00A26FA7" w:rsidRPr="00F44253">
        <w:rPr>
          <w:i/>
        </w:rPr>
        <w:t>del</w:t>
      </w:r>
      <w:r w:rsidR="00223E1A">
        <w:rPr>
          <w:i/>
        </w:rPr>
        <w:t>(</w:t>
      </w:r>
      <w:proofErr w:type="gramEnd"/>
      <w:r w:rsidR="00A26FA7" w:rsidRPr="00F44253">
        <w:rPr>
          <w:i/>
        </w:rPr>
        <w:t>17p</w:t>
      </w:r>
      <w:r w:rsidR="00223E1A">
        <w:rPr>
          <w:i/>
        </w:rPr>
        <w:t>)</w:t>
      </w:r>
      <w:r>
        <w:t>) in CLL w</w:t>
      </w:r>
      <w:r w:rsidR="002756D2">
        <w:t>ould</w:t>
      </w:r>
      <w:r>
        <w:t xml:space="preserve"> need to remain on the MBS until there was a transfer in technology to GWMA. In some cases, FISH may be required as back-up for samples with a low tumour percentage. Thus, GMWA </w:t>
      </w:r>
      <w:r w:rsidR="002756D2">
        <w:t>would</w:t>
      </w:r>
      <w:r>
        <w:t xml:space="preserve"> not immediately </w:t>
      </w:r>
      <w:r w:rsidR="0005197E">
        <w:t xml:space="preserve">replace </w:t>
      </w:r>
      <w:r>
        <w:t xml:space="preserve">FISH for CLL. MSAC suggested that </w:t>
      </w:r>
      <w:r w:rsidR="002756D2">
        <w:t xml:space="preserve">MBS </w:t>
      </w:r>
      <w:r>
        <w:t>item 73343 be modified to allow either FISH or GWMA as alternatives (i.e. technology agnostic)</w:t>
      </w:r>
      <w:r w:rsidR="006B0A34">
        <w:t xml:space="preserve"> and limited to testing no more frequently than one </w:t>
      </w:r>
      <w:r w:rsidR="00C7015A">
        <w:t xml:space="preserve">test </w:t>
      </w:r>
      <w:r w:rsidR="006B0A34">
        <w:t>per year</w:t>
      </w:r>
      <w:r>
        <w:t>. MSAC accepted the requested fee for GWMA ($589.90) also apply to FISH testing on the grounds that the current fee ($230.95) underestimates the cost of all the probes necessary for complete testing.</w:t>
      </w:r>
      <w:r w:rsidR="00514B3F">
        <w:t xml:space="preserve"> MSAC advised that these probes should cover </w:t>
      </w:r>
      <w:r w:rsidR="00514B3F" w:rsidRPr="00514B3F">
        <w:t xml:space="preserve">all the relevant targets </w:t>
      </w:r>
      <w:r w:rsidR="006719BB">
        <w:t xml:space="preserve">identified for </w:t>
      </w:r>
      <w:r w:rsidR="00514B3F" w:rsidRPr="00514B3F">
        <w:t xml:space="preserve">the </w:t>
      </w:r>
      <w:r w:rsidR="006719BB">
        <w:t xml:space="preserve">most widely </w:t>
      </w:r>
      <w:r w:rsidR="00514B3F" w:rsidRPr="00514B3F">
        <w:t xml:space="preserve">used FISH probe panel </w:t>
      </w:r>
      <w:r w:rsidR="00514B3F">
        <w:t xml:space="preserve">in </w:t>
      </w:r>
      <w:r w:rsidR="00514B3F" w:rsidRPr="00514B3F">
        <w:t>CLL</w:t>
      </w:r>
      <w:r w:rsidR="006719BB">
        <w:t>:</w:t>
      </w:r>
      <w:r w:rsidR="00514B3F" w:rsidRPr="00514B3F">
        <w:t xml:space="preserve"> (</w:t>
      </w:r>
      <w:proofErr w:type="gramStart"/>
      <w:r w:rsidR="00514B3F" w:rsidRPr="006719BB">
        <w:rPr>
          <w:i/>
        </w:rPr>
        <w:t>del(</w:t>
      </w:r>
      <w:proofErr w:type="gramEnd"/>
      <w:r w:rsidR="00514B3F" w:rsidRPr="006719BB">
        <w:rPr>
          <w:i/>
        </w:rPr>
        <w:t>17p)</w:t>
      </w:r>
      <w:r w:rsidR="00514B3F">
        <w:t>,</w:t>
      </w:r>
      <w:r w:rsidR="00514B3F" w:rsidRPr="00514B3F">
        <w:t xml:space="preserve"> </w:t>
      </w:r>
      <w:r w:rsidR="00514B3F" w:rsidRPr="006719BB">
        <w:rPr>
          <w:i/>
        </w:rPr>
        <w:t>del(11q)</w:t>
      </w:r>
      <w:r w:rsidR="00514B3F">
        <w:t>,</w:t>
      </w:r>
      <w:r w:rsidR="00514B3F" w:rsidRPr="00514B3F">
        <w:t xml:space="preserve"> </w:t>
      </w:r>
      <w:r w:rsidR="00514B3F" w:rsidRPr="006719BB">
        <w:rPr>
          <w:i/>
        </w:rPr>
        <w:t>del(13q)</w:t>
      </w:r>
      <w:r w:rsidR="00514B3F">
        <w:t>,</w:t>
      </w:r>
      <w:r w:rsidR="00514B3F" w:rsidRPr="00514B3F">
        <w:t xml:space="preserve"> and trisomy 12</w:t>
      </w:r>
      <w:r w:rsidR="00514B3F">
        <w:t>)</w:t>
      </w:r>
      <w:r w:rsidR="00514B3F" w:rsidRPr="00514B3F">
        <w:t>.</w:t>
      </w:r>
    </w:p>
    <w:p w14:paraId="01CFE5EC" w14:textId="7E5CE399" w:rsidR="002C55C1" w:rsidRDefault="002C55C1" w:rsidP="007E7F6A">
      <w:pPr>
        <w:pStyle w:val="ListParagraph"/>
        <w:numPr>
          <w:ilvl w:val="0"/>
          <w:numId w:val="6"/>
        </w:numPr>
      </w:pPr>
      <w:r>
        <w:t xml:space="preserve">However, MSAC noted that GWMA cannot replace FISH for </w:t>
      </w:r>
      <w:r w:rsidR="0005197E">
        <w:t xml:space="preserve">patients with </w:t>
      </w:r>
      <w:r>
        <w:t xml:space="preserve">MM. Many </w:t>
      </w:r>
      <w:r w:rsidR="0005197E">
        <w:t xml:space="preserve">patients with </w:t>
      </w:r>
      <w:r>
        <w:t xml:space="preserve">MM have balanced translocations, which </w:t>
      </w:r>
      <w:r w:rsidR="009A382B">
        <w:t xml:space="preserve">cannot be detected by </w:t>
      </w:r>
      <w:r>
        <w:t xml:space="preserve">GWMA. Thus, FISH and GWMA will both be required for some MM testing until another </w:t>
      </w:r>
      <w:proofErr w:type="gramStart"/>
      <w:r>
        <w:t>technology(</w:t>
      </w:r>
      <w:proofErr w:type="spellStart"/>
      <w:proofErr w:type="gramEnd"/>
      <w:r>
        <w:t>ies</w:t>
      </w:r>
      <w:proofErr w:type="spellEnd"/>
      <w:r>
        <w:t xml:space="preserve">) can replace the need for FISH. MSAC </w:t>
      </w:r>
      <w:r w:rsidR="002D7C31">
        <w:t>advised</w:t>
      </w:r>
      <w:r>
        <w:t xml:space="preserve"> that a new </w:t>
      </w:r>
      <w:r w:rsidR="00F978A2">
        <w:t xml:space="preserve">MBS </w:t>
      </w:r>
      <w:r>
        <w:t xml:space="preserve">item be created for </w:t>
      </w:r>
      <w:r w:rsidR="00F978A2">
        <w:t xml:space="preserve">GWMA testing in </w:t>
      </w:r>
      <w:r>
        <w:t>MM</w:t>
      </w:r>
      <w:r w:rsidR="00F978A2">
        <w:t xml:space="preserve"> along the lines proposed in th</w:t>
      </w:r>
      <w:r w:rsidR="000B6D56">
        <w:t>is</w:t>
      </w:r>
      <w:r w:rsidR="00F978A2">
        <w:t xml:space="preserve"> application</w:t>
      </w:r>
      <w:r w:rsidR="00D85F47">
        <w:t>, but avoiding co-claiming with MBS items 73287 and 73829 as well as 73290</w:t>
      </w:r>
      <w:r>
        <w:t xml:space="preserve">. MSAC accepted the proposed fee of $589.90 and that testing should be </w:t>
      </w:r>
      <w:r w:rsidR="008C1AE6">
        <w:t xml:space="preserve">limited to </w:t>
      </w:r>
      <w:r>
        <w:t xml:space="preserve">once per </w:t>
      </w:r>
      <w:r w:rsidR="006B0A34">
        <w:t>patient lifetime</w:t>
      </w:r>
      <w:r>
        <w:t xml:space="preserve"> until further review.</w:t>
      </w:r>
      <w:r w:rsidRPr="00D05FB8">
        <w:t xml:space="preserve"> </w:t>
      </w:r>
      <w:r>
        <w:t xml:space="preserve">MSAC </w:t>
      </w:r>
      <w:r w:rsidR="006079BB">
        <w:t xml:space="preserve">recalled </w:t>
      </w:r>
      <w:r>
        <w:t xml:space="preserve">that </w:t>
      </w:r>
      <w:r w:rsidR="006079BB">
        <w:t xml:space="preserve">it had recently supported </w:t>
      </w:r>
      <w:r>
        <w:t xml:space="preserve">FISH for </w:t>
      </w:r>
      <w:r w:rsidR="002626FA">
        <w:t>c</w:t>
      </w:r>
      <w:r w:rsidR="002626FA" w:rsidRPr="00071319">
        <w:t>hromosome translocations t(4;14), t(14;16), t(14;20) and</w:t>
      </w:r>
      <w:r w:rsidR="002626FA">
        <w:t xml:space="preserve"> </w:t>
      </w:r>
      <w:r w:rsidR="002626FA" w:rsidRPr="00071319">
        <w:t>1q gain and</w:t>
      </w:r>
      <w:r w:rsidR="002626FA">
        <w:t xml:space="preserve"> </w:t>
      </w:r>
      <w:r w:rsidR="00A26FA7">
        <w:rPr>
          <w:i/>
        </w:rPr>
        <w:t>del(17p)</w:t>
      </w:r>
      <w:r w:rsidR="002626FA">
        <w:t xml:space="preserve"> in </w:t>
      </w:r>
      <w:r>
        <w:t>MM (</w:t>
      </w:r>
      <w:r w:rsidR="000B6D56">
        <w:t xml:space="preserve">see </w:t>
      </w:r>
      <w:r>
        <w:t>A</w:t>
      </w:r>
      <w:r w:rsidRPr="00913091">
        <w:t>pplication 1526),</w:t>
      </w:r>
      <w:r>
        <w:t xml:space="preserve"> but recommended that the Department review this set of applications to ensure that publicly funded FISH testing in patients</w:t>
      </w:r>
      <w:r w:rsidR="0005197E">
        <w:t xml:space="preserve"> with MM</w:t>
      </w:r>
      <w:r>
        <w:t xml:space="preserve"> has not been overlooked.</w:t>
      </w:r>
    </w:p>
    <w:p w14:paraId="5D028E74" w14:textId="0B16F592" w:rsidR="002C55C1" w:rsidRDefault="002C55C1" w:rsidP="00490211">
      <w:pPr>
        <w:spacing w:before="240" w:after="240"/>
      </w:pPr>
      <w:r>
        <w:t xml:space="preserve">MSAC noted that implementation of </w:t>
      </w:r>
      <w:r w:rsidR="00582721">
        <w:t xml:space="preserve">its </w:t>
      </w:r>
      <w:r>
        <w:t xml:space="preserve">advice </w:t>
      </w:r>
      <w:r w:rsidR="00582721">
        <w:t xml:space="preserve">in relation to MBS item 73343 </w:t>
      </w:r>
      <w:r>
        <w:t>would need coordination via the PBAC to change the existing and recommended PBS restrictions for ibrutinib, idelalisib and venetoclax.</w:t>
      </w:r>
    </w:p>
    <w:p w14:paraId="586F88B3" w14:textId="24A9AE3F" w:rsidR="002033E7" w:rsidRPr="00D05FB8" w:rsidRDefault="002033E7" w:rsidP="00490211">
      <w:pPr>
        <w:spacing w:after="240"/>
      </w:pPr>
      <w:r>
        <w:t xml:space="preserve">MSAC noted that patients with CLL or </w:t>
      </w:r>
      <w:r w:rsidRPr="00913091">
        <w:t>small lymphocytic lymphoma</w:t>
      </w:r>
      <w:r>
        <w:t xml:space="preserve"> (SLL) with a </w:t>
      </w:r>
      <w:r w:rsidRPr="002033E7">
        <w:t>tumour protein 53</w:t>
      </w:r>
      <w:r>
        <w:t xml:space="preserve"> (</w:t>
      </w:r>
      <w:r>
        <w:rPr>
          <w:i/>
          <w:iCs/>
        </w:rPr>
        <w:t>TP</w:t>
      </w:r>
      <w:r w:rsidRPr="00544E24">
        <w:rPr>
          <w:i/>
          <w:iCs/>
        </w:rPr>
        <w:t>53</w:t>
      </w:r>
      <w:r>
        <w:t xml:space="preserve">) </w:t>
      </w:r>
      <w:r w:rsidR="0003383C">
        <w:t>pathogenic variant</w:t>
      </w:r>
      <w:r>
        <w:t xml:space="preserve"> carry a similar poor prognosis as patients with </w:t>
      </w:r>
      <w:proofErr w:type="gramStart"/>
      <w:r>
        <w:rPr>
          <w:i/>
        </w:rPr>
        <w:t>del(</w:t>
      </w:r>
      <w:proofErr w:type="gramEnd"/>
      <w:r>
        <w:rPr>
          <w:i/>
        </w:rPr>
        <w:t>17p)</w:t>
      </w:r>
      <w:r w:rsidRPr="007E7F6A">
        <w:rPr>
          <w:i/>
        </w:rPr>
        <w:t xml:space="preserve"> </w:t>
      </w:r>
      <w:r>
        <w:t xml:space="preserve">(see Application 1560). The </w:t>
      </w:r>
      <w:r>
        <w:rPr>
          <w:i/>
          <w:iCs/>
        </w:rPr>
        <w:t>TP</w:t>
      </w:r>
      <w:r w:rsidRPr="00A77A60">
        <w:rPr>
          <w:i/>
          <w:iCs/>
        </w:rPr>
        <w:t>53</w:t>
      </w:r>
      <w:r>
        <w:rPr>
          <w:i/>
          <w:iCs/>
        </w:rPr>
        <w:t xml:space="preserve"> </w:t>
      </w:r>
      <w:r>
        <w:t xml:space="preserve">gene is located on </w:t>
      </w:r>
      <w:r w:rsidR="00D57D34">
        <w:t xml:space="preserve">chromosome </w:t>
      </w:r>
      <w:r>
        <w:t xml:space="preserve">17p. Thus, </w:t>
      </w:r>
      <w:r>
        <w:rPr>
          <w:i/>
          <w:iCs/>
        </w:rPr>
        <w:t>TP</w:t>
      </w:r>
      <w:r w:rsidRPr="00A77A60">
        <w:rPr>
          <w:i/>
          <w:iCs/>
        </w:rPr>
        <w:t>53</w:t>
      </w:r>
      <w:r>
        <w:rPr>
          <w:i/>
          <w:iCs/>
        </w:rPr>
        <w:t xml:space="preserve"> </w:t>
      </w:r>
      <w:r>
        <w:t xml:space="preserve">function is lost in patients with </w:t>
      </w:r>
      <w:proofErr w:type="gramStart"/>
      <w:r>
        <w:rPr>
          <w:i/>
        </w:rPr>
        <w:t>del(</w:t>
      </w:r>
      <w:proofErr w:type="gramEnd"/>
      <w:r>
        <w:rPr>
          <w:i/>
        </w:rPr>
        <w:t>17p)</w:t>
      </w:r>
      <w:r>
        <w:t xml:space="preserve">, but patients may lose </w:t>
      </w:r>
      <w:r>
        <w:rPr>
          <w:i/>
          <w:iCs/>
        </w:rPr>
        <w:t>TP</w:t>
      </w:r>
      <w:r w:rsidRPr="00A77A60">
        <w:rPr>
          <w:i/>
          <w:iCs/>
        </w:rPr>
        <w:t>53</w:t>
      </w:r>
      <w:r>
        <w:rPr>
          <w:i/>
          <w:iCs/>
        </w:rPr>
        <w:t xml:space="preserve"> </w:t>
      </w:r>
      <w:r>
        <w:t>function even with an intact</w:t>
      </w:r>
      <w:r w:rsidR="00FB46D9">
        <w:t xml:space="preserve"> chromosome</w:t>
      </w:r>
      <w:r>
        <w:t xml:space="preserve"> 17p due to other types of </w:t>
      </w:r>
      <w:r w:rsidR="0003383C">
        <w:t>pathogenic variants</w:t>
      </w:r>
      <w:r>
        <w:t>. FISH can detect translocations and insertions/deletions, but is unable to detect other types of genetic variations. Immunoglobulin heavy chain (</w:t>
      </w:r>
      <w:r w:rsidRPr="00A77A60">
        <w:rPr>
          <w:i/>
          <w:iCs/>
        </w:rPr>
        <w:t>I</w:t>
      </w:r>
      <w:r w:rsidR="00FB46D9">
        <w:rPr>
          <w:i/>
          <w:iCs/>
        </w:rPr>
        <w:t>G</w:t>
      </w:r>
      <w:r w:rsidRPr="00A77A60">
        <w:rPr>
          <w:i/>
          <w:iCs/>
        </w:rPr>
        <w:t>HV</w:t>
      </w:r>
      <w:r>
        <w:t>)</w:t>
      </w:r>
      <w:r w:rsidRPr="001A23D3">
        <w:t xml:space="preserve"> </w:t>
      </w:r>
      <w:proofErr w:type="spellStart"/>
      <w:r w:rsidR="008C1AE6">
        <w:t>hyper</w:t>
      </w:r>
      <w:r w:rsidRPr="001A23D3">
        <w:t>mutation</w:t>
      </w:r>
      <w:proofErr w:type="spellEnd"/>
      <w:r w:rsidRPr="001A23D3">
        <w:t xml:space="preserve"> </w:t>
      </w:r>
      <w:r>
        <w:t>status</w:t>
      </w:r>
      <w:r w:rsidRPr="001A23D3">
        <w:t xml:space="preserve"> </w:t>
      </w:r>
      <w:r w:rsidR="00E836F9">
        <w:t xml:space="preserve">is associated with a </w:t>
      </w:r>
      <w:r w:rsidR="00AA2290">
        <w:t xml:space="preserve">favourable </w:t>
      </w:r>
      <w:r w:rsidR="008C1AE6">
        <w:t>prognos</w:t>
      </w:r>
      <w:r w:rsidR="00E836F9">
        <w:t xml:space="preserve">is </w:t>
      </w:r>
      <w:r w:rsidRPr="001A23D3">
        <w:t>for patients</w:t>
      </w:r>
      <w:r>
        <w:t xml:space="preserve"> with CLL</w:t>
      </w:r>
      <w:r w:rsidR="007D6BE0">
        <w:t xml:space="preserve"> or </w:t>
      </w:r>
      <w:r>
        <w:t>SLL</w:t>
      </w:r>
      <w:r w:rsidRPr="001A23D3">
        <w:t>.</w:t>
      </w:r>
      <w:r>
        <w:t xml:space="preserve"> However, MSAC </w:t>
      </w:r>
      <w:r w:rsidR="0051105F">
        <w:t>advised</w:t>
      </w:r>
      <w:r>
        <w:t xml:space="preserve"> that a separate application for </w:t>
      </w:r>
      <w:r>
        <w:rPr>
          <w:i/>
          <w:iCs/>
        </w:rPr>
        <w:t>TP</w:t>
      </w:r>
      <w:r w:rsidRPr="00A77A60">
        <w:rPr>
          <w:i/>
          <w:iCs/>
        </w:rPr>
        <w:t>53</w:t>
      </w:r>
      <w:r>
        <w:rPr>
          <w:i/>
          <w:iCs/>
        </w:rPr>
        <w:t xml:space="preserve"> </w:t>
      </w:r>
      <w:r>
        <w:t xml:space="preserve">and </w:t>
      </w:r>
      <w:r w:rsidRPr="00A77A60">
        <w:rPr>
          <w:i/>
          <w:iCs/>
        </w:rPr>
        <w:t>I</w:t>
      </w:r>
      <w:r w:rsidR="00FB46D9" w:rsidRPr="00A77A60">
        <w:rPr>
          <w:i/>
          <w:iCs/>
        </w:rPr>
        <w:t>G</w:t>
      </w:r>
      <w:r w:rsidRPr="00A77A60">
        <w:rPr>
          <w:i/>
          <w:iCs/>
        </w:rPr>
        <w:t>HV</w:t>
      </w:r>
      <w:r>
        <w:t xml:space="preserve"> genetic testing be prepared to cover </w:t>
      </w:r>
      <w:r w:rsidR="007D6BE0">
        <w:t>patients wi</w:t>
      </w:r>
      <w:r>
        <w:t>th</w:t>
      </w:r>
      <w:r w:rsidR="008C1AE6">
        <w:t xml:space="preserve"> CLL</w:t>
      </w:r>
      <w:r w:rsidR="007D6BE0">
        <w:t xml:space="preserve"> or </w:t>
      </w:r>
      <w:r w:rsidR="008C1AE6">
        <w:t>SLL</w:t>
      </w:r>
      <w:r w:rsidR="00FB46D9">
        <w:t xml:space="preserve">, as genetic sequencing is required to detect these </w:t>
      </w:r>
      <w:r w:rsidR="0003383C">
        <w:t>pathogenic variants</w:t>
      </w:r>
      <w:r w:rsidR="00FB46D9">
        <w:t xml:space="preserve"> and so cannot be considered under the current application, which is for GWMA</w:t>
      </w:r>
      <w:r>
        <w:t>.</w:t>
      </w:r>
      <w:r w:rsidR="00AA2290">
        <w:t xml:space="preserve"> There is also a need to consider the optimal timing of these test alternatives</w:t>
      </w:r>
      <w:r w:rsidR="00233FD2">
        <w:t>, noting the small incremental yield of the proposed additional testing</w:t>
      </w:r>
      <w:r w:rsidR="00AA2290">
        <w:t>.</w:t>
      </w:r>
    </w:p>
    <w:p w14:paraId="6F13AF2D" w14:textId="515B56FC" w:rsidR="002C55C1" w:rsidRDefault="002C55C1" w:rsidP="002C55C1">
      <w:pPr>
        <w:pStyle w:val="NormalBeforeBullet"/>
      </w:pPr>
      <w:r>
        <w:t xml:space="preserve">MSAC noted that, due to technological advances in the future, some items would need close review to ensure that all funded tests are in line with each other in terms of rebate, frequency of testing and technology used. Therefore, MSAC recommended a review in </w:t>
      </w:r>
      <w:r w:rsidR="00914F45">
        <w:t>two</w:t>
      </w:r>
      <w:r>
        <w:t> years of any items that arise from the following:</w:t>
      </w:r>
    </w:p>
    <w:p w14:paraId="61343706" w14:textId="77777777" w:rsidR="002C55C1" w:rsidRDefault="002C55C1" w:rsidP="002C55C1">
      <w:pPr>
        <w:pStyle w:val="Bullet"/>
      </w:pPr>
      <w:r>
        <w:t>Application 1544 (GWMA for CLL and MM)</w:t>
      </w:r>
    </w:p>
    <w:p w14:paraId="2B2FCDC1" w14:textId="3824D5C4" w:rsidR="002C55C1" w:rsidRDefault="002C55C1" w:rsidP="002C55C1">
      <w:pPr>
        <w:pStyle w:val="Bullet"/>
      </w:pPr>
      <w:r>
        <w:t xml:space="preserve">Application 1526 (FISH for </w:t>
      </w:r>
      <w:r w:rsidR="002626FA">
        <w:t xml:space="preserve">translocations &amp; deletions in </w:t>
      </w:r>
      <w:r>
        <w:t>MM)</w:t>
      </w:r>
    </w:p>
    <w:p w14:paraId="63F52028" w14:textId="40AC7EE2" w:rsidR="002C55C1" w:rsidRDefault="002C55C1" w:rsidP="002C55C1">
      <w:pPr>
        <w:pStyle w:val="Bullet"/>
      </w:pPr>
      <w:r>
        <w:t>Application 1560 (FISH for</w:t>
      </w:r>
      <w:r w:rsidR="002626FA">
        <w:t xml:space="preserve"> </w:t>
      </w:r>
      <w:r w:rsidR="00A26FA7">
        <w:rPr>
          <w:i/>
        </w:rPr>
        <w:t>del(17p)</w:t>
      </w:r>
      <w:r w:rsidR="002626FA">
        <w:t xml:space="preserve"> in</w:t>
      </w:r>
      <w:r>
        <w:t xml:space="preserve"> CLL </w:t>
      </w:r>
      <w:r w:rsidR="007D6BE0">
        <w:t>or</w:t>
      </w:r>
      <w:r>
        <w:t xml:space="preserve"> SLL)</w:t>
      </w:r>
    </w:p>
    <w:p w14:paraId="4DDF7D77" w14:textId="304A19BC" w:rsidR="002C55C1" w:rsidRDefault="002C55C1" w:rsidP="002C55C1">
      <w:pPr>
        <w:pStyle w:val="BulletLast"/>
      </w:pPr>
      <w:proofErr w:type="gramStart"/>
      <w:r>
        <w:t>any</w:t>
      </w:r>
      <w:proofErr w:type="gramEnd"/>
      <w:r>
        <w:t xml:space="preserve"> future applications for </w:t>
      </w:r>
      <w:r w:rsidR="00D46361">
        <w:rPr>
          <w:i/>
          <w:iCs/>
        </w:rPr>
        <w:t>TP</w:t>
      </w:r>
      <w:r w:rsidRPr="00913091">
        <w:rPr>
          <w:i/>
          <w:iCs/>
        </w:rPr>
        <w:t>53</w:t>
      </w:r>
      <w:r>
        <w:t xml:space="preserve"> and </w:t>
      </w:r>
      <w:r w:rsidRPr="00913091">
        <w:rPr>
          <w:i/>
          <w:iCs/>
        </w:rPr>
        <w:t>I</w:t>
      </w:r>
      <w:r w:rsidR="00A4193A">
        <w:rPr>
          <w:i/>
          <w:iCs/>
        </w:rPr>
        <w:t>G</w:t>
      </w:r>
      <w:r w:rsidRPr="00913091">
        <w:rPr>
          <w:i/>
          <w:iCs/>
        </w:rPr>
        <w:t>HV</w:t>
      </w:r>
      <w:r>
        <w:t xml:space="preserve"> testing for CLL</w:t>
      </w:r>
      <w:r w:rsidR="007D6BE0">
        <w:t xml:space="preserve"> or </w:t>
      </w:r>
      <w:r>
        <w:t>SLL.</w:t>
      </w:r>
    </w:p>
    <w:p w14:paraId="11DD1D64" w14:textId="0CF55009" w:rsidR="002C55C1" w:rsidRDefault="002C55C1" w:rsidP="002C55C1">
      <w:r>
        <w:t xml:space="preserve">MSAC also recommended contacting haematologists to determine a </w:t>
      </w:r>
      <w:r w:rsidR="00514B3F">
        <w:t xml:space="preserve">reduced </w:t>
      </w:r>
      <w:r>
        <w:t>testing frequency for FISH</w:t>
      </w:r>
      <w:r w:rsidR="002626FA">
        <w:t xml:space="preserve"> testing</w:t>
      </w:r>
      <w:r>
        <w:t xml:space="preserve"> in patients</w:t>
      </w:r>
      <w:r w:rsidR="0005197E">
        <w:t xml:space="preserve"> with MM</w:t>
      </w:r>
      <w:r>
        <w:t xml:space="preserve"> (currently once per year). As this test is prognostic only and does not allow access to treatment options, it is important </w:t>
      </w:r>
      <w:r w:rsidR="00514B3F">
        <w:t xml:space="preserve">that </w:t>
      </w:r>
      <w:r>
        <w:t>it not be overused. MSAC recommended contacting the associated professional colleges to communicate this information</w:t>
      </w:r>
      <w:r w:rsidR="00514B3F">
        <w:t>, and seek support for requesting FISH testing in patients with MM only once per lifetime, consistent with the MSAC advice for GWMA</w:t>
      </w:r>
      <w:r>
        <w:t>.</w:t>
      </w:r>
    </w:p>
    <w:p w14:paraId="0CDB620C" w14:textId="77777777" w:rsidR="0077195C" w:rsidRPr="00F715D1" w:rsidRDefault="0077195C" w:rsidP="0077195C">
      <w:pPr>
        <w:pStyle w:val="Heading1"/>
      </w:pPr>
      <w:r w:rsidRPr="00F715D1">
        <w:t>Background</w:t>
      </w:r>
    </w:p>
    <w:p w14:paraId="45DC01C8" w14:textId="3BA8F031" w:rsidR="001B2593" w:rsidRDefault="001B2593" w:rsidP="00490211">
      <w:pPr>
        <w:spacing w:after="240"/>
      </w:pPr>
      <w:r>
        <w:t>This is the first application for GWMA</w:t>
      </w:r>
      <w:r w:rsidRPr="00A85E98">
        <w:rPr>
          <w:bCs/>
          <w:szCs w:val="24"/>
        </w:rPr>
        <w:t xml:space="preserve"> testing for </w:t>
      </w:r>
      <w:r>
        <w:rPr>
          <w:bCs/>
          <w:szCs w:val="24"/>
        </w:rPr>
        <w:t xml:space="preserve">patients </w:t>
      </w:r>
      <w:r w:rsidRPr="00A85E98">
        <w:rPr>
          <w:bCs/>
          <w:szCs w:val="24"/>
        </w:rPr>
        <w:t xml:space="preserve">with </w:t>
      </w:r>
      <w:r>
        <w:rPr>
          <w:bCs/>
          <w:szCs w:val="24"/>
        </w:rPr>
        <w:t xml:space="preserve">MM and CLL. </w:t>
      </w:r>
      <w:r>
        <w:t>MSAC has not previously considered this application.</w:t>
      </w:r>
    </w:p>
    <w:p w14:paraId="5B6AC043" w14:textId="1278CF81" w:rsidR="001B2593" w:rsidRPr="00490211" w:rsidRDefault="001B2593" w:rsidP="00490211">
      <w:pPr>
        <w:spacing w:after="240"/>
      </w:pPr>
      <w:r w:rsidRPr="0000277F">
        <w:t>In 2017</w:t>
      </w:r>
      <w:r>
        <w:t>,</w:t>
      </w:r>
      <w:r w:rsidRPr="0000277F">
        <w:t xml:space="preserve"> the MBS Review Taskforce Genetics Working Group (GWG) of the Pathology Clinical Committee (PCC) requested advice from the MSAC Executive on extending access to </w:t>
      </w:r>
      <w:r>
        <w:t>GWMA</w:t>
      </w:r>
      <w:r w:rsidRPr="0000277F">
        <w:t xml:space="preserve"> testing to the following two additional populations beyond those currentl</w:t>
      </w:r>
      <w:r>
        <w:t xml:space="preserve">y specified in MBS item 73292. </w:t>
      </w:r>
      <w:r w:rsidRPr="0000277F">
        <w:t>These are in antenatal testing, when invasive testing is undertaken to investigate a pregnancy where there are major fetal ultrasound abnormalities, in lieu of karyotyping; and for two specific chronic haematolog</w:t>
      </w:r>
      <w:r>
        <w:t xml:space="preserve">ical malignancies, MM and CLL. </w:t>
      </w:r>
      <w:r w:rsidRPr="0000277F">
        <w:t>In July 2017</w:t>
      </w:r>
      <w:r>
        <w:t>,</w:t>
      </w:r>
      <w:r w:rsidRPr="0000277F">
        <w:t xml:space="preserve"> the Department sought MSAC Executive’s agreement that an MSAC review of the proposed extension of access to 73292 was necessary, and that the appropriate assessment pathway was to be assessed by all MSAC committees.</w:t>
      </w:r>
    </w:p>
    <w:p w14:paraId="3211C4C0" w14:textId="2186B5D4" w:rsidR="001B2593" w:rsidRPr="0000277F" w:rsidRDefault="001B2593" w:rsidP="00490211">
      <w:pPr>
        <w:spacing w:after="240"/>
      </w:pPr>
      <w:r w:rsidRPr="0000277F">
        <w:t xml:space="preserve">The MSAC Executive agreed that MSAC </w:t>
      </w:r>
      <w:r>
        <w:t xml:space="preserve">consideration was appropriate. </w:t>
      </w:r>
      <w:r w:rsidRPr="0000277F">
        <w:t>However, the MSAC Executive considered that the PICO was well defined with sufficient evidence of clinical utility, and that there was no requirement for consideration by PASC.</w:t>
      </w:r>
    </w:p>
    <w:p w14:paraId="6EB5C92C" w14:textId="11D8496E" w:rsidR="001B2593" w:rsidRPr="0000277F" w:rsidRDefault="001B2593" w:rsidP="001B2593">
      <w:r w:rsidRPr="0000277F">
        <w:t xml:space="preserve">The Department, informed by members of the GWG and the HTA assessment group, subsequently recognised the need to divide the two additional populations into separate </w:t>
      </w:r>
      <w:r w:rsidR="000B6D56" w:rsidRPr="0000277F">
        <w:t>A</w:t>
      </w:r>
      <w:r w:rsidRPr="0000277F">
        <w:t>pplications (1533 and 1544), and develop a PICO for each patient group,</w:t>
      </w:r>
      <w:r>
        <w:t xml:space="preserve"> which were submitted to PASC. </w:t>
      </w:r>
      <w:r w:rsidRPr="0000277F">
        <w:t xml:space="preserve">This </w:t>
      </w:r>
      <w:r w:rsidR="000B6D56" w:rsidRPr="0000277F">
        <w:t>A</w:t>
      </w:r>
      <w:r w:rsidRPr="0000277F">
        <w:t>pplication 1544 is for the haematological</w:t>
      </w:r>
      <w:r>
        <w:t xml:space="preserve"> malignancy testing population.</w:t>
      </w:r>
    </w:p>
    <w:p w14:paraId="4EF38B81" w14:textId="77777777" w:rsidR="0077195C" w:rsidRPr="00F715D1" w:rsidRDefault="0077195C" w:rsidP="0077195C">
      <w:pPr>
        <w:pStyle w:val="Heading1"/>
      </w:pPr>
      <w:r w:rsidRPr="00F715D1">
        <w:t>Prerequisites to implementation of any funding advice</w:t>
      </w:r>
    </w:p>
    <w:p w14:paraId="703BAAB4" w14:textId="2C7DDB0A" w:rsidR="00583FA3" w:rsidRPr="00B02E35" w:rsidRDefault="00583FA3" w:rsidP="00583FA3">
      <w:r>
        <w:t xml:space="preserve">The </w:t>
      </w:r>
      <w:r w:rsidR="00B11338">
        <w:t>c</w:t>
      </w:r>
      <w:r>
        <w:t>ritique stated that no prerequisites involving quality assurance programs were presented in the application. The National Pathology Accreditation Advisory Council (NPAAC) advised MSAC that an external quality assurance program</w:t>
      </w:r>
      <w:r w:rsidR="00BC36B3">
        <w:t xml:space="preserve"> (EQA)</w:t>
      </w:r>
      <w:r>
        <w:t xml:space="preserve"> is available for the </w:t>
      </w:r>
      <w:r w:rsidR="00BC36B3">
        <w:t>test.</w:t>
      </w:r>
    </w:p>
    <w:p w14:paraId="3C10A93C" w14:textId="77777777" w:rsidR="0077195C" w:rsidRPr="00F715D1" w:rsidRDefault="0077195C" w:rsidP="0077195C">
      <w:pPr>
        <w:pStyle w:val="Heading1"/>
      </w:pPr>
      <w:r w:rsidRPr="00F715D1">
        <w:t>Proposal for public funding</w:t>
      </w:r>
    </w:p>
    <w:p w14:paraId="3E8177BF" w14:textId="33B842D0" w:rsidR="00C31ADB" w:rsidRDefault="00C31ADB" w:rsidP="00C31ADB">
      <w:r>
        <w:t xml:space="preserve">The MBS item descriptor proposed in the application is presented in </w:t>
      </w:r>
      <w:r>
        <w:fldChar w:fldCharType="begin"/>
      </w:r>
      <w:r>
        <w:instrText xml:space="preserve"> REF _Ref6409432 \h </w:instrText>
      </w:r>
      <w:r>
        <w:fldChar w:fldCharType="separate"/>
      </w:r>
      <w:r>
        <w:t xml:space="preserve">Table </w:t>
      </w:r>
      <w:r>
        <w:rPr>
          <w:noProof/>
        </w:rPr>
        <w:t>1</w:t>
      </w:r>
      <w:r>
        <w:fldChar w:fldCharType="end"/>
      </w:r>
      <w:r>
        <w:t>.</w:t>
      </w:r>
    </w:p>
    <w:p w14:paraId="07DBB7AD" w14:textId="77777777" w:rsidR="00C31ADB" w:rsidRPr="00516999" w:rsidRDefault="00C31ADB" w:rsidP="00516999">
      <w:pPr>
        <w:keepNext/>
        <w:keepLines/>
        <w:rPr>
          <w:rFonts w:ascii="Arial Narrow" w:hAnsi="Arial Narrow"/>
          <w:b/>
          <w:sz w:val="20"/>
        </w:rPr>
      </w:pPr>
      <w:bookmarkStart w:id="0" w:name="_Ref2668129"/>
      <w:bookmarkStart w:id="1" w:name="_Ref6409432"/>
      <w:bookmarkStart w:id="2" w:name="_Toc10618053"/>
      <w:r w:rsidRPr="00516999">
        <w:rPr>
          <w:rFonts w:ascii="Arial Narrow" w:hAnsi="Arial Narrow"/>
          <w:b/>
          <w:sz w:val="20"/>
        </w:rPr>
        <w:t xml:space="preserve">Table </w:t>
      </w:r>
      <w:r w:rsidRPr="00516999">
        <w:rPr>
          <w:rFonts w:ascii="Arial Narrow" w:hAnsi="Arial Narrow"/>
          <w:b/>
          <w:sz w:val="20"/>
        </w:rPr>
        <w:fldChar w:fldCharType="begin"/>
      </w:r>
      <w:r w:rsidRPr="00516999">
        <w:rPr>
          <w:rFonts w:ascii="Arial Narrow" w:hAnsi="Arial Narrow"/>
          <w:b/>
          <w:sz w:val="20"/>
        </w:rPr>
        <w:instrText xml:space="preserve"> SEQ Table \* ARABIC </w:instrText>
      </w:r>
      <w:r w:rsidRPr="00516999">
        <w:rPr>
          <w:rFonts w:ascii="Arial Narrow" w:hAnsi="Arial Narrow"/>
          <w:b/>
          <w:sz w:val="20"/>
        </w:rPr>
        <w:fldChar w:fldCharType="separate"/>
      </w:r>
      <w:r w:rsidRPr="00516999">
        <w:rPr>
          <w:rFonts w:ascii="Arial Narrow" w:hAnsi="Arial Narrow"/>
          <w:b/>
          <w:sz w:val="20"/>
        </w:rPr>
        <w:t>1</w:t>
      </w:r>
      <w:r w:rsidRPr="00516999">
        <w:rPr>
          <w:rFonts w:ascii="Arial Narrow" w:hAnsi="Arial Narrow"/>
          <w:b/>
          <w:sz w:val="20"/>
        </w:rPr>
        <w:fldChar w:fldCharType="end"/>
      </w:r>
      <w:bookmarkEnd w:id="0"/>
      <w:bookmarkEnd w:id="1"/>
      <w:r w:rsidRPr="00516999">
        <w:rPr>
          <w:rFonts w:ascii="Arial Narrow" w:hAnsi="Arial Narrow"/>
          <w:b/>
          <w:sz w:val="20"/>
        </w:rPr>
        <w:tab/>
        <w:t>Proposed MBS item descriptor</w:t>
      </w:r>
      <w:bookmarkEnd w:id="2"/>
    </w:p>
    <w:tbl>
      <w:tblPr>
        <w:tblStyle w:val="TableGrid1"/>
        <w:tblW w:w="5000" w:type="pct"/>
        <w:tblInd w:w="0" w:type="dxa"/>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9016"/>
      </w:tblGrid>
      <w:tr w:rsidR="00C31ADB" w14:paraId="1F50E763" w14:textId="77777777" w:rsidTr="00516999">
        <w:trPr>
          <w:cnfStyle w:val="100000000000" w:firstRow="1" w:lastRow="0" w:firstColumn="0" w:lastColumn="0" w:oddVBand="0" w:evenVBand="0" w:oddHBand="0" w:evenHBand="0" w:firstRowFirstColumn="0" w:firstRowLastColumn="0" w:lastRowFirstColumn="0" w:lastRowLastColumn="0"/>
          <w:tblHeader/>
        </w:trPr>
        <w:tc>
          <w:tcPr>
            <w:tcW w:w="5000" w:type="pct"/>
            <w:hideMark/>
          </w:tcPr>
          <w:p w14:paraId="132220CC" w14:textId="77777777" w:rsidR="00C31ADB" w:rsidRDefault="00C31ADB" w:rsidP="00516999">
            <w:pPr>
              <w:pStyle w:val="Tabletext"/>
              <w:keepNext/>
              <w:keepLines/>
              <w:spacing w:beforeLines="40" w:before="96" w:afterLines="40" w:after="96"/>
            </w:pPr>
            <w:r>
              <w:t>Category 6 (Pathology Services) – Group P7 Genetics</w:t>
            </w:r>
          </w:p>
        </w:tc>
      </w:tr>
      <w:tr w:rsidR="00C31ADB" w14:paraId="43855A3C" w14:textId="77777777" w:rsidTr="00516999">
        <w:tc>
          <w:tcPr>
            <w:tcW w:w="5000" w:type="pct"/>
          </w:tcPr>
          <w:p w14:paraId="355C7B06" w14:textId="2AF3875E" w:rsidR="00C31ADB" w:rsidRDefault="00C31ADB" w:rsidP="00516999">
            <w:pPr>
              <w:pStyle w:val="Tabletext"/>
              <w:keepNext/>
              <w:keepLines/>
              <w:spacing w:beforeLines="40" w:before="96" w:afterLines="40" w:after="96"/>
            </w:pPr>
            <w:r>
              <w:t>Item number XXXXX</w:t>
            </w:r>
          </w:p>
          <w:p w14:paraId="37E86C79" w14:textId="77777777" w:rsidR="00C31ADB" w:rsidRDefault="00C31ADB" w:rsidP="00516999">
            <w:pPr>
              <w:keepNext/>
              <w:keepLines/>
              <w:shd w:val="clear" w:color="auto" w:fill="FBFBFB"/>
              <w:spacing w:beforeLines="40" w:before="96" w:afterLines="40" w:after="96"/>
            </w:pPr>
            <w:r>
              <w:t xml:space="preserve">Analysis of chromosomes by genome-wide micro-array in diagnostic studies of a patient with </w:t>
            </w:r>
            <w:r w:rsidRPr="00AF4F1F">
              <w:t xml:space="preserve">multiple myeloma </w:t>
            </w:r>
            <w:r>
              <w:t>or chronic lymphocytic leukaemia (including a service in item 73290, if performed)</w:t>
            </w:r>
          </w:p>
          <w:p w14:paraId="1DAB5885" w14:textId="5FD297A1" w:rsidR="00C31ADB" w:rsidRDefault="00C31ADB" w:rsidP="00516999">
            <w:pPr>
              <w:keepNext/>
              <w:keepLines/>
              <w:shd w:val="clear" w:color="auto" w:fill="FBFBFB"/>
              <w:spacing w:beforeLines="40" w:before="96" w:afterLines="40" w:after="96"/>
            </w:pPr>
            <w:r>
              <w:t>- 1 or more tests.</w:t>
            </w:r>
          </w:p>
          <w:p w14:paraId="516FA7CE" w14:textId="77777777" w:rsidR="00C31ADB" w:rsidRDefault="00C31ADB" w:rsidP="00516999">
            <w:pPr>
              <w:keepNext/>
              <w:keepLines/>
              <w:shd w:val="clear" w:color="auto" w:fill="FBFBFB"/>
              <w:spacing w:beforeLines="40" w:before="96" w:afterLines="40" w:after="96"/>
            </w:pPr>
            <w:r>
              <w:rPr>
                <w:b/>
              </w:rPr>
              <w:t xml:space="preserve">Fee: </w:t>
            </w:r>
            <w:r>
              <w:t>$589.90 </w:t>
            </w:r>
            <w:r>
              <w:rPr>
                <w:b/>
              </w:rPr>
              <w:t xml:space="preserve">Benefit: </w:t>
            </w:r>
            <w:r>
              <w:t>75% = $442.45 85% = $506.50</w:t>
            </w:r>
          </w:p>
        </w:tc>
      </w:tr>
    </w:tbl>
    <w:p w14:paraId="6DE385D0" w14:textId="0E38CA0E" w:rsidR="0077195C" w:rsidRPr="00F715D1" w:rsidRDefault="0077195C" w:rsidP="0077195C">
      <w:pPr>
        <w:pStyle w:val="Heading1"/>
      </w:pPr>
      <w:r w:rsidRPr="00F715D1">
        <w:t xml:space="preserve">Summary </w:t>
      </w:r>
      <w:r w:rsidR="00E973EA" w:rsidRPr="00F715D1">
        <w:t>of public consultation feedback/consumer issues</w:t>
      </w:r>
    </w:p>
    <w:p w14:paraId="4C916A7B" w14:textId="77777777" w:rsidR="00C31ADB" w:rsidRDefault="00C31ADB" w:rsidP="00C31ADB">
      <w:r>
        <w:t>Nil.</w:t>
      </w:r>
    </w:p>
    <w:p w14:paraId="01AEDC82" w14:textId="77777777" w:rsidR="0077195C" w:rsidRPr="00F715D1" w:rsidRDefault="0077195C" w:rsidP="0077195C">
      <w:pPr>
        <w:pStyle w:val="Heading1"/>
      </w:pPr>
      <w:r w:rsidRPr="00F715D1">
        <w:t>Proposed intervention’s place in clinical management</w:t>
      </w:r>
    </w:p>
    <w:p w14:paraId="2C4E2951" w14:textId="77777777" w:rsidR="00C31ADB" w:rsidRDefault="00C31ADB" w:rsidP="00C31ADB">
      <w:pPr>
        <w:pStyle w:val="Heading2"/>
      </w:pPr>
      <w:r>
        <w:t>Multiple myeloma</w:t>
      </w:r>
    </w:p>
    <w:p w14:paraId="38CD27E3" w14:textId="6EA2111F" w:rsidR="00C31ADB" w:rsidRDefault="00C31ADB" w:rsidP="00490211">
      <w:pPr>
        <w:spacing w:after="240"/>
      </w:pPr>
      <w:r>
        <w:t xml:space="preserve">The current and proposed clinical management algorithms are presented in Figure 1 and Figure 2, respectively. The application stated that the proposed algorithm </w:t>
      </w:r>
      <w:r w:rsidRPr="00F40856">
        <w:t xml:space="preserve">uses </w:t>
      </w:r>
      <w:r>
        <w:t>GWMA</w:t>
      </w:r>
      <w:r w:rsidRPr="00F40856">
        <w:t xml:space="preserve"> and FISH testing once patients have been diagnosed with MM, rather than karyotyping and FISH</w:t>
      </w:r>
      <w:r>
        <w:t xml:space="preserve"> (see outlined in red below).</w:t>
      </w:r>
    </w:p>
    <w:p w14:paraId="4E70338B" w14:textId="016F797C" w:rsidR="005240AF" w:rsidRDefault="00C31ADB" w:rsidP="00E51356">
      <w:r>
        <w:t>The MM algorithm was based on European Society for Medical Oncology (ESMO), Myeloma Australia and guidelines published by</w:t>
      </w:r>
      <w:r w:rsidRPr="007B35AD">
        <w:t xml:space="preserve"> Pugh and colleagues (2018) from a Cancer Genomics Consortium working group.</w:t>
      </w:r>
      <w:r>
        <w:t xml:space="preserve"> </w:t>
      </w:r>
      <w:r>
        <w:rPr>
          <w:iCs/>
        </w:rPr>
        <w:t>As part of current treatment guidelines, cytogenetics analysis is to be conducted at initial diagnostic work-up with 3-12 monthly monitoring depending on a patient’s risk of progression to symptomatic MM. However, patients are not necessarily treated until they have symptomatic MM</w:t>
      </w:r>
      <w:r>
        <w:t>.</w:t>
      </w:r>
      <w:bookmarkStart w:id="3" w:name="_Ref10616990"/>
      <w:bookmarkStart w:id="4" w:name="_Toc10618111"/>
    </w:p>
    <w:p w14:paraId="13A3CFED" w14:textId="5FC35C5D" w:rsidR="005240AF" w:rsidRDefault="005240AF" w:rsidP="00E51356">
      <w:r>
        <w:rPr>
          <w:noProof/>
        </w:rPr>
        <w:drawing>
          <wp:inline distT="0" distB="0" distL="0" distR="0" wp14:anchorId="64BB57DD" wp14:editId="4B43C0AE">
            <wp:extent cx="5731510" cy="5130800"/>
            <wp:effectExtent l="0" t="0" r="2540" b="0"/>
            <wp:docPr id="17" name="Picture 17" descr="Current MM algorith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5130800"/>
                    </a:xfrm>
                    <a:prstGeom prst="rect">
                      <a:avLst/>
                    </a:prstGeom>
                  </pic:spPr>
                </pic:pic>
              </a:graphicData>
            </a:graphic>
          </wp:inline>
        </w:drawing>
      </w:r>
    </w:p>
    <w:p w14:paraId="7717B912" w14:textId="69AC534E" w:rsidR="00516999" w:rsidRDefault="00516999" w:rsidP="00C31ADB">
      <w:pPr>
        <w:pStyle w:val="Caption"/>
      </w:pPr>
      <w:bookmarkStart w:id="5" w:name="_Ref10617015"/>
      <w:bookmarkStart w:id="6" w:name="_Toc10618112"/>
      <w:bookmarkEnd w:id="3"/>
      <w:bookmarkEnd w:id="4"/>
      <w:r>
        <w:rPr>
          <w:noProof/>
          <w:lang w:eastAsia="en-AU"/>
        </w:rPr>
        <w:drawing>
          <wp:inline distT="0" distB="0" distL="0" distR="0" wp14:anchorId="3E8805EA" wp14:editId="5E7D1DD4">
            <wp:extent cx="5731510" cy="5073015"/>
            <wp:effectExtent l="0" t="0" r="2540" b="0"/>
            <wp:docPr id="1" name="Picture 1" descr="Proposed MM algorith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073015"/>
                    </a:xfrm>
                    <a:prstGeom prst="rect">
                      <a:avLst/>
                    </a:prstGeom>
                  </pic:spPr>
                </pic:pic>
              </a:graphicData>
            </a:graphic>
          </wp:inline>
        </w:drawing>
      </w:r>
    </w:p>
    <w:bookmarkEnd w:id="5"/>
    <w:bookmarkEnd w:id="6"/>
    <w:p w14:paraId="4E814D0D" w14:textId="73154904" w:rsidR="00C31ADB" w:rsidRPr="00490211" w:rsidRDefault="00C31ADB" w:rsidP="00490211">
      <w:pPr>
        <w:spacing w:before="240" w:after="240"/>
        <w:rPr>
          <w:vanish/>
        </w:rPr>
      </w:pPr>
      <w:r w:rsidRPr="00CA0F5A">
        <w:t xml:space="preserve">The clinical claim is that </w:t>
      </w:r>
      <w:r>
        <w:t>GWMA</w:t>
      </w:r>
      <w:r w:rsidRPr="00CA0F5A">
        <w:t xml:space="preserve"> and FISH testing in MM compared to conventional karyotyping and FISH is likely to result in better prognostication for patients and</w:t>
      </w:r>
      <w:r w:rsidR="002626FA">
        <w:t>/or</w:t>
      </w:r>
      <w:r w:rsidRPr="00CA0F5A">
        <w:t xml:space="preserve"> identification of high-risk patients for which an alternative drug therapy is superior for overall survival.</w:t>
      </w:r>
    </w:p>
    <w:p w14:paraId="5175C88F" w14:textId="77777777" w:rsidR="00C31ADB" w:rsidRPr="00390D02" w:rsidRDefault="00C31ADB" w:rsidP="00C31ADB">
      <w:pPr>
        <w:pStyle w:val="Heading2"/>
      </w:pPr>
      <w:r>
        <w:t>C</w:t>
      </w:r>
      <w:r w:rsidRPr="00D24629">
        <w:t>hronic lymphocytic leukaemia</w:t>
      </w:r>
    </w:p>
    <w:p w14:paraId="330AFEDC" w14:textId="55E221D3" w:rsidR="00C31ADB" w:rsidRDefault="00C31ADB" w:rsidP="00490211">
      <w:pPr>
        <w:spacing w:after="240"/>
      </w:pPr>
      <w:r>
        <w:t>The current and proposed clinical management algorithms are presented in Figure 3 and Figure 4, respectively. The proposed algorithm uses GWMA</w:t>
      </w:r>
      <w:r w:rsidRPr="00B51CA2">
        <w:t xml:space="preserve"> rather than</w:t>
      </w:r>
      <w:r>
        <w:t xml:space="preserve"> karyotyping and FISH (see outlined in red below).The CLL algorithm was based on ESMO guidelines.</w:t>
      </w:r>
    </w:p>
    <w:p w14:paraId="47E01BF5" w14:textId="77777777" w:rsidR="00C31ADB" w:rsidRDefault="00C31ADB" w:rsidP="00C31ADB">
      <w:pPr>
        <w:spacing w:after="120"/>
      </w:pPr>
      <w:r>
        <w:rPr>
          <w:rStyle w:val="TablenotesChar"/>
          <w:rFonts w:ascii="Calibri" w:hAnsi="Calibri" w:cs="Tahoma"/>
          <w:sz w:val="22"/>
        </w:rPr>
        <w:t>P</w:t>
      </w:r>
      <w:r w:rsidRPr="00781D1A">
        <w:t>atients with early stage or inactive disease are monitored for the progression of their disease and receive regular blood tests to determine if their disease has become active</w:t>
      </w:r>
      <w:r>
        <w:t xml:space="preserve"> (i.e. a “wait and watch” approach). For</w:t>
      </w:r>
      <w:r w:rsidRPr="00781D1A">
        <w:t xml:space="preserve"> </w:t>
      </w:r>
      <w:r>
        <w:t>t</w:t>
      </w:r>
      <w:r w:rsidRPr="00781D1A">
        <w:t>hose with active or advanced stage disease</w:t>
      </w:r>
      <w:r>
        <w:t>,</w:t>
      </w:r>
      <w:r w:rsidRPr="00781D1A">
        <w:t xml:space="preserve"> </w:t>
      </w:r>
      <w:proofErr w:type="gramStart"/>
      <w:r w:rsidRPr="009E338F">
        <w:rPr>
          <w:i/>
        </w:rPr>
        <w:t>del</w:t>
      </w:r>
      <w:r>
        <w:rPr>
          <w:i/>
        </w:rPr>
        <w:t>(</w:t>
      </w:r>
      <w:proofErr w:type="gramEnd"/>
      <w:r w:rsidRPr="009E338F">
        <w:rPr>
          <w:i/>
        </w:rPr>
        <w:t>17p</w:t>
      </w:r>
      <w:r>
        <w:rPr>
          <w:i/>
        </w:rPr>
        <w:t>)</w:t>
      </w:r>
      <w:r>
        <w:t xml:space="preserve"> status</w:t>
      </w:r>
      <w:r w:rsidRPr="00781D1A">
        <w:t xml:space="preserve"> and fitness</w:t>
      </w:r>
      <w:r>
        <w:t xml:space="preserve"> levels are used</w:t>
      </w:r>
      <w:r w:rsidRPr="00781D1A">
        <w:t xml:space="preserve"> to determine</w:t>
      </w:r>
      <w:r>
        <w:t xml:space="preserve"> suitability of</w:t>
      </w:r>
      <w:r w:rsidRPr="00781D1A">
        <w:t xml:space="preserve"> treatment with chemotherapy agents such as </w:t>
      </w:r>
      <w:proofErr w:type="spellStart"/>
      <w:r w:rsidRPr="00781D1A">
        <w:t>fludarabine</w:t>
      </w:r>
      <w:proofErr w:type="spellEnd"/>
      <w:r w:rsidRPr="00781D1A">
        <w:t xml:space="preserve"> or </w:t>
      </w:r>
      <w:proofErr w:type="spellStart"/>
      <w:r w:rsidRPr="00781D1A">
        <w:t>chlorambucil</w:t>
      </w:r>
      <w:proofErr w:type="spellEnd"/>
      <w:r w:rsidRPr="00781D1A">
        <w:t>, immunotherapy agents such as rituximab or ibrutinib</w:t>
      </w:r>
      <w:r>
        <w:t>,</w:t>
      </w:r>
      <w:r w:rsidRPr="00781D1A">
        <w:t xml:space="preserve"> or allogenic haematopoietic stem cell transplant</w:t>
      </w:r>
      <w:r>
        <w:t>. Ibrutinib is only currently PBS-subsidised for relapsing/remitting CLL in Australia.</w:t>
      </w:r>
    </w:p>
    <w:p w14:paraId="5F3655DB" w14:textId="34A0C134" w:rsidR="00C31ADB" w:rsidRDefault="00C31ADB" w:rsidP="00490211">
      <w:pPr>
        <w:spacing w:before="240" w:after="240"/>
      </w:pPr>
      <w:r>
        <w:t>GWMA occupies the same place in the clinical algorithm in MM as it does in CLL. However, FISH is not used with the microarray in CLL.</w:t>
      </w:r>
    </w:p>
    <w:p w14:paraId="131023D2" w14:textId="11336C20" w:rsidR="008C775D" w:rsidRDefault="00C31ADB" w:rsidP="00490211">
      <w:pPr>
        <w:spacing w:after="240"/>
      </w:pPr>
      <w:r>
        <w:t xml:space="preserve">The detection of </w:t>
      </w:r>
      <w:proofErr w:type="gramStart"/>
      <w:r w:rsidRPr="009E338F">
        <w:rPr>
          <w:i/>
        </w:rPr>
        <w:t>del</w:t>
      </w:r>
      <w:r>
        <w:rPr>
          <w:i/>
        </w:rPr>
        <w:t>(</w:t>
      </w:r>
      <w:proofErr w:type="gramEnd"/>
      <w:r w:rsidRPr="009E338F">
        <w:rPr>
          <w:i/>
        </w:rPr>
        <w:t>17p</w:t>
      </w:r>
      <w:r>
        <w:rPr>
          <w:i/>
        </w:rPr>
        <w:t>)</w:t>
      </w:r>
      <w:r>
        <w:t xml:space="preserve"> by GWMA is intended to </w:t>
      </w:r>
      <w:r w:rsidR="00E63BF3">
        <w:t xml:space="preserve">assess the patient’s prognosis  from CLL and to </w:t>
      </w:r>
      <w:r>
        <w:t xml:space="preserve">allow patients to access PBS-subsidised medicines reserved for those with </w:t>
      </w:r>
      <w:r w:rsidRPr="009E338F">
        <w:rPr>
          <w:i/>
        </w:rPr>
        <w:t>del</w:t>
      </w:r>
      <w:r>
        <w:rPr>
          <w:i/>
        </w:rPr>
        <w:t>(</w:t>
      </w:r>
      <w:r w:rsidRPr="009E338F">
        <w:rPr>
          <w:i/>
        </w:rPr>
        <w:t>17p</w:t>
      </w:r>
      <w:r>
        <w:rPr>
          <w:i/>
        </w:rPr>
        <w:t>)</w:t>
      </w:r>
      <w:r>
        <w:t xml:space="preserve"> – ibrutinib, idelalisib and venetoclax. While </w:t>
      </w:r>
      <w:r w:rsidR="00304F82">
        <w:t xml:space="preserve">access to </w:t>
      </w:r>
      <w:r>
        <w:t>these medicines require</w:t>
      </w:r>
      <w:r w:rsidR="00E973EA">
        <w:t>s</w:t>
      </w:r>
      <w:r>
        <w:t xml:space="preserve"> the detection of </w:t>
      </w:r>
      <w:proofErr w:type="gramStart"/>
      <w:r>
        <w:rPr>
          <w:i/>
        </w:rPr>
        <w:t>del(</w:t>
      </w:r>
      <w:proofErr w:type="gramEnd"/>
      <w:r>
        <w:rPr>
          <w:i/>
        </w:rPr>
        <w:t>17p)</w:t>
      </w:r>
      <w:r>
        <w:t xml:space="preserve"> by FISH for</w:t>
      </w:r>
      <w:r w:rsidRPr="00F82B27">
        <w:t xml:space="preserve"> patients </w:t>
      </w:r>
      <w:r w:rsidR="00304F82">
        <w:t>with relapsed/refractory disease</w:t>
      </w:r>
      <w:r w:rsidRPr="00F82B27">
        <w:t xml:space="preserve">, the detection of </w:t>
      </w:r>
      <w:r w:rsidRPr="00F82B27">
        <w:rPr>
          <w:i/>
        </w:rPr>
        <w:t>del</w:t>
      </w:r>
      <w:r>
        <w:rPr>
          <w:i/>
        </w:rPr>
        <w:t>(</w:t>
      </w:r>
      <w:r w:rsidRPr="00F82B27">
        <w:rPr>
          <w:i/>
        </w:rPr>
        <w:t>17p</w:t>
      </w:r>
      <w:r>
        <w:rPr>
          <w:i/>
        </w:rPr>
        <w:t>)</w:t>
      </w:r>
      <w:r w:rsidRPr="00F82B27" w:rsidDel="008E4614">
        <w:t xml:space="preserve"> </w:t>
      </w:r>
      <w:r w:rsidRPr="00F82B27">
        <w:t xml:space="preserve">by conventional karyotyping at initial diagnosis would nonetheless be </w:t>
      </w:r>
      <w:proofErr w:type="spellStart"/>
      <w:r w:rsidR="00E63BF3">
        <w:t>prognostically</w:t>
      </w:r>
      <w:proofErr w:type="spellEnd"/>
      <w:r w:rsidR="00E63BF3">
        <w:t xml:space="preserve"> </w:t>
      </w:r>
      <w:r w:rsidRPr="00F82B27">
        <w:t>informative.</w:t>
      </w:r>
    </w:p>
    <w:p w14:paraId="0CE9266F" w14:textId="09A43C96" w:rsidR="00C31ADB" w:rsidRDefault="008C775D" w:rsidP="00490211">
      <w:pPr>
        <w:spacing w:after="240"/>
        <w:rPr>
          <w:noProof/>
        </w:rPr>
      </w:pPr>
      <w:r>
        <w:rPr>
          <w:noProof/>
        </w:rPr>
        <w:t xml:space="preserve">In </w:t>
      </w:r>
      <w:r w:rsidR="00E973EA">
        <w:rPr>
          <w:noProof/>
        </w:rPr>
        <w:t>its</w:t>
      </w:r>
      <w:r>
        <w:rPr>
          <w:noProof/>
        </w:rPr>
        <w:t xml:space="preserve"> pre-MSAC response, the Applicant stated the second red square in Figure 3 (for CLL) should state “Cytogenic analysis (FISH</w:t>
      </w:r>
      <w:r w:rsidRPr="008C775D">
        <w:rPr>
          <w:noProof/>
        </w:rPr>
        <w:t xml:space="preserve"> and karyotyping)” rather than “Cytogenic analysis (FISH [OOP] and karyotyping)”.</w:t>
      </w:r>
      <w:r w:rsidR="00E51356">
        <w:rPr>
          <w:noProof/>
        </w:rPr>
        <w:t xml:space="preserve"> In addition, the Applicant acknowledged that the outcome of </w:t>
      </w:r>
      <w:r w:rsidR="000B6D56">
        <w:rPr>
          <w:noProof/>
        </w:rPr>
        <w:t>A</w:t>
      </w:r>
      <w:r w:rsidR="00E51356">
        <w:rPr>
          <w:noProof/>
        </w:rPr>
        <w:t>pplication 1560</w:t>
      </w:r>
      <w:r w:rsidR="00E51356" w:rsidRPr="00E51356">
        <w:t xml:space="preserve"> </w:t>
      </w:r>
      <w:r w:rsidR="00E51356" w:rsidRPr="007E7F6A">
        <w:rPr>
          <w:i/>
          <w:noProof/>
        </w:rPr>
        <w:t xml:space="preserve">17p </w:t>
      </w:r>
      <w:r w:rsidR="00262F57" w:rsidRPr="007E7F6A">
        <w:rPr>
          <w:i/>
          <w:noProof/>
        </w:rPr>
        <w:t>deletion testing by f</w:t>
      </w:r>
      <w:r w:rsidR="00262F57">
        <w:rPr>
          <w:i/>
          <w:noProof/>
        </w:rPr>
        <w:t>luorescence in situ hybridisation</w:t>
      </w:r>
      <w:r w:rsidR="00262F57" w:rsidRPr="007E7F6A">
        <w:rPr>
          <w:i/>
          <w:noProof/>
        </w:rPr>
        <w:t xml:space="preserve"> for access to ibrutinib in patients with previously untreated chronic lymphoid leukaemia or small lymphocytic lymphoma</w:t>
      </w:r>
      <w:r w:rsidR="00262F57" w:rsidRPr="00E51356">
        <w:rPr>
          <w:noProof/>
        </w:rPr>
        <w:t xml:space="preserve"> may affect </w:t>
      </w:r>
      <w:r w:rsidR="00262F57">
        <w:rPr>
          <w:noProof/>
        </w:rPr>
        <w:t xml:space="preserve">the clinical </w:t>
      </w:r>
      <w:r w:rsidR="009B65CA">
        <w:rPr>
          <w:noProof/>
        </w:rPr>
        <w:t xml:space="preserve">algorithms for </w:t>
      </w:r>
      <w:r w:rsidR="00E51356" w:rsidRPr="00E51356">
        <w:rPr>
          <w:noProof/>
        </w:rPr>
        <w:t>patients</w:t>
      </w:r>
      <w:r w:rsidR="009B65CA">
        <w:rPr>
          <w:noProof/>
        </w:rPr>
        <w:t xml:space="preserve"> with CLL</w:t>
      </w:r>
      <w:r w:rsidR="00E51356" w:rsidRPr="00E51356">
        <w:rPr>
          <w:noProof/>
        </w:rPr>
        <w:t xml:space="preserve">; however, until such time that </w:t>
      </w:r>
      <w:r w:rsidR="00262F57">
        <w:rPr>
          <w:noProof/>
        </w:rPr>
        <w:t>this request is implemented</w:t>
      </w:r>
      <w:r w:rsidR="00E51356" w:rsidRPr="00E51356">
        <w:rPr>
          <w:noProof/>
        </w:rPr>
        <w:t>, FISH testing remains an out-of-pocket expense.</w:t>
      </w:r>
    </w:p>
    <w:p w14:paraId="7CAB305E" w14:textId="518B340F" w:rsidR="00516999" w:rsidRDefault="00AB344F" w:rsidP="00AB344F">
      <w:pPr>
        <w:spacing w:after="240"/>
        <w:rPr>
          <w:noProof/>
        </w:rPr>
      </w:pPr>
      <w:r>
        <w:rPr>
          <w:noProof/>
        </w:rPr>
        <w:drawing>
          <wp:inline distT="0" distB="0" distL="0" distR="0" wp14:anchorId="6DE8C72E" wp14:editId="10914F19">
            <wp:extent cx="5731510" cy="5414010"/>
            <wp:effectExtent l="0" t="0" r="2540" b="0"/>
            <wp:docPr id="3" name="Picture 3" descr="Current CLL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5414010"/>
                    </a:xfrm>
                    <a:prstGeom prst="rect">
                      <a:avLst/>
                    </a:prstGeom>
                  </pic:spPr>
                </pic:pic>
              </a:graphicData>
            </a:graphic>
          </wp:inline>
        </w:drawing>
      </w:r>
      <w:r w:rsidR="008C775D">
        <w:rPr>
          <w:noProof/>
        </w:rPr>
        <w:t xml:space="preserve">In </w:t>
      </w:r>
      <w:r w:rsidR="00E973EA">
        <w:rPr>
          <w:noProof/>
        </w:rPr>
        <w:t>its</w:t>
      </w:r>
      <w:r w:rsidR="008C775D">
        <w:rPr>
          <w:noProof/>
        </w:rPr>
        <w:t xml:space="preserve"> pre-MSAC response, the Applicant stated the first red square in Figure 4 (for CLL) should state </w:t>
      </w:r>
      <w:r w:rsidR="008C775D">
        <w:rPr>
          <w:sz w:val="23"/>
          <w:szCs w:val="23"/>
        </w:rPr>
        <w:t>“</w:t>
      </w:r>
      <w:proofErr w:type="spellStart"/>
      <w:r w:rsidR="008C775D">
        <w:rPr>
          <w:sz w:val="23"/>
          <w:szCs w:val="23"/>
        </w:rPr>
        <w:t>Cytogenic</w:t>
      </w:r>
      <w:proofErr w:type="spellEnd"/>
      <w:r w:rsidR="008C775D">
        <w:rPr>
          <w:sz w:val="23"/>
          <w:szCs w:val="23"/>
        </w:rPr>
        <w:t xml:space="preserve"> analysis (genome-wide microarray and FISH [OOP])” and the second red box should read “</w:t>
      </w:r>
      <w:proofErr w:type="spellStart"/>
      <w:r w:rsidR="008C775D">
        <w:rPr>
          <w:sz w:val="23"/>
          <w:szCs w:val="23"/>
        </w:rPr>
        <w:t>Cytogenic</w:t>
      </w:r>
      <w:proofErr w:type="spellEnd"/>
      <w:r w:rsidR="008C775D">
        <w:rPr>
          <w:sz w:val="23"/>
          <w:szCs w:val="23"/>
        </w:rPr>
        <w:t xml:space="preserve"> analysis (genome-wide microarray and FISH [MBS item number 73343])”</w:t>
      </w:r>
      <w:bookmarkStart w:id="7" w:name="_Ref2605359"/>
      <w:bookmarkStart w:id="8" w:name="_Toc535487877"/>
      <w:r w:rsidR="00E51356">
        <w:t>.</w:t>
      </w:r>
    </w:p>
    <w:p w14:paraId="608A4013" w14:textId="77A2D359" w:rsidR="00516999" w:rsidRDefault="00516999" w:rsidP="00C31ADB">
      <w:r>
        <w:rPr>
          <w:noProof/>
        </w:rPr>
        <w:drawing>
          <wp:inline distT="0" distB="0" distL="0" distR="0" wp14:anchorId="3C92E2B6" wp14:editId="0A0D0560">
            <wp:extent cx="5731510" cy="5676265"/>
            <wp:effectExtent l="0" t="0" r="2540" b="635"/>
            <wp:docPr id="19" name="Picture 19" descr="Proposed CLL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5676265"/>
                    </a:xfrm>
                    <a:prstGeom prst="rect">
                      <a:avLst/>
                    </a:prstGeom>
                  </pic:spPr>
                </pic:pic>
              </a:graphicData>
            </a:graphic>
          </wp:inline>
        </w:drawing>
      </w:r>
    </w:p>
    <w:bookmarkEnd w:id="7"/>
    <w:bookmarkEnd w:id="8"/>
    <w:p w14:paraId="60FD21D3" w14:textId="1D5A94FA" w:rsidR="00C31ADB" w:rsidRPr="00CA0F5A" w:rsidRDefault="00C31ADB" w:rsidP="00C31ADB">
      <w:pPr>
        <w:spacing w:before="240" w:after="160"/>
      </w:pPr>
      <w:r w:rsidRPr="00CA0F5A">
        <w:t xml:space="preserve">The clinical claim is that </w:t>
      </w:r>
      <w:r>
        <w:t>GWMA</w:t>
      </w:r>
      <w:r w:rsidRPr="00CA0F5A">
        <w:t xml:space="preserve"> testing in CLL compared to conventional karyotyping and FISH is likely to result in better prognostication for patients and identification of high-risk patients for which an alternative drug therapy is</w:t>
      </w:r>
      <w:r>
        <w:t xml:space="preserve"> superior for overall survival.</w:t>
      </w:r>
    </w:p>
    <w:p w14:paraId="6A07946F" w14:textId="167DAD79" w:rsidR="0077195C" w:rsidRPr="00F715D1" w:rsidRDefault="00E973EA" w:rsidP="0077195C">
      <w:pPr>
        <w:pStyle w:val="Heading1"/>
      </w:pPr>
      <w:r>
        <w:t>Comparator</w:t>
      </w:r>
    </w:p>
    <w:p w14:paraId="3FD65F09" w14:textId="349C0E45" w:rsidR="00C31ADB" w:rsidRDefault="00C31ADB" w:rsidP="00C31ADB">
      <w:pPr>
        <w:spacing w:after="160"/>
      </w:pPr>
      <w:r w:rsidRPr="00CA0F5A">
        <w:t>The</w:t>
      </w:r>
      <w:r>
        <w:t xml:space="preserve"> application’s nominated</w:t>
      </w:r>
      <w:r w:rsidRPr="00CA0F5A">
        <w:t xml:space="preserve"> comparators for </w:t>
      </w:r>
      <w:r>
        <w:t>GWMA</w:t>
      </w:r>
      <w:r w:rsidRPr="00CA0F5A">
        <w:t xml:space="preserve"> </w:t>
      </w:r>
      <w:r>
        <w:t>we</w:t>
      </w:r>
      <w:r w:rsidRPr="00CA0F5A">
        <w:t>re conventional</w:t>
      </w:r>
      <w:r>
        <w:t xml:space="preserve"> karyotyping and FISH testing. </w:t>
      </w:r>
      <w:r w:rsidRPr="00CA0F5A">
        <w:t>Both of these were reference standards nomin</w:t>
      </w:r>
      <w:r>
        <w:t>ated in the PICO confirmation. The application stated that GWMA</w:t>
      </w:r>
      <w:r w:rsidRPr="00CA0F5A">
        <w:t xml:space="preserve"> would likely be employed</w:t>
      </w:r>
      <w:r w:rsidRPr="00066767">
        <w:t xml:space="preserve"> with FISH testing for MM, but is likely to replace conventional karyotyping in diagnostic </w:t>
      </w:r>
      <w:r w:rsidRPr="00CA0F5A">
        <w:t>assessments in CLL.</w:t>
      </w:r>
    </w:p>
    <w:p w14:paraId="61DC31D9" w14:textId="4E63F836" w:rsidR="003E798D" w:rsidRPr="003E798D" w:rsidRDefault="003E798D" w:rsidP="00C31ADB">
      <w:pPr>
        <w:spacing w:after="160"/>
        <w:rPr>
          <w:rFonts w:eastAsiaTheme="minorHAnsi"/>
        </w:rPr>
      </w:pPr>
      <w:r>
        <w:t xml:space="preserve">However, in </w:t>
      </w:r>
      <w:r w:rsidR="00E973EA">
        <w:t>its</w:t>
      </w:r>
      <w:r>
        <w:t xml:space="preserve"> pre-MSAC response</w:t>
      </w:r>
      <w:r w:rsidR="00E973EA">
        <w:t>,</w:t>
      </w:r>
      <w:r>
        <w:t xml:space="preserve"> the Applicant stated FISH for </w:t>
      </w:r>
      <w:proofErr w:type="gramStart"/>
      <w:r w:rsidRPr="007E7F6A">
        <w:rPr>
          <w:i/>
        </w:rPr>
        <w:t>del(</w:t>
      </w:r>
      <w:proofErr w:type="gramEnd"/>
      <w:r w:rsidRPr="007E7F6A">
        <w:rPr>
          <w:i/>
        </w:rPr>
        <w:t>17p)</w:t>
      </w:r>
      <w:r>
        <w:rPr>
          <w:i/>
        </w:rPr>
        <w:t xml:space="preserve"> </w:t>
      </w:r>
      <w:r w:rsidRPr="007E7F6A">
        <w:t>in CLL</w:t>
      </w:r>
      <w:r>
        <w:rPr>
          <w:i/>
        </w:rPr>
        <w:t xml:space="preserve"> </w:t>
      </w:r>
      <w:r>
        <w:t>is still required.</w:t>
      </w:r>
      <w:r w:rsidR="005C592B">
        <w:t xml:space="preserve"> In addition</w:t>
      </w:r>
      <w:r w:rsidR="009D79A8">
        <w:t>,</w:t>
      </w:r>
      <w:r w:rsidR="005C592B">
        <w:t xml:space="preserve"> the Applicant stated that the description of karyotypin</w:t>
      </w:r>
      <w:r w:rsidR="00E973EA">
        <w:t>g</w:t>
      </w:r>
      <w:r w:rsidR="005C592B">
        <w:t xml:space="preserve"> should be amended to </w:t>
      </w:r>
      <w:r w:rsidR="005C592B" w:rsidRPr="005C592B">
        <w:t xml:space="preserve">more adequately reflect the limitations of this technique, </w:t>
      </w:r>
      <w:r w:rsidR="005C592B" w:rsidRPr="00BC36B3">
        <w:t>in that karyotyping is able to detect trisomy, monosomy, larger deletions and duplications, large translocations and balanced translocations as well as larger genetic</w:t>
      </w:r>
      <w:r w:rsidR="005C592B" w:rsidRPr="005C592B">
        <w:t xml:space="preserve"> rearrangements.</w:t>
      </w:r>
    </w:p>
    <w:p w14:paraId="1E08A7A6" w14:textId="77777777" w:rsidR="0077195C" w:rsidRPr="00F715D1" w:rsidRDefault="0077195C" w:rsidP="0077195C">
      <w:pPr>
        <w:pStyle w:val="Heading1"/>
      </w:pPr>
      <w:r w:rsidRPr="00F715D1">
        <w:t>Comparative safety</w:t>
      </w:r>
    </w:p>
    <w:p w14:paraId="20EC5FF6" w14:textId="30027CAB" w:rsidR="00C31ADB" w:rsidRDefault="00C31ADB" w:rsidP="00490211">
      <w:pPr>
        <w:spacing w:after="240"/>
        <w:rPr>
          <w:szCs w:val="24"/>
        </w:rPr>
      </w:pPr>
      <w:r>
        <w:rPr>
          <w:szCs w:val="24"/>
        </w:rPr>
        <w:t xml:space="preserve">The </w:t>
      </w:r>
      <w:r w:rsidR="000B6D56">
        <w:rPr>
          <w:szCs w:val="24"/>
        </w:rPr>
        <w:t>assessment report</w:t>
      </w:r>
      <w:r>
        <w:rPr>
          <w:szCs w:val="24"/>
        </w:rPr>
        <w:t xml:space="preserve"> stated that </w:t>
      </w:r>
      <w:r>
        <w:t xml:space="preserve">19 studies were included in the evidence base, five studies for MM and 14 for CLL. The </w:t>
      </w:r>
      <w:r w:rsidR="000B6D56">
        <w:rPr>
          <w:szCs w:val="24"/>
        </w:rPr>
        <w:t>assessment report</w:t>
      </w:r>
      <w:r>
        <w:t xml:space="preserve"> stated that the </w:t>
      </w:r>
      <w:r w:rsidRPr="00A90B7C">
        <w:t>level of evidence</w:t>
      </w:r>
      <w:r>
        <w:t xml:space="preserve"> for all studies used in analyses</w:t>
      </w:r>
      <w:r w:rsidRPr="00A90B7C">
        <w:t xml:space="preserve"> </w:t>
      </w:r>
      <w:r>
        <w:t>was</w:t>
      </w:r>
      <w:r w:rsidRPr="00A90B7C">
        <w:t xml:space="preserve"> very low</w:t>
      </w:r>
      <w:r>
        <w:t xml:space="preserve"> and prone to a high risk of bias.</w:t>
      </w:r>
      <w:r w:rsidRPr="009E76D2">
        <w:rPr>
          <w:i/>
        </w:rPr>
        <w:t xml:space="preserve"> </w:t>
      </w:r>
      <w:r>
        <w:t>Specifically, t</w:t>
      </w:r>
      <w:r w:rsidRPr="009E76D2">
        <w:t xml:space="preserve">here was no direct evidence available to assess the comparative safety of </w:t>
      </w:r>
      <w:r>
        <w:t>GWMA</w:t>
      </w:r>
      <w:r w:rsidRPr="009E76D2">
        <w:t xml:space="preserve"> testing c</w:t>
      </w:r>
      <w:r>
        <w:t xml:space="preserve">ompared to karyotyping and FISH, and in terms of </w:t>
      </w:r>
      <w:r w:rsidRPr="009E76D2">
        <w:t>unexpected prognosis, adverse events related to chemotherapy or targeted treatment.</w:t>
      </w:r>
    </w:p>
    <w:p w14:paraId="272A3304" w14:textId="1F9CDDC4" w:rsidR="00C31ADB" w:rsidRPr="00B73D32" w:rsidRDefault="00C31ADB" w:rsidP="00C31ADB">
      <w:pPr>
        <w:rPr>
          <w:szCs w:val="24"/>
        </w:rPr>
      </w:pPr>
      <w:r>
        <w:rPr>
          <w:szCs w:val="24"/>
        </w:rPr>
        <w:t xml:space="preserve">Overall for both populations (MM, CLL), the </w:t>
      </w:r>
      <w:r w:rsidR="000B6D56">
        <w:rPr>
          <w:szCs w:val="24"/>
        </w:rPr>
        <w:t>assessment report</w:t>
      </w:r>
      <w:r>
        <w:rPr>
          <w:szCs w:val="24"/>
        </w:rPr>
        <w:t xml:space="preserve"> stated that there are n</w:t>
      </w:r>
      <w:r w:rsidRPr="002336B8">
        <w:rPr>
          <w:szCs w:val="24"/>
        </w:rPr>
        <w:t xml:space="preserve">o additional safety issues arise relating to sample collection as </w:t>
      </w:r>
      <w:r>
        <w:t>GWMA</w:t>
      </w:r>
      <w:r w:rsidRPr="002336B8">
        <w:rPr>
          <w:szCs w:val="24"/>
        </w:rPr>
        <w:t xml:space="preserve"> testing is conducted on the same sample used for con</w:t>
      </w:r>
      <w:r>
        <w:rPr>
          <w:szCs w:val="24"/>
        </w:rPr>
        <w:t>ventional karyotyping and FISH.</w:t>
      </w:r>
    </w:p>
    <w:p w14:paraId="18F3E158" w14:textId="77777777" w:rsidR="0077195C" w:rsidRPr="00F715D1" w:rsidRDefault="0077195C" w:rsidP="0077195C">
      <w:pPr>
        <w:pStyle w:val="Heading1"/>
      </w:pPr>
      <w:r w:rsidRPr="00F715D1">
        <w:t>Comparative effectiveness</w:t>
      </w:r>
    </w:p>
    <w:p w14:paraId="5056FC66" w14:textId="750FA8C3" w:rsidR="003A34AD" w:rsidRDefault="00C31ADB" w:rsidP="00490211">
      <w:pPr>
        <w:spacing w:after="240"/>
      </w:pPr>
      <w:r>
        <w:t xml:space="preserve">The </w:t>
      </w:r>
      <w:r w:rsidR="000B6D56">
        <w:rPr>
          <w:szCs w:val="24"/>
        </w:rPr>
        <w:t>assessment report</w:t>
      </w:r>
      <w:r>
        <w:t xml:space="preserve"> assumed the reference standards used in the analysis were considered the gold standard: estimates of test accuracy are based on the assumption that theoretically the tests are 100% sensitive and specific. Any disagreements are assumed to be due to the incorrect classification by the index test. For one of the analyses, the reference standard comp</w:t>
      </w:r>
      <w:r w:rsidR="009D79A8">
        <w:t>ri</w:t>
      </w:r>
      <w:r>
        <w:t xml:space="preserve">sed two tests (karyotyping + FISH). This resulted in a risk of verification and incorporation bias. The </w:t>
      </w:r>
      <w:r w:rsidR="000B6D56">
        <w:rPr>
          <w:szCs w:val="24"/>
        </w:rPr>
        <w:t>assessment report</w:t>
      </w:r>
      <w:r>
        <w:t xml:space="preserve"> noted conventional </w:t>
      </w:r>
      <w:r w:rsidRPr="002B5F4C">
        <w:t>karyotyping</w:t>
      </w:r>
      <w:r>
        <w:t xml:space="preserve"> is an imperfect gold standard, which </w:t>
      </w:r>
      <w:r w:rsidRPr="002B5F4C">
        <w:t xml:space="preserve">has low success rates in detecting patients with </w:t>
      </w:r>
      <w:r w:rsidR="00B9410B">
        <w:t xml:space="preserve">a </w:t>
      </w:r>
      <w:r w:rsidR="00B9410B" w:rsidRPr="005E4930">
        <w:rPr>
          <w:color w:val="000000"/>
        </w:rPr>
        <w:t>copy number variation</w:t>
      </w:r>
      <w:r w:rsidR="00B9410B" w:rsidRPr="002B5F4C">
        <w:t xml:space="preserve"> </w:t>
      </w:r>
      <w:r w:rsidR="00B9410B">
        <w:t>(</w:t>
      </w:r>
      <w:r w:rsidRPr="002B5F4C">
        <w:t>CNV</w:t>
      </w:r>
      <w:r w:rsidR="00B9410B">
        <w:t>)</w:t>
      </w:r>
      <w:r w:rsidRPr="002B5F4C">
        <w:t xml:space="preserve"> and total count </w:t>
      </w:r>
      <w:r w:rsidR="00B9410B">
        <w:t xml:space="preserve">of </w:t>
      </w:r>
      <w:r w:rsidRPr="002B5F4C">
        <w:t>CNV.</w:t>
      </w:r>
    </w:p>
    <w:p w14:paraId="508AB32B" w14:textId="786C13FF" w:rsidR="00C31ADB" w:rsidRDefault="003A34AD" w:rsidP="00490211">
      <w:pPr>
        <w:spacing w:after="240"/>
      </w:pPr>
      <w:r>
        <w:t xml:space="preserve">In </w:t>
      </w:r>
      <w:r w:rsidR="009D79A8">
        <w:t>its</w:t>
      </w:r>
      <w:r>
        <w:t xml:space="preserve"> pre-MSAC response, the Applicant disagreed with the assumption for the reference standard, and considered the following statement to be key</w:t>
      </w:r>
      <w:r w:rsidR="009D79A8">
        <w:t>:</w:t>
      </w:r>
      <w:r>
        <w:t xml:space="preserve"> “ideally the reference standard is the best available, clinically accepted, error free procedure to do so”.</w:t>
      </w:r>
    </w:p>
    <w:p w14:paraId="7408638A" w14:textId="77777777" w:rsidR="00C31ADB" w:rsidRDefault="00C31ADB" w:rsidP="00C31ADB">
      <w:pPr>
        <w:pStyle w:val="Heading2"/>
      </w:pPr>
      <w:r>
        <w:t>Multiple myeloma</w:t>
      </w:r>
    </w:p>
    <w:p w14:paraId="00DFAD0F" w14:textId="77777777" w:rsidR="00C31ADB" w:rsidRDefault="00C31ADB" w:rsidP="00C31ADB">
      <w:pPr>
        <w:pStyle w:val="Heading3"/>
        <w:spacing w:before="160"/>
      </w:pPr>
      <w:r>
        <w:t>Accuracy</w:t>
      </w:r>
    </w:p>
    <w:p w14:paraId="0A0235E2" w14:textId="5EDE3DDF" w:rsidR="00C31ADB" w:rsidRDefault="00C31ADB" w:rsidP="00490211">
      <w:pPr>
        <w:spacing w:after="240"/>
      </w:pPr>
      <w:r>
        <w:t xml:space="preserve">The results for detection of CNVs from individual studies (n=4) is presented in Figure 5 and from the </w:t>
      </w:r>
      <w:r w:rsidR="000B6D56">
        <w:rPr>
          <w:szCs w:val="24"/>
        </w:rPr>
        <w:t>assessment report</w:t>
      </w:r>
      <w:r>
        <w:t xml:space="preserve">’s pooled analysis is presented in Table 2. The </w:t>
      </w:r>
      <w:r w:rsidR="000B6D56">
        <w:rPr>
          <w:szCs w:val="24"/>
        </w:rPr>
        <w:t>assessment report</w:t>
      </w:r>
      <w:r>
        <w:t xml:space="preserve"> stated that the small trial sizes (</w:t>
      </w:r>
      <w:r w:rsidRPr="00B51CA2">
        <w:t>sample sizes of n &lt; 50, were common</w:t>
      </w:r>
      <w:r>
        <w:t>) could likely overestimate the sensitivity and positive predictive value (PPV) of the intervention, and provide an inaccurate estimate of its specificity and negative predictive value (NPV).</w:t>
      </w:r>
    </w:p>
    <w:p w14:paraId="11D9CA73" w14:textId="77777777" w:rsidR="00C31ADB" w:rsidRPr="00516999" w:rsidRDefault="00C31ADB" w:rsidP="00516999">
      <w:pPr>
        <w:rPr>
          <w:rFonts w:ascii="Arial Narrow" w:hAnsi="Arial Narrow"/>
          <w:b/>
          <w:sz w:val="20"/>
        </w:rPr>
      </w:pPr>
      <w:r w:rsidRPr="00516999">
        <w:rPr>
          <w:rFonts w:ascii="Arial Narrow" w:hAnsi="Arial Narrow"/>
          <w:b/>
          <w:sz w:val="20"/>
        </w:rPr>
        <w:t>Figure 5</w:t>
      </w:r>
      <w:r w:rsidRPr="00516999">
        <w:rPr>
          <w:rFonts w:ascii="Arial Narrow" w:hAnsi="Arial Narrow"/>
          <w:b/>
          <w:sz w:val="20"/>
        </w:rPr>
        <w:tab/>
        <w:t>Forest plot of sensitivity and specificity of genome wide microarray + FISH vs conventional karyotyping + FISH in multiple myeloma</w:t>
      </w:r>
    </w:p>
    <w:p w14:paraId="6B386778" w14:textId="77777777" w:rsidR="00C31ADB" w:rsidRDefault="00C31ADB" w:rsidP="00C31ADB">
      <w:pPr>
        <w:rPr>
          <w:highlight w:val="green"/>
        </w:rPr>
      </w:pPr>
      <w:r>
        <w:rPr>
          <w:noProof/>
        </w:rPr>
        <w:drawing>
          <wp:inline distT="0" distB="0" distL="0" distR="0" wp14:anchorId="798AE679" wp14:editId="53A39D8E">
            <wp:extent cx="5572125" cy="1143000"/>
            <wp:effectExtent l="0" t="0" r="9525" b="0"/>
            <wp:docPr id="14" name="Picture 14" descr="Forest plot of sensitivity and specificity of genome wide microarray + FISH vs conventional karyotyping + FISH in multiple mye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2125" cy="1143000"/>
                    </a:xfrm>
                    <a:prstGeom prst="rect">
                      <a:avLst/>
                    </a:prstGeom>
                    <a:noFill/>
                    <a:ln>
                      <a:noFill/>
                    </a:ln>
                  </pic:spPr>
                </pic:pic>
              </a:graphicData>
            </a:graphic>
          </wp:inline>
        </w:drawing>
      </w:r>
    </w:p>
    <w:p w14:paraId="79B27A0E" w14:textId="69D7100D" w:rsidR="004806F3" w:rsidRPr="001C5102" w:rsidRDefault="00C31ADB" w:rsidP="00AE424C">
      <w:pPr>
        <w:pStyle w:val="Tablecaption"/>
        <w:spacing w:after="240"/>
        <w:rPr>
          <w:sz w:val="18"/>
        </w:rPr>
      </w:pPr>
      <w:r w:rsidRPr="001C5102">
        <w:rPr>
          <w:sz w:val="18"/>
        </w:rPr>
        <w:t>Note</w:t>
      </w:r>
      <w:r w:rsidR="009D79A8">
        <w:rPr>
          <w:sz w:val="18"/>
        </w:rPr>
        <w:t>:</w:t>
      </w:r>
      <w:r w:rsidRPr="001C5102">
        <w:rPr>
          <w:sz w:val="18"/>
        </w:rPr>
        <w:t xml:space="preserve"> </w:t>
      </w:r>
      <w:r w:rsidR="009D79A8" w:rsidRPr="001C5102">
        <w:rPr>
          <w:sz w:val="18"/>
        </w:rPr>
        <w:t>n</w:t>
      </w:r>
      <w:r w:rsidRPr="001C5102">
        <w:rPr>
          <w:sz w:val="18"/>
        </w:rPr>
        <w:t xml:space="preserve">ot all patients in </w:t>
      </w:r>
      <w:proofErr w:type="spellStart"/>
      <w:r w:rsidRPr="001C5102">
        <w:rPr>
          <w:sz w:val="18"/>
        </w:rPr>
        <w:t>Zehentner</w:t>
      </w:r>
      <w:proofErr w:type="spellEnd"/>
      <w:r w:rsidRPr="001C5102">
        <w:rPr>
          <w:sz w:val="18"/>
        </w:rPr>
        <w:t xml:space="preserve"> et al., 2012 necessarily received both tests comprising the reference standard, thereby biasing results towards the index test.</w:t>
      </w:r>
    </w:p>
    <w:p w14:paraId="59DE1DBB" w14:textId="3DE69C4D" w:rsidR="00AE424C" w:rsidRDefault="00AE424C" w:rsidP="00AE424C">
      <w:r>
        <w:t xml:space="preserve">In </w:t>
      </w:r>
      <w:r w:rsidR="009D79A8">
        <w:t>its</w:t>
      </w:r>
      <w:r>
        <w:t xml:space="preserve"> pre-MSAC response, the Applicant stated </w:t>
      </w:r>
      <w:r w:rsidR="009D79A8">
        <w:t xml:space="preserve">that </w:t>
      </w:r>
      <w:r>
        <w:t xml:space="preserve">only </w:t>
      </w:r>
      <w:proofErr w:type="spellStart"/>
      <w:r>
        <w:t>Zehentner</w:t>
      </w:r>
      <w:proofErr w:type="spellEnd"/>
      <w:r>
        <w:t xml:space="preserve"> et al. 2012</w:t>
      </w:r>
      <w:r w:rsidR="004806F3">
        <w:t xml:space="preserve"> (of the 5 studies for MM)</w:t>
      </w:r>
      <w:r>
        <w:t xml:space="preserve"> reported </w:t>
      </w:r>
      <w:r w:rsidRPr="00AE424C">
        <w:t>on t</w:t>
      </w:r>
      <w:r>
        <w:t>he use of a number of tests bacterial artificial chromosome (BAC)</w:t>
      </w:r>
      <w:r w:rsidRPr="00AE424C">
        <w:t xml:space="preserve"> </w:t>
      </w:r>
      <w:r>
        <w:t>array-comparative genomic hybridisation (</w:t>
      </w:r>
      <w:proofErr w:type="spellStart"/>
      <w:r w:rsidR="004806F3">
        <w:t>aCGH</w:t>
      </w:r>
      <w:proofErr w:type="spellEnd"/>
      <w:r w:rsidR="004806F3">
        <w:t>)/</w:t>
      </w:r>
      <w:r w:rsidR="004E585A">
        <w:t xml:space="preserve"> </w:t>
      </w:r>
      <w:proofErr w:type="spellStart"/>
      <w:r>
        <w:t>oligonculeotid</w:t>
      </w:r>
      <w:proofErr w:type="spellEnd"/>
      <w:r>
        <w:t xml:space="preserve"> array-comparative genomic hybridisation (</w:t>
      </w:r>
      <w:proofErr w:type="spellStart"/>
      <w:r>
        <w:t>oaCGH</w:t>
      </w:r>
      <w:proofErr w:type="spellEnd"/>
      <w:r>
        <w:t>)</w:t>
      </w:r>
      <w:r w:rsidR="004806F3">
        <w:t>/</w:t>
      </w:r>
      <w:r w:rsidR="004806F3" w:rsidRPr="004806F3">
        <w:t xml:space="preserve"> </w:t>
      </w:r>
      <w:r w:rsidR="004806F3">
        <w:t>single nucleotide polymorphism (SNP).</w:t>
      </w:r>
    </w:p>
    <w:p w14:paraId="043BCDE0" w14:textId="77777777" w:rsidR="00C31ADB" w:rsidRPr="00516999" w:rsidRDefault="00C31ADB" w:rsidP="00516999">
      <w:pPr>
        <w:keepNext/>
        <w:keepLines/>
        <w:rPr>
          <w:rFonts w:ascii="Arial Narrow" w:hAnsi="Arial Narrow"/>
          <w:b/>
          <w:sz w:val="20"/>
        </w:rPr>
      </w:pPr>
      <w:bookmarkStart w:id="9" w:name="_Ref10557049"/>
      <w:bookmarkStart w:id="10" w:name="_Toc10618054"/>
      <w:r w:rsidRPr="00516999">
        <w:rPr>
          <w:rFonts w:ascii="Arial Narrow" w:hAnsi="Arial Narrow"/>
          <w:b/>
          <w:sz w:val="20"/>
        </w:rPr>
        <w:t xml:space="preserve">Table </w:t>
      </w:r>
      <w:bookmarkEnd w:id="9"/>
      <w:r w:rsidRPr="00516999">
        <w:rPr>
          <w:rFonts w:ascii="Arial Narrow" w:hAnsi="Arial Narrow"/>
          <w:b/>
          <w:sz w:val="20"/>
        </w:rPr>
        <w:t>2</w:t>
      </w:r>
      <w:r w:rsidRPr="00516999">
        <w:rPr>
          <w:rFonts w:ascii="Arial Narrow" w:hAnsi="Arial Narrow"/>
          <w:b/>
          <w:sz w:val="20"/>
        </w:rPr>
        <w:tab/>
        <w:t>Summary statistics for genome-wide microarray + FISH compared to conventional karyotyping + FISH (reference standard) for patients with MM</w:t>
      </w:r>
      <w:bookmarkEnd w:id="10"/>
    </w:p>
    <w:tbl>
      <w:tblPr>
        <w:tblStyle w:val="TableGrid1"/>
        <w:tblW w:w="5000" w:type="pct"/>
        <w:tblInd w:w="0" w:type="dxa"/>
        <w:tblLook w:val="04A0" w:firstRow="1" w:lastRow="0" w:firstColumn="1" w:lastColumn="0" w:noHBand="0" w:noVBand="1"/>
        <w:tblCaption w:val="Summary statistics for MM"/>
        <w:tblDescription w:val="Summary statistics for MM"/>
      </w:tblPr>
      <w:tblGrid>
        <w:gridCol w:w="3550"/>
        <w:gridCol w:w="2698"/>
        <w:gridCol w:w="2768"/>
      </w:tblGrid>
      <w:tr w:rsidR="00C31ADB" w:rsidRPr="009B23C1" w14:paraId="54262FE9" w14:textId="77777777" w:rsidTr="00516999">
        <w:trPr>
          <w:cnfStyle w:val="100000000000" w:firstRow="1" w:lastRow="0" w:firstColumn="0" w:lastColumn="0" w:oddVBand="0" w:evenVBand="0" w:oddHBand="0" w:evenHBand="0" w:firstRowFirstColumn="0" w:firstRowLastColumn="0" w:lastRowFirstColumn="0" w:lastRowLastColumn="0"/>
          <w:trHeight w:val="469"/>
          <w:tblHeader/>
        </w:trPr>
        <w:tc>
          <w:tcPr>
            <w:tcW w:w="1969" w:type="pct"/>
          </w:tcPr>
          <w:p w14:paraId="0555BB62" w14:textId="77777777" w:rsidR="00C31ADB" w:rsidRPr="009B23C1" w:rsidRDefault="00C31ADB" w:rsidP="00516999">
            <w:pPr>
              <w:pStyle w:val="TableText0"/>
              <w:keepLines/>
              <w:jc w:val="left"/>
              <w:rPr>
                <w:rFonts w:cs="Arial"/>
                <w:color w:val="1F497D"/>
                <w:szCs w:val="20"/>
              </w:rPr>
            </w:pPr>
            <w:r w:rsidRPr="009B23C1">
              <w:rPr>
                <w:b/>
              </w:rPr>
              <w:t xml:space="preserve">Accuracy </w:t>
            </w:r>
            <w:r w:rsidRPr="009B23C1">
              <w:t>(k=4)</w:t>
            </w:r>
          </w:p>
        </w:tc>
        <w:tc>
          <w:tcPr>
            <w:tcW w:w="1496" w:type="pct"/>
          </w:tcPr>
          <w:p w14:paraId="45024A23" w14:textId="77777777" w:rsidR="00C31ADB" w:rsidRPr="009B23C1" w:rsidRDefault="00C31ADB" w:rsidP="00516999">
            <w:pPr>
              <w:pStyle w:val="TableText0"/>
              <w:keepLines/>
              <w:jc w:val="center"/>
              <w:rPr>
                <w:b/>
              </w:rPr>
            </w:pPr>
            <w:r w:rsidRPr="009B23C1">
              <w:rPr>
                <w:b/>
              </w:rPr>
              <w:t>Index test</w:t>
            </w:r>
          </w:p>
          <w:p w14:paraId="03E2E8A6" w14:textId="77777777" w:rsidR="00C31ADB" w:rsidRPr="009B23C1" w:rsidRDefault="00C31ADB" w:rsidP="00516999">
            <w:pPr>
              <w:pStyle w:val="TableText0"/>
              <w:keepLines/>
              <w:jc w:val="center"/>
            </w:pPr>
            <w:r w:rsidRPr="009B23C1">
              <w:t>(n=242)</w:t>
            </w:r>
          </w:p>
        </w:tc>
        <w:tc>
          <w:tcPr>
            <w:tcW w:w="1535" w:type="pct"/>
          </w:tcPr>
          <w:p w14:paraId="3303EA2B" w14:textId="77777777" w:rsidR="00C31ADB" w:rsidRPr="009B23C1" w:rsidRDefault="00C31ADB" w:rsidP="00516999">
            <w:pPr>
              <w:pStyle w:val="TableText0"/>
              <w:keepLines/>
              <w:jc w:val="center"/>
              <w:rPr>
                <w:b/>
              </w:rPr>
            </w:pPr>
            <w:r w:rsidRPr="009B23C1">
              <w:rPr>
                <w:b/>
              </w:rPr>
              <w:t>Comparator</w:t>
            </w:r>
          </w:p>
          <w:p w14:paraId="383B4080" w14:textId="77777777" w:rsidR="00C31ADB" w:rsidRPr="009B23C1" w:rsidRDefault="00C31ADB" w:rsidP="00516999">
            <w:pPr>
              <w:pStyle w:val="TableText0"/>
              <w:keepLines/>
              <w:jc w:val="center"/>
            </w:pPr>
            <w:r w:rsidRPr="009B23C1">
              <w:t>(n=242)</w:t>
            </w:r>
          </w:p>
        </w:tc>
      </w:tr>
      <w:tr w:rsidR="00C31ADB" w:rsidRPr="009B23C1" w14:paraId="283E1C6F" w14:textId="77777777" w:rsidTr="00516999">
        <w:trPr>
          <w:trHeight w:val="255"/>
        </w:trPr>
        <w:tc>
          <w:tcPr>
            <w:tcW w:w="1969" w:type="pct"/>
          </w:tcPr>
          <w:p w14:paraId="5808ED70" w14:textId="77777777" w:rsidR="00C31ADB" w:rsidRPr="009B23C1" w:rsidRDefault="00C31ADB" w:rsidP="00516999">
            <w:pPr>
              <w:keepNext/>
              <w:keepLines/>
              <w:spacing w:after="40"/>
              <w:rPr>
                <w:lang w:eastAsia="en-US"/>
              </w:rPr>
            </w:pPr>
            <w:r w:rsidRPr="009B23C1">
              <w:rPr>
                <w:lang w:eastAsia="en-US"/>
              </w:rPr>
              <w:t>Sensitivity, [95% CI]</w:t>
            </w:r>
          </w:p>
        </w:tc>
        <w:tc>
          <w:tcPr>
            <w:tcW w:w="1496" w:type="pct"/>
          </w:tcPr>
          <w:p w14:paraId="6989BBD3" w14:textId="77777777" w:rsidR="00C31ADB" w:rsidRPr="009B23C1" w:rsidRDefault="00C31ADB" w:rsidP="00516999">
            <w:pPr>
              <w:pStyle w:val="TableText0"/>
              <w:keepLines/>
              <w:jc w:val="center"/>
            </w:pPr>
            <w:r w:rsidRPr="009B23C1">
              <w:t>0.99 [0.97-1.00]</w:t>
            </w:r>
          </w:p>
        </w:tc>
        <w:tc>
          <w:tcPr>
            <w:tcW w:w="1535" w:type="pct"/>
          </w:tcPr>
          <w:p w14:paraId="63F77B32" w14:textId="77777777" w:rsidR="00C31ADB" w:rsidRPr="009B23C1" w:rsidRDefault="00C31ADB" w:rsidP="00516999">
            <w:pPr>
              <w:pStyle w:val="TableText0"/>
              <w:keepLines/>
              <w:jc w:val="center"/>
            </w:pPr>
            <w:r w:rsidRPr="009B23C1">
              <w:t>1</w:t>
            </w:r>
          </w:p>
        </w:tc>
      </w:tr>
      <w:tr w:rsidR="00C31ADB" w:rsidRPr="009B23C1" w14:paraId="501CE8EB" w14:textId="77777777" w:rsidTr="00516999">
        <w:trPr>
          <w:trHeight w:val="279"/>
        </w:trPr>
        <w:tc>
          <w:tcPr>
            <w:tcW w:w="1969" w:type="pct"/>
          </w:tcPr>
          <w:p w14:paraId="71D59E0C" w14:textId="77777777" w:rsidR="00C31ADB" w:rsidRPr="009B23C1" w:rsidRDefault="00C31ADB" w:rsidP="003E798D">
            <w:pPr>
              <w:pStyle w:val="TableText0"/>
            </w:pPr>
            <w:r w:rsidRPr="009B23C1">
              <w:t>Specificity, [95% CI]</w:t>
            </w:r>
          </w:p>
        </w:tc>
        <w:tc>
          <w:tcPr>
            <w:tcW w:w="1496" w:type="pct"/>
          </w:tcPr>
          <w:p w14:paraId="2B1D1664" w14:textId="77777777" w:rsidR="00C31ADB" w:rsidRPr="009B23C1" w:rsidRDefault="00C31ADB" w:rsidP="003E798D">
            <w:pPr>
              <w:pStyle w:val="TableText0"/>
              <w:jc w:val="center"/>
            </w:pPr>
            <w:r w:rsidRPr="009B23C1">
              <w:t>0.08 [0.002-0.38]</w:t>
            </w:r>
          </w:p>
        </w:tc>
        <w:tc>
          <w:tcPr>
            <w:tcW w:w="1535" w:type="pct"/>
          </w:tcPr>
          <w:p w14:paraId="15F0C0B0" w14:textId="77777777" w:rsidR="00C31ADB" w:rsidRPr="009B23C1" w:rsidRDefault="00C31ADB" w:rsidP="003E798D">
            <w:pPr>
              <w:pStyle w:val="TableText0"/>
              <w:jc w:val="center"/>
            </w:pPr>
            <w:r w:rsidRPr="009B23C1">
              <w:t>1</w:t>
            </w:r>
          </w:p>
        </w:tc>
      </w:tr>
      <w:tr w:rsidR="00C31ADB" w:rsidRPr="009B23C1" w14:paraId="217E0F9A" w14:textId="77777777" w:rsidTr="00516999">
        <w:trPr>
          <w:trHeight w:val="284"/>
        </w:trPr>
        <w:tc>
          <w:tcPr>
            <w:tcW w:w="1969" w:type="pct"/>
          </w:tcPr>
          <w:p w14:paraId="00205611" w14:textId="77777777" w:rsidR="00C31ADB" w:rsidRPr="009B23C1" w:rsidRDefault="00C31ADB" w:rsidP="003E798D">
            <w:pPr>
              <w:pStyle w:val="TableText0"/>
            </w:pPr>
            <w:r w:rsidRPr="009B23C1">
              <w:t>Positive predictive value, [95% CI]</w:t>
            </w:r>
          </w:p>
        </w:tc>
        <w:tc>
          <w:tcPr>
            <w:tcW w:w="1496" w:type="pct"/>
          </w:tcPr>
          <w:p w14:paraId="739283B8" w14:textId="77777777" w:rsidR="00C31ADB" w:rsidRPr="009B23C1" w:rsidRDefault="00C31ADB" w:rsidP="003E798D">
            <w:pPr>
              <w:pStyle w:val="TableText0"/>
              <w:jc w:val="center"/>
            </w:pPr>
            <w:r w:rsidRPr="009B23C1">
              <w:t>0.95 [0.95-0.96]</w:t>
            </w:r>
          </w:p>
        </w:tc>
        <w:tc>
          <w:tcPr>
            <w:tcW w:w="1535" w:type="pct"/>
          </w:tcPr>
          <w:p w14:paraId="56D416DD" w14:textId="77777777" w:rsidR="00C31ADB" w:rsidRPr="009B23C1" w:rsidRDefault="00C31ADB" w:rsidP="003E798D">
            <w:pPr>
              <w:pStyle w:val="TableText0"/>
              <w:jc w:val="center"/>
            </w:pPr>
            <w:r w:rsidRPr="009B23C1">
              <w:t>1</w:t>
            </w:r>
          </w:p>
        </w:tc>
      </w:tr>
      <w:tr w:rsidR="00C31ADB" w:rsidRPr="009B23C1" w14:paraId="47D20827" w14:textId="77777777" w:rsidTr="00516999">
        <w:trPr>
          <w:trHeight w:val="233"/>
        </w:trPr>
        <w:tc>
          <w:tcPr>
            <w:tcW w:w="1969" w:type="pct"/>
          </w:tcPr>
          <w:p w14:paraId="7C294F53" w14:textId="77777777" w:rsidR="00C31ADB" w:rsidRPr="009B23C1" w:rsidRDefault="00C31ADB" w:rsidP="003E798D">
            <w:pPr>
              <w:pStyle w:val="TableText0"/>
            </w:pPr>
            <w:r w:rsidRPr="009B23C1">
              <w:t>Negative predictive value, [95% CI]</w:t>
            </w:r>
          </w:p>
        </w:tc>
        <w:tc>
          <w:tcPr>
            <w:tcW w:w="1496" w:type="pct"/>
          </w:tcPr>
          <w:p w14:paraId="57D50ED3" w14:textId="77777777" w:rsidR="00C31ADB" w:rsidRPr="009B23C1" w:rsidRDefault="00C31ADB" w:rsidP="003E798D">
            <w:pPr>
              <w:pStyle w:val="TableText0"/>
              <w:jc w:val="center"/>
            </w:pPr>
            <w:r w:rsidRPr="009B23C1">
              <w:t>0.33 [0.05-0.84]</w:t>
            </w:r>
          </w:p>
        </w:tc>
        <w:tc>
          <w:tcPr>
            <w:tcW w:w="1535" w:type="pct"/>
          </w:tcPr>
          <w:p w14:paraId="23A68F3E" w14:textId="77777777" w:rsidR="00C31ADB" w:rsidRPr="009B23C1" w:rsidRDefault="00C31ADB" w:rsidP="003E798D">
            <w:pPr>
              <w:pStyle w:val="TableText0"/>
              <w:jc w:val="center"/>
            </w:pPr>
            <w:r w:rsidRPr="009B23C1">
              <w:t>1</w:t>
            </w:r>
          </w:p>
        </w:tc>
      </w:tr>
    </w:tbl>
    <w:p w14:paraId="5F8F96B5" w14:textId="0ED126EA" w:rsidR="00C31ADB" w:rsidRPr="009B23C1" w:rsidRDefault="00C31ADB" w:rsidP="00C31ADB">
      <w:pPr>
        <w:rPr>
          <w:rFonts w:ascii="Arial Narrow" w:hAnsi="Arial Narrow"/>
          <w:sz w:val="18"/>
          <w:szCs w:val="18"/>
        </w:rPr>
      </w:pPr>
      <w:r w:rsidRPr="009B23C1">
        <w:rPr>
          <w:rFonts w:ascii="Arial Narrow" w:hAnsi="Arial Narrow"/>
          <w:sz w:val="18"/>
          <w:szCs w:val="18"/>
        </w:rPr>
        <w:t xml:space="preserve">Source: Table </w:t>
      </w:r>
      <w:r w:rsidRPr="009B23C1">
        <w:rPr>
          <w:rStyle w:val="TablenotesChar"/>
          <w:rFonts w:cstheme="minorHAnsi"/>
          <w:szCs w:val="16"/>
        </w:rPr>
        <w:t xml:space="preserve">constructed </w:t>
      </w:r>
      <w:r w:rsidR="00B11338">
        <w:rPr>
          <w:rStyle w:val="TablenotesChar"/>
          <w:rFonts w:cstheme="minorHAnsi"/>
          <w:szCs w:val="16"/>
        </w:rPr>
        <w:t>for</w:t>
      </w:r>
      <w:r w:rsidRPr="009B23C1">
        <w:rPr>
          <w:rStyle w:val="TablenotesChar"/>
          <w:rFonts w:cstheme="minorHAnsi"/>
          <w:szCs w:val="16"/>
        </w:rPr>
        <w:t xml:space="preserve"> the assessment </w:t>
      </w:r>
      <w:r w:rsidR="00B11338">
        <w:rPr>
          <w:rStyle w:val="TablenotesChar"/>
          <w:rFonts w:cstheme="minorHAnsi"/>
          <w:szCs w:val="16"/>
        </w:rPr>
        <w:t>report</w:t>
      </w:r>
      <w:r>
        <w:rPr>
          <w:rStyle w:val="TablenotesChar"/>
          <w:rFonts w:cstheme="minorHAnsi"/>
          <w:caps/>
          <w:szCs w:val="16"/>
        </w:rPr>
        <w:t>.</w:t>
      </w:r>
    </w:p>
    <w:p w14:paraId="5FABBF41" w14:textId="55B4B93D" w:rsidR="00C31ADB" w:rsidRPr="00490211" w:rsidRDefault="00C31ADB" w:rsidP="00490211">
      <w:pPr>
        <w:spacing w:after="240"/>
        <w:rPr>
          <w:rFonts w:ascii="Arial Narrow" w:hAnsi="Arial Narrow"/>
          <w:sz w:val="18"/>
          <w:szCs w:val="18"/>
        </w:rPr>
      </w:pPr>
      <w:r w:rsidRPr="009B23C1">
        <w:rPr>
          <w:rFonts w:ascii="Arial Narrow" w:hAnsi="Arial Narrow"/>
          <w:sz w:val="18"/>
          <w:szCs w:val="18"/>
        </w:rPr>
        <w:t>Abbreviations: CI, confidence interval</w:t>
      </w:r>
    </w:p>
    <w:p w14:paraId="3C086D15" w14:textId="10BF80DC" w:rsidR="006409B9" w:rsidRDefault="00C31ADB" w:rsidP="00490211">
      <w:pPr>
        <w:spacing w:after="240"/>
      </w:pPr>
      <w:r>
        <w:t>C</w:t>
      </w:r>
      <w:r w:rsidRPr="0018166D">
        <w:t xml:space="preserve">omparing </w:t>
      </w:r>
      <w:r>
        <w:t>GWMA</w:t>
      </w:r>
      <w:r w:rsidRPr="0018166D">
        <w:t xml:space="preserve"> to conventional karyotyping</w:t>
      </w:r>
      <w:r>
        <w:t xml:space="preserve"> (without FISH), the </w:t>
      </w:r>
      <w:r w:rsidR="000B6D56">
        <w:rPr>
          <w:szCs w:val="24"/>
        </w:rPr>
        <w:t>assessment report</w:t>
      </w:r>
      <w:r>
        <w:t xml:space="preserve"> noted GWMA</w:t>
      </w:r>
      <w:r w:rsidRPr="0018166D">
        <w:t xml:space="preserve"> detected 70.6% more patients with a CNV</w:t>
      </w:r>
      <w:r>
        <w:t xml:space="preserve"> (98.0% vs. 27.4%).</w:t>
      </w:r>
    </w:p>
    <w:p w14:paraId="3922D418" w14:textId="1EFC708D" w:rsidR="00C31ADB" w:rsidRDefault="006409B9" w:rsidP="00490211">
      <w:pPr>
        <w:spacing w:after="240"/>
      </w:pPr>
      <w:r>
        <w:t xml:space="preserve">In </w:t>
      </w:r>
      <w:r w:rsidR="009D79A8">
        <w:t>its</w:t>
      </w:r>
      <w:r>
        <w:t xml:space="preserve"> pre-MSAC response, the Applicant stated that the majority of MM studies included in the application reported on the use of comparative genomic hybridisation (CGH) arrays</w:t>
      </w:r>
      <w:r w:rsidR="00B9410B">
        <w:t>,</w:t>
      </w:r>
      <w:r>
        <w:t xml:space="preserve"> not SNP arrays (compared with karyotyping), which would be the test of choice in Australian laboratories.</w:t>
      </w:r>
      <w:r w:rsidR="0067733F">
        <w:t xml:space="preserve"> CGH array is an older technology which is being phased out.</w:t>
      </w:r>
    </w:p>
    <w:p w14:paraId="082F80FA" w14:textId="77777777" w:rsidR="00C31ADB" w:rsidRDefault="00C31ADB" w:rsidP="00C31ADB">
      <w:pPr>
        <w:pStyle w:val="Heading3"/>
      </w:pPr>
      <w:r>
        <w:t>Therapeutic efficacy (change in management)</w:t>
      </w:r>
    </w:p>
    <w:p w14:paraId="6D8CB4F3" w14:textId="7AE1D043" w:rsidR="00C31ADB" w:rsidRPr="007777D6" w:rsidRDefault="00C31ADB" w:rsidP="00490211">
      <w:pPr>
        <w:spacing w:after="240"/>
      </w:pPr>
      <w:r>
        <w:t xml:space="preserve">The </w:t>
      </w:r>
      <w:r w:rsidR="000B6D56">
        <w:rPr>
          <w:szCs w:val="24"/>
        </w:rPr>
        <w:t>assessment report</w:t>
      </w:r>
      <w:r>
        <w:t xml:space="preserve"> stated that no evidence was identified regarding therapeutic efficacy. </w:t>
      </w:r>
      <w:bookmarkStart w:id="11" w:name="_Hlk9331724"/>
      <w:r>
        <w:t xml:space="preserve">Once a patient is diagnosed with MM they are not necessarily treated until they become symptomatic </w:t>
      </w:r>
      <w:r w:rsidRPr="00B9410B">
        <w:t>irrespective</w:t>
      </w:r>
      <w:r>
        <w:t xml:space="preserve"> of the CNVs detected. Transplant still remains recommended first-line treatment. Therefore, the </w:t>
      </w:r>
      <w:r w:rsidR="000B6D56">
        <w:rPr>
          <w:szCs w:val="24"/>
        </w:rPr>
        <w:t>assessment report</w:t>
      </w:r>
      <w:r>
        <w:t xml:space="preserve"> stated the impact of a false positive or false negative is minimal.</w:t>
      </w:r>
      <w:bookmarkEnd w:id="11"/>
    </w:p>
    <w:p w14:paraId="4A06D094" w14:textId="77777777" w:rsidR="00C31ADB" w:rsidRDefault="00C31ADB" w:rsidP="00C31ADB">
      <w:pPr>
        <w:pStyle w:val="Heading3"/>
      </w:pPr>
      <w:r>
        <w:t>Therapeutic effectiveness (health benefit from change in management)</w:t>
      </w:r>
    </w:p>
    <w:p w14:paraId="0018EF43" w14:textId="34484544" w:rsidR="00C31ADB" w:rsidRDefault="00C31ADB" w:rsidP="00490211">
      <w:pPr>
        <w:spacing w:after="240"/>
      </w:pPr>
      <w:r>
        <w:t xml:space="preserve">The </w:t>
      </w:r>
      <w:r w:rsidR="000B6D56">
        <w:rPr>
          <w:szCs w:val="24"/>
        </w:rPr>
        <w:t>assessment report</w:t>
      </w:r>
      <w:r>
        <w:t xml:space="preserve"> stated that genome wide microarray could negate the current re-biopsy rate (4% in Kyle et al. 2003).</w:t>
      </w:r>
    </w:p>
    <w:p w14:paraId="7EB73E93" w14:textId="7ADE5035" w:rsidR="00E51356" w:rsidRDefault="00C31ADB" w:rsidP="00490211">
      <w:pPr>
        <w:spacing w:after="240"/>
      </w:pPr>
      <w:r>
        <w:t xml:space="preserve">The </w:t>
      </w:r>
      <w:r w:rsidR="000B6D56">
        <w:rPr>
          <w:szCs w:val="24"/>
        </w:rPr>
        <w:t>assessment report</w:t>
      </w:r>
      <w:r>
        <w:t xml:space="preserve"> stated that GWMA</w:t>
      </w:r>
      <w:r w:rsidRPr="001E6FF9">
        <w:rPr>
          <w:b/>
        </w:rPr>
        <w:t xml:space="preserve"> +</w:t>
      </w:r>
      <w:r>
        <w:t xml:space="preserve"> FISH in MM is non-inferior to FISH </w:t>
      </w:r>
      <w:r w:rsidRPr="001E6FF9">
        <w:rPr>
          <w:b/>
        </w:rPr>
        <w:t>+</w:t>
      </w:r>
      <w:r>
        <w:t xml:space="preserve"> conventional karyotyping for the detection of CNVs in MM. (Hence, substituting conventional karyotyping with GWMA is unlikely to have an additional impact on patient prognosis and clinical outcomes). However, it could be inferred that </w:t>
      </w:r>
      <w:r w:rsidRPr="003C2CC0">
        <w:t xml:space="preserve">that </w:t>
      </w:r>
      <w:r>
        <w:t>GWMA</w:t>
      </w:r>
      <w:r w:rsidRPr="003C2CC0">
        <w:t xml:space="preserve"> is superior to conventional karyotyping when FISH is not used</w:t>
      </w:r>
      <w:r>
        <w:t>.</w:t>
      </w:r>
    </w:p>
    <w:p w14:paraId="6D27DA9F" w14:textId="77777777" w:rsidR="00C31ADB" w:rsidRDefault="00C31ADB" w:rsidP="00C31ADB">
      <w:pPr>
        <w:pStyle w:val="Heading2"/>
      </w:pPr>
      <w:r>
        <w:t>C</w:t>
      </w:r>
      <w:r w:rsidRPr="00D24629">
        <w:t>hronic lymphocytic leukaemia</w:t>
      </w:r>
    </w:p>
    <w:p w14:paraId="2CFB055E" w14:textId="77777777" w:rsidR="00C31ADB" w:rsidRDefault="00C31ADB" w:rsidP="00C31ADB">
      <w:pPr>
        <w:pStyle w:val="Heading3"/>
        <w:spacing w:before="160"/>
      </w:pPr>
      <w:r>
        <w:t>Accuracy</w:t>
      </w:r>
    </w:p>
    <w:p w14:paraId="3509A783" w14:textId="77777777" w:rsidR="00C31ADB" w:rsidRPr="007E7F6A" w:rsidRDefault="00C31ADB" w:rsidP="00CC0A53">
      <w:pPr>
        <w:pStyle w:val="Heading4"/>
      </w:pPr>
      <w:r w:rsidRPr="007E7F6A">
        <w:t>Detection of CNVs</w:t>
      </w:r>
    </w:p>
    <w:p w14:paraId="263639B2" w14:textId="572FF01B" w:rsidR="00C31ADB" w:rsidRDefault="00C31ADB" w:rsidP="00490211">
      <w:pPr>
        <w:spacing w:after="240"/>
      </w:pPr>
      <w:r>
        <w:t xml:space="preserve">The results using conventional karyotyping + FISH as the reference standard from individual studies (n=6) is presented in Figure 6 and from the </w:t>
      </w:r>
      <w:r w:rsidR="000B6D56">
        <w:rPr>
          <w:szCs w:val="24"/>
        </w:rPr>
        <w:t>assessment report</w:t>
      </w:r>
      <w:r>
        <w:t xml:space="preserve">’s pooled analysis is presented in Table 3. The </w:t>
      </w:r>
      <w:r w:rsidR="00B11338">
        <w:t>c</w:t>
      </w:r>
      <w:r>
        <w:t>ritique highlighted this was appropriate as GWMA was compared with FISH + conventional karyotyping in the CLL setting.</w:t>
      </w:r>
    </w:p>
    <w:p w14:paraId="62729ECA" w14:textId="37B851A7" w:rsidR="00C31ADB" w:rsidRDefault="00C31ADB" w:rsidP="00C31ADB">
      <w:r>
        <w:t xml:space="preserve">The </w:t>
      </w:r>
      <w:r w:rsidR="000B6D56">
        <w:rPr>
          <w:szCs w:val="24"/>
        </w:rPr>
        <w:t>assessment report</w:t>
      </w:r>
      <w:r>
        <w:t xml:space="preserve"> stated the s</w:t>
      </w:r>
      <w:r w:rsidRPr="00A8521B">
        <w:t>pecificity</w:t>
      </w:r>
      <w:r>
        <w:t xml:space="preserve"> of GWMA was lower than the sensitivity calculated for the detection of CNVs in patients</w:t>
      </w:r>
      <w:r w:rsidR="009B65CA">
        <w:t xml:space="preserve"> with CLL</w:t>
      </w:r>
      <w:r>
        <w:t xml:space="preserve">. This can be attributed to the very few patients who did not have a CNV detected. The </w:t>
      </w:r>
      <w:r w:rsidR="000B6D56">
        <w:rPr>
          <w:szCs w:val="24"/>
        </w:rPr>
        <w:t>assessment report</w:t>
      </w:r>
      <w:r>
        <w:t xml:space="preserve"> stated that the small trial sizes (sample sizes of n &lt;</w:t>
      </w:r>
      <w:r w:rsidRPr="00B51CA2">
        <w:t>50, were common</w:t>
      </w:r>
      <w:r>
        <w:t>) could likely overestimate the efficacy of the index test, and provide inaccurate estimate of the specificity.</w:t>
      </w:r>
    </w:p>
    <w:p w14:paraId="62428F09" w14:textId="11FC2650" w:rsidR="00C31ADB" w:rsidRPr="00516999" w:rsidRDefault="00C31ADB" w:rsidP="00516999">
      <w:pPr>
        <w:keepNext/>
        <w:keepLines/>
        <w:rPr>
          <w:rFonts w:ascii="Arial Narrow" w:hAnsi="Arial Narrow"/>
          <w:b/>
          <w:sz w:val="20"/>
        </w:rPr>
      </w:pPr>
      <w:bookmarkStart w:id="12" w:name="_Ref536802233"/>
      <w:bookmarkStart w:id="13" w:name="_Ref3379671"/>
      <w:bookmarkStart w:id="14" w:name="_Toc10618117"/>
      <w:r w:rsidRPr="00516999">
        <w:rPr>
          <w:rFonts w:ascii="Arial Narrow" w:hAnsi="Arial Narrow"/>
          <w:b/>
          <w:sz w:val="20"/>
        </w:rPr>
        <w:t xml:space="preserve">Figure </w:t>
      </w:r>
      <w:bookmarkEnd w:id="12"/>
      <w:bookmarkEnd w:id="13"/>
      <w:r w:rsidRPr="00516999">
        <w:rPr>
          <w:rFonts w:ascii="Arial Narrow" w:hAnsi="Arial Narrow"/>
          <w:b/>
          <w:sz w:val="20"/>
        </w:rPr>
        <w:t>6</w:t>
      </w:r>
      <w:r w:rsidRPr="00516999">
        <w:rPr>
          <w:rFonts w:ascii="Arial Narrow" w:hAnsi="Arial Narrow"/>
          <w:b/>
          <w:sz w:val="20"/>
        </w:rPr>
        <w:tab/>
        <w:t>Forest plot of sensitivity and specificity of genome-wide microarray compared to FISH and conventional karyotyping in CLL studies</w:t>
      </w:r>
      <w:bookmarkEnd w:id="14"/>
    </w:p>
    <w:p w14:paraId="2E763C70" w14:textId="77777777" w:rsidR="00C31ADB" w:rsidRPr="008C56ED" w:rsidRDefault="00C31ADB" w:rsidP="00516999">
      <w:pPr>
        <w:keepNext/>
        <w:keepLines/>
        <w:rPr>
          <w:i/>
          <w:noProof/>
        </w:rPr>
      </w:pPr>
      <w:r w:rsidRPr="008C56ED">
        <w:rPr>
          <w:i/>
          <w:noProof/>
        </w:rPr>
        <w:drawing>
          <wp:inline distT="0" distB="0" distL="0" distR="0" wp14:anchorId="26879B06" wp14:editId="3B52F0F9">
            <wp:extent cx="5731510" cy="1069340"/>
            <wp:effectExtent l="19050" t="19050" r="21590" b="16510"/>
            <wp:docPr id="15" name="Picture 15" descr="Forest plot of diagnostic performance of array compared to conventional karyotyping and FISH in C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069340"/>
                    </a:xfrm>
                    <a:prstGeom prst="rect">
                      <a:avLst/>
                    </a:prstGeom>
                    <a:ln>
                      <a:solidFill>
                        <a:schemeClr val="tx1"/>
                      </a:solidFill>
                    </a:ln>
                  </pic:spPr>
                </pic:pic>
              </a:graphicData>
            </a:graphic>
          </wp:inline>
        </w:drawing>
      </w:r>
    </w:p>
    <w:p w14:paraId="08F96B4F" w14:textId="379750CA" w:rsidR="00C31ADB" w:rsidRPr="009B23C1" w:rsidRDefault="00C31ADB" w:rsidP="00C31ADB">
      <w:pPr>
        <w:rPr>
          <w:rStyle w:val="TablenotesChar"/>
          <w:rFonts w:cs="Tahoma"/>
          <w:szCs w:val="16"/>
        </w:rPr>
      </w:pPr>
      <w:r w:rsidRPr="009B23C1">
        <w:rPr>
          <w:rStyle w:val="TablenotesChar"/>
          <w:rFonts w:cs="Tahoma"/>
          <w:szCs w:val="16"/>
        </w:rPr>
        <w:t xml:space="preserve">Source: Figure </w:t>
      </w:r>
      <w:r w:rsidRPr="009B23C1">
        <w:rPr>
          <w:rStyle w:val="TablenotesChar"/>
          <w:rFonts w:cstheme="minorHAnsi"/>
          <w:szCs w:val="16"/>
        </w:rPr>
        <w:t xml:space="preserve">constructed </w:t>
      </w:r>
      <w:r w:rsidR="00B11338">
        <w:rPr>
          <w:rStyle w:val="TablenotesChar"/>
          <w:rFonts w:cstheme="minorHAnsi"/>
          <w:szCs w:val="16"/>
        </w:rPr>
        <w:t>for</w:t>
      </w:r>
      <w:r w:rsidRPr="009B23C1">
        <w:rPr>
          <w:rStyle w:val="TablenotesChar"/>
          <w:rFonts w:cstheme="minorHAnsi"/>
          <w:szCs w:val="16"/>
        </w:rPr>
        <w:t xml:space="preserve"> the assessment </w:t>
      </w:r>
      <w:r w:rsidR="00B11338">
        <w:rPr>
          <w:rStyle w:val="TablenotesChar"/>
          <w:rFonts w:cstheme="minorHAnsi"/>
          <w:szCs w:val="16"/>
        </w:rPr>
        <w:t>report</w:t>
      </w:r>
      <w:r>
        <w:rPr>
          <w:rStyle w:val="TablenotesChar"/>
          <w:rFonts w:cstheme="minorHAnsi"/>
          <w:caps/>
          <w:szCs w:val="16"/>
        </w:rPr>
        <w:t>.</w:t>
      </w:r>
    </w:p>
    <w:p w14:paraId="63966846" w14:textId="77777777" w:rsidR="00C31ADB" w:rsidRPr="00893E9E" w:rsidRDefault="00C31ADB" w:rsidP="00C31ADB">
      <w:pPr>
        <w:rPr>
          <w:rStyle w:val="TablenotesChar"/>
          <w:rFonts w:cs="Tahoma"/>
          <w:szCs w:val="16"/>
        </w:rPr>
      </w:pPr>
      <w:r w:rsidRPr="00893E9E">
        <w:rPr>
          <w:rStyle w:val="TablenotesChar"/>
          <w:rFonts w:cs="Tahoma"/>
          <w:szCs w:val="16"/>
        </w:rPr>
        <w:t>Abbreviations: CI, confidence interval; FN, false negative; FP, false positive; TN, t</w:t>
      </w:r>
      <w:bookmarkStart w:id="15" w:name="_Ref2778367"/>
      <w:bookmarkStart w:id="16" w:name="_Toc10618056"/>
      <w:r w:rsidRPr="00893E9E">
        <w:rPr>
          <w:rStyle w:val="TablenotesChar"/>
          <w:rFonts w:cs="Tahoma"/>
          <w:szCs w:val="16"/>
        </w:rPr>
        <w:t>rue negative; TP, true positive</w:t>
      </w:r>
    </w:p>
    <w:p w14:paraId="1C2B3693" w14:textId="77777777" w:rsidR="00C31ADB" w:rsidRPr="009B23C1" w:rsidRDefault="00C31ADB" w:rsidP="00C31ADB">
      <w:pPr>
        <w:pStyle w:val="TableText0"/>
        <w:rPr>
          <w:snapToGrid w:val="0"/>
          <w:sz w:val="18"/>
          <w:szCs w:val="18"/>
        </w:rPr>
      </w:pPr>
      <w:r w:rsidRPr="009B23C1">
        <w:rPr>
          <w:rStyle w:val="TablenotesChar"/>
          <w:szCs w:val="18"/>
        </w:rPr>
        <w:t>Note, Xu et al 2013 had broad confidence intervals likely to the study’s small sample size.</w:t>
      </w:r>
    </w:p>
    <w:p w14:paraId="40D96385" w14:textId="77777777" w:rsidR="00C31ADB" w:rsidRPr="00516999" w:rsidRDefault="00C31ADB" w:rsidP="00516999">
      <w:pPr>
        <w:spacing w:before="240"/>
        <w:rPr>
          <w:rFonts w:ascii="Arial Narrow" w:hAnsi="Arial Narrow"/>
          <w:b/>
          <w:sz w:val="20"/>
        </w:rPr>
      </w:pPr>
      <w:r w:rsidRPr="00516999">
        <w:rPr>
          <w:rFonts w:ascii="Arial Narrow" w:hAnsi="Arial Narrow"/>
          <w:b/>
          <w:sz w:val="20"/>
        </w:rPr>
        <w:t>Table 3</w:t>
      </w:r>
      <w:bookmarkEnd w:id="15"/>
      <w:r w:rsidRPr="00516999">
        <w:rPr>
          <w:rFonts w:ascii="Arial Narrow" w:hAnsi="Arial Narrow"/>
          <w:b/>
          <w:sz w:val="20"/>
        </w:rPr>
        <w:tab/>
        <w:t>Summary statistics for genome-wide microarray compared to conventional karyotyping + FISH (reference standard) for patients with CLL</w:t>
      </w:r>
      <w:bookmarkEnd w:id="16"/>
    </w:p>
    <w:tbl>
      <w:tblPr>
        <w:tblStyle w:val="TableGrid1"/>
        <w:tblW w:w="5000" w:type="pct"/>
        <w:tblInd w:w="0" w:type="dxa"/>
        <w:tblLook w:val="04A0" w:firstRow="1" w:lastRow="0" w:firstColumn="1" w:lastColumn="0" w:noHBand="0" w:noVBand="1"/>
        <w:tblCaption w:val="Summary statistics for genome-wide microarray compared to conventional karyotyping + FISH (reference standard) for patients with CLL"/>
        <w:tblDescription w:val="Summary statistics for genome-wide microarray compared to conventional karyotyping + FISH (reference standard) for patients with CLL"/>
      </w:tblPr>
      <w:tblGrid>
        <w:gridCol w:w="3550"/>
        <w:gridCol w:w="2698"/>
        <w:gridCol w:w="2768"/>
      </w:tblGrid>
      <w:tr w:rsidR="00C31ADB" w:rsidRPr="009B23C1" w14:paraId="5AF76C5A" w14:textId="77777777" w:rsidTr="00516999">
        <w:trPr>
          <w:cnfStyle w:val="100000000000" w:firstRow="1" w:lastRow="0" w:firstColumn="0" w:lastColumn="0" w:oddVBand="0" w:evenVBand="0" w:oddHBand="0" w:evenHBand="0" w:firstRowFirstColumn="0" w:firstRowLastColumn="0" w:lastRowFirstColumn="0" w:lastRowLastColumn="0"/>
          <w:trHeight w:val="469"/>
          <w:tblHeader/>
        </w:trPr>
        <w:tc>
          <w:tcPr>
            <w:tcW w:w="1969" w:type="pct"/>
          </w:tcPr>
          <w:p w14:paraId="6ECBAF0B" w14:textId="77777777" w:rsidR="00C31ADB" w:rsidRPr="009B23C1" w:rsidRDefault="00C31ADB" w:rsidP="003E798D">
            <w:pPr>
              <w:pStyle w:val="TableText0"/>
              <w:jc w:val="left"/>
              <w:rPr>
                <w:rFonts w:cs="Arial"/>
                <w:color w:val="1F497D"/>
                <w:szCs w:val="20"/>
              </w:rPr>
            </w:pPr>
            <w:r w:rsidRPr="009B23C1">
              <w:rPr>
                <w:b/>
              </w:rPr>
              <w:t xml:space="preserve">Accuracy </w:t>
            </w:r>
            <w:r w:rsidRPr="009B23C1">
              <w:t>(k=6)</w:t>
            </w:r>
          </w:p>
        </w:tc>
        <w:tc>
          <w:tcPr>
            <w:tcW w:w="1496" w:type="pct"/>
          </w:tcPr>
          <w:p w14:paraId="17072F03" w14:textId="77777777" w:rsidR="00C31ADB" w:rsidRPr="009B23C1" w:rsidRDefault="00C31ADB" w:rsidP="003E798D">
            <w:pPr>
              <w:pStyle w:val="TableText0"/>
              <w:jc w:val="center"/>
              <w:rPr>
                <w:b/>
              </w:rPr>
            </w:pPr>
            <w:r w:rsidRPr="009B23C1">
              <w:rPr>
                <w:b/>
              </w:rPr>
              <w:t>Index test</w:t>
            </w:r>
          </w:p>
          <w:p w14:paraId="09A33CDE" w14:textId="77777777" w:rsidR="00C31ADB" w:rsidRPr="009B23C1" w:rsidRDefault="00C31ADB" w:rsidP="003E798D">
            <w:pPr>
              <w:pStyle w:val="TableText0"/>
              <w:jc w:val="center"/>
            </w:pPr>
            <w:r w:rsidRPr="009B23C1">
              <w:t>(n=204)</w:t>
            </w:r>
          </w:p>
        </w:tc>
        <w:tc>
          <w:tcPr>
            <w:tcW w:w="1535" w:type="pct"/>
          </w:tcPr>
          <w:p w14:paraId="5662BBA8" w14:textId="77777777" w:rsidR="00C31ADB" w:rsidRPr="009B23C1" w:rsidRDefault="00C31ADB" w:rsidP="003E798D">
            <w:pPr>
              <w:pStyle w:val="TableText0"/>
              <w:jc w:val="center"/>
              <w:rPr>
                <w:b/>
              </w:rPr>
            </w:pPr>
            <w:r w:rsidRPr="009B23C1">
              <w:rPr>
                <w:b/>
              </w:rPr>
              <w:t>Comparator</w:t>
            </w:r>
          </w:p>
          <w:p w14:paraId="24C5FFEA" w14:textId="77777777" w:rsidR="00C31ADB" w:rsidRPr="009B23C1" w:rsidRDefault="00C31ADB" w:rsidP="003E798D">
            <w:pPr>
              <w:pStyle w:val="TableText0"/>
              <w:jc w:val="center"/>
            </w:pPr>
            <w:r w:rsidRPr="009B23C1">
              <w:t>(n=204)</w:t>
            </w:r>
          </w:p>
        </w:tc>
      </w:tr>
      <w:tr w:rsidR="00C31ADB" w:rsidRPr="009B23C1" w14:paraId="6B495DEA" w14:textId="77777777" w:rsidTr="00516999">
        <w:trPr>
          <w:trHeight w:val="255"/>
        </w:trPr>
        <w:tc>
          <w:tcPr>
            <w:tcW w:w="1969" w:type="pct"/>
          </w:tcPr>
          <w:p w14:paraId="6104A950" w14:textId="77777777" w:rsidR="00C31ADB" w:rsidRPr="009B23C1" w:rsidRDefault="00C31ADB" w:rsidP="003E798D">
            <w:pPr>
              <w:spacing w:after="40"/>
              <w:rPr>
                <w:lang w:eastAsia="en-US"/>
              </w:rPr>
            </w:pPr>
            <w:r w:rsidRPr="009B23C1">
              <w:rPr>
                <w:lang w:eastAsia="en-US"/>
              </w:rPr>
              <w:t>Sensitivity, [95% CI]</w:t>
            </w:r>
          </w:p>
        </w:tc>
        <w:tc>
          <w:tcPr>
            <w:tcW w:w="1496" w:type="pct"/>
          </w:tcPr>
          <w:p w14:paraId="0AE03C21" w14:textId="77777777" w:rsidR="00C31ADB" w:rsidRPr="009B23C1" w:rsidRDefault="00C31ADB" w:rsidP="003E798D">
            <w:pPr>
              <w:pStyle w:val="TableText0"/>
              <w:jc w:val="center"/>
            </w:pPr>
            <w:r w:rsidRPr="009B23C1">
              <w:rPr>
                <w:szCs w:val="18"/>
              </w:rPr>
              <w:t>0.92 [0.86-0.95]</w:t>
            </w:r>
          </w:p>
        </w:tc>
        <w:tc>
          <w:tcPr>
            <w:tcW w:w="1535" w:type="pct"/>
          </w:tcPr>
          <w:p w14:paraId="576F7E33" w14:textId="77777777" w:rsidR="00C31ADB" w:rsidRPr="009B23C1" w:rsidRDefault="00C31ADB" w:rsidP="003E798D">
            <w:pPr>
              <w:pStyle w:val="TableText0"/>
              <w:jc w:val="center"/>
            </w:pPr>
            <w:r w:rsidRPr="009B23C1">
              <w:t>1</w:t>
            </w:r>
          </w:p>
        </w:tc>
      </w:tr>
      <w:tr w:rsidR="00C31ADB" w:rsidRPr="009B23C1" w14:paraId="7EEF1C06" w14:textId="77777777" w:rsidTr="00516999">
        <w:trPr>
          <w:trHeight w:val="235"/>
        </w:trPr>
        <w:tc>
          <w:tcPr>
            <w:tcW w:w="1969" w:type="pct"/>
          </w:tcPr>
          <w:p w14:paraId="78A4CFB8" w14:textId="77777777" w:rsidR="00C31ADB" w:rsidRPr="009B23C1" w:rsidRDefault="00C31ADB" w:rsidP="003E798D">
            <w:pPr>
              <w:pStyle w:val="TableText0"/>
            </w:pPr>
            <w:r w:rsidRPr="009B23C1">
              <w:t>Specificity, [95% CI]</w:t>
            </w:r>
          </w:p>
        </w:tc>
        <w:tc>
          <w:tcPr>
            <w:tcW w:w="1496" w:type="pct"/>
          </w:tcPr>
          <w:p w14:paraId="65C1AD78" w14:textId="77777777" w:rsidR="00C31ADB" w:rsidRPr="009B23C1" w:rsidRDefault="00C31ADB" w:rsidP="003E798D">
            <w:pPr>
              <w:pStyle w:val="TableText0"/>
              <w:jc w:val="center"/>
            </w:pPr>
            <w:r w:rsidRPr="009B23C1">
              <w:rPr>
                <w:szCs w:val="18"/>
              </w:rPr>
              <w:t>0.77 [0.60-0.90]</w:t>
            </w:r>
          </w:p>
        </w:tc>
        <w:tc>
          <w:tcPr>
            <w:tcW w:w="1535" w:type="pct"/>
          </w:tcPr>
          <w:p w14:paraId="5228B686" w14:textId="77777777" w:rsidR="00C31ADB" w:rsidRPr="009B23C1" w:rsidRDefault="00C31ADB" w:rsidP="003E798D">
            <w:pPr>
              <w:pStyle w:val="TableText0"/>
              <w:jc w:val="center"/>
            </w:pPr>
            <w:r w:rsidRPr="009B23C1">
              <w:t>1</w:t>
            </w:r>
          </w:p>
        </w:tc>
      </w:tr>
      <w:tr w:rsidR="00C31ADB" w:rsidRPr="009B23C1" w14:paraId="04FB998E" w14:textId="77777777" w:rsidTr="00516999">
        <w:trPr>
          <w:trHeight w:val="283"/>
        </w:trPr>
        <w:tc>
          <w:tcPr>
            <w:tcW w:w="1969" w:type="pct"/>
          </w:tcPr>
          <w:p w14:paraId="36132138" w14:textId="77777777" w:rsidR="00C31ADB" w:rsidRPr="009B23C1" w:rsidRDefault="00C31ADB" w:rsidP="003E798D">
            <w:pPr>
              <w:pStyle w:val="TableText0"/>
            </w:pPr>
            <w:r w:rsidRPr="009B23C1">
              <w:t>Positive predictive value, [95% CI]</w:t>
            </w:r>
          </w:p>
        </w:tc>
        <w:tc>
          <w:tcPr>
            <w:tcW w:w="1496" w:type="pct"/>
          </w:tcPr>
          <w:p w14:paraId="16EE31BF" w14:textId="77777777" w:rsidR="00C31ADB" w:rsidRPr="009B23C1" w:rsidRDefault="00C31ADB" w:rsidP="003E798D">
            <w:pPr>
              <w:pStyle w:val="TableText0"/>
              <w:jc w:val="center"/>
            </w:pPr>
            <w:r w:rsidRPr="009B23C1">
              <w:rPr>
                <w:szCs w:val="18"/>
              </w:rPr>
              <w:t>0.95 [0.91-0.97]</w:t>
            </w:r>
          </w:p>
        </w:tc>
        <w:tc>
          <w:tcPr>
            <w:tcW w:w="1535" w:type="pct"/>
          </w:tcPr>
          <w:p w14:paraId="4AF71C0A" w14:textId="77777777" w:rsidR="00C31ADB" w:rsidRPr="009B23C1" w:rsidRDefault="00C31ADB" w:rsidP="003E798D">
            <w:pPr>
              <w:pStyle w:val="TableText0"/>
              <w:jc w:val="center"/>
            </w:pPr>
            <w:r w:rsidRPr="009B23C1">
              <w:t>1</w:t>
            </w:r>
          </w:p>
        </w:tc>
      </w:tr>
      <w:tr w:rsidR="00C31ADB" w:rsidRPr="009B23C1" w14:paraId="18616C60" w14:textId="77777777" w:rsidTr="00516999">
        <w:trPr>
          <w:trHeight w:val="245"/>
        </w:trPr>
        <w:tc>
          <w:tcPr>
            <w:tcW w:w="1969" w:type="pct"/>
          </w:tcPr>
          <w:p w14:paraId="433EA1F8" w14:textId="77777777" w:rsidR="00C31ADB" w:rsidRPr="009B23C1" w:rsidRDefault="00C31ADB" w:rsidP="003E798D">
            <w:pPr>
              <w:pStyle w:val="TableText0"/>
            </w:pPr>
            <w:r w:rsidRPr="009B23C1">
              <w:t>Negative predictive value, [95% CI]</w:t>
            </w:r>
          </w:p>
        </w:tc>
        <w:tc>
          <w:tcPr>
            <w:tcW w:w="1496" w:type="pct"/>
          </w:tcPr>
          <w:p w14:paraId="54D88893" w14:textId="77777777" w:rsidR="00C31ADB" w:rsidRPr="009B23C1" w:rsidRDefault="00C31ADB" w:rsidP="003E798D">
            <w:pPr>
              <w:pStyle w:val="TableText0"/>
              <w:jc w:val="center"/>
            </w:pPr>
            <w:r w:rsidRPr="009B23C1">
              <w:rPr>
                <w:szCs w:val="18"/>
              </w:rPr>
              <w:t>0.66 [0.53-0.77]</w:t>
            </w:r>
          </w:p>
        </w:tc>
        <w:tc>
          <w:tcPr>
            <w:tcW w:w="1535" w:type="pct"/>
          </w:tcPr>
          <w:p w14:paraId="11FC554F" w14:textId="77777777" w:rsidR="00C31ADB" w:rsidRPr="009B23C1" w:rsidRDefault="00C31ADB" w:rsidP="003E798D">
            <w:pPr>
              <w:pStyle w:val="TableText0"/>
              <w:jc w:val="center"/>
            </w:pPr>
            <w:r w:rsidRPr="009B23C1">
              <w:t>1</w:t>
            </w:r>
          </w:p>
        </w:tc>
      </w:tr>
    </w:tbl>
    <w:p w14:paraId="6C876CF3" w14:textId="4F9B3CAE" w:rsidR="00C31ADB" w:rsidRPr="009B23C1" w:rsidRDefault="00C31ADB" w:rsidP="00C31ADB">
      <w:pPr>
        <w:rPr>
          <w:rFonts w:ascii="Arial Narrow" w:hAnsi="Arial Narrow"/>
          <w:sz w:val="18"/>
          <w:szCs w:val="16"/>
        </w:rPr>
      </w:pPr>
      <w:r w:rsidRPr="009B23C1">
        <w:rPr>
          <w:rFonts w:ascii="Arial Narrow" w:hAnsi="Arial Narrow"/>
          <w:sz w:val="18"/>
          <w:szCs w:val="16"/>
        </w:rPr>
        <w:t xml:space="preserve">Source: Table </w:t>
      </w:r>
      <w:r w:rsidRPr="009B23C1">
        <w:rPr>
          <w:rStyle w:val="TablenotesChar"/>
          <w:rFonts w:cstheme="minorHAnsi"/>
          <w:szCs w:val="16"/>
        </w:rPr>
        <w:t xml:space="preserve">constructed </w:t>
      </w:r>
      <w:r w:rsidR="00B11338">
        <w:rPr>
          <w:rStyle w:val="TablenotesChar"/>
          <w:rFonts w:cstheme="minorHAnsi"/>
          <w:szCs w:val="16"/>
        </w:rPr>
        <w:t>for</w:t>
      </w:r>
      <w:r w:rsidRPr="009B23C1">
        <w:rPr>
          <w:rStyle w:val="TablenotesChar"/>
          <w:rFonts w:cstheme="minorHAnsi"/>
          <w:szCs w:val="16"/>
        </w:rPr>
        <w:t xml:space="preserve"> the assessment </w:t>
      </w:r>
      <w:r w:rsidR="00B11338">
        <w:rPr>
          <w:rStyle w:val="TablenotesChar"/>
          <w:rFonts w:cstheme="minorHAnsi"/>
          <w:szCs w:val="16"/>
        </w:rPr>
        <w:t>report</w:t>
      </w:r>
      <w:r w:rsidRPr="009B23C1">
        <w:rPr>
          <w:rStyle w:val="TablenotesChar"/>
          <w:rFonts w:cstheme="minorHAnsi"/>
          <w:caps/>
          <w:szCs w:val="16"/>
        </w:rPr>
        <w:t>.</w:t>
      </w:r>
    </w:p>
    <w:p w14:paraId="226B8A75" w14:textId="2C8D37A9" w:rsidR="00C31ADB" w:rsidRDefault="00C31ADB" w:rsidP="003E798D">
      <w:pPr>
        <w:spacing w:after="240"/>
        <w:rPr>
          <w:rFonts w:ascii="Arial Narrow" w:hAnsi="Arial Narrow"/>
          <w:sz w:val="18"/>
          <w:szCs w:val="16"/>
        </w:rPr>
      </w:pPr>
      <w:r w:rsidRPr="00893E9E">
        <w:rPr>
          <w:rFonts w:ascii="Arial Narrow" w:hAnsi="Arial Narrow"/>
          <w:sz w:val="18"/>
          <w:szCs w:val="16"/>
        </w:rPr>
        <w:t>Abbreviations: CI, confidence interval</w:t>
      </w:r>
    </w:p>
    <w:p w14:paraId="12AB7ECD" w14:textId="77777777" w:rsidR="00C31ADB" w:rsidRPr="00CC0A53" w:rsidRDefault="00C31ADB" w:rsidP="00CC0A53">
      <w:pPr>
        <w:pStyle w:val="Heading4"/>
      </w:pPr>
      <w:r w:rsidRPr="00CC0A53">
        <w:t xml:space="preserve">Detection of </w:t>
      </w:r>
      <w:proofErr w:type="gramStart"/>
      <w:r w:rsidRPr="00CC0A53">
        <w:t>del(</w:t>
      </w:r>
      <w:proofErr w:type="gramEnd"/>
      <w:r w:rsidRPr="00CC0A53">
        <w:t>17p)/TP53</w:t>
      </w:r>
    </w:p>
    <w:p w14:paraId="582C3F36" w14:textId="1173B622" w:rsidR="00C31ADB" w:rsidRPr="00CE3AB4" w:rsidRDefault="00C31ADB" w:rsidP="007E7F6A">
      <w:pPr>
        <w:rPr>
          <w:rFonts w:asciiTheme="minorHAnsi" w:hAnsiTheme="minorHAnsi" w:cstheme="minorHAnsi"/>
          <w:szCs w:val="18"/>
        </w:rPr>
      </w:pPr>
      <w:r>
        <w:t xml:space="preserve">The results using conventional karyotyping as the reference standard from individual studies (n=2) is presented in Figure 7 and from the </w:t>
      </w:r>
      <w:r w:rsidR="000B6D56">
        <w:rPr>
          <w:szCs w:val="24"/>
        </w:rPr>
        <w:t>assessment report</w:t>
      </w:r>
      <w:r>
        <w:t>’s pooled analysis is presented in Table 4.</w:t>
      </w:r>
    </w:p>
    <w:p w14:paraId="3481D20F" w14:textId="77777777" w:rsidR="00C31ADB" w:rsidRDefault="00C31ADB" w:rsidP="00C31ADB">
      <w:pPr>
        <w:spacing w:before="240"/>
        <w:rPr>
          <w:rFonts w:ascii="Arial Narrow" w:hAnsi="Arial Narrow"/>
          <w:b/>
          <w:bCs/>
          <w:sz w:val="20"/>
        </w:rPr>
      </w:pPr>
      <w:bookmarkStart w:id="17" w:name="_Ref536802232"/>
      <w:bookmarkStart w:id="18" w:name="_Toc10618118"/>
      <w:r w:rsidRPr="00C07241">
        <w:rPr>
          <w:rFonts w:ascii="Arial Narrow" w:hAnsi="Arial Narrow"/>
          <w:b/>
          <w:bCs/>
          <w:sz w:val="20"/>
        </w:rPr>
        <w:t xml:space="preserve">Figure </w:t>
      </w:r>
      <w:bookmarkEnd w:id="17"/>
      <w:r>
        <w:rPr>
          <w:rFonts w:ascii="Arial Narrow" w:hAnsi="Arial Narrow"/>
          <w:b/>
          <w:bCs/>
          <w:sz w:val="20"/>
        </w:rPr>
        <w:t>7</w:t>
      </w:r>
      <w:r>
        <w:rPr>
          <w:rFonts w:ascii="Arial Narrow" w:hAnsi="Arial Narrow"/>
          <w:b/>
          <w:bCs/>
          <w:sz w:val="20"/>
        </w:rPr>
        <w:tab/>
        <w:t>Forest plot of s</w:t>
      </w:r>
      <w:r w:rsidRPr="00C07241">
        <w:rPr>
          <w:rFonts w:ascii="Arial Narrow" w:hAnsi="Arial Narrow"/>
          <w:b/>
          <w:bCs/>
          <w:sz w:val="20"/>
        </w:rPr>
        <w:t xml:space="preserve">ensitivity and specificity of genome-wide microarray compared to conventional karyotyping in the detection of </w:t>
      </w:r>
      <w:proofErr w:type="gramStart"/>
      <w:r w:rsidRPr="00081B35">
        <w:rPr>
          <w:rFonts w:ascii="Arial Narrow" w:hAnsi="Arial Narrow"/>
          <w:b/>
          <w:bCs/>
          <w:i/>
          <w:sz w:val="20"/>
        </w:rPr>
        <w:t>del(</w:t>
      </w:r>
      <w:proofErr w:type="gramEnd"/>
      <w:r w:rsidRPr="00081B35">
        <w:rPr>
          <w:rFonts w:ascii="Arial Narrow" w:hAnsi="Arial Narrow"/>
          <w:b/>
          <w:bCs/>
          <w:i/>
          <w:sz w:val="20"/>
        </w:rPr>
        <w:t>17p)</w:t>
      </w:r>
      <w:r w:rsidRPr="00370ADC">
        <w:rPr>
          <w:rFonts w:ascii="Arial Narrow" w:hAnsi="Arial Narrow"/>
          <w:b/>
          <w:bCs/>
          <w:sz w:val="20"/>
        </w:rPr>
        <w:t>/</w:t>
      </w:r>
      <w:r w:rsidRPr="009E338F">
        <w:rPr>
          <w:rFonts w:ascii="Arial Narrow" w:hAnsi="Arial Narrow"/>
          <w:b/>
          <w:bCs/>
          <w:i/>
          <w:sz w:val="20"/>
        </w:rPr>
        <w:t xml:space="preserve">TP53 </w:t>
      </w:r>
      <w:r w:rsidRPr="00C07241">
        <w:rPr>
          <w:rFonts w:ascii="Arial Narrow" w:hAnsi="Arial Narrow"/>
          <w:b/>
          <w:bCs/>
          <w:sz w:val="20"/>
        </w:rPr>
        <w:t>in CLL studies</w:t>
      </w:r>
      <w:bookmarkEnd w:id="18"/>
    </w:p>
    <w:p w14:paraId="73646250" w14:textId="77777777" w:rsidR="00C31ADB" w:rsidRPr="00441B71" w:rsidRDefault="00C31ADB" w:rsidP="00C31ADB">
      <w:pPr>
        <w:rPr>
          <w:rStyle w:val="TablenotesChar"/>
          <w:rFonts w:cs="Tahoma"/>
          <w:b/>
          <w:bCs/>
          <w:sz w:val="20"/>
        </w:rPr>
      </w:pPr>
      <w:r>
        <w:rPr>
          <w:noProof/>
        </w:rPr>
        <w:drawing>
          <wp:inline distT="0" distB="0" distL="0" distR="0" wp14:anchorId="77F35858" wp14:editId="4D912AA5">
            <wp:extent cx="5731510" cy="542925"/>
            <wp:effectExtent l="19050" t="19050" r="21590" b="28575"/>
            <wp:docPr id="34" name="Picture 34" descr="Forest plot of diagnostic performance of array compared to conventional karyotyping in detecting del17p in C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542925"/>
                    </a:xfrm>
                    <a:prstGeom prst="rect">
                      <a:avLst/>
                    </a:prstGeom>
                    <a:ln>
                      <a:solidFill>
                        <a:schemeClr val="tx1"/>
                      </a:solidFill>
                    </a:ln>
                  </pic:spPr>
                </pic:pic>
              </a:graphicData>
            </a:graphic>
          </wp:inline>
        </w:drawing>
      </w:r>
    </w:p>
    <w:p w14:paraId="6D1C813C" w14:textId="3718C8F2" w:rsidR="00C31ADB" w:rsidRPr="009B23C1" w:rsidRDefault="00C31ADB" w:rsidP="00C31ADB">
      <w:pPr>
        <w:rPr>
          <w:rStyle w:val="TablenotesChar"/>
          <w:rFonts w:cs="Tahoma"/>
          <w:szCs w:val="16"/>
        </w:rPr>
      </w:pPr>
      <w:r w:rsidRPr="009B23C1">
        <w:rPr>
          <w:rStyle w:val="TablenotesChar"/>
          <w:rFonts w:cs="Tahoma"/>
          <w:szCs w:val="16"/>
        </w:rPr>
        <w:t xml:space="preserve">Source: </w:t>
      </w:r>
      <w:r w:rsidRPr="009B23C1">
        <w:rPr>
          <w:rStyle w:val="TablenotesChar"/>
          <w:rFonts w:cstheme="minorHAnsi"/>
          <w:szCs w:val="16"/>
        </w:rPr>
        <w:t xml:space="preserve">Figure constructed </w:t>
      </w:r>
      <w:r w:rsidR="00B11338">
        <w:rPr>
          <w:rStyle w:val="TablenotesChar"/>
          <w:rFonts w:cstheme="minorHAnsi"/>
          <w:szCs w:val="16"/>
        </w:rPr>
        <w:t>for</w:t>
      </w:r>
      <w:r w:rsidRPr="009B23C1">
        <w:rPr>
          <w:rStyle w:val="TablenotesChar"/>
          <w:rFonts w:cstheme="minorHAnsi"/>
          <w:szCs w:val="16"/>
        </w:rPr>
        <w:t xml:space="preserve"> the assessment </w:t>
      </w:r>
      <w:r w:rsidR="00B11338">
        <w:rPr>
          <w:rStyle w:val="TablenotesChar"/>
          <w:rFonts w:cstheme="minorHAnsi"/>
          <w:szCs w:val="16"/>
        </w:rPr>
        <w:t>report</w:t>
      </w:r>
      <w:r w:rsidRPr="009B23C1">
        <w:rPr>
          <w:rStyle w:val="TablenotesChar"/>
          <w:rFonts w:cstheme="minorHAnsi"/>
          <w:caps/>
          <w:szCs w:val="16"/>
        </w:rPr>
        <w:t>.</w:t>
      </w:r>
    </w:p>
    <w:p w14:paraId="7996C378" w14:textId="77777777" w:rsidR="00C31ADB" w:rsidRPr="00893E9E" w:rsidRDefault="00C31ADB" w:rsidP="00C31ADB">
      <w:pPr>
        <w:rPr>
          <w:rFonts w:ascii="Arial Narrow" w:hAnsi="Arial Narrow" w:cs="Tahoma"/>
          <w:snapToGrid w:val="0"/>
          <w:sz w:val="18"/>
          <w:szCs w:val="16"/>
        </w:rPr>
      </w:pPr>
      <w:r w:rsidRPr="00893E9E">
        <w:rPr>
          <w:rStyle w:val="TablenotesChar"/>
          <w:rFonts w:cs="Tahoma"/>
          <w:szCs w:val="16"/>
        </w:rPr>
        <w:t>Abbreviations: CI, confidence interval; FN, false negative; FP, false positive; TN, true negative; TP, true positive</w:t>
      </w:r>
    </w:p>
    <w:p w14:paraId="27D5C95B" w14:textId="77777777" w:rsidR="00C31ADB" w:rsidRPr="00516999" w:rsidRDefault="00C31ADB" w:rsidP="00516999">
      <w:pPr>
        <w:spacing w:before="240"/>
        <w:rPr>
          <w:rFonts w:ascii="Arial Narrow" w:hAnsi="Arial Narrow"/>
          <w:b/>
          <w:sz w:val="20"/>
        </w:rPr>
      </w:pPr>
      <w:r w:rsidRPr="00516999">
        <w:rPr>
          <w:rFonts w:ascii="Arial Narrow" w:hAnsi="Arial Narrow"/>
          <w:b/>
          <w:sz w:val="20"/>
        </w:rPr>
        <w:t>Table 4</w:t>
      </w:r>
      <w:r w:rsidRPr="00516999">
        <w:rPr>
          <w:rFonts w:ascii="Arial Narrow" w:hAnsi="Arial Narrow"/>
          <w:b/>
          <w:sz w:val="20"/>
        </w:rPr>
        <w:tab/>
        <w:t xml:space="preserve">Summary statistics for genome-wide microarray compared to conventional karyotyping (reference standard) for detecting </w:t>
      </w:r>
      <w:proofErr w:type="gramStart"/>
      <w:r w:rsidRPr="00516999">
        <w:rPr>
          <w:rFonts w:ascii="Arial Narrow" w:hAnsi="Arial Narrow"/>
          <w:b/>
          <w:sz w:val="20"/>
        </w:rPr>
        <w:t>del(</w:t>
      </w:r>
      <w:proofErr w:type="gramEnd"/>
      <w:r w:rsidRPr="00516999">
        <w:rPr>
          <w:rFonts w:ascii="Arial Narrow" w:hAnsi="Arial Narrow"/>
          <w:b/>
          <w:sz w:val="20"/>
        </w:rPr>
        <w:t>17p)/TP53 for patients with CLL</w:t>
      </w:r>
    </w:p>
    <w:tbl>
      <w:tblPr>
        <w:tblStyle w:val="TableGrid1"/>
        <w:tblW w:w="5000" w:type="pct"/>
        <w:tblInd w:w="0" w:type="dxa"/>
        <w:tblLook w:val="04A0" w:firstRow="1" w:lastRow="0" w:firstColumn="1" w:lastColumn="0" w:noHBand="0" w:noVBand="1"/>
        <w:tblCaption w:val="Summary statistics for genome-wide microarray compared to conventional karyotyping (reference standard) for detecting del(17p)/TP53 for patients with CLL"/>
        <w:tblDescription w:val="Summary statistics for genome-wide microarray compared to conventional karyotyping (reference standard) for detecting del(17p)/TP53 for patients with CLL"/>
      </w:tblPr>
      <w:tblGrid>
        <w:gridCol w:w="3550"/>
        <w:gridCol w:w="2698"/>
        <w:gridCol w:w="2768"/>
      </w:tblGrid>
      <w:tr w:rsidR="00C31ADB" w:rsidRPr="009B23C1" w14:paraId="016C7782" w14:textId="77777777" w:rsidTr="00516999">
        <w:trPr>
          <w:cnfStyle w:val="100000000000" w:firstRow="1" w:lastRow="0" w:firstColumn="0" w:lastColumn="0" w:oddVBand="0" w:evenVBand="0" w:oddHBand="0" w:evenHBand="0" w:firstRowFirstColumn="0" w:firstRowLastColumn="0" w:lastRowFirstColumn="0" w:lastRowLastColumn="0"/>
          <w:trHeight w:val="469"/>
          <w:tblHeader/>
        </w:trPr>
        <w:tc>
          <w:tcPr>
            <w:tcW w:w="1969" w:type="pct"/>
          </w:tcPr>
          <w:p w14:paraId="4F9A7E27" w14:textId="77777777" w:rsidR="00C31ADB" w:rsidRPr="009B23C1" w:rsidRDefault="00C31ADB" w:rsidP="003E798D">
            <w:pPr>
              <w:pStyle w:val="TableText0"/>
              <w:jc w:val="left"/>
              <w:rPr>
                <w:rFonts w:cs="Arial"/>
                <w:color w:val="1F497D"/>
                <w:szCs w:val="20"/>
              </w:rPr>
            </w:pPr>
            <w:r w:rsidRPr="009B23C1">
              <w:rPr>
                <w:b/>
              </w:rPr>
              <w:t xml:space="preserve">Accuracy </w:t>
            </w:r>
            <w:r w:rsidRPr="009B23C1">
              <w:t>(k=2)</w:t>
            </w:r>
          </w:p>
        </w:tc>
        <w:tc>
          <w:tcPr>
            <w:tcW w:w="1496" w:type="pct"/>
          </w:tcPr>
          <w:p w14:paraId="74E66CB1" w14:textId="77777777" w:rsidR="00C31ADB" w:rsidRPr="009B23C1" w:rsidRDefault="00C31ADB" w:rsidP="003E798D">
            <w:pPr>
              <w:pStyle w:val="TableText0"/>
              <w:jc w:val="center"/>
              <w:rPr>
                <w:b/>
              </w:rPr>
            </w:pPr>
            <w:r w:rsidRPr="009B23C1">
              <w:rPr>
                <w:b/>
              </w:rPr>
              <w:t>Index test</w:t>
            </w:r>
          </w:p>
          <w:p w14:paraId="46E4A9ED" w14:textId="77777777" w:rsidR="00C31ADB" w:rsidRPr="009B23C1" w:rsidRDefault="00C31ADB" w:rsidP="003E798D">
            <w:pPr>
              <w:pStyle w:val="TableText0"/>
              <w:jc w:val="center"/>
            </w:pPr>
            <w:r w:rsidRPr="009B23C1">
              <w:t>(n=153)</w:t>
            </w:r>
          </w:p>
        </w:tc>
        <w:tc>
          <w:tcPr>
            <w:tcW w:w="1535" w:type="pct"/>
          </w:tcPr>
          <w:p w14:paraId="4D57CB07" w14:textId="77777777" w:rsidR="00C31ADB" w:rsidRPr="009B23C1" w:rsidRDefault="00C31ADB" w:rsidP="003E798D">
            <w:pPr>
              <w:pStyle w:val="TableText0"/>
              <w:jc w:val="center"/>
              <w:rPr>
                <w:b/>
              </w:rPr>
            </w:pPr>
            <w:r w:rsidRPr="009B23C1">
              <w:rPr>
                <w:b/>
              </w:rPr>
              <w:t>Comparator</w:t>
            </w:r>
          </w:p>
          <w:p w14:paraId="3C14B4E5" w14:textId="77777777" w:rsidR="00C31ADB" w:rsidRPr="009B23C1" w:rsidRDefault="00C31ADB" w:rsidP="003E798D">
            <w:pPr>
              <w:pStyle w:val="TableText0"/>
              <w:jc w:val="center"/>
            </w:pPr>
            <w:r w:rsidRPr="009B23C1">
              <w:t>(n=153)</w:t>
            </w:r>
          </w:p>
        </w:tc>
      </w:tr>
      <w:tr w:rsidR="00C31ADB" w:rsidRPr="009B23C1" w14:paraId="7CF0EE93" w14:textId="77777777" w:rsidTr="00516999">
        <w:trPr>
          <w:trHeight w:val="255"/>
        </w:trPr>
        <w:tc>
          <w:tcPr>
            <w:tcW w:w="1969" w:type="pct"/>
          </w:tcPr>
          <w:p w14:paraId="39316030" w14:textId="77777777" w:rsidR="00C31ADB" w:rsidRPr="009B23C1" w:rsidRDefault="00C31ADB" w:rsidP="003E798D">
            <w:pPr>
              <w:spacing w:after="40"/>
              <w:rPr>
                <w:lang w:eastAsia="en-US"/>
              </w:rPr>
            </w:pPr>
            <w:r w:rsidRPr="009B23C1">
              <w:rPr>
                <w:lang w:eastAsia="en-US"/>
              </w:rPr>
              <w:t>Sensitivity, [95% CI]</w:t>
            </w:r>
          </w:p>
        </w:tc>
        <w:tc>
          <w:tcPr>
            <w:tcW w:w="1496" w:type="pct"/>
          </w:tcPr>
          <w:p w14:paraId="3643E07D" w14:textId="77777777" w:rsidR="00C31ADB" w:rsidRPr="009B23C1" w:rsidRDefault="00C31ADB" w:rsidP="003E798D">
            <w:pPr>
              <w:pStyle w:val="TableText0"/>
              <w:jc w:val="center"/>
            </w:pPr>
            <w:r w:rsidRPr="009B23C1">
              <w:rPr>
                <w:szCs w:val="18"/>
              </w:rPr>
              <w:t>0.86 [0.57-0.98]</w:t>
            </w:r>
          </w:p>
        </w:tc>
        <w:tc>
          <w:tcPr>
            <w:tcW w:w="1535" w:type="pct"/>
          </w:tcPr>
          <w:p w14:paraId="6507F28D" w14:textId="77777777" w:rsidR="00C31ADB" w:rsidRPr="009B23C1" w:rsidRDefault="00C31ADB" w:rsidP="003E798D">
            <w:pPr>
              <w:pStyle w:val="TableText0"/>
              <w:jc w:val="center"/>
            </w:pPr>
            <w:r w:rsidRPr="009B23C1">
              <w:t>1</w:t>
            </w:r>
          </w:p>
        </w:tc>
      </w:tr>
      <w:tr w:rsidR="00C31ADB" w:rsidRPr="009B23C1" w14:paraId="6F3A0283" w14:textId="77777777" w:rsidTr="00516999">
        <w:trPr>
          <w:trHeight w:val="259"/>
        </w:trPr>
        <w:tc>
          <w:tcPr>
            <w:tcW w:w="1969" w:type="pct"/>
          </w:tcPr>
          <w:p w14:paraId="41FD780F" w14:textId="77777777" w:rsidR="00C31ADB" w:rsidRPr="009B23C1" w:rsidRDefault="00C31ADB" w:rsidP="003E798D">
            <w:pPr>
              <w:pStyle w:val="TableText0"/>
            </w:pPr>
            <w:r w:rsidRPr="009B23C1">
              <w:t>Specificity, [95% CI]</w:t>
            </w:r>
          </w:p>
        </w:tc>
        <w:tc>
          <w:tcPr>
            <w:tcW w:w="1496" w:type="pct"/>
          </w:tcPr>
          <w:p w14:paraId="33F3BEA0" w14:textId="77777777" w:rsidR="00C31ADB" w:rsidRPr="009B23C1" w:rsidRDefault="00C31ADB" w:rsidP="003E798D">
            <w:pPr>
              <w:pStyle w:val="TableText0"/>
              <w:jc w:val="center"/>
            </w:pPr>
            <w:r w:rsidRPr="009B23C1">
              <w:rPr>
                <w:szCs w:val="18"/>
              </w:rPr>
              <w:t>0.94 [0.88-0.97]</w:t>
            </w:r>
          </w:p>
        </w:tc>
        <w:tc>
          <w:tcPr>
            <w:tcW w:w="1535" w:type="pct"/>
          </w:tcPr>
          <w:p w14:paraId="28E4DE89" w14:textId="77777777" w:rsidR="00C31ADB" w:rsidRPr="009B23C1" w:rsidRDefault="00C31ADB" w:rsidP="003E798D">
            <w:pPr>
              <w:pStyle w:val="TableText0"/>
              <w:jc w:val="center"/>
            </w:pPr>
            <w:r w:rsidRPr="009B23C1">
              <w:t>1</w:t>
            </w:r>
          </w:p>
        </w:tc>
      </w:tr>
      <w:tr w:rsidR="00C31ADB" w:rsidRPr="009B23C1" w14:paraId="4317E7E6" w14:textId="77777777" w:rsidTr="00516999">
        <w:trPr>
          <w:trHeight w:val="265"/>
        </w:trPr>
        <w:tc>
          <w:tcPr>
            <w:tcW w:w="1969" w:type="pct"/>
          </w:tcPr>
          <w:p w14:paraId="1F7F4624" w14:textId="77777777" w:rsidR="00C31ADB" w:rsidRPr="009B23C1" w:rsidRDefault="00C31ADB" w:rsidP="003E798D">
            <w:pPr>
              <w:pStyle w:val="TableText0"/>
            </w:pPr>
            <w:r w:rsidRPr="009B23C1">
              <w:t>Positive predictive value, [95% CI]</w:t>
            </w:r>
          </w:p>
        </w:tc>
        <w:tc>
          <w:tcPr>
            <w:tcW w:w="1496" w:type="pct"/>
          </w:tcPr>
          <w:p w14:paraId="70B291F1" w14:textId="77777777" w:rsidR="00C31ADB" w:rsidRPr="009B23C1" w:rsidRDefault="00C31ADB" w:rsidP="003E798D">
            <w:pPr>
              <w:pStyle w:val="TableText0"/>
              <w:jc w:val="center"/>
            </w:pPr>
            <w:r w:rsidRPr="009B23C1">
              <w:rPr>
                <w:szCs w:val="18"/>
              </w:rPr>
              <w:t>0.57 [0.41-0.72]</w:t>
            </w:r>
          </w:p>
        </w:tc>
        <w:tc>
          <w:tcPr>
            <w:tcW w:w="1535" w:type="pct"/>
          </w:tcPr>
          <w:p w14:paraId="0D95B39B" w14:textId="77777777" w:rsidR="00C31ADB" w:rsidRPr="009B23C1" w:rsidRDefault="00C31ADB" w:rsidP="003E798D">
            <w:pPr>
              <w:pStyle w:val="TableText0"/>
              <w:jc w:val="center"/>
            </w:pPr>
            <w:r w:rsidRPr="009B23C1">
              <w:t>1</w:t>
            </w:r>
          </w:p>
        </w:tc>
      </w:tr>
      <w:tr w:rsidR="00C31ADB" w:rsidRPr="009B23C1" w14:paraId="6BEF5253" w14:textId="77777777" w:rsidTr="00516999">
        <w:trPr>
          <w:trHeight w:val="197"/>
        </w:trPr>
        <w:tc>
          <w:tcPr>
            <w:tcW w:w="1969" w:type="pct"/>
          </w:tcPr>
          <w:p w14:paraId="07282AF0" w14:textId="77777777" w:rsidR="00C31ADB" w:rsidRPr="009B23C1" w:rsidRDefault="00C31ADB" w:rsidP="003E798D">
            <w:pPr>
              <w:pStyle w:val="TableText0"/>
            </w:pPr>
            <w:r w:rsidRPr="009B23C1">
              <w:t>Negative predictive value, [95% CI]</w:t>
            </w:r>
          </w:p>
        </w:tc>
        <w:tc>
          <w:tcPr>
            <w:tcW w:w="1496" w:type="pct"/>
          </w:tcPr>
          <w:p w14:paraId="2B03FE7F" w14:textId="77777777" w:rsidR="00C31ADB" w:rsidRPr="009B23C1" w:rsidRDefault="00C31ADB" w:rsidP="003E798D">
            <w:pPr>
              <w:pStyle w:val="TableText0"/>
              <w:jc w:val="center"/>
            </w:pPr>
            <w:r w:rsidRPr="009B23C1">
              <w:rPr>
                <w:szCs w:val="18"/>
              </w:rPr>
              <w:t>0.98 [0.95-0.99]</w:t>
            </w:r>
          </w:p>
        </w:tc>
        <w:tc>
          <w:tcPr>
            <w:tcW w:w="1535" w:type="pct"/>
          </w:tcPr>
          <w:p w14:paraId="534728A6" w14:textId="77777777" w:rsidR="00C31ADB" w:rsidRPr="009B23C1" w:rsidRDefault="00C31ADB" w:rsidP="003E798D">
            <w:pPr>
              <w:pStyle w:val="TableText0"/>
              <w:jc w:val="center"/>
            </w:pPr>
            <w:r w:rsidRPr="009B23C1">
              <w:t>1</w:t>
            </w:r>
          </w:p>
        </w:tc>
      </w:tr>
    </w:tbl>
    <w:p w14:paraId="57363B2E" w14:textId="1458CE63" w:rsidR="00C31ADB" w:rsidRPr="009B23C1" w:rsidRDefault="00C31ADB" w:rsidP="00C31ADB">
      <w:pPr>
        <w:rPr>
          <w:rFonts w:ascii="Arial Narrow" w:hAnsi="Arial Narrow"/>
          <w:sz w:val="18"/>
          <w:szCs w:val="16"/>
        </w:rPr>
      </w:pPr>
      <w:r w:rsidRPr="009B23C1">
        <w:rPr>
          <w:rFonts w:ascii="Arial Narrow" w:hAnsi="Arial Narrow"/>
          <w:sz w:val="18"/>
          <w:szCs w:val="16"/>
        </w:rPr>
        <w:t xml:space="preserve">Source: Table </w:t>
      </w:r>
      <w:r w:rsidRPr="009B23C1">
        <w:rPr>
          <w:rStyle w:val="TablenotesChar"/>
          <w:rFonts w:cstheme="minorHAnsi"/>
          <w:szCs w:val="16"/>
        </w:rPr>
        <w:t xml:space="preserve">constructed </w:t>
      </w:r>
      <w:r w:rsidR="00B11338">
        <w:rPr>
          <w:rStyle w:val="TablenotesChar"/>
          <w:rFonts w:cstheme="minorHAnsi"/>
          <w:szCs w:val="16"/>
        </w:rPr>
        <w:t>for</w:t>
      </w:r>
      <w:r w:rsidRPr="009B23C1">
        <w:rPr>
          <w:rStyle w:val="TablenotesChar"/>
          <w:rFonts w:cstheme="minorHAnsi"/>
          <w:szCs w:val="16"/>
        </w:rPr>
        <w:t xml:space="preserve"> the assessment </w:t>
      </w:r>
      <w:r w:rsidR="00B11338">
        <w:rPr>
          <w:rStyle w:val="TablenotesChar"/>
          <w:rFonts w:cstheme="minorHAnsi"/>
          <w:szCs w:val="16"/>
        </w:rPr>
        <w:t>report</w:t>
      </w:r>
      <w:r w:rsidRPr="009B23C1">
        <w:rPr>
          <w:rStyle w:val="TablenotesChar"/>
          <w:rFonts w:cstheme="minorHAnsi"/>
          <w:caps/>
          <w:szCs w:val="16"/>
        </w:rPr>
        <w:t>.</w:t>
      </w:r>
    </w:p>
    <w:p w14:paraId="56892575" w14:textId="77777777" w:rsidR="00C31ADB" w:rsidRPr="00893E9E" w:rsidRDefault="00C31ADB" w:rsidP="00C31ADB">
      <w:pPr>
        <w:rPr>
          <w:rFonts w:ascii="Arial Narrow" w:hAnsi="Arial Narrow"/>
          <w:vanish/>
          <w:sz w:val="28"/>
        </w:rPr>
      </w:pPr>
      <w:r w:rsidRPr="00893E9E">
        <w:rPr>
          <w:rFonts w:ascii="Arial Narrow" w:hAnsi="Arial Narrow"/>
          <w:sz w:val="18"/>
          <w:szCs w:val="16"/>
        </w:rPr>
        <w:t>Abbreviations: CI, confidence interval</w:t>
      </w:r>
    </w:p>
    <w:p w14:paraId="45A8BD64" w14:textId="6E393585" w:rsidR="00C31ADB" w:rsidRDefault="0017794F" w:rsidP="00490211">
      <w:pPr>
        <w:spacing w:before="240" w:after="240"/>
      </w:pPr>
      <w:r>
        <w:t>C</w:t>
      </w:r>
      <w:r w:rsidRPr="0018166D">
        <w:t xml:space="preserve">omparing </w:t>
      </w:r>
      <w:r>
        <w:t>GWMA</w:t>
      </w:r>
      <w:r w:rsidRPr="0018166D">
        <w:t xml:space="preserve"> to conventional karyotyping</w:t>
      </w:r>
      <w:r>
        <w:t xml:space="preserve"> (without FISH), the </w:t>
      </w:r>
      <w:r>
        <w:rPr>
          <w:szCs w:val="24"/>
        </w:rPr>
        <w:t>assessment report</w:t>
      </w:r>
      <w:r>
        <w:t xml:space="preserve"> noted GWMA</w:t>
      </w:r>
      <w:r w:rsidRPr="0018166D">
        <w:t xml:space="preserve"> detected </w:t>
      </w:r>
      <w:r w:rsidR="00A93CAB">
        <w:t>4</w:t>
      </w:r>
      <w:r w:rsidRPr="0018166D">
        <w:t>.</w:t>
      </w:r>
      <w:r w:rsidR="00A93CAB">
        <w:t>5</w:t>
      </w:r>
      <w:r w:rsidRPr="0018166D">
        <w:t xml:space="preserve">% more patients with a </w:t>
      </w:r>
      <w:proofErr w:type="gramStart"/>
      <w:r w:rsidR="00A93CAB">
        <w:rPr>
          <w:i/>
        </w:rPr>
        <w:t>del(</w:t>
      </w:r>
      <w:proofErr w:type="gramEnd"/>
      <w:r w:rsidR="00A93CAB">
        <w:rPr>
          <w:i/>
        </w:rPr>
        <w:t>17p)</w:t>
      </w:r>
      <w:r>
        <w:t xml:space="preserve"> (13.7% vs. 9.2%).</w:t>
      </w:r>
    </w:p>
    <w:p w14:paraId="75767174" w14:textId="5DE6B890" w:rsidR="00C31ADB" w:rsidRDefault="00C31ADB" w:rsidP="00C31ADB">
      <w:r>
        <w:t xml:space="preserve">The results using FISH as the reference standard from individual studies (n=2) is presented in Figure 8 and from the </w:t>
      </w:r>
      <w:r w:rsidR="000B6D56">
        <w:rPr>
          <w:szCs w:val="24"/>
        </w:rPr>
        <w:t>assessment report</w:t>
      </w:r>
      <w:r>
        <w:t>’s pooled analysis is presented in Table 5.</w:t>
      </w:r>
    </w:p>
    <w:p w14:paraId="5BEB5DF5" w14:textId="30ECE882" w:rsidR="00C31ADB" w:rsidRDefault="006409B9" w:rsidP="00490211">
      <w:pPr>
        <w:spacing w:before="240" w:after="240"/>
      </w:pPr>
      <w:r>
        <w:t xml:space="preserve">In </w:t>
      </w:r>
      <w:r w:rsidR="00B9410B">
        <w:t>its</w:t>
      </w:r>
      <w:r w:rsidR="009F1343">
        <w:t xml:space="preserve"> pre-MSAC response, the a</w:t>
      </w:r>
      <w:r>
        <w:t xml:space="preserve">pplicant noted the data for detection of CNVs in CLL and detection of </w:t>
      </w:r>
      <w:proofErr w:type="gramStart"/>
      <w:r w:rsidR="00A26FA7">
        <w:rPr>
          <w:i/>
        </w:rPr>
        <w:t>del(</w:t>
      </w:r>
      <w:proofErr w:type="gramEnd"/>
      <w:r w:rsidR="00A26FA7">
        <w:rPr>
          <w:i/>
        </w:rPr>
        <w:t>17p)</w:t>
      </w:r>
      <w:r>
        <w:t>/</w:t>
      </w:r>
      <w:r w:rsidRPr="007E7F6A">
        <w:rPr>
          <w:i/>
        </w:rPr>
        <w:t>TP53</w:t>
      </w:r>
      <w:r>
        <w:rPr>
          <w:i/>
        </w:rPr>
        <w:t xml:space="preserve"> </w:t>
      </w:r>
      <w:r>
        <w:t xml:space="preserve">in CLL is likely </w:t>
      </w:r>
      <w:r w:rsidRPr="006409B9">
        <w:t>to have come from a CGH array and not an SNP-microarray (used widely in Australian laboratories)</w:t>
      </w:r>
      <w:r>
        <w:t xml:space="preserve"> where the B allele frequency (BAF) </w:t>
      </w:r>
      <w:r w:rsidRPr="006409B9">
        <w:t>of the SNPs can be used as an internal control to confidently make calls</w:t>
      </w:r>
      <w:r>
        <w:t xml:space="preserve">. </w:t>
      </w:r>
      <w:r w:rsidRPr="006409B9">
        <w:t xml:space="preserve">SNP-microarrays should be stated as the </w:t>
      </w:r>
      <w:r>
        <w:t>preferred array choice as copy neutral loss of heterozygosity (</w:t>
      </w:r>
      <w:proofErr w:type="spellStart"/>
      <w:r>
        <w:t>cnLOH</w:t>
      </w:r>
      <w:proofErr w:type="spellEnd"/>
      <w:r>
        <w:t>)</w:t>
      </w:r>
      <w:r w:rsidRPr="006409B9">
        <w:t xml:space="preserve"> and internal control is paramount. SNP-microarrays also identif</w:t>
      </w:r>
      <w:r w:rsidR="0067733F">
        <w:t>y</w:t>
      </w:r>
      <w:r w:rsidRPr="006409B9">
        <w:t xml:space="preserve"> </w:t>
      </w:r>
      <w:proofErr w:type="spellStart"/>
      <w:r w:rsidRPr="006409B9">
        <w:t>triploid</w:t>
      </w:r>
      <w:r w:rsidR="0067733F">
        <w:t>y</w:t>
      </w:r>
      <w:proofErr w:type="spellEnd"/>
      <w:r w:rsidRPr="006409B9">
        <w:t xml:space="preserve"> and enable the alignment of data in complex hypo/hyper diploid samples. Clarification of the type of array used (CGH arrays or SNP-microarrays) should also be stated when discussing high false negative rates for </w:t>
      </w:r>
      <w:proofErr w:type="gramStart"/>
      <w:r w:rsidRPr="007E7F6A">
        <w:rPr>
          <w:i/>
        </w:rPr>
        <w:t>del(</w:t>
      </w:r>
      <w:proofErr w:type="gramEnd"/>
      <w:r w:rsidRPr="007E7F6A">
        <w:rPr>
          <w:i/>
        </w:rPr>
        <w:t>17p)/TP53</w:t>
      </w:r>
      <w:r w:rsidR="009B65CA">
        <w:t xml:space="preserve"> in </w:t>
      </w:r>
      <w:r w:rsidRPr="006409B9">
        <w:t>patients</w:t>
      </w:r>
      <w:r w:rsidR="009B65CA">
        <w:t xml:space="preserve"> with CLL</w:t>
      </w:r>
      <w:r w:rsidR="00AE424C">
        <w:t>. The Applicant also highlighted how “Guidelines indicate SNP-microarrays should be sued for investigation of malignancies and not CGH arrays</w:t>
      </w:r>
      <w:r w:rsidR="00B9410B">
        <w:t>”</w:t>
      </w:r>
      <w:r w:rsidR="00AE424C">
        <w:t xml:space="preserve"> (Rack et al. 2019; </w:t>
      </w:r>
      <w:proofErr w:type="spellStart"/>
      <w:r w:rsidR="00AE424C">
        <w:t>Schoumans</w:t>
      </w:r>
      <w:proofErr w:type="spellEnd"/>
      <w:r w:rsidR="00AE424C">
        <w:t xml:space="preserve"> et al. 2016).</w:t>
      </w:r>
      <w:r w:rsidR="00407DA5">
        <w:t xml:space="preserve"> </w:t>
      </w:r>
      <w:r w:rsidR="004806F3">
        <w:t>Of the 14 studies in CLL, only Zhang et al. 2011 compared the use of a SNP-array alone to FISH.</w:t>
      </w:r>
    </w:p>
    <w:p w14:paraId="6F8072B7" w14:textId="77777777" w:rsidR="00C31ADB" w:rsidRDefault="00C31ADB" w:rsidP="00C31ADB">
      <w:pPr>
        <w:pStyle w:val="Tabletext"/>
        <w:keepNext/>
        <w:spacing w:after="120"/>
        <w:rPr>
          <w:noProof/>
        </w:rPr>
      </w:pPr>
      <w:bookmarkStart w:id="19" w:name="_Ref536802234"/>
      <w:bookmarkStart w:id="20" w:name="_Toc10618119"/>
      <w:r w:rsidRPr="00C07241">
        <w:rPr>
          <w:b/>
          <w:bCs/>
        </w:rPr>
        <w:t xml:space="preserve">Figure </w:t>
      </w:r>
      <w:bookmarkEnd w:id="19"/>
      <w:r>
        <w:rPr>
          <w:b/>
          <w:bCs/>
        </w:rPr>
        <w:t>8</w:t>
      </w:r>
      <w:r>
        <w:rPr>
          <w:b/>
          <w:bCs/>
        </w:rPr>
        <w:tab/>
        <w:t>Forest plot of s</w:t>
      </w:r>
      <w:r w:rsidRPr="00C07241">
        <w:rPr>
          <w:b/>
          <w:bCs/>
        </w:rPr>
        <w:t xml:space="preserve">ensitivity and specificity of genome-wide microarray compared to FISH in the detection of </w:t>
      </w:r>
      <w:proofErr w:type="gramStart"/>
      <w:r w:rsidRPr="00081B35">
        <w:rPr>
          <w:b/>
          <w:bCs/>
          <w:i/>
        </w:rPr>
        <w:t>del(</w:t>
      </w:r>
      <w:proofErr w:type="gramEnd"/>
      <w:r w:rsidRPr="00081B35">
        <w:rPr>
          <w:b/>
          <w:bCs/>
          <w:i/>
        </w:rPr>
        <w:t>17p)</w:t>
      </w:r>
      <w:r w:rsidRPr="00370ADC">
        <w:rPr>
          <w:b/>
          <w:bCs/>
        </w:rPr>
        <w:t>/</w:t>
      </w:r>
      <w:r w:rsidRPr="009E338F">
        <w:rPr>
          <w:b/>
          <w:bCs/>
          <w:i/>
        </w:rPr>
        <w:t xml:space="preserve">TP53 </w:t>
      </w:r>
      <w:r w:rsidRPr="00C07241">
        <w:rPr>
          <w:b/>
          <w:bCs/>
        </w:rPr>
        <w:t>in CLL studies</w:t>
      </w:r>
      <w:bookmarkEnd w:id="20"/>
    </w:p>
    <w:p w14:paraId="2DBDDA35" w14:textId="77777777" w:rsidR="00C31ADB" w:rsidRDefault="00C31ADB" w:rsidP="00C31ADB">
      <w:pPr>
        <w:rPr>
          <w:rStyle w:val="TablenotesChar"/>
          <w:rFonts w:ascii="Calibri" w:hAnsi="Calibri" w:cs="Tahoma"/>
          <w:sz w:val="22"/>
        </w:rPr>
      </w:pPr>
      <w:r>
        <w:rPr>
          <w:noProof/>
        </w:rPr>
        <w:drawing>
          <wp:inline distT="0" distB="0" distL="0" distR="0" wp14:anchorId="551DCD63" wp14:editId="735D39CF">
            <wp:extent cx="5731510" cy="1760220"/>
            <wp:effectExtent l="19050" t="19050" r="21590" b="11430"/>
            <wp:docPr id="16" name="Picture 16" descr="Forest plot of diagnostic performance of array compared to FISH in detecting del17p in C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1760220"/>
                    </a:xfrm>
                    <a:prstGeom prst="rect">
                      <a:avLst/>
                    </a:prstGeom>
                    <a:ln>
                      <a:solidFill>
                        <a:schemeClr val="tx1"/>
                      </a:solidFill>
                    </a:ln>
                  </pic:spPr>
                </pic:pic>
              </a:graphicData>
            </a:graphic>
          </wp:inline>
        </w:drawing>
      </w:r>
    </w:p>
    <w:p w14:paraId="6768E351" w14:textId="08A1C3B3" w:rsidR="00C31ADB" w:rsidRPr="009B23C1" w:rsidRDefault="00C31ADB" w:rsidP="00C31ADB">
      <w:pPr>
        <w:rPr>
          <w:rStyle w:val="TablenotesChar"/>
          <w:rFonts w:cs="Tahoma"/>
          <w:szCs w:val="16"/>
        </w:rPr>
      </w:pPr>
      <w:r w:rsidRPr="009B23C1">
        <w:rPr>
          <w:rStyle w:val="TablenotesChar"/>
          <w:rFonts w:cs="Tahoma"/>
          <w:szCs w:val="16"/>
        </w:rPr>
        <w:t xml:space="preserve">Source: Figure </w:t>
      </w:r>
      <w:r w:rsidRPr="009B23C1">
        <w:rPr>
          <w:rStyle w:val="TablenotesChar"/>
          <w:rFonts w:cstheme="minorHAnsi"/>
          <w:szCs w:val="16"/>
        </w:rPr>
        <w:t xml:space="preserve">constructed </w:t>
      </w:r>
      <w:r w:rsidR="00B11338">
        <w:rPr>
          <w:rStyle w:val="TablenotesChar"/>
          <w:rFonts w:cstheme="minorHAnsi"/>
          <w:szCs w:val="16"/>
        </w:rPr>
        <w:t>for</w:t>
      </w:r>
      <w:r w:rsidRPr="009B23C1">
        <w:rPr>
          <w:rStyle w:val="TablenotesChar"/>
          <w:rFonts w:cstheme="minorHAnsi"/>
          <w:szCs w:val="16"/>
        </w:rPr>
        <w:t xml:space="preserve"> the assessment </w:t>
      </w:r>
      <w:r w:rsidR="00B11338">
        <w:rPr>
          <w:rStyle w:val="TablenotesChar"/>
          <w:rFonts w:cstheme="minorHAnsi"/>
          <w:szCs w:val="16"/>
        </w:rPr>
        <w:t>report</w:t>
      </w:r>
      <w:r w:rsidRPr="009B23C1">
        <w:rPr>
          <w:rStyle w:val="TablenotesChar"/>
          <w:rFonts w:cstheme="minorHAnsi"/>
          <w:caps/>
          <w:szCs w:val="16"/>
        </w:rPr>
        <w:t>.</w:t>
      </w:r>
    </w:p>
    <w:p w14:paraId="739DF49E" w14:textId="3B694885" w:rsidR="004806F3" w:rsidRPr="00B9410B" w:rsidRDefault="00C31ADB">
      <w:pPr>
        <w:rPr>
          <w:rFonts w:ascii="Arial Narrow" w:hAnsi="Arial Narrow"/>
          <w:i/>
          <w:sz w:val="18"/>
          <w:szCs w:val="18"/>
        </w:rPr>
      </w:pPr>
      <w:r w:rsidRPr="00893E9E">
        <w:rPr>
          <w:rStyle w:val="TablenotesChar"/>
          <w:rFonts w:cs="Tahoma"/>
          <w:szCs w:val="16"/>
        </w:rPr>
        <w:t>Abbreviations: CI, confidence intervals; FN, false negative; FP, false positive; TN, true negative; TP, true positive</w:t>
      </w:r>
    </w:p>
    <w:p w14:paraId="2867B255" w14:textId="77777777" w:rsidR="00C31ADB" w:rsidRPr="00516999" w:rsidRDefault="00C31ADB" w:rsidP="00516999">
      <w:pPr>
        <w:spacing w:before="240"/>
        <w:rPr>
          <w:rFonts w:ascii="Arial Narrow" w:hAnsi="Arial Narrow"/>
          <w:b/>
          <w:sz w:val="20"/>
        </w:rPr>
      </w:pPr>
      <w:bookmarkStart w:id="21" w:name="_Ref2778404"/>
      <w:bookmarkStart w:id="22" w:name="_Toc10618058"/>
      <w:r w:rsidRPr="00516999">
        <w:rPr>
          <w:rFonts w:ascii="Arial Narrow" w:hAnsi="Arial Narrow"/>
          <w:b/>
          <w:sz w:val="20"/>
        </w:rPr>
        <w:t xml:space="preserve">Table </w:t>
      </w:r>
      <w:bookmarkEnd w:id="21"/>
      <w:r w:rsidRPr="00516999">
        <w:rPr>
          <w:rFonts w:ascii="Arial Narrow" w:hAnsi="Arial Narrow"/>
          <w:b/>
          <w:sz w:val="20"/>
        </w:rPr>
        <w:t>5</w:t>
      </w:r>
      <w:r w:rsidRPr="00516999">
        <w:rPr>
          <w:rFonts w:ascii="Arial Narrow" w:hAnsi="Arial Narrow"/>
          <w:b/>
          <w:sz w:val="20"/>
        </w:rPr>
        <w:tab/>
        <w:t xml:space="preserve">Summary statistics for genome-wide microarray compared to FISH (reference standard) for detecting </w:t>
      </w:r>
      <w:proofErr w:type="gramStart"/>
      <w:r w:rsidRPr="00516999">
        <w:rPr>
          <w:rFonts w:ascii="Arial Narrow" w:hAnsi="Arial Narrow"/>
          <w:b/>
          <w:sz w:val="20"/>
        </w:rPr>
        <w:t>del(</w:t>
      </w:r>
      <w:proofErr w:type="gramEnd"/>
      <w:r w:rsidRPr="00516999">
        <w:rPr>
          <w:rFonts w:ascii="Arial Narrow" w:hAnsi="Arial Narrow"/>
          <w:b/>
          <w:sz w:val="20"/>
        </w:rPr>
        <w:t>17p)/TP53 for patients with CLL</w:t>
      </w:r>
      <w:bookmarkEnd w:id="22"/>
    </w:p>
    <w:tbl>
      <w:tblPr>
        <w:tblStyle w:val="TableGrid1"/>
        <w:tblW w:w="5000" w:type="pct"/>
        <w:tblInd w:w="0" w:type="dxa"/>
        <w:tblLook w:val="04A0" w:firstRow="1" w:lastRow="0" w:firstColumn="1" w:lastColumn="0" w:noHBand="0" w:noVBand="1"/>
        <w:tblCaption w:val="Summary statistics for genome-wide microarray compared to FISH (reference standard) for detecting del(17p)/TP53 for patients with CLL"/>
        <w:tblDescription w:val="Summary statistics for genome-wide microarray compared to FISH (reference standard) for detecting del(17p)/TP53 for patients with CLL"/>
      </w:tblPr>
      <w:tblGrid>
        <w:gridCol w:w="3550"/>
        <w:gridCol w:w="2698"/>
        <w:gridCol w:w="2768"/>
      </w:tblGrid>
      <w:tr w:rsidR="00C31ADB" w:rsidRPr="003E478A" w14:paraId="35216611" w14:textId="77777777" w:rsidTr="00516999">
        <w:trPr>
          <w:cnfStyle w:val="100000000000" w:firstRow="1" w:lastRow="0" w:firstColumn="0" w:lastColumn="0" w:oddVBand="0" w:evenVBand="0" w:oddHBand="0" w:evenHBand="0" w:firstRowFirstColumn="0" w:firstRowLastColumn="0" w:lastRowFirstColumn="0" w:lastRowLastColumn="0"/>
          <w:trHeight w:val="469"/>
          <w:tblHeader/>
        </w:trPr>
        <w:tc>
          <w:tcPr>
            <w:tcW w:w="1969" w:type="pct"/>
          </w:tcPr>
          <w:p w14:paraId="2D312752" w14:textId="77777777" w:rsidR="00C31ADB" w:rsidRPr="003E478A" w:rsidRDefault="00C31ADB" w:rsidP="003E798D">
            <w:pPr>
              <w:pStyle w:val="TableText0"/>
              <w:jc w:val="center"/>
              <w:rPr>
                <w:rFonts w:cs="Arial"/>
                <w:color w:val="1F497D"/>
                <w:szCs w:val="20"/>
              </w:rPr>
            </w:pPr>
            <w:r w:rsidRPr="003E478A">
              <w:rPr>
                <w:b/>
              </w:rPr>
              <w:t xml:space="preserve">Accuracy </w:t>
            </w:r>
            <w:r w:rsidRPr="003E478A">
              <w:t>(k=12)</w:t>
            </w:r>
          </w:p>
        </w:tc>
        <w:tc>
          <w:tcPr>
            <w:tcW w:w="1496" w:type="pct"/>
          </w:tcPr>
          <w:p w14:paraId="51BE305B" w14:textId="77777777" w:rsidR="00C31ADB" w:rsidRPr="003E478A" w:rsidRDefault="00C31ADB" w:rsidP="003E798D">
            <w:pPr>
              <w:pStyle w:val="TableText0"/>
              <w:jc w:val="center"/>
              <w:rPr>
                <w:b/>
              </w:rPr>
            </w:pPr>
            <w:r w:rsidRPr="003E478A">
              <w:rPr>
                <w:b/>
              </w:rPr>
              <w:t>Index test</w:t>
            </w:r>
          </w:p>
          <w:p w14:paraId="0851FC69" w14:textId="77777777" w:rsidR="00C31ADB" w:rsidRPr="003E478A" w:rsidRDefault="00C31ADB" w:rsidP="003E798D">
            <w:pPr>
              <w:pStyle w:val="TableText0"/>
              <w:jc w:val="center"/>
            </w:pPr>
            <w:r w:rsidRPr="003E478A">
              <w:t>(n=570)</w:t>
            </w:r>
          </w:p>
        </w:tc>
        <w:tc>
          <w:tcPr>
            <w:tcW w:w="1535" w:type="pct"/>
          </w:tcPr>
          <w:p w14:paraId="4C4D0A75" w14:textId="77777777" w:rsidR="00C31ADB" w:rsidRPr="003E478A" w:rsidRDefault="00C31ADB" w:rsidP="003E798D">
            <w:pPr>
              <w:pStyle w:val="TableText0"/>
              <w:jc w:val="center"/>
              <w:rPr>
                <w:b/>
              </w:rPr>
            </w:pPr>
            <w:r w:rsidRPr="003E478A">
              <w:rPr>
                <w:b/>
              </w:rPr>
              <w:t>Comparator</w:t>
            </w:r>
          </w:p>
          <w:p w14:paraId="4296FAD4" w14:textId="77777777" w:rsidR="00C31ADB" w:rsidRPr="003E478A" w:rsidRDefault="00C31ADB" w:rsidP="003E798D">
            <w:pPr>
              <w:pStyle w:val="TableText0"/>
              <w:jc w:val="center"/>
            </w:pPr>
            <w:r w:rsidRPr="003E478A">
              <w:t>(n=570)</w:t>
            </w:r>
          </w:p>
        </w:tc>
      </w:tr>
      <w:tr w:rsidR="00C31ADB" w:rsidRPr="003E478A" w14:paraId="4B70695B" w14:textId="77777777" w:rsidTr="00516999">
        <w:trPr>
          <w:trHeight w:val="255"/>
        </w:trPr>
        <w:tc>
          <w:tcPr>
            <w:tcW w:w="1969" w:type="pct"/>
          </w:tcPr>
          <w:p w14:paraId="5D5565DA" w14:textId="77777777" w:rsidR="00C31ADB" w:rsidRPr="003E478A" w:rsidRDefault="00C31ADB" w:rsidP="003E798D">
            <w:pPr>
              <w:spacing w:after="40"/>
              <w:rPr>
                <w:lang w:eastAsia="en-US"/>
              </w:rPr>
            </w:pPr>
            <w:r w:rsidRPr="003E478A">
              <w:rPr>
                <w:lang w:eastAsia="en-US"/>
              </w:rPr>
              <w:t>Sensitivity, [95% CI]</w:t>
            </w:r>
          </w:p>
        </w:tc>
        <w:tc>
          <w:tcPr>
            <w:tcW w:w="1496" w:type="pct"/>
          </w:tcPr>
          <w:p w14:paraId="30314792" w14:textId="77777777" w:rsidR="00C31ADB" w:rsidRPr="003E478A" w:rsidRDefault="00C31ADB" w:rsidP="003E798D">
            <w:pPr>
              <w:pStyle w:val="TableText0"/>
              <w:jc w:val="center"/>
            </w:pPr>
            <w:bookmarkStart w:id="23" w:name="_Hlk2766826"/>
            <w:r w:rsidRPr="003E478A">
              <w:rPr>
                <w:rFonts w:cs="Arial"/>
                <w:szCs w:val="18"/>
              </w:rPr>
              <w:t>0.71 [0.60-0.80]</w:t>
            </w:r>
            <w:bookmarkEnd w:id="23"/>
          </w:p>
        </w:tc>
        <w:tc>
          <w:tcPr>
            <w:tcW w:w="1535" w:type="pct"/>
          </w:tcPr>
          <w:p w14:paraId="6D936AAD" w14:textId="77777777" w:rsidR="00C31ADB" w:rsidRPr="003E478A" w:rsidRDefault="00C31ADB" w:rsidP="003E798D">
            <w:pPr>
              <w:pStyle w:val="TableText0"/>
              <w:jc w:val="center"/>
            </w:pPr>
            <w:r w:rsidRPr="003E478A">
              <w:t>1</w:t>
            </w:r>
          </w:p>
        </w:tc>
      </w:tr>
      <w:tr w:rsidR="00C31ADB" w:rsidRPr="003E478A" w14:paraId="1F79938C" w14:textId="77777777" w:rsidTr="00516999">
        <w:trPr>
          <w:trHeight w:val="351"/>
        </w:trPr>
        <w:tc>
          <w:tcPr>
            <w:tcW w:w="1969" w:type="pct"/>
          </w:tcPr>
          <w:p w14:paraId="3286A14D" w14:textId="77777777" w:rsidR="00C31ADB" w:rsidRPr="003E478A" w:rsidRDefault="00C31ADB" w:rsidP="003E798D">
            <w:pPr>
              <w:pStyle w:val="TableText0"/>
            </w:pPr>
            <w:r w:rsidRPr="003E478A">
              <w:t>Specificity, [95% CI]</w:t>
            </w:r>
          </w:p>
        </w:tc>
        <w:tc>
          <w:tcPr>
            <w:tcW w:w="1496" w:type="pct"/>
          </w:tcPr>
          <w:p w14:paraId="71E6C742" w14:textId="77777777" w:rsidR="00C31ADB" w:rsidRPr="003E478A" w:rsidRDefault="00C31ADB" w:rsidP="003E798D">
            <w:pPr>
              <w:pStyle w:val="TableText0"/>
              <w:jc w:val="center"/>
            </w:pPr>
            <w:r w:rsidRPr="003E478A">
              <w:rPr>
                <w:rFonts w:cs="Arial"/>
                <w:szCs w:val="18"/>
              </w:rPr>
              <w:t>0.99 [0.98-1.00]</w:t>
            </w:r>
          </w:p>
        </w:tc>
        <w:tc>
          <w:tcPr>
            <w:tcW w:w="1535" w:type="pct"/>
          </w:tcPr>
          <w:p w14:paraId="3D772956" w14:textId="77777777" w:rsidR="00C31ADB" w:rsidRPr="003E478A" w:rsidRDefault="00C31ADB" w:rsidP="003E798D">
            <w:pPr>
              <w:pStyle w:val="TableText0"/>
              <w:jc w:val="center"/>
            </w:pPr>
            <w:r w:rsidRPr="003E478A">
              <w:t>1</w:t>
            </w:r>
          </w:p>
        </w:tc>
      </w:tr>
      <w:tr w:rsidR="00C31ADB" w:rsidRPr="003E478A" w14:paraId="0214DF43" w14:textId="77777777" w:rsidTr="00516999">
        <w:trPr>
          <w:trHeight w:val="285"/>
        </w:trPr>
        <w:tc>
          <w:tcPr>
            <w:tcW w:w="1969" w:type="pct"/>
          </w:tcPr>
          <w:p w14:paraId="161E2A65" w14:textId="77777777" w:rsidR="00C31ADB" w:rsidRPr="003E478A" w:rsidRDefault="00C31ADB" w:rsidP="003E798D">
            <w:pPr>
              <w:pStyle w:val="TableText0"/>
            </w:pPr>
            <w:r w:rsidRPr="003E478A">
              <w:t>Positive predictive value, [95% CI]</w:t>
            </w:r>
          </w:p>
        </w:tc>
        <w:tc>
          <w:tcPr>
            <w:tcW w:w="1496" w:type="pct"/>
          </w:tcPr>
          <w:p w14:paraId="1E4D1193" w14:textId="77777777" w:rsidR="00C31ADB" w:rsidRPr="003E478A" w:rsidRDefault="00C31ADB" w:rsidP="003E798D">
            <w:pPr>
              <w:pStyle w:val="TableText0"/>
              <w:jc w:val="center"/>
            </w:pPr>
            <w:r w:rsidRPr="003E478A">
              <w:rPr>
                <w:rFonts w:cs="Arial"/>
                <w:szCs w:val="18"/>
              </w:rPr>
              <w:t>0.95 [0.87-0.98]</w:t>
            </w:r>
          </w:p>
        </w:tc>
        <w:tc>
          <w:tcPr>
            <w:tcW w:w="1535" w:type="pct"/>
          </w:tcPr>
          <w:p w14:paraId="0DA806AD" w14:textId="77777777" w:rsidR="00C31ADB" w:rsidRPr="003E478A" w:rsidRDefault="00C31ADB" w:rsidP="003E798D">
            <w:pPr>
              <w:pStyle w:val="TableText0"/>
              <w:jc w:val="center"/>
            </w:pPr>
            <w:r w:rsidRPr="003E478A">
              <w:t>1</w:t>
            </w:r>
          </w:p>
        </w:tc>
      </w:tr>
      <w:tr w:rsidR="00C31ADB" w:rsidRPr="003E478A" w14:paraId="4BA4BF26" w14:textId="77777777" w:rsidTr="00516999">
        <w:trPr>
          <w:trHeight w:val="247"/>
        </w:trPr>
        <w:tc>
          <w:tcPr>
            <w:tcW w:w="1969" w:type="pct"/>
          </w:tcPr>
          <w:p w14:paraId="75C5BA98" w14:textId="77777777" w:rsidR="00C31ADB" w:rsidRPr="003E478A" w:rsidRDefault="00C31ADB" w:rsidP="003E798D">
            <w:pPr>
              <w:pStyle w:val="TableText0"/>
            </w:pPr>
            <w:r w:rsidRPr="003E478A">
              <w:t>Negative predictive value, [95% CI]</w:t>
            </w:r>
          </w:p>
        </w:tc>
        <w:tc>
          <w:tcPr>
            <w:tcW w:w="1496" w:type="pct"/>
          </w:tcPr>
          <w:p w14:paraId="3D944E56" w14:textId="77777777" w:rsidR="00C31ADB" w:rsidRPr="003E478A" w:rsidRDefault="00C31ADB" w:rsidP="003E798D">
            <w:pPr>
              <w:pStyle w:val="TableText0"/>
              <w:jc w:val="center"/>
            </w:pPr>
            <w:r w:rsidRPr="003E478A">
              <w:rPr>
                <w:rFonts w:cs="Arial"/>
                <w:szCs w:val="18"/>
              </w:rPr>
              <w:t>0.95 [0.93-0.96]</w:t>
            </w:r>
          </w:p>
        </w:tc>
        <w:tc>
          <w:tcPr>
            <w:tcW w:w="1535" w:type="pct"/>
          </w:tcPr>
          <w:p w14:paraId="7D8E000C" w14:textId="77777777" w:rsidR="00C31ADB" w:rsidRPr="003E478A" w:rsidRDefault="00C31ADB" w:rsidP="003E798D">
            <w:pPr>
              <w:pStyle w:val="TableText0"/>
              <w:jc w:val="center"/>
            </w:pPr>
            <w:r w:rsidRPr="003E478A">
              <w:t>1</w:t>
            </w:r>
          </w:p>
        </w:tc>
      </w:tr>
    </w:tbl>
    <w:p w14:paraId="0A45F923" w14:textId="1F98EEBA" w:rsidR="00C31ADB" w:rsidRPr="003E478A" w:rsidRDefault="00C31ADB" w:rsidP="00C31ADB">
      <w:pPr>
        <w:rPr>
          <w:rFonts w:ascii="Arial Narrow" w:hAnsi="Arial Narrow"/>
          <w:sz w:val="18"/>
          <w:szCs w:val="16"/>
        </w:rPr>
      </w:pPr>
      <w:r w:rsidRPr="003E478A">
        <w:rPr>
          <w:rFonts w:ascii="Arial Narrow" w:hAnsi="Arial Narrow"/>
          <w:sz w:val="18"/>
          <w:szCs w:val="16"/>
        </w:rPr>
        <w:t xml:space="preserve">Source: Table </w:t>
      </w:r>
      <w:r w:rsidRPr="009B23C1">
        <w:rPr>
          <w:rStyle w:val="TablenotesChar"/>
          <w:rFonts w:cstheme="minorHAnsi"/>
          <w:szCs w:val="16"/>
        </w:rPr>
        <w:t xml:space="preserve">constructed </w:t>
      </w:r>
      <w:r w:rsidR="00B11338">
        <w:rPr>
          <w:rStyle w:val="TablenotesChar"/>
          <w:rFonts w:cstheme="minorHAnsi"/>
          <w:szCs w:val="16"/>
        </w:rPr>
        <w:t>for</w:t>
      </w:r>
      <w:r w:rsidRPr="009B23C1">
        <w:rPr>
          <w:rStyle w:val="TablenotesChar"/>
          <w:rFonts w:cstheme="minorHAnsi"/>
          <w:szCs w:val="16"/>
        </w:rPr>
        <w:t xml:space="preserve"> the assessment </w:t>
      </w:r>
      <w:r w:rsidR="00B11338">
        <w:rPr>
          <w:rStyle w:val="TablenotesChar"/>
          <w:rFonts w:cstheme="minorHAnsi"/>
          <w:szCs w:val="16"/>
        </w:rPr>
        <w:t>report</w:t>
      </w:r>
      <w:r>
        <w:rPr>
          <w:rStyle w:val="TablenotesChar"/>
          <w:rFonts w:cstheme="minorHAnsi"/>
          <w:caps/>
          <w:szCs w:val="16"/>
        </w:rPr>
        <w:t>.</w:t>
      </w:r>
    </w:p>
    <w:p w14:paraId="1C89A61F" w14:textId="70AE3763" w:rsidR="00C31ADB" w:rsidRPr="00490211" w:rsidRDefault="00C31ADB" w:rsidP="00490211">
      <w:pPr>
        <w:spacing w:after="240"/>
        <w:rPr>
          <w:rFonts w:ascii="Arial Narrow" w:hAnsi="Arial Narrow"/>
          <w:sz w:val="18"/>
          <w:szCs w:val="16"/>
        </w:rPr>
      </w:pPr>
      <w:r w:rsidRPr="00893E9E">
        <w:rPr>
          <w:rFonts w:ascii="Arial Narrow" w:hAnsi="Arial Narrow"/>
          <w:sz w:val="18"/>
          <w:szCs w:val="16"/>
        </w:rPr>
        <w:t>Abbreviations: CI, confidence interval</w:t>
      </w:r>
    </w:p>
    <w:p w14:paraId="173A1370" w14:textId="1F31574D" w:rsidR="003E798D" w:rsidRDefault="00C31ADB" w:rsidP="00490211">
      <w:pPr>
        <w:spacing w:after="240"/>
      </w:pPr>
      <w:r>
        <w:t xml:space="preserve">GWMA had a low PPV for the detection of </w:t>
      </w:r>
      <w:proofErr w:type="gramStart"/>
      <w:r>
        <w:rPr>
          <w:i/>
        </w:rPr>
        <w:t>del(</w:t>
      </w:r>
      <w:proofErr w:type="gramEnd"/>
      <w:r>
        <w:rPr>
          <w:i/>
        </w:rPr>
        <w:t>17p)</w:t>
      </w:r>
      <w:r w:rsidRPr="00370ADC">
        <w:t>/</w:t>
      </w:r>
      <w:r>
        <w:rPr>
          <w:i/>
        </w:rPr>
        <w:t>TP53</w:t>
      </w:r>
      <w:r>
        <w:t xml:space="preserve"> against conventional karyotyping</w:t>
      </w:r>
      <w:r w:rsidRPr="00A8521B">
        <w:rPr>
          <w:rFonts w:asciiTheme="minorHAnsi" w:hAnsiTheme="minorHAnsi" w:cstheme="minorHAnsi"/>
        </w:rPr>
        <w:t xml:space="preserve"> </w:t>
      </w:r>
      <w:r w:rsidRPr="003E478A">
        <w:t>only (</w:t>
      </w:r>
      <w:r w:rsidRPr="003E478A">
        <w:rPr>
          <w:szCs w:val="18"/>
        </w:rPr>
        <w:t>0.57 [0.41-0.72])</w:t>
      </w:r>
      <w:r w:rsidRPr="003E478A">
        <w:rPr>
          <w:i/>
          <w:szCs w:val="18"/>
        </w:rPr>
        <w:t xml:space="preserve">. </w:t>
      </w:r>
      <w:r w:rsidRPr="00CE3AB4">
        <w:t xml:space="preserve">This is likely due to the high false positive rate of </w:t>
      </w:r>
      <w:r>
        <w:t>GWMA</w:t>
      </w:r>
      <w:r w:rsidRPr="00CE3AB4">
        <w:t xml:space="preserve"> against conventional karyotyping. For other analyses</w:t>
      </w:r>
      <w:r>
        <w:t xml:space="preserve"> (</w:t>
      </w:r>
      <w:r w:rsidRPr="00CE3AB4">
        <w:rPr>
          <w:i/>
        </w:rPr>
        <w:t>vs.</w:t>
      </w:r>
      <w:r>
        <w:t xml:space="preserve"> FISH)</w:t>
      </w:r>
      <w:r w:rsidRPr="00CE3AB4">
        <w:t>, a PPV of 95% or above was calculated.</w:t>
      </w:r>
    </w:p>
    <w:p w14:paraId="65864E10" w14:textId="5DA6F3C5" w:rsidR="00C31ADB" w:rsidRDefault="003E798D" w:rsidP="00490211">
      <w:pPr>
        <w:spacing w:after="240"/>
      </w:pPr>
      <w:r>
        <w:t xml:space="preserve">In </w:t>
      </w:r>
      <w:r w:rsidR="00CC0A53">
        <w:t>its</w:t>
      </w:r>
      <w:r>
        <w:t xml:space="preserve"> pre-MSAC response, the Applicant stated </w:t>
      </w:r>
      <w:r w:rsidRPr="003E798D">
        <w:t xml:space="preserve">GWMA will detect the abnormalities targeted by FISH including 17p deletions; however, in </w:t>
      </w:r>
      <w:r w:rsidR="00407DA5">
        <w:t>some circumstances (such as low tumour percentages)</w:t>
      </w:r>
      <w:r w:rsidRPr="003E798D">
        <w:t xml:space="preserve">, GWMA </w:t>
      </w:r>
      <w:r w:rsidR="00407DA5">
        <w:t>may be</w:t>
      </w:r>
      <w:r w:rsidRPr="003E798D">
        <w:t xml:space="preserve"> less sensitive than FISH</w:t>
      </w:r>
      <w:r w:rsidR="00CC0A53">
        <w:t>.</w:t>
      </w:r>
    </w:p>
    <w:p w14:paraId="6C6DA6A8" w14:textId="77777777" w:rsidR="00C31ADB" w:rsidRDefault="00C31ADB" w:rsidP="00C31ADB">
      <w:pPr>
        <w:pStyle w:val="Heading2"/>
      </w:pPr>
      <w:r>
        <w:t>Therapeutic efficacy (change in management)</w:t>
      </w:r>
    </w:p>
    <w:p w14:paraId="12643D41" w14:textId="0CA773E3" w:rsidR="00C31ADB" w:rsidRDefault="00C31ADB" w:rsidP="00490211">
      <w:pPr>
        <w:spacing w:after="240"/>
      </w:pPr>
      <w:r w:rsidRPr="003E478A">
        <w:t xml:space="preserve">No evidence was identified regarding therapeutic efficacy. </w:t>
      </w:r>
      <w:bookmarkStart w:id="24" w:name="_Hlk9331748"/>
      <w:r w:rsidRPr="00721345">
        <w:t>P</w:t>
      </w:r>
      <w:r w:rsidRPr="003E478A">
        <w:t xml:space="preserve">atients with early stage or inactive CLL are monitored for the progression of their disease and receive regular blood tests to determine if their disease has become active. Additionally, patient age and the presence or absence of </w:t>
      </w:r>
      <w:proofErr w:type="gramStart"/>
      <w:r w:rsidRPr="003E478A">
        <w:rPr>
          <w:i/>
        </w:rPr>
        <w:t>del(</w:t>
      </w:r>
      <w:proofErr w:type="gramEnd"/>
      <w:r w:rsidRPr="003E478A">
        <w:rPr>
          <w:i/>
        </w:rPr>
        <w:t>17p)</w:t>
      </w:r>
      <w:r w:rsidRPr="003E478A">
        <w:t xml:space="preserve"> or </w:t>
      </w:r>
      <w:r w:rsidRPr="003E478A">
        <w:rPr>
          <w:i/>
        </w:rPr>
        <w:t>TP53</w:t>
      </w:r>
      <w:r w:rsidRPr="003E478A">
        <w:t xml:space="preserve"> </w:t>
      </w:r>
      <w:r w:rsidR="0003383C">
        <w:t>pathogenic variants</w:t>
      </w:r>
      <w:r w:rsidRPr="003E478A">
        <w:t xml:space="preserve"> should then help direct treatment options.</w:t>
      </w:r>
    </w:p>
    <w:p w14:paraId="3C470FB1" w14:textId="73203786" w:rsidR="00C31ADB" w:rsidRDefault="00C31ADB" w:rsidP="00490211">
      <w:pPr>
        <w:spacing w:after="240"/>
      </w:pPr>
      <w:r>
        <w:t xml:space="preserve">The </w:t>
      </w:r>
      <w:r w:rsidR="00B11338" w:rsidRPr="00B73D32">
        <w:t>c</w:t>
      </w:r>
      <w:r w:rsidRPr="00B73D32">
        <w:t xml:space="preserve">ritique stated that patients with CLL with identified CNVs (in particular </w:t>
      </w:r>
      <w:proofErr w:type="gramStart"/>
      <w:r w:rsidRPr="00B73D32">
        <w:rPr>
          <w:i/>
        </w:rPr>
        <w:t>del(</w:t>
      </w:r>
      <w:proofErr w:type="gramEnd"/>
      <w:r w:rsidRPr="00B73D32">
        <w:rPr>
          <w:i/>
        </w:rPr>
        <w:t>17p)</w:t>
      </w:r>
      <w:r w:rsidRPr="00B73D32">
        <w:t xml:space="preserve"> or </w:t>
      </w:r>
      <w:r w:rsidRPr="00B73D32">
        <w:rPr>
          <w:i/>
        </w:rPr>
        <w:t>TP53</w:t>
      </w:r>
      <w:r w:rsidRPr="00B73D32">
        <w:t xml:space="preserve"> </w:t>
      </w:r>
      <w:r w:rsidR="0003383C">
        <w:t>pathogenic variants</w:t>
      </w:r>
      <w:r w:rsidRPr="00B73D32">
        <w:t xml:space="preserve">) are eligible for reimbursed treatment with idelalisib, </w:t>
      </w:r>
      <w:r>
        <w:t xml:space="preserve">venetoclax </w:t>
      </w:r>
      <w:r w:rsidRPr="00B73D32">
        <w:t>or ibrutinib in the relapsed or refractory setting.</w:t>
      </w:r>
      <w:r>
        <w:t xml:space="preserve"> Newly diagnosed, </w:t>
      </w:r>
      <w:r w:rsidRPr="00B73D32">
        <w:t xml:space="preserve">previously untreated patients with </w:t>
      </w:r>
      <w:proofErr w:type="gramStart"/>
      <w:r w:rsidRPr="00B73D32">
        <w:rPr>
          <w:i/>
        </w:rPr>
        <w:t>del(</w:t>
      </w:r>
      <w:proofErr w:type="gramEnd"/>
      <w:r w:rsidRPr="00B73D32">
        <w:rPr>
          <w:i/>
        </w:rPr>
        <w:t>17p)</w:t>
      </w:r>
      <w:r w:rsidRPr="00B73D32">
        <w:t xml:space="preserve"> are eligible for privately funded treatment with ibrutinib.</w:t>
      </w:r>
      <w:r>
        <w:t xml:space="preserve"> </w:t>
      </w:r>
      <w:r w:rsidRPr="00B73D32">
        <w:rPr>
          <w:iCs/>
        </w:rPr>
        <w:t>L</w:t>
      </w:r>
      <w:r w:rsidRPr="00B73D32">
        <w:t>eakage associated with treatment decisions deviating from what is indicated by the test results is not anticipated either because treatments are privately funded or because of the PBS restrictions.</w:t>
      </w:r>
    </w:p>
    <w:p w14:paraId="49E88FFC" w14:textId="3E918F25" w:rsidR="00C31ADB" w:rsidRDefault="00C31ADB" w:rsidP="00490211">
      <w:pPr>
        <w:spacing w:after="240"/>
      </w:pPr>
      <w:r>
        <w:t xml:space="preserve">The </w:t>
      </w:r>
      <w:r w:rsidR="000B6D56">
        <w:rPr>
          <w:szCs w:val="24"/>
        </w:rPr>
        <w:t>assessment report</w:t>
      </w:r>
      <w:r>
        <w:t xml:space="preserve"> stated that GWMA was non-inferior to conventional karyotyping and FISH for the detection of </w:t>
      </w:r>
      <w:proofErr w:type="gramStart"/>
      <w:r>
        <w:rPr>
          <w:i/>
        </w:rPr>
        <w:t>del(</w:t>
      </w:r>
      <w:proofErr w:type="gramEnd"/>
      <w:r>
        <w:rPr>
          <w:i/>
        </w:rPr>
        <w:t>17p)</w:t>
      </w:r>
      <w:r w:rsidRPr="001C5102">
        <w:t>/</w:t>
      </w:r>
      <w:r>
        <w:rPr>
          <w:i/>
        </w:rPr>
        <w:t>TP53</w:t>
      </w:r>
      <w:r>
        <w:t xml:space="preserve"> in patients with CLL. Consequently, this would lead to minimal changes in patients receiving medication for</w:t>
      </w:r>
      <w:r w:rsidR="009A382B">
        <w:t xml:space="preserve"> CLL with</w:t>
      </w:r>
      <w:r>
        <w:t xml:space="preserve"> </w:t>
      </w:r>
      <w:proofErr w:type="gramStart"/>
      <w:r>
        <w:rPr>
          <w:i/>
        </w:rPr>
        <w:t>del(</w:t>
      </w:r>
      <w:proofErr w:type="gramEnd"/>
      <w:r>
        <w:rPr>
          <w:i/>
        </w:rPr>
        <w:t>17p)</w:t>
      </w:r>
      <w:r w:rsidRPr="001C5102">
        <w:t>/</w:t>
      </w:r>
      <w:r>
        <w:rPr>
          <w:i/>
        </w:rPr>
        <w:t xml:space="preserve">TP53. </w:t>
      </w:r>
      <w:r>
        <w:t xml:space="preserve">However, GWMA had a higher false negative rate when compared to FISH for this </w:t>
      </w:r>
      <w:r w:rsidR="0003383C">
        <w:t>pathogenic variant</w:t>
      </w:r>
      <w:r>
        <w:t>. This would result in suboptimal outcomes for these patients.</w:t>
      </w:r>
      <w:r w:rsidR="002756D2">
        <w:t xml:space="preserve"> MSAC disagreed with this conclusion because it this result was based on outmoded GWMA techniques which have been superseded in Australian practice.</w:t>
      </w:r>
      <w:bookmarkEnd w:id="24"/>
    </w:p>
    <w:p w14:paraId="79E8958E" w14:textId="77777777" w:rsidR="00C31ADB" w:rsidRPr="00B51CA2" w:rsidRDefault="00C31ADB" w:rsidP="00C31ADB">
      <w:pPr>
        <w:pStyle w:val="Heading2"/>
      </w:pPr>
      <w:r w:rsidRPr="00B51CA2">
        <w:t>Therapeutic effectiveness (health benefit from change in management)</w:t>
      </w:r>
    </w:p>
    <w:p w14:paraId="6ABE4EB6" w14:textId="15568312" w:rsidR="00C31ADB" w:rsidRDefault="00C31ADB" w:rsidP="00C31ADB">
      <w:pPr>
        <w:spacing w:after="120"/>
        <w:rPr>
          <w:i/>
        </w:rPr>
      </w:pPr>
      <w:r>
        <w:t xml:space="preserve">The </w:t>
      </w:r>
      <w:r w:rsidR="000B6D56">
        <w:rPr>
          <w:szCs w:val="24"/>
        </w:rPr>
        <w:t>assessment report</w:t>
      </w:r>
      <w:r>
        <w:t xml:space="preserve"> stated that GWMA is non-inferior to FISH + conventional karyotyping for the detection of CNVs in CLL. GWMA was also non-inferior to conventional karyotyping and FISH for the detection of </w:t>
      </w:r>
      <w:proofErr w:type="gramStart"/>
      <w:r>
        <w:rPr>
          <w:i/>
        </w:rPr>
        <w:t>del(</w:t>
      </w:r>
      <w:proofErr w:type="gramEnd"/>
      <w:r>
        <w:rPr>
          <w:i/>
        </w:rPr>
        <w:t>17p)</w:t>
      </w:r>
      <w:r w:rsidRPr="001C5102">
        <w:t>/</w:t>
      </w:r>
      <w:r>
        <w:rPr>
          <w:i/>
        </w:rPr>
        <w:t>TP53</w:t>
      </w:r>
      <w:r>
        <w:t xml:space="preserve"> in CLL. Hence, the addition of GWMA is unlikely to have an additional impact on patient prognosis and clinical outcomes.</w:t>
      </w:r>
    </w:p>
    <w:p w14:paraId="21DE8C23" w14:textId="0A369AF9" w:rsidR="0077195C" w:rsidRDefault="0077195C" w:rsidP="007E7F6A">
      <w:pPr>
        <w:tabs>
          <w:tab w:val="left" w:pos="720"/>
          <w:tab w:val="left" w:pos="1140"/>
        </w:tabs>
        <w:spacing w:before="240" w:after="120"/>
        <w:rPr>
          <w:b/>
          <w:szCs w:val="24"/>
        </w:rPr>
      </w:pPr>
      <w:r w:rsidRPr="00F37B9C">
        <w:rPr>
          <w:b/>
          <w:szCs w:val="24"/>
        </w:rPr>
        <w:t xml:space="preserve">Clinical </w:t>
      </w:r>
      <w:r w:rsidR="00CC0A53" w:rsidRPr="00F37B9C">
        <w:rPr>
          <w:b/>
          <w:szCs w:val="24"/>
        </w:rPr>
        <w:t>c</w:t>
      </w:r>
      <w:r w:rsidRPr="00F37B9C">
        <w:rPr>
          <w:b/>
          <w:szCs w:val="24"/>
        </w:rPr>
        <w:t>laim</w:t>
      </w:r>
    </w:p>
    <w:p w14:paraId="76CA7ADF" w14:textId="3C65C122" w:rsidR="00C31ADB" w:rsidRPr="007E7F6A" w:rsidRDefault="00C31ADB" w:rsidP="007E7F6A">
      <w:r>
        <w:t xml:space="preserve">Overall, the clinical evaluation claimed non-inferior efficacy and non-inferior safety in the comparison of GWMA against karyotyping + FISH. Furthermore, there would be no difference in outcomes as a result of GWMA testing because, although GWMA may detect more CNVs, there is </w:t>
      </w:r>
      <w:r w:rsidR="00407DA5">
        <w:t xml:space="preserve">currently </w:t>
      </w:r>
      <w:r>
        <w:t xml:space="preserve">no change in treatment as a result. </w:t>
      </w:r>
      <w:r w:rsidRPr="0003504D">
        <w:t>This is because the CNVs detected have unknown significance or, while they have an impact on prognosis, clinical guidelines have not yet been established to direct patients to different treatments.</w:t>
      </w:r>
    </w:p>
    <w:p w14:paraId="50D8AD7A" w14:textId="77777777" w:rsidR="0077195C" w:rsidRPr="00F715D1" w:rsidRDefault="0077195C" w:rsidP="0077195C">
      <w:pPr>
        <w:pStyle w:val="Heading1"/>
      </w:pPr>
      <w:r w:rsidRPr="00F715D1">
        <w:t>Economic evaluation</w:t>
      </w:r>
    </w:p>
    <w:p w14:paraId="1CFBBAE4" w14:textId="66B5DB4C" w:rsidR="00C31ADB" w:rsidRDefault="00C31ADB" w:rsidP="00490211">
      <w:pPr>
        <w:spacing w:before="240" w:after="240"/>
      </w:pPr>
      <w:bookmarkStart w:id="25" w:name="_Ref379404328"/>
      <w:r w:rsidRPr="007E7F6A">
        <w:t xml:space="preserve">The </w:t>
      </w:r>
      <w:r w:rsidR="000B6D56">
        <w:rPr>
          <w:szCs w:val="24"/>
        </w:rPr>
        <w:t>assessment report</w:t>
      </w:r>
      <w:r w:rsidRPr="007E7F6A">
        <w:t xml:space="preserve"> presented a cost-minimisation analysis in MM and CLL of genome wide</w:t>
      </w:r>
      <w:r>
        <w:t xml:space="preserve"> microarray (+ FISH in MM) </w:t>
      </w:r>
      <w:r w:rsidRPr="00591B67">
        <w:rPr>
          <w:i/>
        </w:rPr>
        <w:t>vs.</w:t>
      </w:r>
      <w:r>
        <w:t xml:space="preserve"> karyotyping + FISH (Table 6).</w:t>
      </w:r>
    </w:p>
    <w:p w14:paraId="003D84FD" w14:textId="77777777" w:rsidR="00C31ADB" w:rsidRPr="00516999" w:rsidRDefault="00C31ADB" w:rsidP="00516999">
      <w:pPr>
        <w:rPr>
          <w:rFonts w:ascii="Arial Narrow" w:hAnsi="Arial Narrow"/>
          <w:b/>
          <w:sz w:val="20"/>
        </w:rPr>
      </w:pPr>
      <w:bookmarkStart w:id="26" w:name="_Ref14272127"/>
      <w:bookmarkStart w:id="27" w:name="_Toc14272024"/>
      <w:bookmarkStart w:id="28" w:name="_Toc437865942"/>
      <w:r w:rsidRPr="00516999">
        <w:rPr>
          <w:rFonts w:ascii="Arial Narrow" w:hAnsi="Arial Narrow"/>
          <w:b/>
          <w:sz w:val="20"/>
        </w:rPr>
        <w:t xml:space="preserve">Table </w:t>
      </w:r>
      <w:bookmarkEnd w:id="26"/>
      <w:r w:rsidRPr="00516999">
        <w:rPr>
          <w:rFonts w:ascii="Arial Narrow" w:hAnsi="Arial Narrow"/>
          <w:b/>
          <w:sz w:val="20"/>
        </w:rPr>
        <w:t>6</w:t>
      </w:r>
      <w:r w:rsidRPr="00516999">
        <w:rPr>
          <w:rFonts w:ascii="Arial Narrow" w:hAnsi="Arial Narrow"/>
          <w:b/>
          <w:sz w:val="20"/>
        </w:rPr>
        <w:tab/>
        <w:t>Summary of the economic evaluation</w:t>
      </w:r>
      <w:bookmarkEnd w:id="27"/>
      <w:bookmarkEnd w:id="28"/>
    </w:p>
    <w:tbl>
      <w:tblPr>
        <w:tblStyle w:val="TableGrid1"/>
        <w:tblW w:w="5000" w:type="pct"/>
        <w:tblInd w:w="0" w:type="dxa"/>
        <w:tblLook w:val="01E0" w:firstRow="1" w:lastRow="1" w:firstColumn="1" w:lastColumn="1" w:noHBand="0" w:noVBand="0"/>
        <w:tblCaption w:val="Table 4 Summary of the economic evaluation"/>
        <w:tblDescription w:val="This table describes the key constructs of the economic evaluation that is provided in the assessment report."/>
      </w:tblPr>
      <w:tblGrid>
        <w:gridCol w:w="3114"/>
        <w:gridCol w:w="5902"/>
      </w:tblGrid>
      <w:tr w:rsidR="00C31ADB" w14:paraId="1DADE37A" w14:textId="77777777" w:rsidTr="00516999">
        <w:trPr>
          <w:cnfStyle w:val="100000000000" w:firstRow="1" w:lastRow="0" w:firstColumn="0" w:lastColumn="0" w:oddVBand="0" w:evenVBand="0" w:oddHBand="0" w:evenHBand="0" w:firstRowFirstColumn="0" w:firstRowLastColumn="0" w:lastRowFirstColumn="0" w:lastRowLastColumn="0"/>
          <w:trHeight w:val="20"/>
          <w:tblHeader/>
        </w:trPr>
        <w:tc>
          <w:tcPr>
            <w:tcW w:w="1727" w:type="pct"/>
            <w:hideMark/>
          </w:tcPr>
          <w:p w14:paraId="53238E50" w14:textId="77777777" w:rsidR="00C31ADB" w:rsidRDefault="00C31ADB" w:rsidP="003E798D">
            <w:pPr>
              <w:pStyle w:val="Tabletext"/>
              <w:rPr>
                <w:b/>
              </w:rPr>
            </w:pPr>
            <w:r>
              <w:rPr>
                <w:b/>
              </w:rPr>
              <w:t>Perspective</w:t>
            </w:r>
          </w:p>
        </w:tc>
        <w:tc>
          <w:tcPr>
            <w:tcW w:w="3273" w:type="pct"/>
            <w:hideMark/>
          </w:tcPr>
          <w:p w14:paraId="161779F2" w14:textId="77777777" w:rsidR="00C31ADB" w:rsidRPr="00066767" w:rsidRDefault="00C31ADB" w:rsidP="003E798D">
            <w:pPr>
              <w:pStyle w:val="Tabletext"/>
              <w:rPr>
                <w:vanish/>
              </w:rPr>
            </w:pPr>
            <w:r w:rsidRPr="00066767">
              <w:t xml:space="preserve">Cost of testing </w:t>
            </w:r>
            <w:r>
              <w:t xml:space="preserve">(including biopsies as needed) </w:t>
            </w:r>
            <w:r w:rsidRPr="00066767">
              <w:t>only</w:t>
            </w:r>
          </w:p>
        </w:tc>
      </w:tr>
      <w:tr w:rsidR="00C31ADB" w14:paraId="4933B16C" w14:textId="77777777" w:rsidTr="00516999">
        <w:trPr>
          <w:trHeight w:val="20"/>
        </w:trPr>
        <w:tc>
          <w:tcPr>
            <w:tcW w:w="1727" w:type="pct"/>
            <w:hideMark/>
          </w:tcPr>
          <w:p w14:paraId="32FC7964" w14:textId="77777777" w:rsidR="00C31ADB" w:rsidRDefault="00C31ADB" w:rsidP="003E798D">
            <w:pPr>
              <w:pStyle w:val="Tabletext"/>
              <w:rPr>
                <w:b/>
              </w:rPr>
            </w:pPr>
            <w:r>
              <w:rPr>
                <w:b/>
              </w:rPr>
              <w:t>Comparator</w:t>
            </w:r>
          </w:p>
        </w:tc>
        <w:tc>
          <w:tcPr>
            <w:tcW w:w="3273" w:type="pct"/>
            <w:hideMark/>
          </w:tcPr>
          <w:p w14:paraId="1AC9C267" w14:textId="77777777" w:rsidR="00C31ADB" w:rsidRPr="00066767" w:rsidRDefault="00C31ADB" w:rsidP="003E798D">
            <w:pPr>
              <w:pStyle w:val="Tabletext"/>
              <w:rPr>
                <w:vanish/>
              </w:rPr>
            </w:pPr>
            <w:r w:rsidRPr="00066767">
              <w:t>Karyotyping + FISH</w:t>
            </w:r>
          </w:p>
        </w:tc>
      </w:tr>
      <w:tr w:rsidR="00C31ADB" w14:paraId="2B2F0BA2" w14:textId="77777777" w:rsidTr="00516999">
        <w:trPr>
          <w:trHeight w:val="20"/>
        </w:trPr>
        <w:tc>
          <w:tcPr>
            <w:tcW w:w="1727" w:type="pct"/>
            <w:hideMark/>
          </w:tcPr>
          <w:p w14:paraId="5F2A6B6D" w14:textId="77777777" w:rsidR="00C31ADB" w:rsidRDefault="00C31ADB" w:rsidP="003E798D">
            <w:pPr>
              <w:pStyle w:val="Tabletext"/>
              <w:rPr>
                <w:b/>
              </w:rPr>
            </w:pPr>
            <w:r>
              <w:rPr>
                <w:b/>
              </w:rPr>
              <w:t>Type of economic evaluation</w:t>
            </w:r>
          </w:p>
        </w:tc>
        <w:tc>
          <w:tcPr>
            <w:tcW w:w="3273" w:type="pct"/>
            <w:hideMark/>
          </w:tcPr>
          <w:p w14:paraId="796823B7" w14:textId="77777777" w:rsidR="00C31ADB" w:rsidRPr="00066767" w:rsidRDefault="00C31ADB" w:rsidP="003E798D">
            <w:pPr>
              <w:pStyle w:val="Tabletext"/>
              <w:rPr>
                <w:vanish/>
              </w:rPr>
            </w:pPr>
            <w:r w:rsidRPr="00066767">
              <w:t>Cost-minimisation</w:t>
            </w:r>
          </w:p>
        </w:tc>
      </w:tr>
      <w:tr w:rsidR="00C31ADB" w14:paraId="5912E8B6" w14:textId="77777777" w:rsidTr="00516999">
        <w:trPr>
          <w:trHeight w:val="20"/>
        </w:trPr>
        <w:tc>
          <w:tcPr>
            <w:tcW w:w="1727" w:type="pct"/>
            <w:hideMark/>
          </w:tcPr>
          <w:p w14:paraId="46DE0BE9" w14:textId="77777777" w:rsidR="00C31ADB" w:rsidRDefault="00C31ADB" w:rsidP="003E798D">
            <w:pPr>
              <w:pStyle w:val="Tabletext"/>
              <w:rPr>
                <w:b/>
              </w:rPr>
            </w:pPr>
            <w:r>
              <w:rPr>
                <w:b/>
              </w:rPr>
              <w:t>Sources of evidence</w:t>
            </w:r>
          </w:p>
        </w:tc>
        <w:tc>
          <w:tcPr>
            <w:tcW w:w="3273" w:type="pct"/>
            <w:hideMark/>
          </w:tcPr>
          <w:p w14:paraId="4F7BBD1D" w14:textId="77777777" w:rsidR="00C31ADB" w:rsidRPr="00066767" w:rsidRDefault="00C31ADB" w:rsidP="003E798D">
            <w:pPr>
              <w:pStyle w:val="Tabletext"/>
              <w:rPr>
                <w:vanish/>
              </w:rPr>
            </w:pPr>
            <w:r w:rsidRPr="00066767">
              <w:t>Systematic review; MB</w:t>
            </w:r>
            <w:r>
              <w:t>S</w:t>
            </w:r>
          </w:p>
        </w:tc>
      </w:tr>
      <w:tr w:rsidR="00C31ADB" w14:paraId="6A1E4891" w14:textId="77777777" w:rsidTr="00516999">
        <w:trPr>
          <w:trHeight w:val="20"/>
        </w:trPr>
        <w:tc>
          <w:tcPr>
            <w:tcW w:w="1727" w:type="pct"/>
            <w:hideMark/>
          </w:tcPr>
          <w:p w14:paraId="45766C87" w14:textId="77777777" w:rsidR="00C31ADB" w:rsidRDefault="00C31ADB" w:rsidP="003E798D">
            <w:pPr>
              <w:pStyle w:val="Tabletext"/>
              <w:rPr>
                <w:b/>
              </w:rPr>
            </w:pPr>
            <w:r>
              <w:rPr>
                <w:b/>
              </w:rPr>
              <w:t>Time horizon</w:t>
            </w:r>
          </w:p>
        </w:tc>
        <w:tc>
          <w:tcPr>
            <w:tcW w:w="3273" w:type="pct"/>
            <w:hideMark/>
          </w:tcPr>
          <w:p w14:paraId="6B2E4BC9" w14:textId="77777777" w:rsidR="00C31ADB" w:rsidRPr="00066767" w:rsidRDefault="00C31ADB" w:rsidP="003E798D">
            <w:pPr>
              <w:pStyle w:val="Tabletext"/>
              <w:rPr>
                <w:vanish/>
              </w:rPr>
            </w:pPr>
            <w:r w:rsidRPr="00066767">
              <w:t>None, only for the length of time it takes to complete genomic testing</w:t>
            </w:r>
          </w:p>
        </w:tc>
      </w:tr>
      <w:tr w:rsidR="00C31ADB" w14:paraId="1AC2E3E6" w14:textId="77777777" w:rsidTr="00516999">
        <w:trPr>
          <w:trHeight w:val="20"/>
        </w:trPr>
        <w:tc>
          <w:tcPr>
            <w:tcW w:w="1727" w:type="pct"/>
            <w:hideMark/>
          </w:tcPr>
          <w:p w14:paraId="26D2C7E8" w14:textId="77777777" w:rsidR="00C31ADB" w:rsidRDefault="00C31ADB" w:rsidP="003E798D">
            <w:pPr>
              <w:pStyle w:val="Tabletext"/>
              <w:rPr>
                <w:b/>
              </w:rPr>
            </w:pPr>
            <w:r>
              <w:rPr>
                <w:b/>
              </w:rPr>
              <w:t>Outcomes</w:t>
            </w:r>
          </w:p>
        </w:tc>
        <w:tc>
          <w:tcPr>
            <w:tcW w:w="3273" w:type="pct"/>
            <w:hideMark/>
          </w:tcPr>
          <w:p w14:paraId="7F4BD1F7" w14:textId="77777777" w:rsidR="00C31ADB" w:rsidRDefault="00C31ADB" w:rsidP="003E798D">
            <w:pPr>
              <w:pStyle w:val="Tabletext"/>
            </w:pPr>
            <w:r>
              <w:t>Cost of genomic testing</w:t>
            </w:r>
          </w:p>
        </w:tc>
      </w:tr>
      <w:tr w:rsidR="00C31ADB" w14:paraId="219B8EE1" w14:textId="77777777" w:rsidTr="00516999">
        <w:trPr>
          <w:trHeight w:val="20"/>
        </w:trPr>
        <w:tc>
          <w:tcPr>
            <w:tcW w:w="1727" w:type="pct"/>
            <w:hideMark/>
          </w:tcPr>
          <w:p w14:paraId="41ADA913" w14:textId="77777777" w:rsidR="00C31ADB" w:rsidRDefault="00C31ADB" w:rsidP="003E798D">
            <w:pPr>
              <w:pStyle w:val="Tabletext"/>
              <w:rPr>
                <w:b/>
              </w:rPr>
            </w:pPr>
            <w:r>
              <w:rPr>
                <w:b/>
              </w:rPr>
              <w:t>Methods used to generate results</w:t>
            </w:r>
          </w:p>
        </w:tc>
        <w:tc>
          <w:tcPr>
            <w:tcW w:w="3273" w:type="pct"/>
            <w:hideMark/>
          </w:tcPr>
          <w:p w14:paraId="3E3C126C" w14:textId="77777777" w:rsidR="00C31ADB" w:rsidRDefault="00C31ADB" w:rsidP="003E798D">
            <w:pPr>
              <w:pStyle w:val="Tabletext"/>
            </w:pPr>
            <w:r>
              <w:t>Cohort expected value analysis</w:t>
            </w:r>
          </w:p>
        </w:tc>
      </w:tr>
      <w:tr w:rsidR="00C31ADB" w14:paraId="6D15679D" w14:textId="77777777" w:rsidTr="00516999">
        <w:trPr>
          <w:trHeight w:val="20"/>
        </w:trPr>
        <w:tc>
          <w:tcPr>
            <w:tcW w:w="1727" w:type="pct"/>
            <w:hideMark/>
          </w:tcPr>
          <w:p w14:paraId="67C518D0" w14:textId="77777777" w:rsidR="00C31ADB" w:rsidRDefault="00C31ADB" w:rsidP="003E798D">
            <w:pPr>
              <w:pStyle w:val="Tabletext"/>
              <w:rPr>
                <w:b/>
              </w:rPr>
            </w:pPr>
            <w:r>
              <w:rPr>
                <w:b/>
              </w:rPr>
              <w:t>Discount rate</w:t>
            </w:r>
          </w:p>
        </w:tc>
        <w:tc>
          <w:tcPr>
            <w:tcW w:w="3273" w:type="pct"/>
            <w:hideMark/>
          </w:tcPr>
          <w:p w14:paraId="0F55E3EB" w14:textId="77777777" w:rsidR="00C31ADB" w:rsidRDefault="00C31ADB" w:rsidP="003E798D">
            <w:pPr>
              <w:pStyle w:val="Tabletext"/>
            </w:pPr>
            <w:r>
              <w:t>Not applicable (time horizon is less than 1 year)</w:t>
            </w:r>
          </w:p>
        </w:tc>
      </w:tr>
      <w:tr w:rsidR="00C31ADB" w14:paraId="7BDBAC52" w14:textId="77777777" w:rsidTr="00516999">
        <w:trPr>
          <w:trHeight w:val="20"/>
        </w:trPr>
        <w:tc>
          <w:tcPr>
            <w:tcW w:w="1727" w:type="pct"/>
            <w:hideMark/>
          </w:tcPr>
          <w:p w14:paraId="6934E98B" w14:textId="77777777" w:rsidR="00C31ADB" w:rsidRDefault="00C31ADB" w:rsidP="003E798D">
            <w:pPr>
              <w:pStyle w:val="Tabletext"/>
              <w:rPr>
                <w:b/>
              </w:rPr>
            </w:pPr>
            <w:r>
              <w:rPr>
                <w:b/>
              </w:rPr>
              <w:t>Software packages used</w:t>
            </w:r>
          </w:p>
        </w:tc>
        <w:tc>
          <w:tcPr>
            <w:tcW w:w="3273" w:type="pct"/>
            <w:hideMark/>
          </w:tcPr>
          <w:p w14:paraId="2DF06EE9" w14:textId="77777777" w:rsidR="00C31ADB" w:rsidRDefault="00C31ADB" w:rsidP="003E798D">
            <w:pPr>
              <w:pStyle w:val="Tabletext"/>
            </w:pPr>
            <w:r>
              <w:t>Microsoft Excel 2016</w:t>
            </w:r>
          </w:p>
        </w:tc>
      </w:tr>
    </w:tbl>
    <w:bookmarkEnd w:id="25"/>
    <w:p w14:paraId="728F56F8" w14:textId="791DD327" w:rsidR="00C31ADB" w:rsidRPr="00490211" w:rsidRDefault="00C31ADB" w:rsidP="00490211">
      <w:pPr>
        <w:pStyle w:val="Tablecaption"/>
        <w:spacing w:after="240"/>
        <w:rPr>
          <w:sz w:val="18"/>
        </w:rPr>
      </w:pPr>
      <w:r>
        <w:rPr>
          <w:sz w:val="18"/>
        </w:rPr>
        <w:t xml:space="preserve">Source: Table 3, p21 of the </w:t>
      </w:r>
      <w:r w:rsidR="00B11338">
        <w:rPr>
          <w:sz w:val="18"/>
        </w:rPr>
        <w:t>c</w:t>
      </w:r>
      <w:r>
        <w:rPr>
          <w:sz w:val="18"/>
        </w:rPr>
        <w:t>ritique</w:t>
      </w:r>
    </w:p>
    <w:p w14:paraId="00086993" w14:textId="77777777" w:rsidR="00C31ADB" w:rsidRDefault="00C31ADB" w:rsidP="00C31ADB">
      <w:pPr>
        <w:jc w:val="both"/>
      </w:pPr>
      <w:r>
        <w:t>The overall costs and incremental costs as calculated for the testing strategy and comparative testing strategy in the model, and using the base case assumptions, are shown in Table 7.</w:t>
      </w:r>
    </w:p>
    <w:p w14:paraId="30CF94B1" w14:textId="03F17EBE" w:rsidR="00C31ADB" w:rsidRPr="00516999" w:rsidRDefault="00C31ADB" w:rsidP="00516999">
      <w:pPr>
        <w:keepNext/>
        <w:keepLines/>
        <w:rPr>
          <w:rFonts w:ascii="Arial Narrow" w:hAnsi="Arial Narrow"/>
          <w:b/>
          <w:sz w:val="20"/>
        </w:rPr>
      </w:pPr>
      <w:bookmarkStart w:id="29" w:name="_Ref14272160"/>
      <w:bookmarkStart w:id="30" w:name="_Toc14272025"/>
      <w:r w:rsidRPr="00516999">
        <w:rPr>
          <w:rFonts w:ascii="Arial Narrow" w:hAnsi="Arial Narrow"/>
          <w:b/>
          <w:sz w:val="20"/>
        </w:rPr>
        <w:t xml:space="preserve">Table </w:t>
      </w:r>
      <w:bookmarkEnd w:id="29"/>
      <w:r w:rsidRPr="00516999">
        <w:rPr>
          <w:rFonts w:ascii="Arial Narrow" w:hAnsi="Arial Narrow"/>
          <w:b/>
          <w:sz w:val="20"/>
        </w:rPr>
        <w:t>7</w:t>
      </w:r>
      <w:r w:rsidRPr="00516999">
        <w:rPr>
          <w:rFonts w:ascii="Arial Narrow" w:hAnsi="Arial Narrow"/>
          <w:b/>
          <w:sz w:val="20"/>
        </w:rPr>
        <w:tab/>
        <w:t>Results of the economic evaluation</w:t>
      </w:r>
      <w:bookmarkEnd w:id="30"/>
    </w:p>
    <w:tbl>
      <w:tblPr>
        <w:tblStyle w:val="TableGrid1"/>
        <w:tblW w:w="9314" w:type="dxa"/>
        <w:tblInd w:w="0" w:type="dxa"/>
        <w:tblLook w:val="04A0" w:firstRow="1" w:lastRow="0" w:firstColumn="1" w:lastColumn="0" w:noHBand="0" w:noVBand="1"/>
        <w:tblDescription w:val="Results of the economic evaluation"/>
      </w:tblPr>
      <w:tblGrid>
        <w:gridCol w:w="2581"/>
        <w:gridCol w:w="3116"/>
        <w:gridCol w:w="2476"/>
        <w:gridCol w:w="1141"/>
      </w:tblGrid>
      <w:tr w:rsidR="00C31ADB" w14:paraId="7733C87D" w14:textId="77777777" w:rsidTr="003E798D">
        <w:trPr>
          <w:cnfStyle w:val="100000000000" w:firstRow="1" w:lastRow="0" w:firstColumn="0" w:lastColumn="0" w:oddVBand="0" w:evenVBand="0" w:oddHBand="0" w:evenHBand="0" w:firstRowFirstColumn="0" w:firstRowLastColumn="0" w:lastRowFirstColumn="0" w:lastRowLastColumn="0"/>
          <w:trHeight w:val="288"/>
          <w:tblHeader/>
        </w:trPr>
        <w:tc>
          <w:tcPr>
            <w:tcW w:w="2581" w:type="dxa"/>
            <w:tcBorders>
              <w:top w:val="single" w:sz="4" w:space="0" w:color="auto"/>
              <w:left w:val="single" w:sz="4" w:space="0" w:color="auto"/>
              <w:bottom w:val="single" w:sz="4" w:space="0" w:color="auto"/>
              <w:right w:val="single" w:sz="4" w:space="0" w:color="auto"/>
            </w:tcBorders>
            <w:noWrap/>
            <w:hideMark/>
          </w:tcPr>
          <w:p w14:paraId="2688062C" w14:textId="77777777" w:rsidR="00C31ADB" w:rsidRDefault="00C31ADB" w:rsidP="00516999">
            <w:pPr>
              <w:keepNext/>
              <w:keepLines/>
              <w:widowControl w:val="0"/>
            </w:pPr>
          </w:p>
        </w:tc>
        <w:tc>
          <w:tcPr>
            <w:tcW w:w="3116" w:type="dxa"/>
            <w:tcBorders>
              <w:top w:val="single" w:sz="4" w:space="0" w:color="auto"/>
              <w:left w:val="single" w:sz="4" w:space="0" w:color="auto"/>
              <w:bottom w:val="single" w:sz="4" w:space="0" w:color="auto"/>
              <w:right w:val="single" w:sz="4" w:space="0" w:color="auto"/>
            </w:tcBorders>
            <w:noWrap/>
            <w:hideMark/>
          </w:tcPr>
          <w:p w14:paraId="4B617E7B" w14:textId="77777777" w:rsidR="00C31ADB" w:rsidRDefault="00C31ADB" w:rsidP="00516999">
            <w:pPr>
              <w:pStyle w:val="Tabletext"/>
              <w:keepNext/>
              <w:keepLines/>
              <w:widowControl w:val="0"/>
              <w:jc w:val="center"/>
              <w:rPr>
                <w:rFonts w:cs="Calibri"/>
                <w:b/>
                <w:color w:val="000000"/>
                <w:szCs w:val="20"/>
              </w:rPr>
            </w:pPr>
            <w:r>
              <w:rPr>
                <w:rFonts w:cs="Calibri"/>
                <w:b/>
                <w:color w:val="000000"/>
              </w:rPr>
              <w:t>Intervention</w:t>
            </w:r>
          </w:p>
        </w:tc>
        <w:tc>
          <w:tcPr>
            <w:tcW w:w="2476" w:type="dxa"/>
            <w:tcBorders>
              <w:top w:val="single" w:sz="4" w:space="0" w:color="auto"/>
              <w:left w:val="single" w:sz="4" w:space="0" w:color="auto"/>
              <w:bottom w:val="single" w:sz="4" w:space="0" w:color="auto"/>
              <w:right w:val="single" w:sz="4" w:space="0" w:color="auto"/>
            </w:tcBorders>
            <w:noWrap/>
            <w:hideMark/>
          </w:tcPr>
          <w:p w14:paraId="763E0CDF" w14:textId="77777777" w:rsidR="00C31ADB" w:rsidRDefault="00C31ADB" w:rsidP="00516999">
            <w:pPr>
              <w:pStyle w:val="Tabletext"/>
              <w:keepNext/>
              <w:keepLines/>
              <w:widowControl w:val="0"/>
              <w:jc w:val="center"/>
              <w:rPr>
                <w:rFonts w:cs="Calibri"/>
                <w:b/>
                <w:color w:val="000000"/>
              </w:rPr>
            </w:pPr>
            <w:r>
              <w:rPr>
                <w:rFonts w:cs="Calibri"/>
                <w:b/>
                <w:color w:val="000000"/>
              </w:rPr>
              <w:t>Comparator</w:t>
            </w:r>
          </w:p>
        </w:tc>
        <w:tc>
          <w:tcPr>
            <w:tcW w:w="1141" w:type="dxa"/>
            <w:tcBorders>
              <w:top w:val="single" w:sz="4" w:space="0" w:color="auto"/>
              <w:left w:val="single" w:sz="4" w:space="0" w:color="auto"/>
              <w:bottom w:val="single" w:sz="4" w:space="0" w:color="auto"/>
              <w:right w:val="single" w:sz="4" w:space="0" w:color="auto"/>
            </w:tcBorders>
            <w:noWrap/>
            <w:hideMark/>
          </w:tcPr>
          <w:p w14:paraId="4580BF32" w14:textId="77777777" w:rsidR="00C31ADB" w:rsidRDefault="00C31ADB" w:rsidP="00516999">
            <w:pPr>
              <w:pStyle w:val="Tabletext"/>
              <w:keepNext/>
              <w:keepLines/>
              <w:widowControl w:val="0"/>
              <w:jc w:val="center"/>
              <w:rPr>
                <w:rFonts w:cs="Calibri"/>
                <w:b/>
                <w:color w:val="000000"/>
              </w:rPr>
            </w:pPr>
            <w:r>
              <w:rPr>
                <w:rFonts w:cs="Calibri"/>
                <w:b/>
                <w:color w:val="000000"/>
              </w:rPr>
              <w:t>Increment</w:t>
            </w:r>
          </w:p>
        </w:tc>
      </w:tr>
      <w:tr w:rsidR="00C31ADB" w14:paraId="7FC27C7E" w14:textId="77777777" w:rsidTr="003E798D">
        <w:trPr>
          <w:cnfStyle w:val="100000000000" w:firstRow="1" w:lastRow="0" w:firstColumn="0" w:lastColumn="0" w:oddVBand="0" w:evenVBand="0" w:oddHBand="0" w:evenHBand="0" w:firstRowFirstColumn="0" w:firstRowLastColumn="0" w:lastRowFirstColumn="0" w:lastRowLastColumn="0"/>
          <w:trHeight w:val="288"/>
          <w:tblHeader/>
        </w:trPr>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89F4FC2" w14:textId="77777777" w:rsidR="00C31ADB" w:rsidRDefault="00C31ADB" w:rsidP="00516999">
            <w:pPr>
              <w:pStyle w:val="Tabletext"/>
              <w:keepNext/>
              <w:keepLines/>
              <w:widowControl w:val="0"/>
              <w:rPr>
                <w:rFonts w:cs="Calibri"/>
                <w:bCs/>
                <w:color w:val="000000"/>
              </w:rPr>
            </w:pPr>
            <w:r>
              <w:rPr>
                <w:rFonts w:cs="Calibri"/>
                <w:bCs/>
                <w:color w:val="000000"/>
              </w:rPr>
              <w:t>MM</w:t>
            </w:r>
          </w:p>
        </w:tc>
        <w:tc>
          <w:tcPr>
            <w:tcW w:w="3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2C39221" w14:textId="77777777" w:rsidR="00C31ADB" w:rsidRPr="00893E9E" w:rsidRDefault="00C31ADB" w:rsidP="00516999">
            <w:pPr>
              <w:keepNext/>
              <w:keepLines/>
              <w:widowControl w:val="0"/>
              <w:jc w:val="center"/>
              <w:rPr>
                <w:rFonts w:ascii="Arial Narrow" w:hAnsi="Arial Narrow" w:cs="Calibri"/>
                <w:bCs/>
                <w:color w:val="000000"/>
              </w:rPr>
            </w:pPr>
          </w:p>
        </w:tc>
        <w:tc>
          <w:tcPr>
            <w:tcW w:w="2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3C9CEDD" w14:textId="77777777" w:rsidR="00C31ADB" w:rsidRPr="00893E9E" w:rsidRDefault="00C31ADB" w:rsidP="00516999">
            <w:pPr>
              <w:keepNext/>
              <w:keepLines/>
              <w:widowControl w:val="0"/>
              <w:jc w:val="center"/>
              <w:rPr>
                <w:rFonts w:ascii="Arial Narrow" w:hAnsi="Arial Narrow"/>
              </w:rPr>
            </w:pPr>
          </w:p>
        </w:tc>
        <w:tc>
          <w:tcPr>
            <w:tcW w:w="1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011A3B7" w14:textId="77777777" w:rsidR="00C31ADB" w:rsidRPr="00893E9E" w:rsidRDefault="00C31ADB" w:rsidP="00516999">
            <w:pPr>
              <w:keepNext/>
              <w:keepLines/>
              <w:widowControl w:val="0"/>
              <w:jc w:val="center"/>
              <w:rPr>
                <w:rFonts w:ascii="Arial Narrow" w:hAnsi="Arial Narrow"/>
              </w:rPr>
            </w:pPr>
          </w:p>
        </w:tc>
      </w:tr>
      <w:tr w:rsidR="00C31ADB" w14:paraId="5F15A226" w14:textId="77777777" w:rsidTr="003E798D">
        <w:trPr>
          <w:cnfStyle w:val="100000000000" w:firstRow="1" w:lastRow="0" w:firstColumn="0" w:lastColumn="0" w:oddVBand="0" w:evenVBand="0" w:oddHBand="0" w:evenHBand="0" w:firstRowFirstColumn="0" w:firstRowLastColumn="0" w:lastRowFirstColumn="0" w:lastRowLastColumn="0"/>
          <w:trHeight w:val="288"/>
          <w:tblHeader/>
        </w:trPr>
        <w:tc>
          <w:tcPr>
            <w:tcW w:w="2581" w:type="dxa"/>
            <w:tcBorders>
              <w:top w:val="single" w:sz="4" w:space="0" w:color="auto"/>
              <w:left w:val="single" w:sz="4" w:space="0" w:color="auto"/>
              <w:bottom w:val="single" w:sz="4" w:space="0" w:color="auto"/>
              <w:right w:val="single" w:sz="4" w:space="0" w:color="auto"/>
            </w:tcBorders>
            <w:shd w:val="clear" w:color="auto" w:fill="auto"/>
            <w:noWrap/>
          </w:tcPr>
          <w:p w14:paraId="632EE5E2" w14:textId="77777777" w:rsidR="00C31ADB" w:rsidRDefault="00C31ADB" w:rsidP="00516999">
            <w:pPr>
              <w:pStyle w:val="Tabletext"/>
              <w:keepNext/>
              <w:keepLines/>
              <w:widowControl w:val="0"/>
              <w:rPr>
                <w:rFonts w:cs="Calibri"/>
                <w:bCs/>
                <w:color w:val="000000"/>
              </w:rPr>
            </w:pPr>
            <w:r>
              <w:rPr>
                <w:rFonts w:cs="Calibri"/>
                <w:color w:val="000000"/>
              </w:rPr>
              <w:t>Genomic testing</w:t>
            </w:r>
          </w:p>
        </w:tc>
        <w:tc>
          <w:tcPr>
            <w:tcW w:w="3116" w:type="dxa"/>
            <w:tcBorders>
              <w:top w:val="single" w:sz="4" w:space="0" w:color="auto"/>
              <w:left w:val="single" w:sz="4" w:space="0" w:color="auto"/>
              <w:bottom w:val="single" w:sz="4" w:space="0" w:color="auto"/>
              <w:right w:val="single" w:sz="4" w:space="0" w:color="auto"/>
            </w:tcBorders>
            <w:shd w:val="clear" w:color="auto" w:fill="auto"/>
            <w:noWrap/>
          </w:tcPr>
          <w:p w14:paraId="1935EF89" w14:textId="77777777" w:rsidR="00C31ADB" w:rsidRPr="00893E9E" w:rsidRDefault="00C31ADB" w:rsidP="00516999">
            <w:pPr>
              <w:keepNext/>
              <w:keepLines/>
              <w:widowControl w:val="0"/>
              <w:jc w:val="center"/>
              <w:rPr>
                <w:rFonts w:ascii="Arial Narrow" w:hAnsi="Arial Narrow" w:cs="Calibri"/>
                <w:bCs/>
                <w:color w:val="000000"/>
              </w:rPr>
            </w:pPr>
          </w:p>
        </w:tc>
        <w:tc>
          <w:tcPr>
            <w:tcW w:w="2476" w:type="dxa"/>
            <w:tcBorders>
              <w:top w:val="single" w:sz="4" w:space="0" w:color="auto"/>
              <w:left w:val="single" w:sz="4" w:space="0" w:color="auto"/>
              <w:bottom w:val="single" w:sz="4" w:space="0" w:color="auto"/>
              <w:right w:val="single" w:sz="4" w:space="0" w:color="auto"/>
            </w:tcBorders>
            <w:shd w:val="clear" w:color="auto" w:fill="auto"/>
            <w:noWrap/>
          </w:tcPr>
          <w:p w14:paraId="45332BD8" w14:textId="77777777" w:rsidR="00C31ADB" w:rsidRPr="00893E9E" w:rsidRDefault="00C31ADB" w:rsidP="00516999">
            <w:pPr>
              <w:keepNext/>
              <w:keepLines/>
              <w:widowControl w:val="0"/>
              <w:jc w:val="center"/>
              <w:rPr>
                <w:rFonts w:ascii="Arial Narrow" w:hAnsi="Arial Narrow"/>
              </w:rPr>
            </w:pPr>
          </w:p>
        </w:tc>
        <w:tc>
          <w:tcPr>
            <w:tcW w:w="1141" w:type="dxa"/>
            <w:tcBorders>
              <w:top w:val="single" w:sz="4" w:space="0" w:color="auto"/>
              <w:left w:val="single" w:sz="4" w:space="0" w:color="auto"/>
              <w:bottom w:val="single" w:sz="4" w:space="0" w:color="auto"/>
              <w:right w:val="single" w:sz="4" w:space="0" w:color="auto"/>
            </w:tcBorders>
            <w:shd w:val="clear" w:color="auto" w:fill="auto"/>
            <w:noWrap/>
          </w:tcPr>
          <w:p w14:paraId="5725C579" w14:textId="77777777" w:rsidR="00C31ADB" w:rsidRPr="00893E9E" w:rsidRDefault="00C31ADB" w:rsidP="00516999">
            <w:pPr>
              <w:keepNext/>
              <w:keepLines/>
              <w:widowControl w:val="0"/>
              <w:jc w:val="center"/>
              <w:rPr>
                <w:rFonts w:ascii="Arial Narrow" w:hAnsi="Arial Narrow"/>
              </w:rPr>
            </w:pPr>
          </w:p>
        </w:tc>
      </w:tr>
      <w:tr w:rsidR="00C31ADB" w14:paraId="50359A33" w14:textId="77777777" w:rsidTr="003E798D">
        <w:trPr>
          <w:cnfStyle w:val="100000000000" w:firstRow="1" w:lastRow="0" w:firstColumn="0" w:lastColumn="0" w:oddVBand="0" w:evenVBand="0" w:oddHBand="0" w:evenHBand="0" w:firstRowFirstColumn="0" w:firstRowLastColumn="0" w:lastRowFirstColumn="0" w:lastRowLastColumn="0"/>
          <w:trHeight w:val="288"/>
          <w:tblHeader/>
        </w:trPr>
        <w:tc>
          <w:tcPr>
            <w:tcW w:w="2581" w:type="dxa"/>
            <w:tcBorders>
              <w:top w:val="single" w:sz="4" w:space="0" w:color="auto"/>
              <w:left w:val="single" w:sz="4" w:space="0" w:color="auto"/>
              <w:bottom w:val="single" w:sz="4" w:space="0" w:color="auto"/>
              <w:right w:val="single" w:sz="4" w:space="0" w:color="auto"/>
            </w:tcBorders>
            <w:shd w:val="clear" w:color="auto" w:fill="auto"/>
            <w:noWrap/>
          </w:tcPr>
          <w:p w14:paraId="5BFA7AEC" w14:textId="77777777" w:rsidR="00C31ADB" w:rsidRDefault="00C31ADB" w:rsidP="00516999">
            <w:pPr>
              <w:pStyle w:val="Tabletext"/>
              <w:keepNext/>
              <w:keepLines/>
              <w:widowControl w:val="0"/>
              <w:rPr>
                <w:rFonts w:cs="Calibri"/>
                <w:bCs/>
                <w:color w:val="000000"/>
              </w:rPr>
            </w:pPr>
            <w:r>
              <w:rPr>
                <w:rFonts w:cs="Calibri"/>
                <w:color w:val="000000"/>
              </w:rPr>
              <w:t>Number of tests per patient</w:t>
            </w:r>
          </w:p>
        </w:tc>
        <w:tc>
          <w:tcPr>
            <w:tcW w:w="3116" w:type="dxa"/>
            <w:tcBorders>
              <w:top w:val="single" w:sz="4" w:space="0" w:color="auto"/>
              <w:left w:val="single" w:sz="4" w:space="0" w:color="auto"/>
              <w:bottom w:val="single" w:sz="4" w:space="0" w:color="auto"/>
              <w:right w:val="single" w:sz="4" w:space="0" w:color="auto"/>
            </w:tcBorders>
            <w:shd w:val="clear" w:color="auto" w:fill="auto"/>
            <w:noWrap/>
          </w:tcPr>
          <w:p w14:paraId="334A97E3" w14:textId="77777777" w:rsidR="00C31ADB" w:rsidRPr="00893E9E" w:rsidRDefault="00C31ADB" w:rsidP="00516999">
            <w:pPr>
              <w:keepNext/>
              <w:keepLines/>
              <w:widowControl w:val="0"/>
              <w:jc w:val="center"/>
              <w:rPr>
                <w:rFonts w:ascii="Arial Narrow" w:hAnsi="Arial Narrow" w:cs="Calibri"/>
                <w:bCs/>
                <w:color w:val="000000"/>
              </w:rPr>
            </w:pPr>
            <w:r w:rsidRPr="00893E9E">
              <w:rPr>
                <w:rFonts w:ascii="Arial Narrow" w:hAnsi="Arial Narrow" w:cs="Calibri"/>
                <w:color w:val="000000"/>
              </w:rPr>
              <w:t>1.00</w:t>
            </w:r>
          </w:p>
        </w:tc>
        <w:tc>
          <w:tcPr>
            <w:tcW w:w="2476" w:type="dxa"/>
            <w:tcBorders>
              <w:top w:val="single" w:sz="4" w:space="0" w:color="auto"/>
              <w:left w:val="single" w:sz="4" w:space="0" w:color="auto"/>
              <w:bottom w:val="single" w:sz="4" w:space="0" w:color="auto"/>
              <w:right w:val="single" w:sz="4" w:space="0" w:color="auto"/>
            </w:tcBorders>
            <w:shd w:val="clear" w:color="auto" w:fill="auto"/>
            <w:noWrap/>
          </w:tcPr>
          <w:p w14:paraId="4FB1A55F" w14:textId="77777777" w:rsidR="00C31ADB" w:rsidRPr="00893E9E" w:rsidRDefault="00C31ADB" w:rsidP="00516999">
            <w:pPr>
              <w:keepNext/>
              <w:keepLines/>
              <w:widowControl w:val="0"/>
              <w:jc w:val="center"/>
              <w:rPr>
                <w:rFonts w:ascii="Arial Narrow" w:hAnsi="Arial Narrow"/>
              </w:rPr>
            </w:pPr>
            <w:r w:rsidRPr="00893E9E">
              <w:rPr>
                <w:rFonts w:ascii="Arial Narrow" w:hAnsi="Arial Narrow" w:cs="Calibri"/>
                <w:color w:val="000000"/>
              </w:rPr>
              <w:t>1.00</w:t>
            </w:r>
          </w:p>
        </w:tc>
        <w:tc>
          <w:tcPr>
            <w:tcW w:w="1141" w:type="dxa"/>
            <w:tcBorders>
              <w:top w:val="single" w:sz="4" w:space="0" w:color="auto"/>
              <w:left w:val="single" w:sz="4" w:space="0" w:color="auto"/>
              <w:bottom w:val="single" w:sz="4" w:space="0" w:color="auto"/>
              <w:right w:val="single" w:sz="4" w:space="0" w:color="auto"/>
            </w:tcBorders>
            <w:shd w:val="clear" w:color="auto" w:fill="auto"/>
            <w:noWrap/>
          </w:tcPr>
          <w:p w14:paraId="6D221968" w14:textId="77777777" w:rsidR="00C31ADB" w:rsidRPr="00893E9E" w:rsidRDefault="00C31ADB" w:rsidP="00516999">
            <w:pPr>
              <w:keepNext/>
              <w:keepLines/>
              <w:widowControl w:val="0"/>
              <w:jc w:val="center"/>
              <w:rPr>
                <w:rFonts w:ascii="Arial Narrow" w:hAnsi="Arial Narrow"/>
              </w:rPr>
            </w:pPr>
          </w:p>
        </w:tc>
      </w:tr>
      <w:tr w:rsidR="00C31ADB" w14:paraId="690D7C7F" w14:textId="77777777" w:rsidTr="003E798D">
        <w:trPr>
          <w:cnfStyle w:val="100000000000" w:firstRow="1" w:lastRow="0" w:firstColumn="0" w:lastColumn="0" w:oddVBand="0" w:evenVBand="0" w:oddHBand="0" w:evenHBand="0" w:firstRowFirstColumn="0" w:firstRowLastColumn="0" w:lastRowFirstColumn="0" w:lastRowLastColumn="0"/>
          <w:trHeight w:val="288"/>
          <w:tblHeader/>
        </w:trPr>
        <w:tc>
          <w:tcPr>
            <w:tcW w:w="2581" w:type="dxa"/>
            <w:tcBorders>
              <w:top w:val="single" w:sz="4" w:space="0" w:color="auto"/>
              <w:left w:val="single" w:sz="4" w:space="0" w:color="auto"/>
              <w:bottom w:val="single" w:sz="4" w:space="0" w:color="auto"/>
              <w:right w:val="single" w:sz="4" w:space="0" w:color="auto"/>
            </w:tcBorders>
            <w:shd w:val="clear" w:color="auto" w:fill="auto"/>
            <w:noWrap/>
          </w:tcPr>
          <w:p w14:paraId="33697444" w14:textId="77777777" w:rsidR="00C31ADB" w:rsidRDefault="00C31ADB" w:rsidP="00516999">
            <w:pPr>
              <w:pStyle w:val="Tabletext"/>
              <w:keepNext/>
              <w:keepLines/>
              <w:widowControl w:val="0"/>
              <w:rPr>
                <w:rFonts w:cs="Calibri"/>
                <w:bCs/>
                <w:color w:val="000000"/>
              </w:rPr>
            </w:pPr>
            <w:r>
              <w:rPr>
                <w:rFonts w:cs="Calibri"/>
                <w:color w:val="000000"/>
              </w:rPr>
              <w:t>Cost per test</w:t>
            </w:r>
          </w:p>
        </w:tc>
        <w:tc>
          <w:tcPr>
            <w:tcW w:w="3116" w:type="dxa"/>
            <w:tcBorders>
              <w:top w:val="single" w:sz="4" w:space="0" w:color="auto"/>
              <w:left w:val="single" w:sz="4" w:space="0" w:color="auto"/>
              <w:bottom w:val="single" w:sz="4" w:space="0" w:color="auto"/>
              <w:right w:val="single" w:sz="4" w:space="0" w:color="auto"/>
            </w:tcBorders>
            <w:shd w:val="clear" w:color="auto" w:fill="auto"/>
            <w:noWrap/>
          </w:tcPr>
          <w:p w14:paraId="6F9E1118" w14:textId="41F76A10" w:rsidR="00C31ADB" w:rsidRPr="007E7F6A" w:rsidRDefault="00C31ADB" w:rsidP="00516999">
            <w:pPr>
              <w:keepNext/>
              <w:keepLines/>
              <w:widowControl w:val="0"/>
              <w:jc w:val="center"/>
              <w:rPr>
                <w:rFonts w:ascii="Arial Narrow" w:hAnsi="Arial Narrow" w:cs="Calibri"/>
                <w:bCs/>
                <w:color w:val="000000"/>
                <w:vertAlign w:val="superscript"/>
              </w:rPr>
            </w:pPr>
            <w:r>
              <w:rPr>
                <w:rFonts w:ascii="Arial Narrow" w:hAnsi="Arial Narrow" w:cs="Calibri"/>
                <w:color w:val="000000"/>
              </w:rPr>
              <w:t>$</w:t>
            </w:r>
            <w:r w:rsidRPr="00893E9E">
              <w:rPr>
                <w:rFonts w:ascii="Arial Narrow" w:hAnsi="Arial Narrow" w:cs="Calibri"/>
                <w:color w:val="000000"/>
              </w:rPr>
              <w:t>897.90</w:t>
            </w:r>
            <w:r w:rsidR="00B67B76">
              <w:rPr>
                <w:rFonts w:ascii="Arial Narrow" w:hAnsi="Arial Narrow" w:cs="Calibri"/>
                <w:color w:val="000000"/>
                <w:vertAlign w:val="superscript"/>
              </w:rPr>
              <w:t>a</w:t>
            </w:r>
          </w:p>
        </w:tc>
        <w:tc>
          <w:tcPr>
            <w:tcW w:w="2476" w:type="dxa"/>
            <w:tcBorders>
              <w:top w:val="single" w:sz="4" w:space="0" w:color="auto"/>
              <w:left w:val="single" w:sz="4" w:space="0" w:color="auto"/>
              <w:bottom w:val="single" w:sz="4" w:space="0" w:color="auto"/>
              <w:right w:val="single" w:sz="4" w:space="0" w:color="auto"/>
            </w:tcBorders>
            <w:shd w:val="clear" w:color="auto" w:fill="auto"/>
            <w:noWrap/>
          </w:tcPr>
          <w:p w14:paraId="1E02AEFF" w14:textId="5F44EC82" w:rsidR="00C31ADB" w:rsidRPr="007E7F6A" w:rsidRDefault="00C31ADB" w:rsidP="00516999">
            <w:pPr>
              <w:keepNext/>
              <w:keepLines/>
              <w:widowControl w:val="0"/>
              <w:jc w:val="center"/>
              <w:rPr>
                <w:rFonts w:ascii="Arial Narrow" w:hAnsi="Arial Narrow"/>
                <w:vertAlign w:val="superscript"/>
              </w:rPr>
            </w:pPr>
            <w:r>
              <w:rPr>
                <w:rFonts w:ascii="Arial Narrow" w:hAnsi="Arial Narrow" w:cs="Calibri"/>
                <w:color w:val="000000"/>
              </w:rPr>
              <w:t>$</w:t>
            </w:r>
            <w:r w:rsidRPr="00893E9E">
              <w:rPr>
                <w:rFonts w:ascii="Arial Narrow" w:hAnsi="Arial Narrow" w:cs="Calibri"/>
                <w:color w:val="000000"/>
              </w:rPr>
              <w:t>702.55</w:t>
            </w:r>
            <w:r w:rsidR="00B67B76">
              <w:rPr>
                <w:rFonts w:ascii="Arial Narrow" w:hAnsi="Arial Narrow" w:cs="Calibri"/>
                <w:color w:val="000000"/>
                <w:vertAlign w:val="superscript"/>
              </w:rPr>
              <w:t>b</w:t>
            </w:r>
          </w:p>
        </w:tc>
        <w:tc>
          <w:tcPr>
            <w:tcW w:w="1141" w:type="dxa"/>
            <w:tcBorders>
              <w:top w:val="single" w:sz="4" w:space="0" w:color="auto"/>
              <w:left w:val="single" w:sz="4" w:space="0" w:color="auto"/>
              <w:bottom w:val="single" w:sz="4" w:space="0" w:color="auto"/>
              <w:right w:val="single" w:sz="4" w:space="0" w:color="auto"/>
            </w:tcBorders>
            <w:shd w:val="clear" w:color="auto" w:fill="auto"/>
            <w:noWrap/>
          </w:tcPr>
          <w:p w14:paraId="6800280E" w14:textId="77777777" w:rsidR="00C31ADB" w:rsidRPr="00893E9E" w:rsidRDefault="00C31ADB" w:rsidP="00516999">
            <w:pPr>
              <w:keepNext/>
              <w:keepLines/>
              <w:widowControl w:val="0"/>
              <w:jc w:val="center"/>
              <w:rPr>
                <w:rFonts w:ascii="Arial Narrow" w:hAnsi="Arial Narrow"/>
              </w:rPr>
            </w:pPr>
            <w:r>
              <w:rPr>
                <w:rFonts w:ascii="Arial Narrow" w:hAnsi="Arial Narrow" w:cs="Calibri"/>
                <w:color w:val="000000"/>
              </w:rPr>
              <w:t>$</w:t>
            </w:r>
            <w:r w:rsidRPr="00893E9E">
              <w:rPr>
                <w:rFonts w:ascii="Arial Narrow" w:hAnsi="Arial Narrow" w:cs="Calibri"/>
                <w:color w:val="000000"/>
              </w:rPr>
              <w:t>195.35</w:t>
            </w:r>
          </w:p>
        </w:tc>
      </w:tr>
      <w:tr w:rsidR="00C31ADB" w14:paraId="2F964B74" w14:textId="77777777" w:rsidTr="003E798D">
        <w:trPr>
          <w:cnfStyle w:val="100000000000" w:firstRow="1" w:lastRow="0" w:firstColumn="0" w:lastColumn="0" w:oddVBand="0" w:evenVBand="0" w:oddHBand="0" w:evenHBand="0" w:firstRowFirstColumn="0" w:firstRowLastColumn="0" w:lastRowFirstColumn="0" w:lastRowLastColumn="0"/>
          <w:trHeight w:val="288"/>
          <w:tblHeader/>
        </w:trPr>
        <w:tc>
          <w:tcPr>
            <w:tcW w:w="2581" w:type="dxa"/>
            <w:tcBorders>
              <w:top w:val="single" w:sz="4" w:space="0" w:color="auto"/>
              <w:left w:val="single" w:sz="4" w:space="0" w:color="auto"/>
              <w:bottom w:val="single" w:sz="4" w:space="0" w:color="auto"/>
              <w:right w:val="single" w:sz="4" w:space="0" w:color="auto"/>
            </w:tcBorders>
            <w:shd w:val="clear" w:color="auto" w:fill="auto"/>
            <w:noWrap/>
          </w:tcPr>
          <w:p w14:paraId="456E050E" w14:textId="77777777" w:rsidR="00C31ADB" w:rsidRDefault="00C31ADB" w:rsidP="003E798D">
            <w:pPr>
              <w:pStyle w:val="Tabletext"/>
              <w:widowControl w:val="0"/>
              <w:rPr>
                <w:rFonts w:cs="Calibri"/>
                <w:bCs/>
                <w:color w:val="000000"/>
              </w:rPr>
            </w:pPr>
            <w:r>
              <w:rPr>
                <w:rFonts w:cs="Calibri"/>
                <w:color w:val="000000"/>
              </w:rPr>
              <w:t>Total cost of genomic testing</w:t>
            </w:r>
          </w:p>
        </w:tc>
        <w:tc>
          <w:tcPr>
            <w:tcW w:w="3116" w:type="dxa"/>
            <w:tcBorders>
              <w:top w:val="single" w:sz="4" w:space="0" w:color="auto"/>
              <w:left w:val="single" w:sz="4" w:space="0" w:color="auto"/>
              <w:bottom w:val="single" w:sz="4" w:space="0" w:color="auto"/>
              <w:right w:val="single" w:sz="4" w:space="0" w:color="auto"/>
            </w:tcBorders>
            <w:shd w:val="clear" w:color="auto" w:fill="auto"/>
            <w:noWrap/>
          </w:tcPr>
          <w:p w14:paraId="28C4B9A9" w14:textId="77777777" w:rsidR="00C31ADB" w:rsidRPr="00893E9E" w:rsidRDefault="00C31ADB" w:rsidP="003E798D">
            <w:pPr>
              <w:widowControl w:val="0"/>
              <w:jc w:val="center"/>
              <w:rPr>
                <w:rFonts w:ascii="Arial Narrow" w:hAnsi="Arial Narrow" w:cs="Calibri"/>
                <w:bCs/>
                <w:color w:val="000000"/>
              </w:rPr>
            </w:pPr>
            <w:r>
              <w:rPr>
                <w:rFonts w:ascii="Arial Narrow" w:hAnsi="Arial Narrow" w:cs="Calibri"/>
                <w:color w:val="000000"/>
              </w:rPr>
              <w:t>$</w:t>
            </w:r>
            <w:r w:rsidRPr="00893E9E">
              <w:rPr>
                <w:rFonts w:ascii="Arial Narrow" w:hAnsi="Arial Narrow" w:cs="Calibri"/>
                <w:color w:val="000000"/>
              </w:rPr>
              <w:t>897.90</w:t>
            </w:r>
          </w:p>
        </w:tc>
        <w:tc>
          <w:tcPr>
            <w:tcW w:w="2476" w:type="dxa"/>
            <w:tcBorders>
              <w:top w:val="single" w:sz="4" w:space="0" w:color="auto"/>
              <w:left w:val="single" w:sz="4" w:space="0" w:color="auto"/>
              <w:bottom w:val="single" w:sz="4" w:space="0" w:color="auto"/>
              <w:right w:val="single" w:sz="4" w:space="0" w:color="auto"/>
            </w:tcBorders>
            <w:shd w:val="clear" w:color="auto" w:fill="auto"/>
            <w:noWrap/>
          </w:tcPr>
          <w:p w14:paraId="1E135E7D" w14:textId="77777777" w:rsidR="00C31ADB" w:rsidRPr="00893E9E" w:rsidRDefault="00C31ADB" w:rsidP="003E798D">
            <w:pPr>
              <w:widowControl w:val="0"/>
              <w:jc w:val="center"/>
              <w:rPr>
                <w:rFonts w:ascii="Arial Narrow" w:hAnsi="Arial Narrow"/>
              </w:rPr>
            </w:pPr>
            <w:r>
              <w:rPr>
                <w:rFonts w:ascii="Arial Narrow" w:hAnsi="Arial Narrow" w:cs="Calibri"/>
                <w:color w:val="000000"/>
              </w:rPr>
              <w:t>$</w:t>
            </w:r>
            <w:r w:rsidRPr="00893E9E">
              <w:rPr>
                <w:rFonts w:ascii="Arial Narrow" w:hAnsi="Arial Narrow" w:cs="Calibri"/>
                <w:color w:val="000000"/>
              </w:rPr>
              <w:t>702.55</w:t>
            </w:r>
          </w:p>
        </w:tc>
        <w:tc>
          <w:tcPr>
            <w:tcW w:w="1141" w:type="dxa"/>
            <w:tcBorders>
              <w:top w:val="single" w:sz="4" w:space="0" w:color="auto"/>
              <w:left w:val="single" w:sz="4" w:space="0" w:color="auto"/>
              <w:bottom w:val="single" w:sz="4" w:space="0" w:color="auto"/>
              <w:right w:val="single" w:sz="4" w:space="0" w:color="auto"/>
            </w:tcBorders>
            <w:shd w:val="clear" w:color="auto" w:fill="auto"/>
            <w:noWrap/>
          </w:tcPr>
          <w:p w14:paraId="681CAFEF" w14:textId="77777777" w:rsidR="00C31ADB" w:rsidRPr="00893E9E" w:rsidRDefault="00C31ADB" w:rsidP="003E798D">
            <w:pPr>
              <w:widowControl w:val="0"/>
              <w:jc w:val="center"/>
              <w:rPr>
                <w:rFonts w:ascii="Arial Narrow" w:hAnsi="Arial Narrow"/>
              </w:rPr>
            </w:pPr>
            <w:r>
              <w:rPr>
                <w:rFonts w:ascii="Arial Narrow" w:hAnsi="Arial Narrow" w:cs="Calibri"/>
                <w:color w:val="000000"/>
              </w:rPr>
              <w:t>$</w:t>
            </w:r>
            <w:r w:rsidRPr="00893E9E">
              <w:rPr>
                <w:rFonts w:ascii="Arial Narrow" w:hAnsi="Arial Narrow" w:cs="Calibri"/>
                <w:color w:val="000000"/>
              </w:rPr>
              <w:t>195.35</w:t>
            </w:r>
          </w:p>
        </w:tc>
      </w:tr>
      <w:tr w:rsidR="00C31ADB" w14:paraId="5DC7FA2C" w14:textId="77777777" w:rsidTr="003E798D">
        <w:trPr>
          <w:cnfStyle w:val="100000000000" w:firstRow="1" w:lastRow="0" w:firstColumn="0" w:lastColumn="0" w:oddVBand="0" w:evenVBand="0" w:oddHBand="0" w:evenHBand="0" w:firstRowFirstColumn="0" w:firstRowLastColumn="0" w:lastRowFirstColumn="0" w:lastRowLastColumn="0"/>
          <w:trHeight w:val="288"/>
          <w:tblHeader/>
        </w:trPr>
        <w:tc>
          <w:tcPr>
            <w:tcW w:w="2581" w:type="dxa"/>
            <w:tcBorders>
              <w:top w:val="single" w:sz="4" w:space="0" w:color="auto"/>
              <w:left w:val="single" w:sz="4" w:space="0" w:color="auto"/>
              <w:bottom w:val="single" w:sz="4" w:space="0" w:color="auto"/>
              <w:right w:val="single" w:sz="4" w:space="0" w:color="auto"/>
            </w:tcBorders>
            <w:shd w:val="clear" w:color="auto" w:fill="auto"/>
            <w:noWrap/>
          </w:tcPr>
          <w:p w14:paraId="33D95CA2" w14:textId="77777777" w:rsidR="00C31ADB" w:rsidRDefault="00C31ADB" w:rsidP="003E798D">
            <w:pPr>
              <w:pStyle w:val="Tabletext"/>
              <w:widowControl w:val="0"/>
              <w:rPr>
                <w:rFonts w:cs="Calibri"/>
                <w:bCs/>
                <w:color w:val="000000"/>
              </w:rPr>
            </w:pPr>
            <w:r>
              <w:rPr>
                <w:rFonts w:cs="Calibri"/>
                <w:color w:val="000000"/>
              </w:rPr>
              <w:t>Biopsy</w:t>
            </w:r>
          </w:p>
        </w:tc>
        <w:tc>
          <w:tcPr>
            <w:tcW w:w="3116" w:type="dxa"/>
            <w:tcBorders>
              <w:top w:val="single" w:sz="4" w:space="0" w:color="auto"/>
              <w:left w:val="single" w:sz="4" w:space="0" w:color="auto"/>
              <w:bottom w:val="single" w:sz="4" w:space="0" w:color="auto"/>
              <w:right w:val="single" w:sz="4" w:space="0" w:color="auto"/>
            </w:tcBorders>
            <w:shd w:val="clear" w:color="auto" w:fill="auto"/>
            <w:noWrap/>
          </w:tcPr>
          <w:p w14:paraId="34C3953C" w14:textId="77777777" w:rsidR="00C31ADB" w:rsidRPr="00893E9E" w:rsidRDefault="00C31ADB" w:rsidP="003E798D">
            <w:pPr>
              <w:widowControl w:val="0"/>
              <w:jc w:val="center"/>
              <w:rPr>
                <w:rFonts w:ascii="Arial Narrow" w:hAnsi="Arial Narrow" w:cs="Calibri"/>
                <w:bCs/>
                <w:color w:val="000000"/>
              </w:rPr>
            </w:pPr>
          </w:p>
        </w:tc>
        <w:tc>
          <w:tcPr>
            <w:tcW w:w="2476" w:type="dxa"/>
            <w:tcBorders>
              <w:top w:val="single" w:sz="4" w:space="0" w:color="auto"/>
              <w:left w:val="single" w:sz="4" w:space="0" w:color="auto"/>
              <w:bottom w:val="single" w:sz="4" w:space="0" w:color="auto"/>
              <w:right w:val="single" w:sz="4" w:space="0" w:color="auto"/>
            </w:tcBorders>
            <w:shd w:val="clear" w:color="auto" w:fill="auto"/>
            <w:noWrap/>
          </w:tcPr>
          <w:p w14:paraId="4E40E53B" w14:textId="77777777" w:rsidR="00C31ADB" w:rsidRPr="00893E9E" w:rsidRDefault="00C31ADB" w:rsidP="003E798D">
            <w:pPr>
              <w:widowControl w:val="0"/>
              <w:jc w:val="center"/>
              <w:rPr>
                <w:rFonts w:ascii="Arial Narrow" w:hAnsi="Arial Narrow"/>
              </w:rPr>
            </w:pPr>
          </w:p>
        </w:tc>
        <w:tc>
          <w:tcPr>
            <w:tcW w:w="1141" w:type="dxa"/>
            <w:tcBorders>
              <w:top w:val="single" w:sz="4" w:space="0" w:color="auto"/>
              <w:left w:val="single" w:sz="4" w:space="0" w:color="auto"/>
              <w:bottom w:val="single" w:sz="4" w:space="0" w:color="auto"/>
              <w:right w:val="single" w:sz="4" w:space="0" w:color="auto"/>
            </w:tcBorders>
            <w:shd w:val="clear" w:color="auto" w:fill="auto"/>
            <w:noWrap/>
          </w:tcPr>
          <w:p w14:paraId="2AA6D862" w14:textId="77777777" w:rsidR="00C31ADB" w:rsidRPr="00893E9E" w:rsidRDefault="00C31ADB" w:rsidP="003E798D">
            <w:pPr>
              <w:widowControl w:val="0"/>
              <w:jc w:val="center"/>
              <w:rPr>
                <w:rFonts w:ascii="Arial Narrow" w:hAnsi="Arial Narrow"/>
              </w:rPr>
            </w:pPr>
          </w:p>
        </w:tc>
      </w:tr>
      <w:tr w:rsidR="00C31ADB" w14:paraId="4DA2ECB1" w14:textId="77777777" w:rsidTr="003E798D">
        <w:trPr>
          <w:cnfStyle w:val="100000000000" w:firstRow="1" w:lastRow="0" w:firstColumn="0" w:lastColumn="0" w:oddVBand="0" w:evenVBand="0" w:oddHBand="0" w:evenHBand="0" w:firstRowFirstColumn="0" w:firstRowLastColumn="0" w:lastRowFirstColumn="0" w:lastRowLastColumn="0"/>
          <w:trHeight w:val="288"/>
          <w:tblHeader/>
        </w:trPr>
        <w:tc>
          <w:tcPr>
            <w:tcW w:w="2581" w:type="dxa"/>
            <w:tcBorders>
              <w:top w:val="single" w:sz="4" w:space="0" w:color="auto"/>
              <w:left w:val="single" w:sz="4" w:space="0" w:color="auto"/>
              <w:bottom w:val="single" w:sz="4" w:space="0" w:color="auto"/>
              <w:right w:val="single" w:sz="4" w:space="0" w:color="auto"/>
            </w:tcBorders>
            <w:shd w:val="clear" w:color="auto" w:fill="auto"/>
            <w:noWrap/>
          </w:tcPr>
          <w:p w14:paraId="5BD54A44" w14:textId="77777777" w:rsidR="00C31ADB" w:rsidRDefault="00C31ADB" w:rsidP="003E798D">
            <w:pPr>
              <w:pStyle w:val="Tabletext"/>
              <w:widowControl w:val="0"/>
              <w:rPr>
                <w:rFonts w:cs="Calibri"/>
                <w:bCs/>
                <w:color w:val="000000"/>
              </w:rPr>
            </w:pPr>
            <w:r>
              <w:rPr>
                <w:rFonts w:cs="Calibri"/>
                <w:color w:val="000000"/>
              </w:rPr>
              <w:t>Rate of biopsy</w:t>
            </w:r>
          </w:p>
        </w:tc>
        <w:tc>
          <w:tcPr>
            <w:tcW w:w="3116" w:type="dxa"/>
            <w:tcBorders>
              <w:top w:val="single" w:sz="4" w:space="0" w:color="auto"/>
              <w:left w:val="single" w:sz="4" w:space="0" w:color="auto"/>
              <w:bottom w:val="single" w:sz="4" w:space="0" w:color="auto"/>
              <w:right w:val="single" w:sz="4" w:space="0" w:color="auto"/>
            </w:tcBorders>
            <w:shd w:val="clear" w:color="auto" w:fill="auto"/>
            <w:noWrap/>
          </w:tcPr>
          <w:p w14:paraId="208EFC34" w14:textId="77777777" w:rsidR="00C31ADB" w:rsidRPr="00893E9E" w:rsidRDefault="00C31ADB" w:rsidP="003E798D">
            <w:pPr>
              <w:widowControl w:val="0"/>
              <w:jc w:val="center"/>
              <w:rPr>
                <w:rFonts w:ascii="Arial Narrow" w:hAnsi="Arial Narrow" w:cs="Calibri"/>
                <w:bCs/>
                <w:color w:val="000000"/>
              </w:rPr>
            </w:pPr>
          </w:p>
        </w:tc>
        <w:tc>
          <w:tcPr>
            <w:tcW w:w="2476" w:type="dxa"/>
            <w:tcBorders>
              <w:top w:val="single" w:sz="4" w:space="0" w:color="auto"/>
              <w:left w:val="single" w:sz="4" w:space="0" w:color="auto"/>
              <w:bottom w:val="single" w:sz="4" w:space="0" w:color="auto"/>
              <w:right w:val="single" w:sz="4" w:space="0" w:color="auto"/>
            </w:tcBorders>
            <w:shd w:val="clear" w:color="auto" w:fill="auto"/>
            <w:noWrap/>
          </w:tcPr>
          <w:p w14:paraId="286E2724" w14:textId="42233462" w:rsidR="00C31ADB" w:rsidRPr="00893E9E" w:rsidRDefault="00C31ADB" w:rsidP="003E798D">
            <w:pPr>
              <w:widowControl w:val="0"/>
              <w:jc w:val="center"/>
              <w:rPr>
                <w:rFonts w:ascii="Arial Narrow" w:hAnsi="Arial Narrow"/>
                <w:vertAlign w:val="superscript"/>
              </w:rPr>
            </w:pPr>
            <w:r w:rsidRPr="00893E9E">
              <w:rPr>
                <w:rFonts w:ascii="Arial Narrow" w:hAnsi="Arial Narrow" w:cs="Calibri"/>
                <w:color w:val="000000"/>
              </w:rPr>
              <w:t>4%</w:t>
            </w:r>
            <w:r w:rsidR="00B67B76">
              <w:rPr>
                <w:rFonts w:ascii="Arial Narrow" w:hAnsi="Arial Narrow" w:cs="Calibri"/>
                <w:color w:val="000000"/>
                <w:vertAlign w:val="superscript"/>
              </w:rPr>
              <w:t>c</w:t>
            </w:r>
          </w:p>
        </w:tc>
        <w:tc>
          <w:tcPr>
            <w:tcW w:w="1141" w:type="dxa"/>
            <w:tcBorders>
              <w:top w:val="single" w:sz="4" w:space="0" w:color="auto"/>
              <w:left w:val="single" w:sz="4" w:space="0" w:color="auto"/>
              <w:bottom w:val="single" w:sz="4" w:space="0" w:color="auto"/>
              <w:right w:val="single" w:sz="4" w:space="0" w:color="auto"/>
            </w:tcBorders>
            <w:shd w:val="clear" w:color="auto" w:fill="auto"/>
            <w:noWrap/>
          </w:tcPr>
          <w:p w14:paraId="24E05829" w14:textId="77777777" w:rsidR="00C31ADB" w:rsidRPr="00893E9E" w:rsidRDefault="00C31ADB" w:rsidP="003E798D">
            <w:pPr>
              <w:widowControl w:val="0"/>
              <w:jc w:val="center"/>
              <w:rPr>
                <w:rFonts w:ascii="Arial Narrow" w:hAnsi="Arial Narrow"/>
              </w:rPr>
            </w:pPr>
          </w:p>
        </w:tc>
      </w:tr>
      <w:tr w:rsidR="00C31ADB" w14:paraId="62F3D57A" w14:textId="77777777" w:rsidTr="003E798D">
        <w:trPr>
          <w:cnfStyle w:val="100000000000" w:firstRow="1" w:lastRow="0" w:firstColumn="0" w:lastColumn="0" w:oddVBand="0" w:evenVBand="0" w:oddHBand="0" w:evenHBand="0" w:firstRowFirstColumn="0" w:firstRowLastColumn="0" w:lastRowFirstColumn="0" w:lastRowLastColumn="0"/>
          <w:trHeight w:val="288"/>
          <w:tblHeader/>
        </w:trPr>
        <w:tc>
          <w:tcPr>
            <w:tcW w:w="2581" w:type="dxa"/>
            <w:tcBorders>
              <w:top w:val="single" w:sz="4" w:space="0" w:color="auto"/>
              <w:left w:val="single" w:sz="4" w:space="0" w:color="auto"/>
              <w:bottom w:val="single" w:sz="4" w:space="0" w:color="auto"/>
              <w:right w:val="single" w:sz="4" w:space="0" w:color="auto"/>
            </w:tcBorders>
            <w:shd w:val="clear" w:color="auto" w:fill="auto"/>
            <w:noWrap/>
          </w:tcPr>
          <w:p w14:paraId="7E5F2D4B" w14:textId="77777777" w:rsidR="00C31ADB" w:rsidRDefault="00C31ADB" w:rsidP="003E798D">
            <w:pPr>
              <w:pStyle w:val="Tabletext"/>
              <w:widowControl w:val="0"/>
              <w:rPr>
                <w:rFonts w:cs="Calibri"/>
                <w:bCs/>
                <w:color w:val="000000"/>
              </w:rPr>
            </w:pPr>
            <w:r>
              <w:rPr>
                <w:rFonts w:cs="Calibri"/>
                <w:color w:val="000000"/>
              </w:rPr>
              <w:t>Number of biopsies</w:t>
            </w:r>
          </w:p>
        </w:tc>
        <w:tc>
          <w:tcPr>
            <w:tcW w:w="3116" w:type="dxa"/>
            <w:tcBorders>
              <w:top w:val="single" w:sz="4" w:space="0" w:color="auto"/>
              <w:left w:val="single" w:sz="4" w:space="0" w:color="auto"/>
              <w:bottom w:val="single" w:sz="4" w:space="0" w:color="auto"/>
              <w:right w:val="single" w:sz="4" w:space="0" w:color="auto"/>
            </w:tcBorders>
            <w:shd w:val="clear" w:color="auto" w:fill="auto"/>
            <w:noWrap/>
          </w:tcPr>
          <w:p w14:paraId="2459A523" w14:textId="77777777" w:rsidR="00C31ADB" w:rsidRPr="00893E9E" w:rsidRDefault="00C31ADB" w:rsidP="003E798D">
            <w:pPr>
              <w:widowControl w:val="0"/>
              <w:jc w:val="center"/>
              <w:rPr>
                <w:rFonts w:ascii="Arial Narrow" w:hAnsi="Arial Narrow" w:cs="Calibri"/>
                <w:bCs/>
                <w:color w:val="000000"/>
              </w:rPr>
            </w:pPr>
          </w:p>
        </w:tc>
        <w:tc>
          <w:tcPr>
            <w:tcW w:w="2476" w:type="dxa"/>
            <w:tcBorders>
              <w:top w:val="single" w:sz="4" w:space="0" w:color="auto"/>
              <w:left w:val="single" w:sz="4" w:space="0" w:color="auto"/>
              <w:bottom w:val="single" w:sz="4" w:space="0" w:color="auto"/>
              <w:right w:val="single" w:sz="4" w:space="0" w:color="auto"/>
            </w:tcBorders>
            <w:shd w:val="clear" w:color="auto" w:fill="auto"/>
            <w:noWrap/>
          </w:tcPr>
          <w:p w14:paraId="1E20F22E" w14:textId="77777777" w:rsidR="00C31ADB" w:rsidRPr="00893E9E" w:rsidRDefault="00C31ADB" w:rsidP="003E798D">
            <w:pPr>
              <w:widowControl w:val="0"/>
              <w:jc w:val="center"/>
              <w:rPr>
                <w:rFonts w:ascii="Arial Narrow" w:hAnsi="Arial Narrow"/>
              </w:rPr>
            </w:pPr>
            <w:r w:rsidRPr="00893E9E">
              <w:rPr>
                <w:rFonts w:ascii="Arial Narrow" w:hAnsi="Arial Narrow" w:cs="Calibri"/>
                <w:color w:val="000000"/>
              </w:rPr>
              <w:t>0.04</w:t>
            </w:r>
          </w:p>
        </w:tc>
        <w:tc>
          <w:tcPr>
            <w:tcW w:w="1141" w:type="dxa"/>
            <w:tcBorders>
              <w:top w:val="single" w:sz="4" w:space="0" w:color="auto"/>
              <w:left w:val="single" w:sz="4" w:space="0" w:color="auto"/>
              <w:bottom w:val="single" w:sz="4" w:space="0" w:color="auto"/>
              <w:right w:val="single" w:sz="4" w:space="0" w:color="auto"/>
            </w:tcBorders>
            <w:shd w:val="clear" w:color="auto" w:fill="auto"/>
            <w:noWrap/>
          </w:tcPr>
          <w:p w14:paraId="70F7869B" w14:textId="77777777" w:rsidR="00C31ADB" w:rsidRPr="00893E9E" w:rsidRDefault="00C31ADB" w:rsidP="003E798D">
            <w:pPr>
              <w:widowControl w:val="0"/>
              <w:jc w:val="center"/>
              <w:rPr>
                <w:rFonts w:ascii="Arial Narrow" w:hAnsi="Arial Narrow"/>
              </w:rPr>
            </w:pPr>
          </w:p>
        </w:tc>
      </w:tr>
      <w:tr w:rsidR="00C31ADB" w14:paraId="5C6DC8B6" w14:textId="77777777" w:rsidTr="003E798D">
        <w:trPr>
          <w:cnfStyle w:val="100000000000" w:firstRow="1" w:lastRow="0" w:firstColumn="0" w:lastColumn="0" w:oddVBand="0" w:evenVBand="0" w:oddHBand="0" w:evenHBand="0" w:firstRowFirstColumn="0" w:firstRowLastColumn="0" w:lastRowFirstColumn="0" w:lastRowLastColumn="0"/>
          <w:trHeight w:val="288"/>
          <w:tblHeader/>
        </w:trPr>
        <w:tc>
          <w:tcPr>
            <w:tcW w:w="2581" w:type="dxa"/>
            <w:tcBorders>
              <w:top w:val="single" w:sz="4" w:space="0" w:color="auto"/>
              <w:left w:val="single" w:sz="4" w:space="0" w:color="auto"/>
              <w:bottom w:val="single" w:sz="4" w:space="0" w:color="auto"/>
              <w:right w:val="single" w:sz="4" w:space="0" w:color="auto"/>
            </w:tcBorders>
            <w:shd w:val="clear" w:color="auto" w:fill="auto"/>
            <w:noWrap/>
          </w:tcPr>
          <w:p w14:paraId="3F519C30" w14:textId="77777777" w:rsidR="00C31ADB" w:rsidRDefault="00C31ADB" w:rsidP="003E798D">
            <w:pPr>
              <w:pStyle w:val="Tabletext"/>
              <w:widowControl w:val="0"/>
              <w:rPr>
                <w:rFonts w:cs="Calibri"/>
                <w:bCs/>
                <w:color w:val="000000"/>
              </w:rPr>
            </w:pPr>
            <w:r>
              <w:rPr>
                <w:rFonts w:cs="Calibri"/>
                <w:color w:val="000000"/>
              </w:rPr>
              <w:t>Cost per biopsy</w:t>
            </w:r>
          </w:p>
        </w:tc>
        <w:tc>
          <w:tcPr>
            <w:tcW w:w="3116" w:type="dxa"/>
            <w:tcBorders>
              <w:top w:val="single" w:sz="4" w:space="0" w:color="auto"/>
              <w:left w:val="single" w:sz="4" w:space="0" w:color="auto"/>
              <w:bottom w:val="single" w:sz="4" w:space="0" w:color="auto"/>
              <w:right w:val="single" w:sz="4" w:space="0" w:color="auto"/>
            </w:tcBorders>
            <w:shd w:val="clear" w:color="auto" w:fill="auto"/>
            <w:noWrap/>
          </w:tcPr>
          <w:p w14:paraId="38E1A25F" w14:textId="77777777" w:rsidR="00C31ADB" w:rsidRPr="00893E9E" w:rsidRDefault="00C31ADB" w:rsidP="003E798D">
            <w:pPr>
              <w:widowControl w:val="0"/>
              <w:jc w:val="center"/>
              <w:rPr>
                <w:rFonts w:ascii="Arial Narrow" w:hAnsi="Arial Narrow" w:cs="Calibri"/>
                <w:bCs/>
                <w:color w:val="000000"/>
              </w:rPr>
            </w:pPr>
          </w:p>
        </w:tc>
        <w:tc>
          <w:tcPr>
            <w:tcW w:w="2476" w:type="dxa"/>
            <w:tcBorders>
              <w:top w:val="single" w:sz="4" w:space="0" w:color="auto"/>
              <w:left w:val="single" w:sz="4" w:space="0" w:color="auto"/>
              <w:bottom w:val="single" w:sz="4" w:space="0" w:color="auto"/>
              <w:right w:val="single" w:sz="4" w:space="0" w:color="auto"/>
            </w:tcBorders>
            <w:shd w:val="clear" w:color="auto" w:fill="auto"/>
            <w:noWrap/>
          </w:tcPr>
          <w:p w14:paraId="431EF48C" w14:textId="77777777" w:rsidR="00C31ADB" w:rsidRPr="00893E9E" w:rsidRDefault="00C31ADB" w:rsidP="003E798D">
            <w:pPr>
              <w:pStyle w:val="Tabletext"/>
              <w:widowControl w:val="0"/>
              <w:jc w:val="center"/>
              <w:rPr>
                <w:rFonts w:cs="Calibri"/>
                <w:color w:val="000000"/>
                <w:szCs w:val="20"/>
              </w:rPr>
            </w:pPr>
            <w:r w:rsidRPr="00893E9E">
              <w:rPr>
                <w:rFonts w:cs="Calibri"/>
                <w:color w:val="000000"/>
              </w:rPr>
              <w:t>$4.40</w:t>
            </w:r>
          </w:p>
          <w:p w14:paraId="15987721" w14:textId="77777777" w:rsidR="00C31ADB" w:rsidRPr="00893E9E" w:rsidRDefault="00C31ADB" w:rsidP="003E798D">
            <w:pPr>
              <w:widowControl w:val="0"/>
              <w:jc w:val="center"/>
              <w:rPr>
                <w:rFonts w:ascii="Arial Narrow" w:hAnsi="Arial Narrow"/>
              </w:rPr>
            </w:pPr>
            <w:r w:rsidRPr="00893E9E">
              <w:rPr>
                <w:rFonts w:ascii="Arial Narrow" w:hAnsi="Arial Narrow" w:cs="Calibri"/>
                <w:i/>
                <w:color w:val="000000"/>
              </w:rPr>
              <w:t>$4.47</w:t>
            </w:r>
          </w:p>
        </w:tc>
        <w:tc>
          <w:tcPr>
            <w:tcW w:w="1141" w:type="dxa"/>
            <w:tcBorders>
              <w:top w:val="single" w:sz="4" w:space="0" w:color="auto"/>
              <w:left w:val="single" w:sz="4" w:space="0" w:color="auto"/>
              <w:bottom w:val="single" w:sz="4" w:space="0" w:color="auto"/>
              <w:right w:val="single" w:sz="4" w:space="0" w:color="auto"/>
            </w:tcBorders>
            <w:shd w:val="clear" w:color="auto" w:fill="auto"/>
            <w:noWrap/>
          </w:tcPr>
          <w:p w14:paraId="151EDF6B" w14:textId="77777777" w:rsidR="00C31ADB" w:rsidRPr="00893E9E" w:rsidRDefault="00C31ADB" w:rsidP="003E798D">
            <w:pPr>
              <w:widowControl w:val="0"/>
              <w:jc w:val="center"/>
              <w:rPr>
                <w:rFonts w:ascii="Arial Narrow" w:hAnsi="Arial Narrow"/>
              </w:rPr>
            </w:pPr>
          </w:p>
        </w:tc>
      </w:tr>
      <w:tr w:rsidR="00C31ADB" w14:paraId="6E6674D4" w14:textId="77777777" w:rsidTr="003E798D">
        <w:trPr>
          <w:cnfStyle w:val="100000000000" w:firstRow="1" w:lastRow="0" w:firstColumn="0" w:lastColumn="0" w:oddVBand="0" w:evenVBand="0" w:oddHBand="0" w:evenHBand="0" w:firstRowFirstColumn="0" w:firstRowLastColumn="0" w:lastRowFirstColumn="0" w:lastRowLastColumn="0"/>
          <w:trHeight w:val="288"/>
          <w:tblHeader/>
        </w:trPr>
        <w:tc>
          <w:tcPr>
            <w:tcW w:w="2581" w:type="dxa"/>
            <w:tcBorders>
              <w:top w:val="single" w:sz="4" w:space="0" w:color="auto"/>
              <w:left w:val="single" w:sz="4" w:space="0" w:color="auto"/>
              <w:bottom w:val="single" w:sz="4" w:space="0" w:color="auto"/>
              <w:right w:val="single" w:sz="4" w:space="0" w:color="auto"/>
            </w:tcBorders>
            <w:shd w:val="clear" w:color="auto" w:fill="auto"/>
            <w:noWrap/>
          </w:tcPr>
          <w:p w14:paraId="7AB9DAD6" w14:textId="77777777" w:rsidR="00C31ADB" w:rsidRDefault="00C31ADB" w:rsidP="003E798D">
            <w:pPr>
              <w:pStyle w:val="Tabletext"/>
              <w:widowControl w:val="0"/>
              <w:rPr>
                <w:rFonts w:cs="Calibri"/>
                <w:bCs/>
                <w:color w:val="000000"/>
              </w:rPr>
            </w:pPr>
            <w:r>
              <w:rPr>
                <w:rFonts w:cs="Calibri"/>
                <w:b/>
                <w:color w:val="000000"/>
              </w:rPr>
              <w:t>Total cost</w:t>
            </w:r>
          </w:p>
        </w:tc>
        <w:tc>
          <w:tcPr>
            <w:tcW w:w="3116" w:type="dxa"/>
            <w:tcBorders>
              <w:top w:val="single" w:sz="4" w:space="0" w:color="auto"/>
              <w:left w:val="single" w:sz="4" w:space="0" w:color="auto"/>
              <w:bottom w:val="single" w:sz="4" w:space="0" w:color="auto"/>
              <w:right w:val="single" w:sz="4" w:space="0" w:color="auto"/>
            </w:tcBorders>
            <w:shd w:val="clear" w:color="auto" w:fill="auto"/>
            <w:noWrap/>
          </w:tcPr>
          <w:p w14:paraId="470D3316" w14:textId="77777777" w:rsidR="00C31ADB" w:rsidRPr="00893E9E" w:rsidRDefault="00C31ADB" w:rsidP="003E798D">
            <w:pPr>
              <w:widowControl w:val="0"/>
              <w:jc w:val="center"/>
              <w:rPr>
                <w:rFonts w:ascii="Arial Narrow" w:hAnsi="Arial Narrow" w:cs="Calibri"/>
                <w:bCs/>
                <w:color w:val="000000"/>
              </w:rPr>
            </w:pPr>
            <w:r w:rsidRPr="00893E9E">
              <w:rPr>
                <w:rFonts w:ascii="Arial Narrow" w:hAnsi="Arial Narrow" w:cs="Calibri"/>
                <w:b/>
                <w:color w:val="000000"/>
              </w:rPr>
              <w:t>$897.90</w:t>
            </w:r>
          </w:p>
        </w:tc>
        <w:tc>
          <w:tcPr>
            <w:tcW w:w="2476" w:type="dxa"/>
            <w:tcBorders>
              <w:top w:val="single" w:sz="4" w:space="0" w:color="auto"/>
              <w:left w:val="single" w:sz="4" w:space="0" w:color="auto"/>
              <w:bottom w:val="single" w:sz="4" w:space="0" w:color="auto"/>
              <w:right w:val="single" w:sz="4" w:space="0" w:color="auto"/>
            </w:tcBorders>
            <w:shd w:val="clear" w:color="auto" w:fill="auto"/>
            <w:noWrap/>
          </w:tcPr>
          <w:p w14:paraId="606DA9D5" w14:textId="77777777" w:rsidR="00C31ADB" w:rsidRPr="00893E9E" w:rsidRDefault="00C31ADB" w:rsidP="003E798D">
            <w:pPr>
              <w:pStyle w:val="Tabletext"/>
              <w:widowControl w:val="0"/>
              <w:jc w:val="center"/>
              <w:rPr>
                <w:rFonts w:cs="Calibri"/>
                <w:b/>
                <w:color w:val="000000"/>
              </w:rPr>
            </w:pPr>
            <w:r w:rsidRPr="00893E9E">
              <w:rPr>
                <w:rFonts w:cs="Calibri"/>
                <w:b/>
                <w:color w:val="000000"/>
              </w:rPr>
              <w:t>$706.95</w:t>
            </w:r>
          </w:p>
          <w:p w14:paraId="6A193E39" w14:textId="77777777" w:rsidR="00C31ADB" w:rsidRPr="00893E9E" w:rsidRDefault="00C31ADB" w:rsidP="003E798D">
            <w:pPr>
              <w:widowControl w:val="0"/>
              <w:jc w:val="center"/>
              <w:rPr>
                <w:rFonts w:ascii="Arial Narrow" w:hAnsi="Arial Narrow"/>
              </w:rPr>
            </w:pPr>
            <w:r w:rsidRPr="00893E9E">
              <w:rPr>
                <w:rFonts w:ascii="Arial Narrow" w:hAnsi="Arial Narrow" w:cs="Calibri"/>
                <w:b/>
                <w:i/>
                <w:color w:val="000000"/>
              </w:rPr>
              <w:t>$707.02</w:t>
            </w:r>
          </w:p>
        </w:tc>
        <w:tc>
          <w:tcPr>
            <w:tcW w:w="1141" w:type="dxa"/>
            <w:tcBorders>
              <w:top w:val="single" w:sz="4" w:space="0" w:color="auto"/>
              <w:left w:val="single" w:sz="4" w:space="0" w:color="auto"/>
              <w:bottom w:val="single" w:sz="4" w:space="0" w:color="auto"/>
              <w:right w:val="single" w:sz="4" w:space="0" w:color="auto"/>
            </w:tcBorders>
            <w:shd w:val="clear" w:color="auto" w:fill="auto"/>
            <w:noWrap/>
          </w:tcPr>
          <w:p w14:paraId="6574F57C" w14:textId="77777777" w:rsidR="00C31ADB" w:rsidRPr="00893E9E" w:rsidRDefault="00C31ADB" w:rsidP="003E798D">
            <w:pPr>
              <w:pStyle w:val="Tabletext"/>
              <w:widowControl w:val="0"/>
              <w:jc w:val="center"/>
              <w:rPr>
                <w:rFonts w:cs="Calibri"/>
                <w:b/>
                <w:color w:val="000000"/>
              </w:rPr>
            </w:pPr>
            <w:r w:rsidRPr="00893E9E">
              <w:rPr>
                <w:rFonts w:cs="Calibri"/>
                <w:b/>
                <w:color w:val="000000"/>
              </w:rPr>
              <w:t>$190.95</w:t>
            </w:r>
          </w:p>
          <w:p w14:paraId="52FA7BA6" w14:textId="77777777" w:rsidR="00C31ADB" w:rsidRPr="00893E9E" w:rsidRDefault="00C31ADB" w:rsidP="003E798D">
            <w:pPr>
              <w:widowControl w:val="0"/>
              <w:jc w:val="center"/>
              <w:rPr>
                <w:rFonts w:ascii="Arial Narrow" w:hAnsi="Arial Narrow"/>
              </w:rPr>
            </w:pPr>
            <w:r w:rsidRPr="00893E9E">
              <w:rPr>
                <w:rFonts w:ascii="Arial Narrow" w:hAnsi="Arial Narrow" w:cs="Calibri"/>
                <w:b/>
                <w:i/>
                <w:color w:val="000000"/>
              </w:rPr>
              <w:t>$190.88</w:t>
            </w:r>
          </w:p>
        </w:tc>
      </w:tr>
      <w:tr w:rsidR="00C31ADB" w14:paraId="36BB27D5" w14:textId="77777777" w:rsidTr="003E798D">
        <w:trPr>
          <w:cnfStyle w:val="100000000000" w:firstRow="1" w:lastRow="0" w:firstColumn="0" w:lastColumn="0" w:oddVBand="0" w:evenVBand="0" w:oddHBand="0" w:evenHBand="0" w:firstRowFirstColumn="0" w:firstRowLastColumn="0" w:lastRowFirstColumn="0" w:lastRowLastColumn="0"/>
          <w:trHeight w:val="288"/>
          <w:tblHeader/>
        </w:trPr>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B9CEDF0" w14:textId="77777777" w:rsidR="00C31ADB" w:rsidRDefault="00C31ADB" w:rsidP="003E798D">
            <w:pPr>
              <w:pStyle w:val="Tabletext"/>
              <w:widowControl w:val="0"/>
              <w:rPr>
                <w:rFonts w:cs="Calibri"/>
                <w:bCs/>
                <w:color w:val="000000"/>
              </w:rPr>
            </w:pPr>
            <w:r>
              <w:rPr>
                <w:rFonts w:cs="Calibri"/>
                <w:bCs/>
                <w:color w:val="000000"/>
              </w:rPr>
              <w:t>CLL</w:t>
            </w:r>
          </w:p>
        </w:tc>
        <w:tc>
          <w:tcPr>
            <w:tcW w:w="3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E60F304" w14:textId="77777777" w:rsidR="00C31ADB" w:rsidRDefault="00C31ADB" w:rsidP="003E798D">
            <w:pPr>
              <w:widowControl w:val="0"/>
              <w:jc w:val="center"/>
              <w:rPr>
                <w:rFonts w:cs="Calibri"/>
                <w:bCs/>
                <w:color w:val="000000"/>
              </w:rPr>
            </w:pPr>
          </w:p>
        </w:tc>
        <w:tc>
          <w:tcPr>
            <w:tcW w:w="2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857D0C5" w14:textId="77777777" w:rsidR="00C31ADB" w:rsidRDefault="00C31ADB" w:rsidP="003E798D">
            <w:pPr>
              <w:widowControl w:val="0"/>
              <w:spacing w:before="0"/>
              <w:jc w:val="center"/>
              <w:rPr>
                <w:rFonts w:ascii="Times New Roman" w:hAnsi="Times New Roman"/>
              </w:rPr>
            </w:pPr>
          </w:p>
        </w:tc>
        <w:tc>
          <w:tcPr>
            <w:tcW w:w="1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BF0FA33" w14:textId="77777777" w:rsidR="00C31ADB" w:rsidRDefault="00C31ADB" w:rsidP="003E798D">
            <w:pPr>
              <w:widowControl w:val="0"/>
              <w:spacing w:before="0"/>
              <w:jc w:val="center"/>
              <w:rPr>
                <w:rFonts w:ascii="Times New Roman" w:hAnsi="Times New Roman"/>
              </w:rPr>
            </w:pPr>
          </w:p>
        </w:tc>
      </w:tr>
      <w:tr w:rsidR="00C31ADB" w14:paraId="1592FFCC" w14:textId="77777777" w:rsidTr="003E798D">
        <w:trPr>
          <w:cnfStyle w:val="100000000000" w:firstRow="1" w:lastRow="0" w:firstColumn="0" w:lastColumn="0" w:oddVBand="0" w:evenVBand="0" w:oddHBand="0" w:evenHBand="0" w:firstRowFirstColumn="0" w:firstRowLastColumn="0" w:lastRowFirstColumn="0" w:lastRowLastColumn="0"/>
          <w:trHeight w:val="288"/>
          <w:tblHeader/>
        </w:trPr>
        <w:tc>
          <w:tcPr>
            <w:tcW w:w="2581" w:type="dxa"/>
            <w:tcBorders>
              <w:top w:val="single" w:sz="4" w:space="0" w:color="auto"/>
              <w:left w:val="single" w:sz="4" w:space="0" w:color="auto"/>
              <w:bottom w:val="single" w:sz="4" w:space="0" w:color="auto"/>
              <w:right w:val="single" w:sz="4" w:space="0" w:color="auto"/>
            </w:tcBorders>
            <w:noWrap/>
            <w:hideMark/>
          </w:tcPr>
          <w:p w14:paraId="44F3DDC9" w14:textId="77777777" w:rsidR="00C31ADB" w:rsidRDefault="00C31ADB" w:rsidP="003E798D">
            <w:pPr>
              <w:pStyle w:val="Tabletext"/>
              <w:widowControl w:val="0"/>
              <w:rPr>
                <w:rFonts w:cs="Calibri"/>
                <w:color w:val="000000"/>
                <w:szCs w:val="20"/>
              </w:rPr>
            </w:pPr>
            <w:r>
              <w:rPr>
                <w:rFonts w:cs="Calibri"/>
                <w:color w:val="000000"/>
              </w:rPr>
              <w:t>Genomic testing</w:t>
            </w:r>
          </w:p>
        </w:tc>
        <w:tc>
          <w:tcPr>
            <w:tcW w:w="3116" w:type="dxa"/>
            <w:tcBorders>
              <w:top w:val="single" w:sz="4" w:space="0" w:color="auto"/>
              <w:left w:val="single" w:sz="4" w:space="0" w:color="auto"/>
              <w:bottom w:val="single" w:sz="4" w:space="0" w:color="auto"/>
              <w:right w:val="single" w:sz="4" w:space="0" w:color="auto"/>
            </w:tcBorders>
            <w:noWrap/>
            <w:hideMark/>
          </w:tcPr>
          <w:p w14:paraId="5A9045D4" w14:textId="77777777" w:rsidR="00C31ADB" w:rsidRDefault="00C31ADB" w:rsidP="003E798D">
            <w:pPr>
              <w:widowControl w:val="0"/>
              <w:jc w:val="center"/>
              <w:rPr>
                <w:rFonts w:cs="Calibri"/>
                <w:color w:val="000000"/>
              </w:rPr>
            </w:pPr>
          </w:p>
        </w:tc>
        <w:tc>
          <w:tcPr>
            <w:tcW w:w="2476" w:type="dxa"/>
            <w:tcBorders>
              <w:top w:val="single" w:sz="4" w:space="0" w:color="auto"/>
              <w:left w:val="single" w:sz="4" w:space="0" w:color="auto"/>
              <w:bottom w:val="single" w:sz="4" w:space="0" w:color="auto"/>
              <w:right w:val="single" w:sz="4" w:space="0" w:color="auto"/>
            </w:tcBorders>
            <w:noWrap/>
            <w:hideMark/>
          </w:tcPr>
          <w:p w14:paraId="6BD3BFBD" w14:textId="77777777" w:rsidR="00C31ADB" w:rsidRDefault="00C31ADB" w:rsidP="003E798D">
            <w:pPr>
              <w:widowControl w:val="0"/>
              <w:spacing w:before="0"/>
              <w:jc w:val="center"/>
              <w:rPr>
                <w:rFonts w:ascii="Times New Roman" w:hAnsi="Times New Roman"/>
              </w:rPr>
            </w:pPr>
          </w:p>
        </w:tc>
        <w:tc>
          <w:tcPr>
            <w:tcW w:w="1141" w:type="dxa"/>
            <w:tcBorders>
              <w:top w:val="single" w:sz="4" w:space="0" w:color="auto"/>
              <w:left w:val="single" w:sz="4" w:space="0" w:color="auto"/>
              <w:bottom w:val="single" w:sz="4" w:space="0" w:color="auto"/>
              <w:right w:val="single" w:sz="4" w:space="0" w:color="auto"/>
            </w:tcBorders>
            <w:noWrap/>
            <w:hideMark/>
          </w:tcPr>
          <w:p w14:paraId="356F9AD0" w14:textId="77777777" w:rsidR="00C31ADB" w:rsidRDefault="00C31ADB" w:rsidP="003E798D">
            <w:pPr>
              <w:widowControl w:val="0"/>
              <w:spacing w:before="0"/>
              <w:jc w:val="center"/>
              <w:rPr>
                <w:rFonts w:ascii="Times New Roman" w:hAnsi="Times New Roman"/>
              </w:rPr>
            </w:pPr>
          </w:p>
        </w:tc>
      </w:tr>
      <w:tr w:rsidR="00C31ADB" w14:paraId="3FD9E8E2" w14:textId="77777777" w:rsidTr="003E798D">
        <w:trPr>
          <w:cnfStyle w:val="100000000000" w:firstRow="1" w:lastRow="0" w:firstColumn="0" w:lastColumn="0" w:oddVBand="0" w:evenVBand="0" w:oddHBand="0" w:evenHBand="0" w:firstRowFirstColumn="0" w:firstRowLastColumn="0" w:lastRowFirstColumn="0" w:lastRowLastColumn="0"/>
          <w:trHeight w:val="288"/>
          <w:tblHeader/>
        </w:trPr>
        <w:tc>
          <w:tcPr>
            <w:tcW w:w="2581" w:type="dxa"/>
            <w:tcBorders>
              <w:top w:val="single" w:sz="4" w:space="0" w:color="auto"/>
              <w:left w:val="single" w:sz="4" w:space="0" w:color="auto"/>
              <w:bottom w:val="single" w:sz="4" w:space="0" w:color="auto"/>
              <w:right w:val="single" w:sz="4" w:space="0" w:color="auto"/>
            </w:tcBorders>
            <w:noWrap/>
            <w:hideMark/>
          </w:tcPr>
          <w:p w14:paraId="436BED9B" w14:textId="77777777" w:rsidR="00C31ADB" w:rsidRDefault="00C31ADB" w:rsidP="003E798D">
            <w:pPr>
              <w:pStyle w:val="Tabletext"/>
              <w:widowControl w:val="0"/>
              <w:rPr>
                <w:rFonts w:cs="Calibri"/>
                <w:color w:val="000000"/>
                <w:szCs w:val="20"/>
              </w:rPr>
            </w:pPr>
            <w:r>
              <w:rPr>
                <w:rFonts w:cs="Calibri"/>
                <w:color w:val="000000"/>
              </w:rPr>
              <w:t>Number of tests per patient</w:t>
            </w:r>
          </w:p>
        </w:tc>
        <w:tc>
          <w:tcPr>
            <w:tcW w:w="3116" w:type="dxa"/>
            <w:tcBorders>
              <w:top w:val="single" w:sz="4" w:space="0" w:color="auto"/>
              <w:left w:val="single" w:sz="4" w:space="0" w:color="auto"/>
              <w:bottom w:val="single" w:sz="4" w:space="0" w:color="auto"/>
              <w:right w:val="single" w:sz="4" w:space="0" w:color="auto"/>
            </w:tcBorders>
            <w:noWrap/>
            <w:hideMark/>
          </w:tcPr>
          <w:p w14:paraId="1E872B80" w14:textId="77777777" w:rsidR="00C31ADB" w:rsidRDefault="00C31ADB" w:rsidP="003E798D">
            <w:pPr>
              <w:pStyle w:val="Tabletext"/>
              <w:widowControl w:val="0"/>
              <w:jc w:val="center"/>
              <w:rPr>
                <w:rFonts w:cs="Calibri"/>
                <w:color w:val="000000"/>
              </w:rPr>
            </w:pPr>
            <w:r>
              <w:rPr>
                <w:rFonts w:cs="Calibri"/>
                <w:color w:val="000000"/>
              </w:rPr>
              <w:t>1.00</w:t>
            </w:r>
          </w:p>
        </w:tc>
        <w:tc>
          <w:tcPr>
            <w:tcW w:w="2476" w:type="dxa"/>
            <w:tcBorders>
              <w:top w:val="single" w:sz="4" w:space="0" w:color="auto"/>
              <w:left w:val="single" w:sz="4" w:space="0" w:color="auto"/>
              <w:bottom w:val="single" w:sz="4" w:space="0" w:color="auto"/>
              <w:right w:val="single" w:sz="4" w:space="0" w:color="auto"/>
            </w:tcBorders>
            <w:noWrap/>
            <w:hideMark/>
          </w:tcPr>
          <w:p w14:paraId="429C9F52" w14:textId="77777777" w:rsidR="00C31ADB" w:rsidRDefault="00C31ADB" w:rsidP="003E798D">
            <w:pPr>
              <w:pStyle w:val="Tabletext"/>
              <w:widowControl w:val="0"/>
              <w:jc w:val="center"/>
              <w:rPr>
                <w:rFonts w:cs="Calibri"/>
                <w:color w:val="000000"/>
              </w:rPr>
            </w:pPr>
            <w:r>
              <w:rPr>
                <w:rFonts w:cs="Calibri"/>
                <w:color w:val="000000"/>
              </w:rPr>
              <w:t>1.00</w:t>
            </w:r>
          </w:p>
        </w:tc>
        <w:tc>
          <w:tcPr>
            <w:tcW w:w="1141" w:type="dxa"/>
            <w:tcBorders>
              <w:top w:val="single" w:sz="4" w:space="0" w:color="auto"/>
              <w:left w:val="single" w:sz="4" w:space="0" w:color="auto"/>
              <w:bottom w:val="single" w:sz="4" w:space="0" w:color="auto"/>
              <w:right w:val="single" w:sz="4" w:space="0" w:color="auto"/>
            </w:tcBorders>
            <w:noWrap/>
            <w:hideMark/>
          </w:tcPr>
          <w:p w14:paraId="0D98F41E" w14:textId="77777777" w:rsidR="00C31ADB" w:rsidRDefault="00C31ADB" w:rsidP="003E798D">
            <w:pPr>
              <w:widowControl w:val="0"/>
              <w:jc w:val="center"/>
              <w:rPr>
                <w:rFonts w:cs="Calibri"/>
                <w:color w:val="000000"/>
              </w:rPr>
            </w:pPr>
          </w:p>
        </w:tc>
      </w:tr>
      <w:tr w:rsidR="00C31ADB" w14:paraId="636090C6" w14:textId="77777777" w:rsidTr="003E798D">
        <w:trPr>
          <w:cnfStyle w:val="100000000000" w:firstRow="1" w:lastRow="0" w:firstColumn="0" w:lastColumn="0" w:oddVBand="0" w:evenVBand="0" w:oddHBand="0" w:evenHBand="0" w:firstRowFirstColumn="0" w:firstRowLastColumn="0" w:lastRowFirstColumn="0" w:lastRowLastColumn="0"/>
          <w:trHeight w:val="288"/>
          <w:tblHeader/>
        </w:trPr>
        <w:tc>
          <w:tcPr>
            <w:tcW w:w="2581" w:type="dxa"/>
            <w:tcBorders>
              <w:top w:val="single" w:sz="4" w:space="0" w:color="auto"/>
              <w:left w:val="single" w:sz="4" w:space="0" w:color="auto"/>
              <w:bottom w:val="single" w:sz="4" w:space="0" w:color="auto"/>
              <w:right w:val="single" w:sz="4" w:space="0" w:color="auto"/>
            </w:tcBorders>
            <w:noWrap/>
            <w:hideMark/>
          </w:tcPr>
          <w:p w14:paraId="25C7F29B" w14:textId="77777777" w:rsidR="00C31ADB" w:rsidRDefault="00C31ADB" w:rsidP="003E798D">
            <w:pPr>
              <w:pStyle w:val="Tabletext"/>
              <w:widowControl w:val="0"/>
              <w:rPr>
                <w:rFonts w:cs="Calibri"/>
                <w:color w:val="000000"/>
                <w:szCs w:val="20"/>
              </w:rPr>
            </w:pPr>
            <w:r>
              <w:rPr>
                <w:rFonts w:cs="Calibri"/>
                <w:color w:val="000000"/>
              </w:rPr>
              <w:t>Cost per test</w:t>
            </w:r>
          </w:p>
        </w:tc>
        <w:tc>
          <w:tcPr>
            <w:tcW w:w="3116" w:type="dxa"/>
            <w:tcBorders>
              <w:top w:val="single" w:sz="4" w:space="0" w:color="auto"/>
              <w:left w:val="single" w:sz="4" w:space="0" w:color="auto"/>
              <w:bottom w:val="single" w:sz="4" w:space="0" w:color="auto"/>
              <w:right w:val="single" w:sz="4" w:space="0" w:color="auto"/>
            </w:tcBorders>
            <w:noWrap/>
            <w:hideMark/>
          </w:tcPr>
          <w:p w14:paraId="02B2E93F" w14:textId="77777777" w:rsidR="00C31ADB" w:rsidRDefault="00C31ADB" w:rsidP="003E798D">
            <w:pPr>
              <w:pStyle w:val="Tabletext"/>
              <w:widowControl w:val="0"/>
              <w:jc w:val="center"/>
              <w:rPr>
                <w:rFonts w:cs="Calibri"/>
                <w:color w:val="000000"/>
              </w:rPr>
            </w:pPr>
            <w:r>
              <w:rPr>
                <w:rFonts w:cs="Calibri"/>
                <w:color w:val="000000"/>
              </w:rPr>
              <w:t>$589.90</w:t>
            </w:r>
          </w:p>
        </w:tc>
        <w:tc>
          <w:tcPr>
            <w:tcW w:w="2476" w:type="dxa"/>
            <w:tcBorders>
              <w:top w:val="single" w:sz="4" w:space="0" w:color="auto"/>
              <w:left w:val="single" w:sz="4" w:space="0" w:color="auto"/>
              <w:bottom w:val="single" w:sz="4" w:space="0" w:color="auto"/>
              <w:right w:val="single" w:sz="4" w:space="0" w:color="auto"/>
            </w:tcBorders>
            <w:noWrap/>
            <w:hideMark/>
          </w:tcPr>
          <w:p w14:paraId="24AACD8F" w14:textId="2C38F1C4" w:rsidR="00C31ADB" w:rsidRPr="007E7F6A" w:rsidRDefault="00C31ADB" w:rsidP="003E798D">
            <w:pPr>
              <w:pStyle w:val="Tabletext"/>
              <w:widowControl w:val="0"/>
              <w:jc w:val="center"/>
              <w:rPr>
                <w:rFonts w:cs="Calibri"/>
                <w:color w:val="000000"/>
                <w:vertAlign w:val="superscript"/>
              </w:rPr>
            </w:pPr>
            <w:r>
              <w:rPr>
                <w:rFonts w:cs="Calibri"/>
                <w:color w:val="000000"/>
              </w:rPr>
              <w:t>$649.55</w:t>
            </w:r>
            <w:r w:rsidR="00B67B76">
              <w:rPr>
                <w:rFonts w:cs="Calibri"/>
                <w:color w:val="000000"/>
                <w:vertAlign w:val="superscript"/>
              </w:rPr>
              <w:t>d</w:t>
            </w:r>
          </w:p>
        </w:tc>
        <w:tc>
          <w:tcPr>
            <w:tcW w:w="1141" w:type="dxa"/>
            <w:tcBorders>
              <w:top w:val="single" w:sz="4" w:space="0" w:color="auto"/>
              <w:left w:val="single" w:sz="4" w:space="0" w:color="auto"/>
              <w:bottom w:val="single" w:sz="4" w:space="0" w:color="auto"/>
              <w:right w:val="single" w:sz="4" w:space="0" w:color="auto"/>
            </w:tcBorders>
            <w:noWrap/>
            <w:hideMark/>
          </w:tcPr>
          <w:p w14:paraId="479CBF38" w14:textId="77777777" w:rsidR="00C31ADB" w:rsidRDefault="00C31ADB" w:rsidP="003E798D">
            <w:pPr>
              <w:pStyle w:val="Tabletext"/>
              <w:widowControl w:val="0"/>
              <w:jc w:val="center"/>
              <w:rPr>
                <w:rFonts w:cs="Calibri"/>
                <w:color w:val="000000"/>
              </w:rPr>
            </w:pPr>
            <w:r>
              <w:rPr>
                <w:rFonts w:cs="Calibri"/>
                <w:color w:val="000000"/>
              </w:rPr>
              <w:t>-$59.65</w:t>
            </w:r>
          </w:p>
        </w:tc>
      </w:tr>
      <w:tr w:rsidR="00C31ADB" w14:paraId="61A67501" w14:textId="77777777" w:rsidTr="003E798D">
        <w:trPr>
          <w:cnfStyle w:val="100000000000" w:firstRow="1" w:lastRow="0" w:firstColumn="0" w:lastColumn="0" w:oddVBand="0" w:evenVBand="0" w:oddHBand="0" w:evenHBand="0" w:firstRowFirstColumn="0" w:firstRowLastColumn="0" w:lastRowFirstColumn="0" w:lastRowLastColumn="0"/>
          <w:trHeight w:val="288"/>
          <w:tblHeader/>
        </w:trPr>
        <w:tc>
          <w:tcPr>
            <w:tcW w:w="2581" w:type="dxa"/>
            <w:tcBorders>
              <w:top w:val="single" w:sz="4" w:space="0" w:color="auto"/>
              <w:left w:val="single" w:sz="4" w:space="0" w:color="auto"/>
              <w:bottom w:val="single" w:sz="4" w:space="0" w:color="auto"/>
              <w:right w:val="single" w:sz="4" w:space="0" w:color="auto"/>
            </w:tcBorders>
            <w:noWrap/>
            <w:hideMark/>
          </w:tcPr>
          <w:p w14:paraId="0A9ED612" w14:textId="77777777" w:rsidR="00C31ADB" w:rsidRDefault="00C31ADB" w:rsidP="003E798D">
            <w:pPr>
              <w:pStyle w:val="Tabletext"/>
              <w:widowControl w:val="0"/>
              <w:rPr>
                <w:rFonts w:cs="Calibri"/>
                <w:b/>
                <w:color w:val="000000"/>
              </w:rPr>
            </w:pPr>
            <w:r>
              <w:rPr>
                <w:rFonts w:cs="Calibri"/>
                <w:b/>
                <w:color w:val="000000"/>
              </w:rPr>
              <w:t>Total cost</w:t>
            </w:r>
          </w:p>
        </w:tc>
        <w:tc>
          <w:tcPr>
            <w:tcW w:w="3116" w:type="dxa"/>
            <w:tcBorders>
              <w:top w:val="single" w:sz="4" w:space="0" w:color="auto"/>
              <w:left w:val="single" w:sz="4" w:space="0" w:color="auto"/>
              <w:bottom w:val="single" w:sz="4" w:space="0" w:color="auto"/>
              <w:right w:val="single" w:sz="4" w:space="0" w:color="auto"/>
            </w:tcBorders>
            <w:noWrap/>
            <w:hideMark/>
          </w:tcPr>
          <w:p w14:paraId="0A8737B9" w14:textId="77777777" w:rsidR="00C31ADB" w:rsidRDefault="00C31ADB" w:rsidP="003E798D">
            <w:pPr>
              <w:pStyle w:val="Tabletext"/>
              <w:widowControl w:val="0"/>
              <w:jc w:val="center"/>
              <w:rPr>
                <w:rFonts w:cs="Calibri"/>
                <w:b/>
                <w:color w:val="000000"/>
              </w:rPr>
            </w:pPr>
            <w:r>
              <w:rPr>
                <w:rFonts w:cs="Calibri"/>
                <w:b/>
                <w:color w:val="000000"/>
              </w:rPr>
              <w:t>$589.90</w:t>
            </w:r>
          </w:p>
        </w:tc>
        <w:tc>
          <w:tcPr>
            <w:tcW w:w="2476" w:type="dxa"/>
            <w:tcBorders>
              <w:top w:val="single" w:sz="4" w:space="0" w:color="auto"/>
              <w:left w:val="single" w:sz="4" w:space="0" w:color="auto"/>
              <w:bottom w:val="single" w:sz="4" w:space="0" w:color="auto"/>
              <w:right w:val="single" w:sz="4" w:space="0" w:color="auto"/>
            </w:tcBorders>
            <w:noWrap/>
            <w:hideMark/>
          </w:tcPr>
          <w:p w14:paraId="00717D1E" w14:textId="77777777" w:rsidR="00C31ADB" w:rsidRDefault="00C31ADB" w:rsidP="003E798D">
            <w:pPr>
              <w:pStyle w:val="Tabletext"/>
              <w:widowControl w:val="0"/>
              <w:jc w:val="center"/>
              <w:rPr>
                <w:rFonts w:cs="Calibri"/>
                <w:b/>
                <w:color w:val="000000"/>
              </w:rPr>
            </w:pPr>
            <w:r>
              <w:rPr>
                <w:rFonts w:cs="Calibri"/>
                <w:b/>
                <w:color w:val="000000"/>
              </w:rPr>
              <w:t>$649.55</w:t>
            </w:r>
          </w:p>
        </w:tc>
        <w:tc>
          <w:tcPr>
            <w:tcW w:w="1141" w:type="dxa"/>
            <w:tcBorders>
              <w:top w:val="single" w:sz="4" w:space="0" w:color="auto"/>
              <w:left w:val="single" w:sz="4" w:space="0" w:color="auto"/>
              <w:bottom w:val="single" w:sz="4" w:space="0" w:color="auto"/>
              <w:right w:val="single" w:sz="4" w:space="0" w:color="auto"/>
            </w:tcBorders>
            <w:noWrap/>
            <w:hideMark/>
          </w:tcPr>
          <w:p w14:paraId="1CD99143" w14:textId="77777777" w:rsidR="00C31ADB" w:rsidRDefault="00C31ADB" w:rsidP="003E798D">
            <w:pPr>
              <w:pStyle w:val="Tabletext"/>
              <w:widowControl w:val="0"/>
              <w:jc w:val="center"/>
              <w:rPr>
                <w:rFonts w:cs="Calibri"/>
                <w:b/>
                <w:color w:val="000000"/>
              </w:rPr>
            </w:pPr>
            <w:r>
              <w:rPr>
                <w:rFonts w:cs="Calibri"/>
                <w:b/>
                <w:color w:val="000000"/>
              </w:rPr>
              <w:t>-$59.65</w:t>
            </w:r>
          </w:p>
        </w:tc>
      </w:tr>
    </w:tbl>
    <w:p w14:paraId="49E39F83" w14:textId="78391684" w:rsidR="00C31ADB" w:rsidRPr="000D199E" w:rsidRDefault="00C31ADB" w:rsidP="00C31ADB">
      <w:pPr>
        <w:pStyle w:val="Tablecaption"/>
        <w:rPr>
          <w:sz w:val="18"/>
        </w:rPr>
      </w:pPr>
      <w:r>
        <w:rPr>
          <w:sz w:val="18"/>
        </w:rPr>
        <w:t xml:space="preserve">Source: Table 4, p22 of the </w:t>
      </w:r>
      <w:r w:rsidR="00B11338">
        <w:rPr>
          <w:sz w:val="18"/>
        </w:rPr>
        <w:t>c</w:t>
      </w:r>
      <w:r>
        <w:rPr>
          <w:sz w:val="18"/>
        </w:rPr>
        <w:t>ritique</w:t>
      </w:r>
    </w:p>
    <w:p w14:paraId="56CD918F" w14:textId="67EFF97D" w:rsidR="00B67B76" w:rsidRPr="007E7F6A" w:rsidRDefault="00B67B76" w:rsidP="00C31ADB">
      <w:pPr>
        <w:pStyle w:val="Tablecaption"/>
        <w:rPr>
          <w:b/>
          <w:i/>
          <w:sz w:val="18"/>
          <w:vertAlign w:val="superscript"/>
        </w:rPr>
      </w:pPr>
      <w:proofErr w:type="gramStart"/>
      <w:r w:rsidRPr="007E7F6A">
        <w:rPr>
          <w:b/>
          <w:i/>
          <w:sz w:val="18"/>
          <w:vertAlign w:val="superscript"/>
        </w:rPr>
        <w:t>a</w:t>
      </w:r>
      <w:proofErr w:type="gramEnd"/>
      <w:r w:rsidRPr="007E7F6A">
        <w:rPr>
          <w:b/>
          <w:i/>
          <w:sz w:val="18"/>
          <w:vertAlign w:val="superscript"/>
        </w:rPr>
        <w:t xml:space="preserve"> </w:t>
      </w:r>
      <w:r w:rsidRPr="007E7F6A">
        <w:rPr>
          <w:i/>
          <w:sz w:val="18"/>
        </w:rPr>
        <w:t>Cost of GWMA ($589.90</w:t>
      </w:r>
      <w:r>
        <w:rPr>
          <w:i/>
          <w:sz w:val="18"/>
        </w:rPr>
        <w:t>; proposed fee in Table 1</w:t>
      </w:r>
      <w:r w:rsidRPr="007E7F6A">
        <w:rPr>
          <w:i/>
          <w:sz w:val="18"/>
        </w:rPr>
        <w:t>)</w:t>
      </w:r>
      <w:r w:rsidRPr="007E7F6A">
        <w:rPr>
          <w:b/>
          <w:i/>
          <w:sz w:val="18"/>
          <w:vertAlign w:val="superscript"/>
        </w:rPr>
        <w:t xml:space="preserve"> </w:t>
      </w:r>
      <w:r w:rsidRPr="007E7F6A">
        <w:rPr>
          <w:i/>
          <w:sz w:val="18"/>
        </w:rPr>
        <w:t>+ MM FISH panel ($308)</w:t>
      </w:r>
      <w:r w:rsidRPr="007E7F6A">
        <w:rPr>
          <w:b/>
          <w:i/>
          <w:sz w:val="18"/>
          <w:vertAlign w:val="superscript"/>
        </w:rPr>
        <w:t xml:space="preserve"> </w:t>
      </w:r>
    </w:p>
    <w:p w14:paraId="0C8BDFF2" w14:textId="4EFDA991" w:rsidR="00B67B76" w:rsidRPr="007E7F6A" w:rsidRDefault="00B67B76" w:rsidP="00C31ADB">
      <w:pPr>
        <w:pStyle w:val="Tablecaption"/>
        <w:rPr>
          <w:i/>
          <w:sz w:val="18"/>
          <w:vertAlign w:val="superscript"/>
        </w:rPr>
      </w:pPr>
      <w:proofErr w:type="gramStart"/>
      <w:r w:rsidRPr="007E7F6A">
        <w:rPr>
          <w:i/>
          <w:sz w:val="18"/>
          <w:vertAlign w:val="superscript"/>
        </w:rPr>
        <w:t>b</w:t>
      </w:r>
      <w:proofErr w:type="gramEnd"/>
      <w:r>
        <w:rPr>
          <w:i/>
          <w:sz w:val="18"/>
          <w:vertAlign w:val="superscript"/>
        </w:rPr>
        <w:t xml:space="preserve"> </w:t>
      </w:r>
      <w:r>
        <w:rPr>
          <w:sz w:val="18"/>
        </w:rPr>
        <w:t xml:space="preserve">Cost of </w:t>
      </w:r>
      <w:r w:rsidRPr="0084753C">
        <w:rPr>
          <w:i/>
          <w:sz w:val="18"/>
        </w:rPr>
        <w:t>MM FISH panel ($308)</w:t>
      </w:r>
      <w:r>
        <w:rPr>
          <w:i/>
          <w:sz w:val="18"/>
        </w:rPr>
        <w:t xml:space="preserve"> = karyotyping ($394.55; MBS item 73290)</w:t>
      </w:r>
    </w:p>
    <w:p w14:paraId="3C6B3537" w14:textId="5B9D7322" w:rsidR="00C31ADB" w:rsidRDefault="00B67B76" w:rsidP="00C31ADB">
      <w:pPr>
        <w:pStyle w:val="Tablecaption"/>
        <w:rPr>
          <w:sz w:val="18"/>
        </w:rPr>
      </w:pPr>
      <w:proofErr w:type="gramStart"/>
      <w:r>
        <w:rPr>
          <w:b/>
          <w:sz w:val="18"/>
          <w:vertAlign w:val="superscript"/>
        </w:rPr>
        <w:t>c</w:t>
      </w:r>
      <w:proofErr w:type="gramEnd"/>
      <w:r w:rsidR="00C31ADB" w:rsidRPr="00893E9E">
        <w:rPr>
          <w:b/>
          <w:sz w:val="18"/>
        </w:rPr>
        <w:t xml:space="preserve"> </w:t>
      </w:r>
      <w:r w:rsidR="00C31ADB" w:rsidRPr="00893E9E">
        <w:rPr>
          <w:sz w:val="18"/>
        </w:rPr>
        <w:t>Kyle et al., 2003</w:t>
      </w:r>
    </w:p>
    <w:p w14:paraId="143E42DD" w14:textId="722304C7" w:rsidR="00B67B76" w:rsidRPr="007E7F6A" w:rsidRDefault="00B67B76" w:rsidP="00C31ADB">
      <w:pPr>
        <w:pStyle w:val="Tablecaption"/>
        <w:rPr>
          <w:i/>
          <w:sz w:val="18"/>
          <w:vertAlign w:val="superscript"/>
        </w:rPr>
      </w:pPr>
      <w:proofErr w:type="gramStart"/>
      <w:r>
        <w:rPr>
          <w:i/>
          <w:sz w:val="18"/>
          <w:vertAlign w:val="superscript"/>
        </w:rPr>
        <w:t>d</w:t>
      </w:r>
      <w:proofErr w:type="gramEnd"/>
      <w:r>
        <w:rPr>
          <w:i/>
          <w:sz w:val="18"/>
          <w:vertAlign w:val="superscript"/>
        </w:rPr>
        <w:t xml:space="preserve"> </w:t>
      </w:r>
      <w:r>
        <w:rPr>
          <w:sz w:val="18"/>
        </w:rPr>
        <w:t xml:space="preserve">Cost of </w:t>
      </w:r>
      <w:r>
        <w:rPr>
          <w:i/>
          <w:sz w:val="18"/>
        </w:rPr>
        <w:t>CLL FISH panel ($255</w:t>
      </w:r>
      <w:r w:rsidRPr="0084753C">
        <w:rPr>
          <w:i/>
          <w:sz w:val="18"/>
        </w:rPr>
        <w:t>)</w:t>
      </w:r>
      <w:r>
        <w:rPr>
          <w:i/>
          <w:sz w:val="18"/>
        </w:rPr>
        <w:t xml:space="preserve"> = karyotyping ($394.55; MBS item 73290)</w:t>
      </w:r>
    </w:p>
    <w:p w14:paraId="315CE6B1" w14:textId="07234BED" w:rsidR="00C31ADB" w:rsidRPr="00490211" w:rsidRDefault="00C31ADB" w:rsidP="00490211">
      <w:pPr>
        <w:pStyle w:val="Tablecaption"/>
        <w:spacing w:after="240"/>
        <w:rPr>
          <w:i/>
          <w:sz w:val="18"/>
        </w:rPr>
      </w:pPr>
      <w:r w:rsidRPr="00893E9E">
        <w:rPr>
          <w:i/>
          <w:sz w:val="18"/>
        </w:rPr>
        <w:t>Note, the values italicised</w:t>
      </w:r>
      <w:r>
        <w:rPr>
          <w:i/>
          <w:sz w:val="18"/>
        </w:rPr>
        <w:t xml:space="preserve"> </w:t>
      </w:r>
      <w:r w:rsidRPr="00893E9E">
        <w:rPr>
          <w:i/>
          <w:sz w:val="18"/>
        </w:rPr>
        <w:t xml:space="preserve">reflect the updated fee for bone marrow biopsy which increased from $109.90 at the time of completion of the </w:t>
      </w:r>
      <w:r w:rsidR="00B11338" w:rsidRPr="00B11338">
        <w:rPr>
          <w:i/>
          <w:sz w:val="18"/>
        </w:rPr>
        <w:t>assessment report</w:t>
      </w:r>
      <w:r w:rsidRPr="00893E9E">
        <w:rPr>
          <w:i/>
          <w:sz w:val="18"/>
        </w:rPr>
        <w:t xml:space="preserve"> to $111.65 (as of July 2019).</w:t>
      </w:r>
    </w:p>
    <w:p w14:paraId="0A1C5D89" w14:textId="76AB4953" w:rsidR="003A34AD" w:rsidRDefault="00C31ADB" w:rsidP="00490211">
      <w:pPr>
        <w:spacing w:after="240"/>
      </w:pPr>
      <w:r>
        <w:t xml:space="preserve">The </w:t>
      </w:r>
      <w:r w:rsidR="00B11338">
        <w:t>c</w:t>
      </w:r>
      <w:r>
        <w:t xml:space="preserve">ritique stated the </w:t>
      </w:r>
      <w:r w:rsidRPr="00893E9E">
        <w:t xml:space="preserve">modelled results were most sensitive to the cost of </w:t>
      </w:r>
      <w:r>
        <w:t>GWMA</w:t>
      </w:r>
      <w:r w:rsidRPr="00893E9E">
        <w:t xml:space="preserve"> (which would be expected given that it has the highest unit price).</w:t>
      </w:r>
    </w:p>
    <w:p w14:paraId="2147B4A4" w14:textId="4E83096F" w:rsidR="003A34AD" w:rsidRPr="00893E9E" w:rsidRDefault="003A34AD" w:rsidP="00C31ADB">
      <w:r>
        <w:t xml:space="preserve">In </w:t>
      </w:r>
      <w:r w:rsidR="00285394">
        <w:t>its</w:t>
      </w:r>
      <w:r>
        <w:t xml:space="preserve"> pre-MSAC response, the Applicant considered for MM</w:t>
      </w:r>
      <w:r w:rsidRPr="003A34AD">
        <w:t xml:space="preserve">, only </w:t>
      </w:r>
      <w:r w:rsidRPr="007E7F6A">
        <w:t xml:space="preserve">the FISH component would be reduced as less regions would be analysed. </w:t>
      </w:r>
      <w:r>
        <w:t>Specifically, o</w:t>
      </w:r>
      <w:r w:rsidRPr="007E7F6A">
        <w:t xml:space="preserve">nly ~50% of cases would require &gt;1 FISH probe as an </w:t>
      </w:r>
      <w:r w:rsidRPr="00CC0A53">
        <w:rPr>
          <w:i/>
        </w:rPr>
        <w:t>IGH</w:t>
      </w:r>
      <w:r w:rsidRPr="007E7F6A">
        <w:t xml:space="preserve"> translocation only occurs in ~50% of patients.</w:t>
      </w:r>
      <w:r>
        <w:t xml:space="preserve"> In addition, the Applicant queried whether the economic analysis consider</w:t>
      </w:r>
      <w:r w:rsidR="00285394">
        <w:t>ed</w:t>
      </w:r>
      <w:r w:rsidRPr="003A34AD">
        <w:t xml:space="preserve"> the reduced testing/turnaround time of GWMA versus karyotyping</w:t>
      </w:r>
      <w:r w:rsidR="007E7F6A">
        <w:t>,</w:t>
      </w:r>
      <w:r>
        <w:t xml:space="preserve"> </w:t>
      </w:r>
      <w:r w:rsidR="007E7F6A">
        <w:t>g</w:t>
      </w:r>
      <w:r>
        <w:t xml:space="preserve">iven there </w:t>
      </w:r>
      <w:r w:rsidRPr="003A34AD">
        <w:t>is a large reduction in analysis time for GWMA as microarray results are definitive and not open to interpretation.</w:t>
      </w:r>
    </w:p>
    <w:p w14:paraId="3F7ECDDC" w14:textId="77777777" w:rsidR="0077195C" w:rsidRPr="00F715D1" w:rsidRDefault="0077195C" w:rsidP="0077195C">
      <w:pPr>
        <w:pStyle w:val="Heading1"/>
      </w:pPr>
      <w:r w:rsidRPr="00F715D1">
        <w:t>Financial/budgetary impacts</w:t>
      </w:r>
    </w:p>
    <w:p w14:paraId="2FCBCE65" w14:textId="4590484C" w:rsidR="00C31ADB" w:rsidRDefault="00C31ADB" w:rsidP="00490211">
      <w:pPr>
        <w:spacing w:after="240"/>
      </w:pPr>
      <w:r>
        <w:t>An epidemiological approach has been used to estimate the financial implications of the introduction of GWMA for haematological malignancies. The financial impact was generated based on the incidence of MM and CLL and estimated the number of karyotyping and bone marrow biopsy services which would be affected by the introduction of GWMA.</w:t>
      </w:r>
    </w:p>
    <w:p w14:paraId="72C45ACC" w14:textId="62625A2A" w:rsidR="00490211" w:rsidRDefault="00C31ADB" w:rsidP="00490211">
      <w:pPr>
        <w:spacing w:after="240"/>
      </w:pPr>
      <w:bookmarkStart w:id="31" w:name="_Toc395200754"/>
      <w:r w:rsidRPr="00183E4D">
        <w:t xml:space="preserve">The financial implications to the MBS resulting from the proposed listing of </w:t>
      </w:r>
      <w:r>
        <w:t>GWMA</w:t>
      </w:r>
      <w:r w:rsidRPr="00183E4D">
        <w:t xml:space="preserve"> are summarised in</w:t>
      </w:r>
      <w:r>
        <w:t xml:space="preserve"> Table 8</w:t>
      </w:r>
      <w:r w:rsidRPr="00183E4D">
        <w:t>.</w:t>
      </w:r>
      <w:r w:rsidR="00490211">
        <w:br w:type="page"/>
      </w:r>
    </w:p>
    <w:p w14:paraId="16556239" w14:textId="77777777" w:rsidR="00C31ADB" w:rsidRPr="00516999" w:rsidRDefault="00C31ADB" w:rsidP="00516999">
      <w:pPr>
        <w:rPr>
          <w:rFonts w:ascii="Arial Narrow" w:hAnsi="Arial Narrow"/>
          <w:b/>
          <w:sz w:val="20"/>
        </w:rPr>
      </w:pPr>
      <w:bookmarkStart w:id="32" w:name="_Ref10615930"/>
      <w:bookmarkStart w:id="33" w:name="_Toc10618063"/>
      <w:r w:rsidRPr="00516999">
        <w:rPr>
          <w:rFonts w:ascii="Arial Narrow" w:hAnsi="Arial Narrow"/>
          <w:b/>
          <w:sz w:val="20"/>
        </w:rPr>
        <w:t>Table</w:t>
      </w:r>
      <w:bookmarkEnd w:id="32"/>
      <w:r w:rsidRPr="00516999">
        <w:rPr>
          <w:rFonts w:ascii="Arial Narrow" w:hAnsi="Arial Narrow"/>
          <w:b/>
          <w:sz w:val="20"/>
        </w:rPr>
        <w:t xml:space="preserve"> 8</w:t>
      </w:r>
      <w:r w:rsidRPr="00516999">
        <w:rPr>
          <w:rFonts w:ascii="Arial Narrow" w:hAnsi="Arial Narrow"/>
          <w:b/>
          <w:sz w:val="20"/>
        </w:rPr>
        <w:tab/>
        <w:t>Total costs to the MBS associated with genome-wide microarray for haematological malignancies</w:t>
      </w:r>
      <w:bookmarkEnd w:id="33"/>
    </w:p>
    <w:tbl>
      <w:tblPr>
        <w:tblStyle w:val="TableGrid1"/>
        <w:tblW w:w="5002" w:type="pct"/>
        <w:tblInd w:w="0" w:type="dxa"/>
        <w:tblLook w:val="04A0" w:firstRow="1" w:lastRow="0" w:firstColumn="1" w:lastColumn="0" w:noHBand="0" w:noVBand="1"/>
        <w:tblCaption w:val="Table 11 Total costs to the MBS associated with XXX"/>
        <w:tblDescription w:val="Forecast of expenditure over next 5 years"/>
      </w:tblPr>
      <w:tblGrid>
        <w:gridCol w:w="3396"/>
        <w:gridCol w:w="1135"/>
        <w:gridCol w:w="1133"/>
        <w:gridCol w:w="1135"/>
        <w:gridCol w:w="1133"/>
        <w:gridCol w:w="1088"/>
      </w:tblGrid>
      <w:tr w:rsidR="00C31ADB" w14:paraId="76153168" w14:textId="77777777" w:rsidTr="00516999">
        <w:trPr>
          <w:cnfStyle w:val="100000000000" w:firstRow="1" w:lastRow="0" w:firstColumn="0" w:lastColumn="0" w:oddVBand="0" w:evenVBand="0" w:oddHBand="0" w:evenHBand="0" w:firstRowFirstColumn="0" w:firstRowLastColumn="0" w:lastRowFirstColumn="0" w:lastRowLastColumn="0"/>
          <w:trHeight w:val="300"/>
          <w:tblHeader/>
        </w:trPr>
        <w:tc>
          <w:tcPr>
            <w:tcW w:w="1883" w:type="pct"/>
            <w:hideMark/>
          </w:tcPr>
          <w:p w14:paraId="64A5E60B" w14:textId="77777777" w:rsidR="00C31ADB" w:rsidRDefault="00C31ADB" w:rsidP="003E798D">
            <w:pPr>
              <w:keepNext/>
              <w:tabs>
                <w:tab w:val="left" w:pos="851"/>
              </w:tabs>
              <w:spacing w:after="40"/>
              <w:ind w:left="851" w:hanging="851"/>
              <w:rPr>
                <w:rFonts w:ascii="Arial Narrow" w:hAnsi="Arial Narrow"/>
                <w:b/>
              </w:rPr>
            </w:pPr>
            <w:r>
              <w:rPr>
                <w:rFonts w:ascii="Arial Narrow" w:hAnsi="Arial Narrow"/>
                <w:b/>
                <w:color w:val="FFFFFF" w:themeColor="background1"/>
              </w:rPr>
              <w:t>-</w:t>
            </w:r>
            <w:r w:rsidRPr="00306005">
              <w:rPr>
                <w:rFonts w:ascii="Arial Narrow" w:hAnsi="Arial Narrow"/>
                <w:b/>
              </w:rPr>
              <w:t>Parameter</w:t>
            </w:r>
          </w:p>
        </w:tc>
        <w:tc>
          <w:tcPr>
            <w:tcW w:w="629" w:type="pct"/>
            <w:hideMark/>
          </w:tcPr>
          <w:p w14:paraId="4B771CD2" w14:textId="77777777" w:rsidR="00C31ADB" w:rsidRDefault="00C31ADB" w:rsidP="003E798D">
            <w:pPr>
              <w:keepNext/>
              <w:tabs>
                <w:tab w:val="left" w:pos="851"/>
              </w:tabs>
              <w:spacing w:after="40"/>
              <w:ind w:left="851" w:hanging="851"/>
              <w:jc w:val="center"/>
              <w:rPr>
                <w:rFonts w:ascii="Arial Narrow" w:hAnsi="Arial Narrow"/>
                <w:b/>
              </w:rPr>
            </w:pPr>
            <w:r>
              <w:rPr>
                <w:rFonts w:ascii="Arial Narrow" w:hAnsi="Arial Narrow"/>
                <w:b/>
              </w:rPr>
              <w:t>2019</w:t>
            </w:r>
          </w:p>
        </w:tc>
        <w:tc>
          <w:tcPr>
            <w:tcW w:w="628" w:type="pct"/>
            <w:hideMark/>
          </w:tcPr>
          <w:p w14:paraId="3399828D" w14:textId="77777777" w:rsidR="00C31ADB" w:rsidRDefault="00C31ADB" w:rsidP="003E798D">
            <w:pPr>
              <w:keepNext/>
              <w:tabs>
                <w:tab w:val="left" w:pos="851"/>
              </w:tabs>
              <w:spacing w:after="40"/>
              <w:ind w:left="851" w:hanging="851"/>
              <w:jc w:val="center"/>
              <w:rPr>
                <w:rFonts w:ascii="Arial Narrow" w:hAnsi="Arial Narrow"/>
                <w:b/>
              </w:rPr>
            </w:pPr>
            <w:r>
              <w:rPr>
                <w:rFonts w:ascii="Arial Narrow" w:hAnsi="Arial Narrow"/>
                <w:b/>
              </w:rPr>
              <w:t>2020</w:t>
            </w:r>
          </w:p>
        </w:tc>
        <w:tc>
          <w:tcPr>
            <w:tcW w:w="629" w:type="pct"/>
            <w:hideMark/>
          </w:tcPr>
          <w:p w14:paraId="23322208" w14:textId="77777777" w:rsidR="00C31ADB" w:rsidRDefault="00C31ADB" w:rsidP="003E798D">
            <w:pPr>
              <w:keepNext/>
              <w:tabs>
                <w:tab w:val="left" w:pos="851"/>
              </w:tabs>
              <w:spacing w:after="40"/>
              <w:ind w:left="851" w:hanging="851"/>
              <w:jc w:val="center"/>
              <w:rPr>
                <w:rFonts w:ascii="Arial Narrow" w:hAnsi="Arial Narrow"/>
                <w:b/>
              </w:rPr>
            </w:pPr>
            <w:r>
              <w:rPr>
                <w:rFonts w:ascii="Arial Narrow" w:hAnsi="Arial Narrow"/>
                <w:b/>
              </w:rPr>
              <w:t>2021</w:t>
            </w:r>
          </w:p>
        </w:tc>
        <w:tc>
          <w:tcPr>
            <w:tcW w:w="628" w:type="pct"/>
            <w:hideMark/>
          </w:tcPr>
          <w:p w14:paraId="55505955" w14:textId="77777777" w:rsidR="00C31ADB" w:rsidRDefault="00C31ADB" w:rsidP="003E798D">
            <w:pPr>
              <w:keepNext/>
              <w:tabs>
                <w:tab w:val="left" w:pos="851"/>
              </w:tabs>
              <w:spacing w:after="40"/>
              <w:ind w:left="851" w:hanging="851"/>
              <w:jc w:val="center"/>
              <w:rPr>
                <w:rFonts w:ascii="Arial Narrow" w:hAnsi="Arial Narrow"/>
                <w:b/>
              </w:rPr>
            </w:pPr>
            <w:r>
              <w:rPr>
                <w:rFonts w:ascii="Arial Narrow" w:hAnsi="Arial Narrow"/>
                <w:b/>
              </w:rPr>
              <w:t>2022</w:t>
            </w:r>
          </w:p>
        </w:tc>
        <w:tc>
          <w:tcPr>
            <w:tcW w:w="603" w:type="pct"/>
            <w:hideMark/>
          </w:tcPr>
          <w:p w14:paraId="067FF636" w14:textId="77777777" w:rsidR="00C31ADB" w:rsidRDefault="00C31ADB" w:rsidP="003E798D">
            <w:pPr>
              <w:keepNext/>
              <w:tabs>
                <w:tab w:val="left" w:pos="851"/>
              </w:tabs>
              <w:spacing w:after="40"/>
              <w:ind w:left="851" w:hanging="851"/>
              <w:jc w:val="center"/>
              <w:rPr>
                <w:rFonts w:ascii="Arial Narrow" w:hAnsi="Arial Narrow"/>
                <w:b/>
              </w:rPr>
            </w:pPr>
            <w:r>
              <w:rPr>
                <w:rFonts w:ascii="Arial Narrow" w:hAnsi="Arial Narrow"/>
                <w:b/>
              </w:rPr>
              <w:t>2023</w:t>
            </w:r>
          </w:p>
        </w:tc>
      </w:tr>
      <w:tr w:rsidR="00C31ADB" w14:paraId="1D3872A9" w14:textId="77777777" w:rsidTr="00516999">
        <w:trPr>
          <w:trHeight w:val="300"/>
        </w:trPr>
        <w:tc>
          <w:tcPr>
            <w:tcW w:w="5000" w:type="pct"/>
            <w:gridSpan w:val="6"/>
          </w:tcPr>
          <w:p w14:paraId="2615610A" w14:textId="77777777" w:rsidR="00C31ADB" w:rsidRPr="002879EF" w:rsidRDefault="00C31ADB" w:rsidP="003E798D">
            <w:pPr>
              <w:pStyle w:val="Tabletext"/>
              <w:rPr>
                <w:b/>
              </w:rPr>
            </w:pPr>
            <w:r>
              <w:rPr>
                <w:b/>
              </w:rPr>
              <w:t>Multiple myeloma</w:t>
            </w:r>
          </w:p>
        </w:tc>
      </w:tr>
      <w:tr w:rsidR="00C31ADB" w14:paraId="48274F24" w14:textId="77777777" w:rsidTr="00516999">
        <w:trPr>
          <w:trHeight w:val="300"/>
        </w:trPr>
        <w:tc>
          <w:tcPr>
            <w:tcW w:w="5000" w:type="pct"/>
            <w:gridSpan w:val="6"/>
          </w:tcPr>
          <w:p w14:paraId="19936F73" w14:textId="77777777" w:rsidR="00C31ADB" w:rsidRPr="002879EF" w:rsidRDefault="00C31ADB" w:rsidP="003E798D">
            <w:pPr>
              <w:pStyle w:val="Tabletext"/>
              <w:rPr>
                <w:b/>
              </w:rPr>
            </w:pPr>
            <w:r>
              <w:rPr>
                <w:b/>
              </w:rPr>
              <w:t>Genome-wide microarray</w:t>
            </w:r>
          </w:p>
        </w:tc>
      </w:tr>
      <w:tr w:rsidR="00C31ADB" w14:paraId="5AA2DA83" w14:textId="77777777" w:rsidTr="00516999">
        <w:trPr>
          <w:trHeight w:val="300"/>
        </w:trPr>
        <w:tc>
          <w:tcPr>
            <w:tcW w:w="1883" w:type="pct"/>
          </w:tcPr>
          <w:p w14:paraId="2713F30B" w14:textId="77777777" w:rsidR="00C31ADB" w:rsidRPr="00504CE3" w:rsidRDefault="00C31ADB" w:rsidP="003E798D">
            <w:pPr>
              <w:pStyle w:val="Tabletext"/>
            </w:pPr>
            <w:r w:rsidRPr="00504CE3">
              <w:t>Change in the number of services</w:t>
            </w:r>
          </w:p>
        </w:tc>
        <w:tc>
          <w:tcPr>
            <w:tcW w:w="629" w:type="pct"/>
          </w:tcPr>
          <w:p w14:paraId="435FB41A" w14:textId="77777777" w:rsidR="00C31ADB" w:rsidRPr="00504CE3" w:rsidRDefault="00C31ADB" w:rsidP="003E798D">
            <w:pPr>
              <w:pStyle w:val="Tabletext"/>
              <w:jc w:val="center"/>
            </w:pPr>
            <w:r w:rsidRPr="00504CE3">
              <w:t>1,917</w:t>
            </w:r>
          </w:p>
        </w:tc>
        <w:tc>
          <w:tcPr>
            <w:tcW w:w="628" w:type="pct"/>
          </w:tcPr>
          <w:p w14:paraId="498D31BF" w14:textId="77777777" w:rsidR="00C31ADB" w:rsidRPr="00504CE3" w:rsidRDefault="00C31ADB" w:rsidP="003E798D">
            <w:pPr>
              <w:pStyle w:val="Tabletext"/>
              <w:jc w:val="center"/>
            </w:pPr>
            <w:r>
              <w:t>1,964</w:t>
            </w:r>
          </w:p>
        </w:tc>
        <w:tc>
          <w:tcPr>
            <w:tcW w:w="629" w:type="pct"/>
          </w:tcPr>
          <w:p w14:paraId="48BA403B" w14:textId="77777777" w:rsidR="00C31ADB" w:rsidRPr="00504CE3" w:rsidRDefault="00C31ADB" w:rsidP="003E798D">
            <w:pPr>
              <w:pStyle w:val="Tabletext"/>
              <w:jc w:val="center"/>
            </w:pPr>
            <w:r>
              <w:t>2,011</w:t>
            </w:r>
          </w:p>
        </w:tc>
        <w:tc>
          <w:tcPr>
            <w:tcW w:w="628" w:type="pct"/>
          </w:tcPr>
          <w:p w14:paraId="2C3EFB17" w14:textId="77777777" w:rsidR="00C31ADB" w:rsidRPr="00504CE3" w:rsidRDefault="00C31ADB" w:rsidP="003E798D">
            <w:pPr>
              <w:pStyle w:val="Tabletext"/>
              <w:jc w:val="center"/>
            </w:pPr>
            <w:r>
              <w:t>2,058</w:t>
            </w:r>
          </w:p>
        </w:tc>
        <w:tc>
          <w:tcPr>
            <w:tcW w:w="603" w:type="pct"/>
          </w:tcPr>
          <w:p w14:paraId="07336B2A" w14:textId="77777777" w:rsidR="00C31ADB" w:rsidRPr="00504CE3" w:rsidRDefault="00C31ADB" w:rsidP="003E798D">
            <w:pPr>
              <w:pStyle w:val="Tabletext"/>
              <w:jc w:val="center"/>
            </w:pPr>
            <w:r>
              <w:t>2,105</w:t>
            </w:r>
          </w:p>
        </w:tc>
      </w:tr>
      <w:tr w:rsidR="00C31ADB" w14:paraId="6A175622" w14:textId="77777777" w:rsidTr="00516999">
        <w:trPr>
          <w:trHeight w:val="300"/>
        </w:trPr>
        <w:tc>
          <w:tcPr>
            <w:tcW w:w="1883" w:type="pct"/>
          </w:tcPr>
          <w:p w14:paraId="34A5AC88" w14:textId="77777777" w:rsidR="00C31ADB" w:rsidRPr="00504CE3" w:rsidRDefault="00C31ADB" w:rsidP="003E798D">
            <w:pPr>
              <w:pStyle w:val="Tabletext"/>
            </w:pPr>
            <w:r w:rsidRPr="00504CE3">
              <w:t>Cost of genome-wide microarray</w:t>
            </w:r>
          </w:p>
        </w:tc>
        <w:tc>
          <w:tcPr>
            <w:tcW w:w="629" w:type="pct"/>
          </w:tcPr>
          <w:p w14:paraId="52D8A82F" w14:textId="77777777" w:rsidR="00C31ADB" w:rsidRPr="00504CE3" w:rsidRDefault="00C31ADB" w:rsidP="003E798D">
            <w:pPr>
              <w:pStyle w:val="Tabletext"/>
              <w:jc w:val="center"/>
            </w:pPr>
            <w:r>
              <w:t>$1,002,914</w:t>
            </w:r>
          </w:p>
        </w:tc>
        <w:tc>
          <w:tcPr>
            <w:tcW w:w="628" w:type="pct"/>
          </w:tcPr>
          <w:p w14:paraId="5CB8F78D" w14:textId="77777777" w:rsidR="00C31ADB" w:rsidRPr="00504CE3" w:rsidRDefault="00C31ADB" w:rsidP="003E798D">
            <w:pPr>
              <w:pStyle w:val="Tabletext"/>
              <w:jc w:val="center"/>
            </w:pPr>
            <w:r>
              <w:t>$1,027,464</w:t>
            </w:r>
          </w:p>
        </w:tc>
        <w:tc>
          <w:tcPr>
            <w:tcW w:w="629" w:type="pct"/>
          </w:tcPr>
          <w:p w14:paraId="3EFDCC51" w14:textId="77777777" w:rsidR="00C31ADB" w:rsidRPr="00504CE3" w:rsidRDefault="00C31ADB" w:rsidP="003E798D">
            <w:pPr>
              <w:pStyle w:val="Tabletext"/>
              <w:jc w:val="center"/>
            </w:pPr>
            <w:r>
              <w:t>$1,052,014</w:t>
            </w:r>
          </w:p>
        </w:tc>
        <w:tc>
          <w:tcPr>
            <w:tcW w:w="628" w:type="pct"/>
          </w:tcPr>
          <w:p w14:paraId="29940F14" w14:textId="77777777" w:rsidR="00C31ADB" w:rsidRPr="00504CE3" w:rsidRDefault="00C31ADB" w:rsidP="003E798D">
            <w:pPr>
              <w:pStyle w:val="Tabletext"/>
              <w:jc w:val="center"/>
            </w:pPr>
            <w:r>
              <w:t>$1,076,564</w:t>
            </w:r>
          </w:p>
        </w:tc>
        <w:tc>
          <w:tcPr>
            <w:tcW w:w="603" w:type="pct"/>
          </w:tcPr>
          <w:p w14:paraId="301328F7" w14:textId="77777777" w:rsidR="00C31ADB" w:rsidRPr="00504CE3" w:rsidRDefault="00C31ADB" w:rsidP="003E798D">
            <w:pPr>
              <w:pStyle w:val="Tabletext"/>
              <w:jc w:val="center"/>
            </w:pPr>
            <w:r>
              <w:t>$1,101,114</w:t>
            </w:r>
          </w:p>
        </w:tc>
      </w:tr>
      <w:tr w:rsidR="00C31ADB" w14:paraId="4D74E108" w14:textId="77777777" w:rsidTr="00516999">
        <w:trPr>
          <w:trHeight w:val="300"/>
        </w:trPr>
        <w:tc>
          <w:tcPr>
            <w:tcW w:w="5000" w:type="pct"/>
            <w:gridSpan w:val="6"/>
          </w:tcPr>
          <w:p w14:paraId="1C503E5B" w14:textId="77777777" w:rsidR="00C31ADB" w:rsidRPr="002879EF" w:rsidRDefault="00C31ADB" w:rsidP="003E798D">
            <w:pPr>
              <w:pStyle w:val="Tabletext"/>
              <w:rPr>
                <w:b/>
              </w:rPr>
            </w:pPr>
            <w:r>
              <w:rPr>
                <w:b/>
              </w:rPr>
              <w:t>Karyotyping</w:t>
            </w:r>
          </w:p>
        </w:tc>
      </w:tr>
      <w:tr w:rsidR="00C31ADB" w14:paraId="11C11309" w14:textId="77777777" w:rsidTr="00516999">
        <w:trPr>
          <w:trHeight w:val="300"/>
        </w:trPr>
        <w:tc>
          <w:tcPr>
            <w:tcW w:w="1883" w:type="pct"/>
          </w:tcPr>
          <w:p w14:paraId="17E9BDAF" w14:textId="77777777" w:rsidR="00C31ADB" w:rsidRPr="00504CE3" w:rsidRDefault="00C31ADB" w:rsidP="003E798D">
            <w:pPr>
              <w:pStyle w:val="Tabletext"/>
            </w:pPr>
            <w:r w:rsidRPr="00504CE3">
              <w:t>Change in the number of services</w:t>
            </w:r>
          </w:p>
        </w:tc>
        <w:tc>
          <w:tcPr>
            <w:tcW w:w="629" w:type="pct"/>
          </w:tcPr>
          <w:p w14:paraId="7D1EAAE0" w14:textId="77777777" w:rsidR="00C31ADB" w:rsidRPr="002879EF" w:rsidRDefault="00C31ADB" w:rsidP="003E798D">
            <w:pPr>
              <w:pStyle w:val="Tabletext"/>
              <w:jc w:val="center"/>
              <w:rPr>
                <w:b/>
              </w:rPr>
            </w:pPr>
            <w:r>
              <w:t>-</w:t>
            </w:r>
            <w:r w:rsidRPr="00504CE3">
              <w:t>1,917</w:t>
            </w:r>
          </w:p>
        </w:tc>
        <w:tc>
          <w:tcPr>
            <w:tcW w:w="628" w:type="pct"/>
          </w:tcPr>
          <w:p w14:paraId="1C8E5E72" w14:textId="77777777" w:rsidR="00C31ADB" w:rsidRPr="002879EF" w:rsidRDefault="00C31ADB" w:rsidP="003E798D">
            <w:pPr>
              <w:pStyle w:val="Tabletext"/>
              <w:jc w:val="center"/>
              <w:rPr>
                <w:b/>
              </w:rPr>
            </w:pPr>
            <w:r>
              <w:t>-1,964</w:t>
            </w:r>
          </w:p>
        </w:tc>
        <w:tc>
          <w:tcPr>
            <w:tcW w:w="629" w:type="pct"/>
          </w:tcPr>
          <w:p w14:paraId="1CC9F3B0" w14:textId="77777777" w:rsidR="00C31ADB" w:rsidRPr="002879EF" w:rsidRDefault="00C31ADB" w:rsidP="003E798D">
            <w:pPr>
              <w:pStyle w:val="Tabletext"/>
              <w:jc w:val="center"/>
              <w:rPr>
                <w:b/>
              </w:rPr>
            </w:pPr>
            <w:r>
              <w:t>-2,011</w:t>
            </w:r>
          </w:p>
        </w:tc>
        <w:tc>
          <w:tcPr>
            <w:tcW w:w="628" w:type="pct"/>
          </w:tcPr>
          <w:p w14:paraId="0A966A3A" w14:textId="77777777" w:rsidR="00C31ADB" w:rsidRPr="002879EF" w:rsidRDefault="00C31ADB" w:rsidP="003E798D">
            <w:pPr>
              <w:pStyle w:val="Tabletext"/>
              <w:jc w:val="center"/>
              <w:rPr>
                <w:b/>
              </w:rPr>
            </w:pPr>
            <w:r>
              <w:t>-2,058</w:t>
            </w:r>
          </w:p>
        </w:tc>
        <w:tc>
          <w:tcPr>
            <w:tcW w:w="603" w:type="pct"/>
          </w:tcPr>
          <w:p w14:paraId="4775EAE4" w14:textId="77777777" w:rsidR="00C31ADB" w:rsidRPr="002879EF" w:rsidRDefault="00C31ADB" w:rsidP="003E798D">
            <w:pPr>
              <w:pStyle w:val="Tabletext"/>
              <w:jc w:val="center"/>
              <w:rPr>
                <w:b/>
              </w:rPr>
            </w:pPr>
            <w:r>
              <w:t>-2,105</w:t>
            </w:r>
          </w:p>
        </w:tc>
      </w:tr>
      <w:tr w:rsidR="00C31ADB" w14:paraId="796EF2BE" w14:textId="77777777" w:rsidTr="00516999">
        <w:trPr>
          <w:trHeight w:val="300"/>
        </w:trPr>
        <w:tc>
          <w:tcPr>
            <w:tcW w:w="1883" w:type="pct"/>
          </w:tcPr>
          <w:p w14:paraId="3703EA74" w14:textId="77777777" w:rsidR="00C31ADB" w:rsidRPr="00504CE3" w:rsidRDefault="00C31ADB" w:rsidP="003E798D">
            <w:pPr>
              <w:pStyle w:val="Tabletext"/>
            </w:pPr>
            <w:r>
              <w:t>Cost of karyotyping</w:t>
            </w:r>
          </w:p>
        </w:tc>
        <w:tc>
          <w:tcPr>
            <w:tcW w:w="629" w:type="pct"/>
          </w:tcPr>
          <w:p w14:paraId="2C464819" w14:textId="77777777" w:rsidR="00C31ADB" w:rsidRPr="00F77EB1" w:rsidRDefault="00C31ADB" w:rsidP="003E798D">
            <w:pPr>
              <w:pStyle w:val="Tabletext"/>
              <w:jc w:val="center"/>
            </w:pPr>
            <w:r w:rsidRPr="00F77EB1">
              <w:t>-$612,995</w:t>
            </w:r>
          </w:p>
        </w:tc>
        <w:tc>
          <w:tcPr>
            <w:tcW w:w="628" w:type="pct"/>
          </w:tcPr>
          <w:p w14:paraId="1F48A666" w14:textId="77777777" w:rsidR="00C31ADB" w:rsidRPr="00F77EB1" w:rsidRDefault="00C31ADB" w:rsidP="003E798D">
            <w:pPr>
              <w:pStyle w:val="Tabletext"/>
              <w:jc w:val="center"/>
            </w:pPr>
            <w:r>
              <w:t>-$628,000</w:t>
            </w:r>
          </w:p>
        </w:tc>
        <w:tc>
          <w:tcPr>
            <w:tcW w:w="629" w:type="pct"/>
          </w:tcPr>
          <w:p w14:paraId="41245D30" w14:textId="77777777" w:rsidR="00C31ADB" w:rsidRPr="00F77EB1" w:rsidRDefault="00C31ADB" w:rsidP="003E798D">
            <w:pPr>
              <w:pStyle w:val="Tabletext"/>
              <w:jc w:val="center"/>
            </w:pPr>
            <w:r>
              <w:t>-$643,005</w:t>
            </w:r>
          </w:p>
        </w:tc>
        <w:tc>
          <w:tcPr>
            <w:tcW w:w="628" w:type="pct"/>
          </w:tcPr>
          <w:p w14:paraId="2B17D4E1" w14:textId="77777777" w:rsidR="00C31ADB" w:rsidRPr="00F77EB1" w:rsidRDefault="00C31ADB" w:rsidP="003E798D">
            <w:pPr>
              <w:pStyle w:val="Tabletext"/>
              <w:jc w:val="center"/>
            </w:pPr>
            <w:r>
              <w:t>-$658,011</w:t>
            </w:r>
          </w:p>
        </w:tc>
        <w:tc>
          <w:tcPr>
            <w:tcW w:w="603" w:type="pct"/>
          </w:tcPr>
          <w:p w14:paraId="4C4E786E" w14:textId="77777777" w:rsidR="00C31ADB" w:rsidRPr="00F77EB1" w:rsidRDefault="00C31ADB" w:rsidP="003E798D">
            <w:pPr>
              <w:pStyle w:val="Tabletext"/>
              <w:jc w:val="center"/>
            </w:pPr>
            <w:r>
              <w:t>-$673,016</w:t>
            </w:r>
          </w:p>
        </w:tc>
      </w:tr>
      <w:tr w:rsidR="00C31ADB" w14:paraId="6E97E89D" w14:textId="77777777" w:rsidTr="00516999">
        <w:trPr>
          <w:trHeight w:val="300"/>
        </w:trPr>
        <w:tc>
          <w:tcPr>
            <w:tcW w:w="5000" w:type="pct"/>
            <w:gridSpan w:val="6"/>
          </w:tcPr>
          <w:p w14:paraId="30635A9C" w14:textId="77777777" w:rsidR="00C31ADB" w:rsidRPr="002879EF" w:rsidRDefault="00C31ADB" w:rsidP="003E798D">
            <w:pPr>
              <w:pStyle w:val="Tabletext"/>
              <w:rPr>
                <w:b/>
              </w:rPr>
            </w:pPr>
            <w:r w:rsidRPr="002879EF">
              <w:rPr>
                <w:b/>
              </w:rPr>
              <w:t>Biopsy</w:t>
            </w:r>
          </w:p>
        </w:tc>
      </w:tr>
      <w:tr w:rsidR="00C31ADB" w14:paraId="6319075E" w14:textId="77777777" w:rsidTr="00516999">
        <w:trPr>
          <w:trHeight w:val="300"/>
        </w:trPr>
        <w:tc>
          <w:tcPr>
            <w:tcW w:w="1883" w:type="pct"/>
          </w:tcPr>
          <w:p w14:paraId="54C3B5FC" w14:textId="77777777" w:rsidR="00C31ADB" w:rsidRDefault="00C31ADB" w:rsidP="003E798D">
            <w:pPr>
              <w:widowControl w:val="0"/>
              <w:tabs>
                <w:tab w:val="left" w:pos="851"/>
              </w:tabs>
              <w:spacing w:after="40"/>
            </w:pPr>
            <w:r>
              <w:t>Change in the number of services (multiple myeloma only)</w:t>
            </w:r>
          </w:p>
        </w:tc>
        <w:tc>
          <w:tcPr>
            <w:tcW w:w="629" w:type="pct"/>
          </w:tcPr>
          <w:p w14:paraId="73297490" w14:textId="77777777" w:rsidR="00C31ADB" w:rsidRDefault="00C31ADB" w:rsidP="003E798D">
            <w:pPr>
              <w:pStyle w:val="Tabletext"/>
              <w:jc w:val="center"/>
            </w:pPr>
            <w:r w:rsidRPr="0024327E">
              <w:t>-78</w:t>
            </w:r>
          </w:p>
        </w:tc>
        <w:tc>
          <w:tcPr>
            <w:tcW w:w="628" w:type="pct"/>
          </w:tcPr>
          <w:p w14:paraId="1869A75C" w14:textId="77777777" w:rsidR="00C31ADB" w:rsidRDefault="00C31ADB" w:rsidP="003E798D">
            <w:pPr>
              <w:pStyle w:val="Tabletext"/>
              <w:jc w:val="center"/>
            </w:pPr>
            <w:r w:rsidRPr="0024327E">
              <w:t>-80</w:t>
            </w:r>
          </w:p>
        </w:tc>
        <w:tc>
          <w:tcPr>
            <w:tcW w:w="629" w:type="pct"/>
          </w:tcPr>
          <w:p w14:paraId="28462F64" w14:textId="77777777" w:rsidR="00C31ADB" w:rsidRDefault="00C31ADB" w:rsidP="003E798D">
            <w:pPr>
              <w:pStyle w:val="Tabletext"/>
              <w:jc w:val="center"/>
            </w:pPr>
            <w:r w:rsidRPr="0024327E">
              <w:t>-82</w:t>
            </w:r>
          </w:p>
        </w:tc>
        <w:tc>
          <w:tcPr>
            <w:tcW w:w="628" w:type="pct"/>
          </w:tcPr>
          <w:p w14:paraId="2794E74C" w14:textId="77777777" w:rsidR="00C31ADB" w:rsidRDefault="00C31ADB" w:rsidP="003E798D">
            <w:pPr>
              <w:pStyle w:val="Tabletext"/>
              <w:jc w:val="center"/>
            </w:pPr>
            <w:r w:rsidRPr="0024327E">
              <w:t>-84</w:t>
            </w:r>
          </w:p>
        </w:tc>
        <w:tc>
          <w:tcPr>
            <w:tcW w:w="603" w:type="pct"/>
          </w:tcPr>
          <w:p w14:paraId="167A0B87" w14:textId="77777777" w:rsidR="00C31ADB" w:rsidRDefault="00C31ADB" w:rsidP="003E798D">
            <w:pPr>
              <w:pStyle w:val="Tabletext"/>
              <w:jc w:val="center"/>
            </w:pPr>
            <w:r w:rsidRPr="0024327E">
              <w:t>-86</w:t>
            </w:r>
          </w:p>
        </w:tc>
      </w:tr>
      <w:tr w:rsidR="00C31ADB" w14:paraId="67340EFD" w14:textId="77777777" w:rsidTr="00516999">
        <w:trPr>
          <w:trHeight w:val="315"/>
        </w:trPr>
        <w:tc>
          <w:tcPr>
            <w:tcW w:w="1883" w:type="pct"/>
            <w:hideMark/>
          </w:tcPr>
          <w:p w14:paraId="523C8C5F" w14:textId="77777777" w:rsidR="00C31ADB" w:rsidRDefault="00C31ADB" w:rsidP="003E798D">
            <w:pPr>
              <w:widowControl w:val="0"/>
              <w:spacing w:after="40"/>
            </w:pPr>
            <w:r>
              <w:t>Cost of biopsies</w:t>
            </w:r>
          </w:p>
        </w:tc>
        <w:tc>
          <w:tcPr>
            <w:tcW w:w="629" w:type="pct"/>
            <w:hideMark/>
          </w:tcPr>
          <w:p w14:paraId="77E1EF93" w14:textId="77777777" w:rsidR="00C31ADB" w:rsidRDefault="00C31ADB" w:rsidP="003E798D">
            <w:pPr>
              <w:pStyle w:val="Tabletext"/>
              <w:jc w:val="center"/>
            </w:pPr>
            <w:r w:rsidRPr="0024327E">
              <w:t>-$6,807</w:t>
            </w:r>
          </w:p>
        </w:tc>
        <w:tc>
          <w:tcPr>
            <w:tcW w:w="628" w:type="pct"/>
            <w:hideMark/>
          </w:tcPr>
          <w:p w14:paraId="31B0DD27" w14:textId="77777777" w:rsidR="00C31ADB" w:rsidRDefault="00C31ADB" w:rsidP="003E798D">
            <w:pPr>
              <w:pStyle w:val="Tabletext"/>
              <w:jc w:val="center"/>
            </w:pPr>
            <w:r w:rsidRPr="0024327E">
              <w:t>-$6,974</w:t>
            </w:r>
          </w:p>
        </w:tc>
        <w:tc>
          <w:tcPr>
            <w:tcW w:w="629" w:type="pct"/>
            <w:hideMark/>
          </w:tcPr>
          <w:p w14:paraId="6920F9A8" w14:textId="77777777" w:rsidR="00C31ADB" w:rsidRDefault="00C31ADB" w:rsidP="003E798D">
            <w:pPr>
              <w:pStyle w:val="Tabletext"/>
              <w:jc w:val="center"/>
            </w:pPr>
            <w:r w:rsidRPr="0024327E">
              <w:t>-$7,141</w:t>
            </w:r>
          </w:p>
        </w:tc>
        <w:tc>
          <w:tcPr>
            <w:tcW w:w="628" w:type="pct"/>
            <w:hideMark/>
          </w:tcPr>
          <w:p w14:paraId="31168FBA" w14:textId="77777777" w:rsidR="00C31ADB" w:rsidRDefault="00C31ADB" w:rsidP="003E798D">
            <w:pPr>
              <w:pStyle w:val="Tabletext"/>
              <w:jc w:val="center"/>
            </w:pPr>
            <w:r w:rsidRPr="0024327E">
              <w:t>-$7,307</w:t>
            </w:r>
          </w:p>
        </w:tc>
        <w:tc>
          <w:tcPr>
            <w:tcW w:w="603" w:type="pct"/>
            <w:hideMark/>
          </w:tcPr>
          <w:p w14:paraId="4994A969" w14:textId="77777777" w:rsidR="00C31ADB" w:rsidRDefault="00C31ADB" w:rsidP="003E798D">
            <w:pPr>
              <w:pStyle w:val="Tabletext"/>
              <w:jc w:val="center"/>
            </w:pPr>
            <w:r w:rsidRPr="0024327E">
              <w:t>-$7,474</w:t>
            </w:r>
          </w:p>
        </w:tc>
      </w:tr>
      <w:tr w:rsidR="00C31ADB" w14:paraId="024D32C1" w14:textId="77777777" w:rsidTr="00516999">
        <w:trPr>
          <w:trHeight w:val="315"/>
        </w:trPr>
        <w:tc>
          <w:tcPr>
            <w:tcW w:w="1883" w:type="pct"/>
          </w:tcPr>
          <w:p w14:paraId="532FE4B0" w14:textId="77777777" w:rsidR="00C31ADB" w:rsidRPr="00F77EB1" w:rsidRDefault="00C31ADB" w:rsidP="003E798D">
            <w:pPr>
              <w:widowControl w:val="0"/>
              <w:spacing w:after="40"/>
              <w:rPr>
                <w:b/>
              </w:rPr>
            </w:pPr>
            <w:r w:rsidRPr="00F77EB1">
              <w:rPr>
                <w:b/>
              </w:rPr>
              <w:t>Total impact in MM</w:t>
            </w:r>
          </w:p>
        </w:tc>
        <w:tc>
          <w:tcPr>
            <w:tcW w:w="629" w:type="pct"/>
          </w:tcPr>
          <w:p w14:paraId="6F65198A" w14:textId="77777777" w:rsidR="00C31ADB" w:rsidRPr="0024327E" w:rsidRDefault="00C31ADB" w:rsidP="003E798D">
            <w:pPr>
              <w:pStyle w:val="Tabletext"/>
              <w:jc w:val="center"/>
            </w:pPr>
            <w:r>
              <w:t>-$383,112</w:t>
            </w:r>
          </w:p>
        </w:tc>
        <w:tc>
          <w:tcPr>
            <w:tcW w:w="628" w:type="pct"/>
          </w:tcPr>
          <w:p w14:paraId="1491A8AA" w14:textId="77777777" w:rsidR="00C31ADB" w:rsidRPr="0024327E" w:rsidRDefault="00C31ADB" w:rsidP="003E798D">
            <w:pPr>
              <w:pStyle w:val="Tabletext"/>
              <w:jc w:val="center"/>
            </w:pPr>
            <w:r>
              <w:t>-$392,490</w:t>
            </w:r>
          </w:p>
        </w:tc>
        <w:tc>
          <w:tcPr>
            <w:tcW w:w="629" w:type="pct"/>
          </w:tcPr>
          <w:p w14:paraId="33003A08" w14:textId="77777777" w:rsidR="00C31ADB" w:rsidRPr="0024327E" w:rsidRDefault="00C31ADB" w:rsidP="003E798D">
            <w:pPr>
              <w:pStyle w:val="Tabletext"/>
              <w:jc w:val="center"/>
            </w:pPr>
            <w:r>
              <w:t>-$401,868</w:t>
            </w:r>
          </w:p>
        </w:tc>
        <w:tc>
          <w:tcPr>
            <w:tcW w:w="628" w:type="pct"/>
          </w:tcPr>
          <w:p w14:paraId="2ABF0832" w14:textId="77777777" w:rsidR="00C31ADB" w:rsidRPr="0024327E" w:rsidRDefault="00C31ADB" w:rsidP="003E798D">
            <w:pPr>
              <w:pStyle w:val="Tabletext"/>
              <w:jc w:val="center"/>
            </w:pPr>
            <w:r>
              <w:t>-$411,246</w:t>
            </w:r>
          </w:p>
        </w:tc>
        <w:tc>
          <w:tcPr>
            <w:tcW w:w="603" w:type="pct"/>
          </w:tcPr>
          <w:p w14:paraId="7DAA1DFB" w14:textId="77777777" w:rsidR="00C31ADB" w:rsidRPr="0024327E" w:rsidRDefault="00C31ADB" w:rsidP="003E798D">
            <w:pPr>
              <w:pStyle w:val="Tabletext"/>
              <w:jc w:val="center"/>
            </w:pPr>
            <w:r>
              <w:t>-$420,624</w:t>
            </w:r>
          </w:p>
        </w:tc>
      </w:tr>
      <w:tr w:rsidR="00C31ADB" w14:paraId="3FFE0791" w14:textId="77777777" w:rsidTr="00516999">
        <w:trPr>
          <w:trHeight w:val="315"/>
        </w:trPr>
        <w:tc>
          <w:tcPr>
            <w:tcW w:w="5000" w:type="pct"/>
            <w:gridSpan w:val="6"/>
          </w:tcPr>
          <w:p w14:paraId="66A0C04C" w14:textId="77777777" w:rsidR="00C31ADB" w:rsidRDefault="00C31ADB" w:rsidP="003E798D">
            <w:pPr>
              <w:pStyle w:val="Tabletext"/>
            </w:pPr>
            <w:r w:rsidRPr="0003504D">
              <w:rPr>
                <w:b/>
              </w:rPr>
              <w:t>Chronic lymphocytic leukaemia</w:t>
            </w:r>
          </w:p>
        </w:tc>
      </w:tr>
      <w:tr w:rsidR="00C31ADB" w14:paraId="1ABFC2B5" w14:textId="77777777" w:rsidTr="00516999">
        <w:trPr>
          <w:trHeight w:val="315"/>
        </w:trPr>
        <w:tc>
          <w:tcPr>
            <w:tcW w:w="5000" w:type="pct"/>
            <w:gridSpan w:val="6"/>
          </w:tcPr>
          <w:p w14:paraId="0F751BFF" w14:textId="77777777" w:rsidR="00C31ADB" w:rsidRDefault="00C31ADB" w:rsidP="003E798D">
            <w:pPr>
              <w:pStyle w:val="Tabletext"/>
            </w:pPr>
            <w:r>
              <w:rPr>
                <w:b/>
              </w:rPr>
              <w:t>Genome-wide microarray</w:t>
            </w:r>
          </w:p>
        </w:tc>
      </w:tr>
      <w:tr w:rsidR="00C31ADB" w:rsidRPr="00E8296A" w14:paraId="7120C5F0" w14:textId="77777777" w:rsidTr="00516999">
        <w:trPr>
          <w:trHeight w:val="315"/>
        </w:trPr>
        <w:tc>
          <w:tcPr>
            <w:tcW w:w="1883" w:type="pct"/>
          </w:tcPr>
          <w:p w14:paraId="499D4EA7" w14:textId="77777777" w:rsidR="00C31ADB" w:rsidRPr="002879EF" w:rsidRDefault="00C31ADB" w:rsidP="003E798D">
            <w:pPr>
              <w:widowControl w:val="0"/>
              <w:spacing w:after="40"/>
            </w:pPr>
            <w:r w:rsidRPr="0003504D">
              <w:t>Change in the number of services</w:t>
            </w:r>
          </w:p>
        </w:tc>
        <w:tc>
          <w:tcPr>
            <w:tcW w:w="629" w:type="pct"/>
          </w:tcPr>
          <w:p w14:paraId="32DF3FA6" w14:textId="77777777" w:rsidR="00C31ADB" w:rsidRDefault="00C31ADB" w:rsidP="003E798D">
            <w:pPr>
              <w:pStyle w:val="Tabletext"/>
              <w:jc w:val="center"/>
            </w:pPr>
            <w:r>
              <w:t>1,494</w:t>
            </w:r>
          </w:p>
        </w:tc>
        <w:tc>
          <w:tcPr>
            <w:tcW w:w="628" w:type="pct"/>
          </w:tcPr>
          <w:p w14:paraId="39999B1F" w14:textId="77777777" w:rsidR="00C31ADB" w:rsidRDefault="00C31ADB" w:rsidP="003E798D">
            <w:pPr>
              <w:pStyle w:val="Tabletext"/>
              <w:jc w:val="center"/>
            </w:pPr>
            <w:r>
              <w:t>1,533</w:t>
            </w:r>
          </w:p>
        </w:tc>
        <w:tc>
          <w:tcPr>
            <w:tcW w:w="629" w:type="pct"/>
          </w:tcPr>
          <w:p w14:paraId="54E0C99B" w14:textId="77777777" w:rsidR="00C31ADB" w:rsidRDefault="00C31ADB" w:rsidP="003E798D">
            <w:pPr>
              <w:pStyle w:val="Tabletext"/>
              <w:jc w:val="center"/>
            </w:pPr>
            <w:r>
              <w:t>1,572</w:t>
            </w:r>
          </w:p>
        </w:tc>
        <w:tc>
          <w:tcPr>
            <w:tcW w:w="628" w:type="pct"/>
          </w:tcPr>
          <w:p w14:paraId="4EA314E0" w14:textId="77777777" w:rsidR="00C31ADB" w:rsidRDefault="00C31ADB" w:rsidP="003E798D">
            <w:pPr>
              <w:pStyle w:val="Tabletext"/>
              <w:jc w:val="center"/>
            </w:pPr>
            <w:r>
              <w:t>1,611</w:t>
            </w:r>
          </w:p>
        </w:tc>
        <w:tc>
          <w:tcPr>
            <w:tcW w:w="603" w:type="pct"/>
          </w:tcPr>
          <w:p w14:paraId="6164BFD9" w14:textId="77777777" w:rsidR="00C31ADB" w:rsidRDefault="00C31ADB" w:rsidP="003E798D">
            <w:pPr>
              <w:pStyle w:val="Tabletext"/>
              <w:jc w:val="center"/>
            </w:pPr>
            <w:r>
              <w:t>1,650</w:t>
            </w:r>
          </w:p>
        </w:tc>
      </w:tr>
      <w:tr w:rsidR="00C31ADB" w:rsidRPr="00E8296A" w14:paraId="1E47E80A" w14:textId="77777777" w:rsidTr="00516999">
        <w:trPr>
          <w:trHeight w:val="315"/>
        </w:trPr>
        <w:tc>
          <w:tcPr>
            <w:tcW w:w="1883" w:type="pct"/>
            <w:hideMark/>
          </w:tcPr>
          <w:p w14:paraId="11568DCA" w14:textId="77777777" w:rsidR="00C31ADB" w:rsidRPr="00E8296A" w:rsidRDefault="00C31ADB" w:rsidP="003E798D">
            <w:pPr>
              <w:widowControl w:val="0"/>
              <w:spacing w:after="40"/>
              <w:rPr>
                <w:b/>
              </w:rPr>
            </w:pPr>
            <w:r w:rsidRPr="002879EF">
              <w:t>Cost of genome-wide microarray</w:t>
            </w:r>
          </w:p>
        </w:tc>
        <w:tc>
          <w:tcPr>
            <w:tcW w:w="629" w:type="pct"/>
            <w:hideMark/>
          </w:tcPr>
          <w:p w14:paraId="408A2CC4" w14:textId="77777777" w:rsidR="00C31ADB" w:rsidRPr="00E8296A" w:rsidRDefault="00C31ADB" w:rsidP="003E798D">
            <w:pPr>
              <w:pStyle w:val="Tabletext"/>
              <w:jc w:val="center"/>
              <w:rPr>
                <w:b/>
              </w:rPr>
            </w:pPr>
            <w:r>
              <w:t>$781,565</w:t>
            </w:r>
          </w:p>
        </w:tc>
        <w:tc>
          <w:tcPr>
            <w:tcW w:w="628" w:type="pct"/>
            <w:hideMark/>
          </w:tcPr>
          <w:p w14:paraId="0FE41F64" w14:textId="77777777" w:rsidR="00C31ADB" w:rsidRPr="00E8296A" w:rsidRDefault="00C31ADB" w:rsidP="003E798D">
            <w:pPr>
              <w:pStyle w:val="Tabletext"/>
              <w:jc w:val="center"/>
              <w:rPr>
                <w:b/>
              </w:rPr>
            </w:pPr>
            <w:r>
              <w:t>$801,967</w:t>
            </w:r>
          </w:p>
        </w:tc>
        <w:tc>
          <w:tcPr>
            <w:tcW w:w="629" w:type="pct"/>
            <w:hideMark/>
          </w:tcPr>
          <w:p w14:paraId="3D94FE0B" w14:textId="77777777" w:rsidR="00C31ADB" w:rsidRPr="00E8296A" w:rsidRDefault="00C31ADB" w:rsidP="003E798D">
            <w:pPr>
              <w:pStyle w:val="Tabletext"/>
              <w:jc w:val="center"/>
              <w:rPr>
                <w:b/>
              </w:rPr>
            </w:pPr>
            <w:r>
              <w:t>$822,370</w:t>
            </w:r>
          </w:p>
        </w:tc>
        <w:tc>
          <w:tcPr>
            <w:tcW w:w="628" w:type="pct"/>
            <w:hideMark/>
          </w:tcPr>
          <w:p w14:paraId="17E2C71D" w14:textId="77777777" w:rsidR="00C31ADB" w:rsidRPr="00E8296A" w:rsidRDefault="00C31ADB" w:rsidP="003E798D">
            <w:pPr>
              <w:pStyle w:val="Tabletext"/>
              <w:jc w:val="center"/>
              <w:rPr>
                <w:b/>
              </w:rPr>
            </w:pPr>
            <w:r>
              <w:t>$842,772</w:t>
            </w:r>
          </w:p>
        </w:tc>
        <w:tc>
          <w:tcPr>
            <w:tcW w:w="603" w:type="pct"/>
            <w:hideMark/>
          </w:tcPr>
          <w:p w14:paraId="71FD5236" w14:textId="77777777" w:rsidR="00C31ADB" w:rsidRPr="00E8296A" w:rsidRDefault="00C31ADB" w:rsidP="003E798D">
            <w:pPr>
              <w:pStyle w:val="Tabletext"/>
              <w:jc w:val="center"/>
              <w:rPr>
                <w:b/>
              </w:rPr>
            </w:pPr>
            <w:r>
              <w:t>$863,174</w:t>
            </w:r>
          </w:p>
        </w:tc>
      </w:tr>
      <w:tr w:rsidR="00C31ADB" w14:paraId="0484F96D" w14:textId="77777777" w:rsidTr="00516999">
        <w:trPr>
          <w:trHeight w:val="300"/>
        </w:trPr>
        <w:tc>
          <w:tcPr>
            <w:tcW w:w="5000" w:type="pct"/>
            <w:gridSpan w:val="6"/>
          </w:tcPr>
          <w:p w14:paraId="479D9C60" w14:textId="77777777" w:rsidR="00C31ADB" w:rsidRDefault="00C31ADB" w:rsidP="003E798D">
            <w:pPr>
              <w:widowControl w:val="0"/>
              <w:tabs>
                <w:tab w:val="left" w:pos="851"/>
              </w:tabs>
              <w:spacing w:after="40"/>
              <w:rPr>
                <w:b/>
              </w:rPr>
            </w:pPr>
            <w:r>
              <w:rPr>
                <w:b/>
              </w:rPr>
              <w:t>Karyotyping</w:t>
            </w:r>
            <w:r>
              <w:rPr>
                <w:b/>
                <w:color w:val="FFFFFF" w:themeColor="background1"/>
              </w:rPr>
              <w:t>-</w:t>
            </w:r>
          </w:p>
        </w:tc>
      </w:tr>
      <w:tr w:rsidR="00C31ADB" w14:paraId="49CF5F45" w14:textId="77777777" w:rsidTr="00516999">
        <w:trPr>
          <w:trHeight w:val="300"/>
        </w:trPr>
        <w:tc>
          <w:tcPr>
            <w:tcW w:w="1883" w:type="pct"/>
          </w:tcPr>
          <w:p w14:paraId="7C61894F" w14:textId="77777777" w:rsidR="00C31ADB" w:rsidRDefault="00C31ADB" w:rsidP="003E798D">
            <w:pPr>
              <w:widowControl w:val="0"/>
              <w:tabs>
                <w:tab w:val="left" w:pos="851"/>
              </w:tabs>
              <w:spacing w:after="40"/>
            </w:pPr>
            <w:r>
              <w:t>Change in the number of services</w:t>
            </w:r>
          </w:p>
        </w:tc>
        <w:tc>
          <w:tcPr>
            <w:tcW w:w="629" w:type="pct"/>
          </w:tcPr>
          <w:p w14:paraId="44DD9D2D" w14:textId="77777777" w:rsidR="00C31ADB" w:rsidRDefault="00C31ADB" w:rsidP="003E798D">
            <w:pPr>
              <w:pStyle w:val="Tabletext"/>
              <w:jc w:val="center"/>
            </w:pPr>
            <w:r>
              <w:t>-1,494</w:t>
            </w:r>
          </w:p>
        </w:tc>
        <w:tc>
          <w:tcPr>
            <w:tcW w:w="628" w:type="pct"/>
          </w:tcPr>
          <w:p w14:paraId="04E39C65" w14:textId="77777777" w:rsidR="00C31ADB" w:rsidRDefault="00C31ADB" w:rsidP="003E798D">
            <w:pPr>
              <w:pStyle w:val="Tabletext"/>
              <w:jc w:val="center"/>
            </w:pPr>
            <w:r>
              <w:t>-1,533</w:t>
            </w:r>
          </w:p>
        </w:tc>
        <w:tc>
          <w:tcPr>
            <w:tcW w:w="629" w:type="pct"/>
          </w:tcPr>
          <w:p w14:paraId="2AF38863" w14:textId="77777777" w:rsidR="00C31ADB" w:rsidRDefault="00C31ADB" w:rsidP="003E798D">
            <w:pPr>
              <w:pStyle w:val="Tabletext"/>
              <w:jc w:val="center"/>
            </w:pPr>
            <w:r>
              <w:t>-1,572</w:t>
            </w:r>
          </w:p>
        </w:tc>
        <w:tc>
          <w:tcPr>
            <w:tcW w:w="628" w:type="pct"/>
          </w:tcPr>
          <w:p w14:paraId="5BC4128F" w14:textId="77777777" w:rsidR="00C31ADB" w:rsidRDefault="00C31ADB" w:rsidP="003E798D">
            <w:pPr>
              <w:pStyle w:val="Tabletext"/>
              <w:jc w:val="center"/>
            </w:pPr>
            <w:r>
              <w:t>-1,611</w:t>
            </w:r>
          </w:p>
        </w:tc>
        <w:tc>
          <w:tcPr>
            <w:tcW w:w="603" w:type="pct"/>
          </w:tcPr>
          <w:p w14:paraId="0C08D490" w14:textId="77777777" w:rsidR="00C31ADB" w:rsidRDefault="00C31ADB" w:rsidP="003E798D">
            <w:pPr>
              <w:pStyle w:val="Tabletext"/>
              <w:jc w:val="center"/>
            </w:pPr>
            <w:r>
              <w:t>-1,650</w:t>
            </w:r>
          </w:p>
        </w:tc>
      </w:tr>
      <w:tr w:rsidR="00C31ADB" w14:paraId="5B405AFB" w14:textId="77777777" w:rsidTr="00516999">
        <w:trPr>
          <w:trHeight w:val="300"/>
        </w:trPr>
        <w:tc>
          <w:tcPr>
            <w:tcW w:w="1883" w:type="pct"/>
          </w:tcPr>
          <w:p w14:paraId="3386B46E" w14:textId="77777777" w:rsidR="00C31ADB" w:rsidRDefault="00C31ADB" w:rsidP="003E798D">
            <w:pPr>
              <w:widowControl w:val="0"/>
              <w:tabs>
                <w:tab w:val="left" w:pos="851"/>
              </w:tabs>
              <w:spacing w:after="40"/>
              <w:ind w:left="851" w:hanging="851"/>
            </w:pPr>
            <w:r>
              <w:t>Cost of karyotyping</w:t>
            </w:r>
          </w:p>
        </w:tc>
        <w:tc>
          <w:tcPr>
            <w:tcW w:w="629" w:type="pct"/>
          </w:tcPr>
          <w:p w14:paraId="51C4BC0C" w14:textId="77777777" w:rsidR="00C31ADB" w:rsidRPr="0024327E" w:rsidRDefault="00C31ADB" w:rsidP="003E798D">
            <w:pPr>
              <w:pStyle w:val="Tabletext"/>
              <w:jc w:val="center"/>
            </w:pPr>
            <w:r w:rsidRPr="0024327E">
              <w:t>-$</w:t>
            </w:r>
            <w:r>
              <w:t>477,703</w:t>
            </w:r>
          </w:p>
        </w:tc>
        <w:tc>
          <w:tcPr>
            <w:tcW w:w="628" w:type="pct"/>
          </w:tcPr>
          <w:p w14:paraId="036EFB45" w14:textId="77777777" w:rsidR="00C31ADB" w:rsidRPr="0024327E" w:rsidRDefault="00C31ADB" w:rsidP="003E798D">
            <w:pPr>
              <w:pStyle w:val="Tabletext"/>
              <w:jc w:val="center"/>
            </w:pPr>
            <w:r w:rsidRPr="0024327E">
              <w:t>-$</w:t>
            </w:r>
            <w:r>
              <w:t>490,173</w:t>
            </w:r>
          </w:p>
        </w:tc>
        <w:tc>
          <w:tcPr>
            <w:tcW w:w="629" w:type="pct"/>
          </w:tcPr>
          <w:p w14:paraId="53AA308D" w14:textId="77777777" w:rsidR="00C31ADB" w:rsidRPr="0024327E" w:rsidRDefault="00C31ADB" w:rsidP="003E798D">
            <w:pPr>
              <w:pStyle w:val="Tabletext"/>
              <w:jc w:val="center"/>
            </w:pPr>
            <w:r w:rsidRPr="0024327E">
              <w:t>-$</w:t>
            </w:r>
            <w:r>
              <w:t>502,644</w:t>
            </w:r>
          </w:p>
        </w:tc>
        <w:tc>
          <w:tcPr>
            <w:tcW w:w="628" w:type="pct"/>
          </w:tcPr>
          <w:p w14:paraId="43156AB0" w14:textId="77777777" w:rsidR="00C31ADB" w:rsidRPr="0024327E" w:rsidRDefault="00C31ADB" w:rsidP="003E798D">
            <w:pPr>
              <w:pStyle w:val="Tabletext"/>
              <w:jc w:val="center"/>
            </w:pPr>
            <w:r w:rsidRPr="0024327E">
              <w:t>-$</w:t>
            </w:r>
            <w:r>
              <w:t>515,114</w:t>
            </w:r>
          </w:p>
        </w:tc>
        <w:tc>
          <w:tcPr>
            <w:tcW w:w="603" w:type="pct"/>
          </w:tcPr>
          <w:p w14:paraId="27AAB722" w14:textId="77777777" w:rsidR="00C31ADB" w:rsidRPr="0024327E" w:rsidRDefault="00C31ADB" w:rsidP="003E798D">
            <w:pPr>
              <w:pStyle w:val="Tabletext"/>
              <w:jc w:val="center"/>
            </w:pPr>
            <w:r w:rsidRPr="0024327E">
              <w:t>-$</w:t>
            </w:r>
            <w:r>
              <w:t>527,584</w:t>
            </w:r>
          </w:p>
        </w:tc>
      </w:tr>
      <w:tr w:rsidR="00C31ADB" w:rsidRPr="00504CE3" w14:paraId="698A1D1C" w14:textId="77777777" w:rsidTr="00516999">
        <w:trPr>
          <w:trHeight w:val="300"/>
        </w:trPr>
        <w:tc>
          <w:tcPr>
            <w:tcW w:w="1883" w:type="pct"/>
          </w:tcPr>
          <w:p w14:paraId="4EEF41E6" w14:textId="77777777" w:rsidR="00C31ADB" w:rsidRDefault="00C31ADB" w:rsidP="003E798D">
            <w:pPr>
              <w:pStyle w:val="Tabletext"/>
              <w:rPr>
                <w:b/>
              </w:rPr>
            </w:pPr>
            <w:r>
              <w:rPr>
                <w:b/>
              </w:rPr>
              <w:t>Total impact in CLL</w:t>
            </w:r>
          </w:p>
        </w:tc>
        <w:tc>
          <w:tcPr>
            <w:tcW w:w="629" w:type="pct"/>
          </w:tcPr>
          <w:p w14:paraId="4BBFF1EA" w14:textId="77777777" w:rsidR="00C31ADB" w:rsidRPr="00504CE3" w:rsidRDefault="00C31ADB" w:rsidP="003E798D">
            <w:pPr>
              <w:pStyle w:val="Tabletext"/>
              <w:jc w:val="center"/>
            </w:pPr>
            <w:r w:rsidRPr="00504CE3">
              <w:t>$303,862</w:t>
            </w:r>
          </w:p>
        </w:tc>
        <w:tc>
          <w:tcPr>
            <w:tcW w:w="628" w:type="pct"/>
          </w:tcPr>
          <w:p w14:paraId="1DB0844A" w14:textId="77777777" w:rsidR="00C31ADB" w:rsidRDefault="00C31ADB" w:rsidP="003E798D">
            <w:pPr>
              <w:pStyle w:val="Tabletext"/>
              <w:jc w:val="center"/>
            </w:pPr>
            <w:r>
              <w:t>$311,794</w:t>
            </w:r>
          </w:p>
        </w:tc>
        <w:tc>
          <w:tcPr>
            <w:tcW w:w="629" w:type="pct"/>
          </w:tcPr>
          <w:p w14:paraId="17CFBC0A" w14:textId="77777777" w:rsidR="00C31ADB" w:rsidRDefault="00C31ADB" w:rsidP="003E798D">
            <w:pPr>
              <w:pStyle w:val="Tabletext"/>
              <w:jc w:val="center"/>
            </w:pPr>
            <w:r>
              <w:t>$319,726</w:t>
            </w:r>
          </w:p>
        </w:tc>
        <w:tc>
          <w:tcPr>
            <w:tcW w:w="628" w:type="pct"/>
          </w:tcPr>
          <w:p w14:paraId="176D851B" w14:textId="77777777" w:rsidR="00C31ADB" w:rsidRDefault="00C31ADB" w:rsidP="003E798D">
            <w:pPr>
              <w:pStyle w:val="Tabletext"/>
              <w:jc w:val="center"/>
            </w:pPr>
            <w:r>
              <w:t>$327,658</w:t>
            </w:r>
          </w:p>
        </w:tc>
        <w:tc>
          <w:tcPr>
            <w:tcW w:w="603" w:type="pct"/>
          </w:tcPr>
          <w:p w14:paraId="5F981C7F" w14:textId="77777777" w:rsidR="00C31ADB" w:rsidRDefault="00C31ADB" w:rsidP="003E798D">
            <w:pPr>
              <w:pStyle w:val="Tabletext"/>
              <w:jc w:val="center"/>
            </w:pPr>
            <w:r>
              <w:t>$335,590</w:t>
            </w:r>
          </w:p>
        </w:tc>
      </w:tr>
      <w:tr w:rsidR="00C31ADB" w:rsidRPr="00504CE3" w14:paraId="72A0A613" w14:textId="77777777" w:rsidTr="00516999">
        <w:trPr>
          <w:trHeight w:val="300"/>
        </w:trPr>
        <w:tc>
          <w:tcPr>
            <w:tcW w:w="5000" w:type="pct"/>
            <w:gridSpan w:val="6"/>
          </w:tcPr>
          <w:p w14:paraId="728BA75E" w14:textId="77777777" w:rsidR="00C31ADB" w:rsidRDefault="00C31ADB" w:rsidP="003E798D">
            <w:pPr>
              <w:pStyle w:val="Tabletext"/>
            </w:pPr>
            <w:r>
              <w:rPr>
                <w:b/>
              </w:rPr>
              <w:t>Overall (MM and CLL)</w:t>
            </w:r>
          </w:p>
        </w:tc>
      </w:tr>
      <w:tr w:rsidR="00C31ADB" w:rsidRPr="00504CE3" w14:paraId="6B425CBA" w14:textId="77777777" w:rsidTr="00516999">
        <w:trPr>
          <w:trHeight w:val="300"/>
        </w:trPr>
        <w:tc>
          <w:tcPr>
            <w:tcW w:w="1883" w:type="pct"/>
          </w:tcPr>
          <w:p w14:paraId="18101A85" w14:textId="77777777" w:rsidR="00C31ADB" w:rsidRDefault="00C31ADB" w:rsidP="003E798D">
            <w:pPr>
              <w:pStyle w:val="Tabletext"/>
              <w:rPr>
                <w:b/>
              </w:rPr>
            </w:pPr>
            <w:r w:rsidRPr="00E8296A">
              <w:rPr>
                <w:b/>
              </w:rPr>
              <w:t>Total cost</w:t>
            </w:r>
            <w:r>
              <w:rPr>
                <w:b/>
              </w:rPr>
              <w:t xml:space="preserve"> to MBS</w:t>
            </w:r>
          </w:p>
        </w:tc>
        <w:tc>
          <w:tcPr>
            <w:tcW w:w="629" w:type="pct"/>
          </w:tcPr>
          <w:p w14:paraId="3CD61E48" w14:textId="77777777" w:rsidR="00C31ADB" w:rsidRPr="00504CE3" w:rsidRDefault="00C31ADB" w:rsidP="003E798D">
            <w:pPr>
              <w:pStyle w:val="Tabletext"/>
              <w:jc w:val="center"/>
            </w:pPr>
            <w:r w:rsidRPr="00E8296A">
              <w:rPr>
                <w:b/>
              </w:rPr>
              <w:t>$</w:t>
            </w:r>
            <w:r>
              <w:rPr>
                <w:b/>
              </w:rPr>
              <w:t>686,974</w:t>
            </w:r>
          </w:p>
        </w:tc>
        <w:tc>
          <w:tcPr>
            <w:tcW w:w="628" w:type="pct"/>
          </w:tcPr>
          <w:p w14:paraId="7D54924F" w14:textId="77777777" w:rsidR="00C31ADB" w:rsidRDefault="00C31ADB" w:rsidP="003E798D">
            <w:pPr>
              <w:pStyle w:val="Tabletext"/>
              <w:jc w:val="center"/>
            </w:pPr>
            <w:r w:rsidRPr="00E8296A">
              <w:rPr>
                <w:b/>
              </w:rPr>
              <w:t>$</w:t>
            </w:r>
            <w:r>
              <w:rPr>
                <w:b/>
              </w:rPr>
              <w:t>704,284</w:t>
            </w:r>
          </w:p>
        </w:tc>
        <w:tc>
          <w:tcPr>
            <w:tcW w:w="629" w:type="pct"/>
          </w:tcPr>
          <w:p w14:paraId="307DDEF4" w14:textId="77777777" w:rsidR="00C31ADB" w:rsidRDefault="00C31ADB" w:rsidP="003E798D">
            <w:pPr>
              <w:pStyle w:val="Tabletext"/>
              <w:jc w:val="center"/>
            </w:pPr>
            <w:r w:rsidRPr="00E8296A">
              <w:rPr>
                <w:b/>
              </w:rPr>
              <w:t>$</w:t>
            </w:r>
            <w:r>
              <w:rPr>
                <w:b/>
              </w:rPr>
              <w:t>721,594</w:t>
            </w:r>
          </w:p>
        </w:tc>
        <w:tc>
          <w:tcPr>
            <w:tcW w:w="628" w:type="pct"/>
          </w:tcPr>
          <w:p w14:paraId="67DF1306" w14:textId="77777777" w:rsidR="00C31ADB" w:rsidRDefault="00C31ADB" w:rsidP="003E798D">
            <w:pPr>
              <w:pStyle w:val="Tabletext"/>
              <w:jc w:val="center"/>
            </w:pPr>
            <w:r w:rsidRPr="00E8296A">
              <w:rPr>
                <w:b/>
              </w:rPr>
              <w:t>$</w:t>
            </w:r>
            <w:r>
              <w:rPr>
                <w:b/>
              </w:rPr>
              <w:t>738,904</w:t>
            </w:r>
          </w:p>
        </w:tc>
        <w:tc>
          <w:tcPr>
            <w:tcW w:w="603" w:type="pct"/>
          </w:tcPr>
          <w:p w14:paraId="73E9CBF5" w14:textId="77777777" w:rsidR="00C31ADB" w:rsidRDefault="00C31ADB" w:rsidP="003E798D">
            <w:pPr>
              <w:pStyle w:val="Tabletext"/>
              <w:jc w:val="center"/>
            </w:pPr>
            <w:r w:rsidRPr="00E8296A">
              <w:rPr>
                <w:b/>
              </w:rPr>
              <w:t>$</w:t>
            </w:r>
            <w:r>
              <w:rPr>
                <w:b/>
              </w:rPr>
              <w:t>756,215</w:t>
            </w:r>
          </w:p>
        </w:tc>
      </w:tr>
    </w:tbl>
    <w:bookmarkEnd w:id="31"/>
    <w:p w14:paraId="6BEC4CF8" w14:textId="68D7EC8B" w:rsidR="00C31ADB" w:rsidRDefault="00C31ADB" w:rsidP="00C31ADB">
      <w:pPr>
        <w:pStyle w:val="Tablecaption"/>
        <w:rPr>
          <w:sz w:val="18"/>
        </w:rPr>
      </w:pPr>
      <w:r>
        <w:rPr>
          <w:sz w:val="18"/>
        </w:rPr>
        <w:t xml:space="preserve">Source: Table 5, p23 of the </w:t>
      </w:r>
      <w:r w:rsidR="00B11338">
        <w:rPr>
          <w:sz w:val="18"/>
        </w:rPr>
        <w:t>c</w:t>
      </w:r>
      <w:r>
        <w:rPr>
          <w:sz w:val="18"/>
        </w:rPr>
        <w:t>ritique</w:t>
      </w:r>
    </w:p>
    <w:p w14:paraId="5170B788" w14:textId="44B55F84" w:rsidR="00C31ADB" w:rsidRDefault="00C31ADB" w:rsidP="00490211">
      <w:pPr>
        <w:spacing w:before="240"/>
      </w:pPr>
      <w:r>
        <w:t xml:space="preserve">The </w:t>
      </w:r>
      <w:r w:rsidR="00B11338">
        <w:t>c</w:t>
      </w:r>
      <w:r>
        <w:t xml:space="preserve">ritique noted the </w:t>
      </w:r>
      <w:r w:rsidR="000B6D56">
        <w:rPr>
          <w:szCs w:val="24"/>
        </w:rPr>
        <w:t>assessment report</w:t>
      </w:r>
      <w:r>
        <w:t>’s sensitivity analyses investigated the impact of arbitrary changes (±20%) to key variables (number of tests per person, comparator substitution rate), rather than plausible changes.</w:t>
      </w:r>
    </w:p>
    <w:p w14:paraId="161B0559" w14:textId="7EBA619F" w:rsidR="00C31ADB" w:rsidRPr="001F117E" w:rsidRDefault="00C31ADB" w:rsidP="00490211">
      <w:pPr>
        <w:spacing w:before="240"/>
      </w:pPr>
      <w:r>
        <w:t xml:space="preserve">Overall, the </w:t>
      </w:r>
      <w:r w:rsidR="00B11338">
        <w:t>c</w:t>
      </w:r>
      <w:r>
        <w:t>ritique stated that the expected number of services is likely to be underestimated as the analysis has not considered retesting by patients with relapsed or refractory disease, nor has it considered patients who have early stage CLL or patients with high-risk smouldering MM (who are ineligible for a clinical trial) who require repeat testing every 3 to 12 months.</w:t>
      </w:r>
    </w:p>
    <w:p w14:paraId="25A8D976" w14:textId="77777777" w:rsidR="0077195C" w:rsidRPr="00F715D1" w:rsidRDefault="0077195C" w:rsidP="0077195C">
      <w:pPr>
        <w:pStyle w:val="Heading1"/>
      </w:pPr>
      <w:r w:rsidRPr="00F715D1">
        <w:t>Key issues from ESC for MSAC</w:t>
      </w:r>
    </w:p>
    <w:tbl>
      <w:tblPr>
        <w:tblStyle w:val="TableGrid3"/>
        <w:tblW w:w="0" w:type="auto"/>
        <w:tblLook w:val="04A0" w:firstRow="1" w:lastRow="0" w:firstColumn="1" w:lastColumn="0" w:noHBand="0" w:noVBand="1"/>
        <w:tblDescription w:val="Summary of ESC key issues for MSAC consideration"/>
      </w:tblPr>
      <w:tblGrid>
        <w:gridCol w:w="2547"/>
        <w:gridCol w:w="6469"/>
      </w:tblGrid>
      <w:tr w:rsidR="00146D2B" w:rsidRPr="00146D2B" w14:paraId="4EAA95FE" w14:textId="77777777" w:rsidTr="00516999">
        <w:trPr>
          <w:tblHeader/>
        </w:trPr>
        <w:tc>
          <w:tcPr>
            <w:tcW w:w="2547" w:type="dxa"/>
          </w:tcPr>
          <w:p w14:paraId="59AB4B33" w14:textId="77777777" w:rsidR="00146D2B" w:rsidRPr="00146D2B" w:rsidRDefault="00146D2B" w:rsidP="003E798D">
            <w:pPr>
              <w:keepNext/>
              <w:spacing w:before="60" w:after="60"/>
              <w:rPr>
                <w:rFonts w:ascii="Arial Narrow" w:hAnsi="Arial Narrow"/>
                <w:b/>
                <w:bCs/>
                <w:color w:val="000000"/>
                <w:szCs w:val="24"/>
              </w:rPr>
            </w:pPr>
            <w:r w:rsidRPr="00146D2B">
              <w:rPr>
                <w:rFonts w:ascii="Arial Narrow" w:hAnsi="Arial Narrow"/>
                <w:b/>
                <w:bCs/>
                <w:color w:val="000000"/>
                <w:szCs w:val="24"/>
              </w:rPr>
              <w:t>ESC key issue</w:t>
            </w:r>
          </w:p>
        </w:tc>
        <w:tc>
          <w:tcPr>
            <w:tcW w:w="6469" w:type="dxa"/>
          </w:tcPr>
          <w:p w14:paraId="1B70BA5F" w14:textId="77777777" w:rsidR="00146D2B" w:rsidRPr="00146D2B" w:rsidRDefault="00146D2B" w:rsidP="003E798D">
            <w:pPr>
              <w:keepNext/>
              <w:spacing w:before="60" w:after="60"/>
              <w:rPr>
                <w:rFonts w:ascii="Arial Narrow" w:hAnsi="Arial Narrow"/>
                <w:b/>
                <w:bCs/>
                <w:color w:val="000000"/>
                <w:szCs w:val="24"/>
              </w:rPr>
            </w:pPr>
            <w:r w:rsidRPr="00146D2B">
              <w:rPr>
                <w:rFonts w:ascii="Arial Narrow" w:hAnsi="Arial Narrow"/>
                <w:b/>
                <w:bCs/>
                <w:color w:val="000000"/>
                <w:szCs w:val="24"/>
              </w:rPr>
              <w:t>ESC advice to MSAC</w:t>
            </w:r>
          </w:p>
        </w:tc>
      </w:tr>
      <w:tr w:rsidR="00146D2B" w:rsidRPr="00146D2B" w14:paraId="052E13AF" w14:textId="77777777" w:rsidTr="00285394">
        <w:tc>
          <w:tcPr>
            <w:tcW w:w="2547" w:type="dxa"/>
          </w:tcPr>
          <w:p w14:paraId="0149160E" w14:textId="77777777" w:rsidR="00146D2B" w:rsidRPr="00146D2B" w:rsidRDefault="00146D2B" w:rsidP="003E798D">
            <w:pPr>
              <w:keepNext/>
              <w:spacing w:before="60" w:after="60"/>
              <w:rPr>
                <w:rFonts w:ascii="Arial Narrow" w:hAnsi="Arial Narrow"/>
                <w:color w:val="000000"/>
                <w:szCs w:val="24"/>
              </w:rPr>
            </w:pPr>
            <w:r w:rsidRPr="00146D2B">
              <w:rPr>
                <w:rFonts w:ascii="Arial Narrow" w:hAnsi="Arial Narrow"/>
                <w:color w:val="000000"/>
                <w:szCs w:val="24"/>
              </w:rPr>
              <w:t xml:space="preserve">For </w:t>
            </w:r>
            <w:proofErr w:type="gramStart"/>
            <w:r w:rsidRPr="00146D2B">
              <w:rPr>
                <w:rFonts w:ascii="Arial Narrow" w:hAnsi="Arial Narrow"/>
                <w:i/>
                <w:iCs/>
                <w:color w:val="000000"/>
                <w:szCs w:val="24"/>
              </w:rPr>
              <w:t>del(</w:t>
            </w:r>
            <w:proofErr w:type="gramEnd"/>
            <w:r w:rsidRPr="00146D2B">
              <w:rPr>
                <w:rFonts w:ascii="Arial Narrow" w:hAnsi="Arial Narrow"/>
                <w:i/>
                <w:iCs/>
                <w:color w:val="000000"/>
                <w:szCs w:val="24"/>
              </w:rPr>
              <w:t>17p)</w:t>
            </w:r>
            <w:r w:rsidRPr="00146D2B">
              <w:rPr>
                <w:rFonts w:ascii="Arial Narrow" w:hAnsi="Arial Narrow"/>
                <w:color w:val="000000"/>
                <w:szCs w:val="24"/>
              </w:rPr>
              <w:t xml:space="preserve"> CLL, can GWMA be used alone or does it have to be used with FISH?</w:t>
            </w:r>
          </w:p>
        </w:tc>
        <w:tc>
          <w:tcPr>
            <w:tcW w:w="6469" w:type="dxa"/>
          </w:tcPr>
          <w:p w14:paraId="6BDFD653" w14:textId="77777777" w:rsidR="00146D2B" w:rsidRPr="00146D2B" w:rsidRDefault="00146D2B" w:rsidP="003E798D">
            <w:pPr>
              <w:keepNext/>
              <w:spacing w:before="60" w:after="60"/>
              <w:rPr>
                <w:rFonts w:ascii="Arial Narrow" w:hAnsi="Arial Narrow"/>
                <w:color w:val="000000"/>
                <w:szCs w:val="24"/>
              </w:rPr>
            </w:pPr>
            <w:r w:rsidRPr="00146D2B">
              <w:rPr>
                <w:rFonts w:ascii="Arial Narrow" w:hAnsi="Arial Narrow"/>
                <w:color w:val="000000"/>
                <w:szCs w:val="24"/>
              </w:rPr>
              <w:t xml:space="preserve">Clarify with the RCPA whether, in practice, GWMA can replace fluorescence </w:t>
            </w:r>
            <w:r w:rsidRPr="00146D2B">
              <w:rPr>
                <w:rFonts w:ascii="Arial Narrow" w:hAnsi="Arial Narrow"/>
                <w:i/>
                <w:color w:val="000000"/>
                <w:szCs w:val="24"/>
              </w:rPr>
              <w:t>in situ</w:t>
            </w:r>
            <w:r w:rsidRPr="00146D2B">
              <w:rPr>
                <w:rFonts w:ascii="Arial Narrow" w:hAnsi="Arial Narrow"/>
                <w:color w:val="000000"/>
                <w:szCs w:val="24"/>
              </w:rPr>
              <w:t xml:space="preserve"> hybridisation (FISH) for detecting deletions in chromosome 17p deletion</w:t>
            </w:r>
            <w:r w:rsidRPr="00146D2B" w:rsidDel="00027618">
              <w:rPr>
                <w:rFonts w:ascii="Arial Narrow" w:hAnsi="Arial Narrow"/>
                <w:color w:val="000000"/>
                <w:szCs w:val="24"/>
              </w:rPr>
              <w:t xml:space="preserve"> </w:t>
            </w:r>
            <w:r w:rsidRPr="00146D2B">
              <w:rPr>
                <w:rFonts w:ascii="Arial Narrow" w:hAnsi="Arial Narrow"/>
                <w:color w:val="000000"/>
                <w:szCs w:val="24"/>
              </w:rPr>
              <w:t>(</w:t>
            </w:r>
            <w:proofErr w:type="gramStart"/>
            <w:r w:rsidRPr="00146D2B">
              <w:rPr>
                <w:rFonts w:ascii="Arial Narrow" w:hAnsi="Arial Narrow"/>
                <w:i/>
                <w:iCs/>
                <w:color w:val="000000"/>
                <w:szCs w:val="24"/>
              </w:rPr>
              <w:t>del(</w:t>
            </w:r>
            <w:proofErr w:type="gramEnd"/>
            <w:r w:rsidRPr="00146D2B">
              <w:rPr>
                <w:rFonts w:ascii="Arial Narrow" w:hAnsi="Arial Narrow"/>
                <w:i/>
                <w:iCs/>
                <w:color w:val="000000"/>
                <w:szCs w:val="24"/>
              </w:rPr>
              <w:t>17p)</w:t>
            </w:r>
            <w:r w:rsidRPr="00146D2B">
              <w:rPr>
                <w:rFonts w:ascii="Arial Narrow" w:hAnsi="Arial Narrow"/>
                <w:color w:val="000000"/>
                <w:szCs w:val="24"/>
              </w:rPr>
              <w:t>) in all patients with CLL on the basis of sufficiently similar analytical performance for this biomarker. Linked evidence approach would suggest both GWMA+FISH is required.</w:t>
            </w:r>
          </w:p>
        </w:tc>
      </w:tr>
      <w:tr w:rsidR="00146D2B" w:rsidRPr="00146D2B" w14:paraId="052F0EC2" w14:textId="77777777" w:rsidTr="00285394">
        <w:tc>
          <w:tcPr>
            <w:tcW w:w="2547" w:type="dxa"/>
          </w:tcPr>
          <w:p w14:paraId="53B5E462" w14:textId="77777777" w:rsidR="00146D2B" w:rsidRPr="00146D2B" w:rsidRDefault="00146D2B" w:rsidP="003E798D">
            <w:pPr>
              <w:keepNext/>
              <w:spacing w:before="60" w:after="60"/>
              <w:rPr>
                <w:rFonts w:ascii="Arial Narrow" w:hAnsi="Arial Narrow"/>
                <w:color w:val="000000"/>
                <w:szCs w:val="24"/>
              </w:rPr>
            </w:pPr>
            <w:r w:rsidRPr="00146D2B">
              <w:rPr>
                <w:rFonts w:ascii="Arial Narrow" w:hAnsi="Arial Narrow"/>
                <w:color w:val="000000"/>
                <w:szCs w:val="24"/>
              </w:rPr>
              <w:t>Item descriptor</w:t>
            </w:r>
          </w:p>
        </w:tc>
        <w:tc>
          <w:tcPr>
            <w:tcW w:w="6469" w:type="dxa"/>
          </w:tcPr>
          <w:p w14:paraId="04076C35" w14:textId="77777777" w:rsidR="00146D2B" w:rsidRPr="00146D2B" w:rsidRDefault="00146D2B" w:rsidP="003E798D">
            <w:pPr>
              <w:keepNext/>
              <w:spacing w:before="60" w:after="60"/>
              <w:rPr>
                <w:rFonts w:ascii="Arial Narrow" w:hAnsi="Arial Narrow"/>
                <w:color w:val="000000"/>
                <w:szCs w:val="24"/>
              </w:rPr>
            </w:pPr>
            <w:r w:rsidRPr="00146D2B">
              <w:rPr>
                <w:rFonts w:ascii="Arial Narrow" w:hAnsi="Arial Narrow"/>
                <w:color w:val="000000"/>
                <w:szCs w:val="24"/>
              </w:rPr>
              <w:t>The item descriptor should be disease specific, not test specific. If recommended to list, a new item number is required. This is also the approach preferred by PASC.</w:t>
            </w:r>
          </w:p>
          <w:p w14:paraId="2BCED03F" w14:textId="77777777" w:rsidR="00146D2B" w:rsidRPr="00146D2B" w:rsidRDefault="00146D2B" w:rsidP="003E798D">
            <w:pPr>
              <w:keepNext/>
              <w:spacing w:before="60" w:after="60"/>
              <w:rPr>
                <w:rFonts w:ascii="Arial Narrow" w:hAnsi="Arial Narrow"/>
                <w:color w:val="000000"/>
                <w:szCs w:val="24"/>
              </w:rPr>
            </w:pPr>
            <w:r w:rsidRPr="00146D2B">
              <w:rPr>
                <w:rFonts w:ascii="Arial Narrow" w:hAnsi="Arial Narrow"/>
                <w:color w:val="000000"/>
                <w:szCs w:val="24"/>
              </w:rPr>
              <w:t>If the clinical claim of non-inferiority is accepted, and if FISH is replaced by GWMA in CLL, then item 73290 could be used to replace karyotyping with no additional clinical benefit, but at a higher cost.</w:t>
            </w:r>
          </w:p>
          <w:p w14:paraId="3817D40F" w14:textId="77777777" w:rsidR="00146D2B" w:rsidRPr="00146D2B" w:rsidRDefault="00146D2B" w:rsidP="003E798D">
            <w:pPr>
              <w:keepNext/>
              <w:spacing w:before="60" w:after="60"/>
              <w:rPr>
                <w:rFonts w:ascii="Arial Narrow" w:hAnsi="Arial Narrow"/>
                <w:color w:val="000000"/>
                <w:szCs w:val="24"/>
              </w:rPr>
            </w:pPr>
            <w:r w:rsidRPr="00146D2B">
              <w:rPr>
                <w:rFonts w:ascii="Arial Narrow" w:hAnsi="Arial Narrow"/>
                <w:color w:val="000000"/>
                <w:szCs w:val="24"/>
              </w:rPr>
              <w:t>The classification of CLL also encompasses the much smaller subgroup of small lymphocytic leukaemia – while no data has been presented in this group, should the descriptor permit GWMA use?</w:t>
            </w:r>
          </w:p>
        </w:tc>
      </w:tr>
      <w:tr w:rsidR="00146D2B" w:rsidRPr="00146D2B" w14:paraId="5B23D6C8" w14:textId="77777777" w:rsidTr="00285394">
        <w:tc>
          <w:tcPr>
            <w:tcW w:w="2547" w:type="dxa"/>
          </w:tcPr>
          <w:p w14:paraId="7955CAA4" w14:textId="77777777" w:rsidR="00146D2B" w:rsidRPr="00146D2B" w:rsidRDefault="00146D2B" w:rsidP="003E798D">
            <w:pPr>
              <w:keepNext/>
              <w:spacing w:before="60" w:after="60"/>
              <w:rPr>
                <w:rFonts w:ascii="Arial Narrow" w:hAnsi="Arial Narrow"/>
                <w:color w:val="000000"/>
                <w:szCs w:val="24"/>
              </w:rPr>
            </w:pPr>
            <w:r w:rsidRPr="00146D2B">
              <w:rPr>
                <w:rFonts w:ascii="Arial Narrow" w:hAnsi="Arial Narrow"/>
                <w:color w:val="000000"/>
                <w:szCs w:val="24"/>
              </w:rPr>
              <w:t>Amend item 73343 and Application 1560 to include GWMA</w:t>
            </w:r>
          </w:p>
        </w:tc>
        <w:tc>
          <w:tcPr>
            <w:tcW w:w="6469" w:type="dxa"/>
          </w:tcPr>
          <w:p w14:paraId="6B4BEF2F" w14:textId="77777777" w:rsidR="00146D2B" w:rsidRPr="00146D2B" w:rsidRDefault="00146D2B" w:rsidP="003E798D">
            <w:pPr>
              <w:keepNext/>
              <w:spacing w:before="60" w:after="60"/>
              <w:rPr>
                <w:rFonts w:ascii="Arial Narrow" w:hAnsi="Arial Narrow"/>
                <w:color w:val="000000"/>
                <w:szCs w:val="24"/>
              </w:rPr>
            </w:pPr>
            <w:r w:rsidRPr="00146D2B">
              <w:rPr>
                <w:rFonts w:ascii="Arial Narrow" w:hAnsi="Arial Narrow"/>
                <w:color w:val="000000"/>
                <w:szCs w:val="24"/>
              </w:rPr>
              <w:t>If this application is recommended to list, then MBS item 73343 and Application 1560 (to be considered by MSAC in November 2019) may need to be amended to include GWMA testing. (Currently, these only consider FISH.)</w:t>
            </w:r>
          </w:p>
        </w:tc>
      </w:tr>
      <w:tr w:rsidR="00146D2B" w:rsidRPr="00146D2B" w14:paraId="5084209A" w14:textId="77777777" w:rsidTr="00285394">
        <w:tc>
          <w:tcPr>
            <w:tcW w:w="2547" w:type="dxa"/>
          </w:tcPr>
          <w:p w14:paraId="08F3A87A" w14:textId="77777777" w:rsidR="00146D2B" w:rsidRPr="00146D2B" w:rsidRDefault="00146D2B" w:rsidP="003E798D">
            <w:pPr>
              <w:keepNext/>
              <w:spacing w:before="60" w:after="60"/>
              <w:rPr>
                <w:rFonts w:ascii="Arial Narrow" w:hAnsi="Arial Narrow"/>
                <w:color w:val="000000"/>
                <w:szCs w:val="24"/>
              </w:rPr>
            </w:pPr>
            <w:r w:rsidRPr="00146D2B">
              <w:rPr>
                <w:rFonts w:ascii="Arial Narrow" w:hAnsi="Arial Narrow"/>
                <w:color w:val="000000"/>
                <w:szCs w:val="24"/>
              </w:rPr>
              <w:t>Economic evaluation</w:t>
            </w:r>
          </w:p>
        </w:tc>
        <w:tc>
          <w:tcPr>
            <w:tcW w:w="6469" w:type="dxa"/>
          </w:tcPr>
          <w:p w14:paraId="0693006E" w14:textId="77777777" w:rsidR="00146D2B" w:rsidRPr="00146D2B" w:rsidRDefault="00146D2B" w:rsidP="003E798D">
            <w:pPr>
              <w:keepNext/>
              <w:spacing w:before="60" w:after="60"/>
              <w:rPr>
                <w:rFonts w:ascii="Arial Narrow" w:hAnsi="Arial Narrow"/>
                <w:color w:val="000000"/>
                <w:szCs w:val="24"/>
              </w:rPr>
            </w:pPr>
            <w:r w:rsidRPr="00146D2B">
              <w:rPr>
                <w:rFonts w:ascii="Arial Narrow" w:hAnsi="Arial Narrow"/>
                <w:color w:val="000000"/>
                <w:szCs w:val="24"/>
              </w:rPr>
              <w:t>This was not a true cost-minimisation approach. If appropriate, the intervention should be priced the same as the weighted comparator.</w:t>
            </w:r>
          </w:p>
        </w:tc>
      </w:tr>
      <w:tr w:rsidR="00146D2B" w:rsidRPr="00146D2B" w14:paraId="7A1BA0B6" w14:textId="77777777" w:rsidTr="00285394">
        <w:tc>
          <w:tcPr>
            <w:tcW w:w="2547" w:type="dxa"/>
          </w:tcPr>
          <w:p w14:paraId="77E386F6" w14:textId="77777777" w:rsidR="00146D2B" w:rsidRPr="00146D2B" w:rsidRDefault="00146D2B" w:rsidP="003E798D">
            <w:pPr>
              <w:keepNext/>
              <w:spacing w:before="60" w:after="60"/>
              <w:rPr>
                <w:rFonts w:ascii="Arial Narrow" w:hAnsi="Arial Narrow"/>
                <w:color w:val="000000"/>
                <w:szCs w:val="24"/>
              </w:rPr>
            </w:pPr>
            <w:r w:rsidRPr="00146D2B">
              <w:rPr>
                <w:rFonts w:ascii="Arial Narrow" w:hAnsi="Arial Narrow"/>
                <w:color w:val="000000"/>
                <w:szCs w:val="24"/>
              </w:rPr>
              <w:t>Cost of repeat testing</w:t>
            </w:r>
          </w:p>
        </w:tc>
        <w:tc>
          <w:tcPr>
            <w:tcW w:w="6469" w:type="dxa"/>
          </w:tcPr>
          <w:p w14:paraId="6EBD9575" w14:textId="77777777" w:rsidR="00146D2B" w:rsidRPr="00146D2B" w:rsidRDefault="00146D2B" w:rsidP="003E798D">
            <w:pPr>
              <w:keepNext/>
              <w:spacing w:before="60" w:after="60"/>
              <w:rPr>
                <w:rFonts w:ascii="Arial Narrow" w:hAnsi="Arial Narrow"/>
                <w:color w:val="000000"/>
                <w:szCs w:val="24"/>
              </w:rPr>
            </w:pPr>
            <w:r w:rsidRPr="00146D2B">
              <w:rPr>
                <w:rFonts w:ascii="Arial Narrow" w:hAnsi="Arial Narrow"/>
                <w:color w:val="000000"/>
                <w:szCs w:val="24"/>
              </w:rPr>
              <w:t>The financial estimates will need to be adjusted depending on how these tests would be used in clinical practice.</w:t>
            </w:r>
          </w:p>
        </w:tc>
      </w:tr>
    </w:tbl>
    <w:p w14:paraId="17E3AA0E" w14:textId="77777777" w:rsidR="00146D2B" w:rsidRPr="009F1343" w:rsidRDefault="00146D2B" w:rsidP="007E7F6A">
      <w:pPr>
        <w:pStyle w:val="Heading2"/>
        <w:spacing w:before="240" w:after="120"/>
        <w:rPr>
          <w:b/>
          <w:i w:val="0"/>
        </w:rPr>
      </w:pPr>
      <w:r w:rsidRPr="009F1343">
        <w:rPr>
          <w:b/>
          <w:i w:val="0"/>
        </w:rPr>
        <w:t>ESC discussion</w:t>
      </w:r>
    </w:p>
    <w:p w14:paraId="13FFA591" w14:textId="77777777" w:rsidR="00146D2B" w:rsidRPr="005E4930" w:rsidRDefault="00146D2B" w:rsidP="00146D2B">
      <w:pPr>
        <w:spacing w:after="240"/>
        <w:rPr>
          <w:color w:val="000000"/>
        </w:rPr>
      </w:pPr>
      <w:r w:rsidRPr="005E4930">
        <w:rPr>
          <w:color w:val="000000"/>
        </w:rPr>
        <w:t>ESC noted the two options for possible item descriptors: one that is test centric and the other that is disease centric. ESC noted and agreed with PASC’s preference for a disease-specific descriptor, as per the application, which would require new MBS items.</w:t>
      </w:r>
    </w:p>
    <w:p w14:paraId="517F7448" w14:textId="77777777" w:rsidR="00146D2B" w:rsidRDefault="00146D2B" w:rsidP="00146D2B">
      <w:pPr>
        <w:spacing w:after="240"/>
        <w:rPr>
          <w:color w:val="000000"/>
        </w:rPr>
      </w:pPr>
      <w:r>
        <w:rPr>
          <w:color w:val="000000"/>
        </w:rPr>
        <w:t>ESC noted that chromosome 17p deletion (</w:t>
      </w:r>
      <w:proofErr w:type="gramStart"/>
      <w:r w:rsidRPr="00027618">
        <w:rPr>
          <w:i/>
          <w:color w:val="000000"/>
        </w:rPr>
        <w:t>del</w:t>
      </w:r>
      <w:r>
        <w:rPr>
          <w:i/>
          <w:color w:val="000000"/>
        </w:rPr>
        <w:t>(</w:t>
      </w:r>
      <w:proofErr w:type="gramEnd"/>
      <w:r w:rsidRPr="00027618">
        <w:rPr>
          <w:i/>
          <w:color w:val="000000"/>
        </w:rPr>
        <w:t>17p</w:t>
      </w:r>
      <w:r>
        <w:rPr>
          <w:i/>
          <w:color w:val="000000"/>
        </w:rPr>
        <w:t>)</w:t>
      </w:r>
      <w:r>
        <w:rPr>
          <w:color w:val="000000"/>
        </w:rPr>
        <w:t>) is a marker of poor treatment response and more aggressive disease in patients with both chronic lymphocytic leukaemia (CLL) and multiple myeloma (MM).</w:t>
      </w:r>
    </w:p>
    <w:p w14:paraId="219CC85F" w14:textId="1B0E409F" w:rsidR="00146D2B" w:rsidRPr="005E4930" w:rsidRDefault="00146D2B" w:rsidP="00146D2B">
      <w:pPr>
        <w:spacing w:after="240"/>
        <w:rPr>
          <w:color w:val="000000"/>
        </w:rPr>
      </w:pPr>
      <w:r w:rsidRPr="005E4930">
        <w:rPr>
          <w:color w:val="000000"/>
        </w:rPr>
        <w:t xml:space="preserve">ESC noted the confusion around whether genome-wide microarray (GWMA) would replace or complement fluorescence </w:t>
      </w:r>
      <w:r w:rsidRPr="00027618">
        <w:rPr>
          <w:i/>
          <w:color w:val="000000"/>
        </w:rPr>
        <w:t>in situ</w:t>
      </w:r>
      <w:r w:rsidRPr="005E4930">
        <w:rPr>
          <w:color w:val="000000"/>
        </w:rPr>
        <w:t xml:space="preserve"> hybridisation (FISH</w:t>
      </w:r>
      <w:r>
        <w:rPr>
          <w:color w:val="000000"/>
        </w:rPr>
        <w:t xml:space="preserve">) for </w:t>
      </w:r>
      <w:proofErr w:type="gramStart"/>
      <w:r w:rsidRPr="002F5234">
        <w:rPr>
          <w:i/>
          <w:color w:val="000000"/>
        </w:rPr>
        <w:t>del</w:t>
      </w:r>
      <w:r>
        <w:rPr>
          <w:i/>
          <w:color w:val="000000"/>
        </w:rPr>
        <w:t>(</w:t>
      </w:r>
      <w:proofErr w:type="gramEnd"/>
      <w:r w:rsidRPr="002F5234">
        <w:rPr>
          <w:i/>
          <w:color w:val="000000"/>
        </w:rPr>
        <w:t>17p</w:t>
      </w:r>
      <w:r>
        <w:rPr>
          <w:i/>
          <w:color w:val="000000"/>
        </w:rPr>
        <w:t>)</w:t>
      </w:r>
      <w:r w:rsidRPr="005E4930">
        <w:rPr>
          <w:color w:val="000000"/>
        </w:rPr>
        <w:t xml:space="preserve"> testing in the clinical algorithms. The </w:t>
      </w:r>
      <w:r w:rsidR="00B11338" w:rsidRPr="005E4930">
        <w:rPr>
          <w:color w:val="000000"/>
        </w:rPr>
        <w:t>a</w:t>
      </w:r>
      <w:r w:rsidRPr="005E4930">
        <w:rPr>
          <w:color w:val="000000"/>
        </w:rPr>
        <w:t xml:space="preserve">ssessment </w:t>
      </w:r>
      <w:r w:rsidR="00B11338">
        <w:rPr>
          <w:color w:val="000000"/>
        </w:rPr>
        <w:t>report</w:t>
      </w:r>
      <w:r w:rsidRPr="005E4930">
        <w:rPr>
          <w:color w:val="000000"/>
        </w:rPr>
        <w:t xml:space="preserve"> state</w:t>
      </w:r>
      <w:r w:rsidR="00285394">
        <w:rPr>
          <w:color w:val="000000"/>
        </w:rPr>
        <w:t>d</w:t>
      </w:r>
      <w:r w:rsidRPr="005E4930">
        <w:rPr>
          <w:color w:val="000000"/>
        </w:rPr>
        <w:t xml:space="preserve"> that, for multiple myeloma (MM), GWMA will replace karyotyping, but not FISH – that is, it will be used in combination with FISH. However, in the chronic lymphocytic leukaemia (CLL) clinical algorithm, GWMA is stated to replace both FISH and karyotyping. ESC considered this to be a significant contradiction between the two conditions, and also noted that</w:t>
      </w:r>
      <w:r w:rsidR="00285394">
        <w:rPr>
          <w:color w:val="000000"/>
        </w:rPr>
        <w:t>,</w:t>
      </w:r>
      <w:r w:rsidRPr="005E4930">
        <w:rPr>
          <w:color w:val="000000"/>
        </w:rPr>
        <w:t xml:space="preserve"> </w:t>
      </w:r>
      <w:r>
        <w:rPr>
          <w:color w:val="000000"/>
        </w:rPr>
        <w:t xml:space="preserve">in </w:t>
      </w:r>
      <w:r w:rsidRPr="005E4930">
        <w:rPr>
          <w:color w:val="000000"/>
        </w:rPr>
        <w:t>CLL</w:t>
      </w:r>
      <w:r>
        <w:rPr>
          <w:color w:val="000000"/>
        </w:rPr>
        <w:t>,</w:t>
      </w:r>
      <w:r w:rsidRPr="005E4930">
        <w:rPr>
          <w:color w:val="000000"/>
        </w:rPr>
        <w:t xml:space="preserve"> FISH for </w:t>
      </w:r>
      <w:proofErr w:type="gramStart"/>
      <w:r w:rsidRPr="005E4930">
        <w:rPr>
          <w:i/>
          <w:iCs/>
          <w:color w:val="000000"/>
        </w:rPr>
        <w:t>del</w:t>
      </w:r>
      <w:r>
        <w:rPr>
          <w:i/>
          <w:iCs/>
          <w:color w:val="000000"/>
        </w:rPr>
        <w:t>(</w:t>
      </w:r>
      <w:proofErr w:type="gramEnd"/>
      <w:r w:rsidRPr="005E4930">
        <w:rPr>
          <w:i/>
          <w:iCs/>
          <w:color w:val="000000"/>
        </w:rPr>
        <w:t>17p</w:t>
      </w:r>
      <w:r>
        <w:rPr>
          <w:i/>
          <w:iCs/>
          <w:color w:val="000000"/>
        </w:rPr>
        <w:t>)</w:t>
      </w:r>
      <w:r w:rsidRPr="005E4930">
        <w:rPr>
          <w:color w:val="000000"/>
        </w:rPr>
        <w:t xml:space="preserve"> is </w:t>
      </w:r>
      <w:r>
        <w:rPr>
          <w:color w:val="000000"/>
        </w:rPr>
        <w:t>used</w:t>
      </w:r>
      <w:r w:rsidRPr="005E4930">
        <w:rPr>
          <w:color w:val="000000"/>
        </w:rPr>
        <w:t xml:space="preserve"> to </w:t>
      </w:r>
      <w:r>
        <w:rPr>
          <w:color w:val="000000"/>
        </w:rPr>
        <w:t xml:space="preserve">determine </w:t>
      </w:r>
      <w:r w:rsidRPr="005E4930">
        <w:rPr>
          <w:color w:val="000000"/>
        </w:rPr>
        <w:t xml:space="preserve">access </w:t>
      </w:r>
      <w:r>
        <w:rPr>
          <w:color w:val="000000"/>
        </w:rPr>
        <w:t>to targeted therapies</w:t>
      </w:r>
      <w:r w:rsidRPr="005E4930">
        <w:rPr>
          <w:color w:val="000000"/>
        </w:rPr>
        <w:t>. ESC also noted the limited</w:t>
      </w:r>
      <w:r>
        <w:rPr>
          <w:color w:val="000000"/>
        </w:rPr>
        <w:t xml:space="preserve"> linked</w:t>
      </w:r>
      <w:r w:rsidRPr="005E4930">
        <w:rPr>
          <w:color w:val="000000"/>
        </w:rPr>
        <w:t xml:space="preserve"> evidence suggesting that FISH is actually superior to GWMA for detecting </w:t>
      </w:r>
      <w:proofErr w:type="gramStart"/>
      <w:r w:rsidRPr="005E4930">
        <w:rPr>
          <w:i/>
          <w:iCs/>
          <w:color w:val="000000"/>
        </w:rPr>
        <w:t>del</w:t>
      </w:r>
      <w:r>
        <w:rPr>
          <w:i/>
          <w:iCs/>
          <w:color w:val="000000"/>
        </w:rPr>
        <w:t>(</w:t>
      </w:r>
      <w:proofErr w:type="gramEnd"/>
      <w:r w:rsidRPr="005E4930">
        <w:rPr>
          <w:i/>
          <w:iCs/>
          <w:color w:val="000000"/>
        </w:rPr>
        <w:t>17p</w:t>
      </w:r>
      <w:r>
        <w:rPr>
          <w:i/>
          <w:iCs/>
          <w:color w:val="000000"/>
        </w:rPr>
        <w:t>)</w:t>
      </w:r>
      <w:r>
        <w:rPr>
          <w:color w:val="000000"/>
        </w:rPr>
        <w:t xml:space="preserve"> in </w:t>
      </w:r>
      <w:r w:rsidRPr="005E4930">
        <w:rPr>
          <w:color w:val="000000"/>
        </w:rPr>
        <w:t xml:space="preserve">CLL. Both the </w:t>
      </w:r>
      <w:r w:rsidR="00B11338">
        <w:rPr>
          <w:color w:val="000000"/>
        </w:rPr>
        <w:t>assessment report</w:t>
      </w:r>
      <w:r w:rsidRPr="005E4930">
        <w:rPr>
          <w:color w:val="000000"/>
        </w:rPr>
        <w:t xml:space="preserve"> and </w:t>
      </w:r>
      <w:r>
        <w:rPr>
          <w:color w:val="000000"/>
        </w:rPr>
        <w:t xml:space="preserve">the </w:t>
      </w:r>
      <w:r w:rsidR="00B11338" w:rsidRPr="005E4930">
        <w:rPr>
          <w:color w:val="000000"/>
        </w:rPr>
        <w:t>c</w:t>
      </w:r>
      <w:r w:rsidRPr="005E4930">
        <w:rPr>
          <w:color w:val="000000"/>
        </w:rPr>
        <w:t>ritique commented that it is unlikely that GWMA would be used to replace FISH</w:t>
      </w:r>
      <w:r>
        <w:rPr>
          <w:color w:val="000000"/>
        </w:rPr>
        <w:t xml:space="preserve"> solely for this purpose</w:t>
      </w:r>
      <w:r w:rsidRPr="005E4930">
        <w:rPr>
          <w:color w:val="000000"/>
        </w:rPr>
        <w:t>. However, a letter from the Royal College of Pathologists of Australasia (RCPA) stated that ‘South Australia transitioned to the genome microarray for CLL and no longer perform FISH analysis for the standard FISH panels’, suggesting that clinicians are replacing FISH with GWMA. ESC considered this must be clarified with the RCPA before the application is considered by MSAC.</w:t>
      </w:r>
      <w:r w:rsidR="008F124C">
        <w:rPr>
          <w:color w:val="000000"/>
        </w:rPr>
        <w:t xml:space="preserve"> </w:t>
      </w:r>
      <w:r w:rsidR="006E79E0">
        <w:rPr>
          <w:color w:val="000000"/>
        </w:rPr>
        <w:t xml:space="preserve">The </w:t>
      </w:r>
      <w:r w:rsidR="008F124C">
        <w:rPr>
          <w:color w:val="000000"/>
        </w:rPr>
        <w:t xml:space="preserve">RCPA </w:t>
      </w:r>
      <w:r w:rsidR="006E79E0">
        <w:rPr>
          <w:color w:val="000000"/>
        </w:rPr>
        <w:t xml:space="preserve">subsequently </w:t>
      </w:r>
      <w:r w:rsidR="008F124C">
        <w:rPr>
          <w:color w:val="000000"/>
        </w:rPr>
        <w:t>confirmed that this was correct.</w:t>
      </w:r>
    </w:p>
    <w:p w14:paraId="16BFB2AA" w14:textId="569A802E" w:rsidR="00146D2B" w:rsidRDefault="00146D2B" w:rsidP="00146D2B">
      <w:pPr>
        <w:spacing w:after="240"/>
        <w:rPr>
          <w:color w:val="000000"/>
        </w:rPr>
      </w:pPr>
      <w:r w:rsidRPr="005E4930">
        <w:rPr>
          <w:color w:val="000000"/>
        </w:rPr>
        <w:t xml:space="preserve">ESC noted that the significant advantage of GWMA was time to get results (2–4 days) compared with karyotyping (18 days), which could become more significant in the future if faster treatment decisions are required. ESC noted that the speed of </w:t>
      </w:r>
      <w:bookmarkStart w:id="34" w:name="Editing"/>
      <w:bookmarkEnd w:id="34"/>
      <w:r w:rsidRPr="005E4930">
        <w:rPr>
          <w:color w:val="000000"/>
        </w:rPr>
        <w:t>results with GWMA is also an advantage from a consumer perspective.</w:t>
      </w:r>
      <w:r>
        <w:rPr>
          <w:color w:val="000000"/>
        </w:rPr>
        <w:t xml:space="preserve"> In addition, it was discussed at ESC that GWMA is capable of detecting the numerous driver mutations in each disease and </w:t>
      </w:r>
      <w:r w:rsidR="0003383C">
        <w:rPr>
          <w:color w:val="000000"/>
        </w:rPr>
        <w:t>pathogenic variants</w:t>
      </w:r>
      <w:r>
        <w:rPr>
          <w:color w:val="000000"/>
        </w:rPr>
        <w:t xml:space="preserve"> other than </w:t>
      </w:r>
      <w:proofErr w:type="gramStart"/>
      <w:r w:rsidRPr="00B34926">
        <w:rPr>
          <w:i/>
          <w:color w:val="000000"/>
        </w:rPr>
        <w:t>del</w:t>
      </w:r>
      <w:r>
        <w:rPr>
          <w:i/>
          <w:color w:val="000000"/>
        </w:rPr>
        <w:t>(</w:t>
      </w:r>
      <w:proofErr w:type="gramEnd"/>
      <w:r w:rsidRPr="00B34926">
        <w:rPr>
          <w:i/>
          <w:color w:val="000000"/>
        </w:rPr>
        <w:t>17p</w:t>
      </w:r>
      <w:r>
        <w:rPr>
          <w:i/>
          <w:color w:val="000000"/>
        </w:rPr>
        <w:t>)</w:t>
      </w:r>
      <w:r>
        <w:rPr>
          <w:color w:val="000000"/>
        </w:rPr>
        <w:t xml:space="preserve"> which may be predictive for targeted therapy use, or prognostic, in either CLL or MM.</w:t>
      </w:r>
    </w:p>
    <w:p w14:paraId="5335E88B" w14:textId="7E34F3CA" w:rsidR="00146D2B" w:rsidRPr="005E4930" w:rsidRDefault="00146D2B" w:rsidP="00146D2B">
      <w:pPr>
        <w:spacing w:after="240"/>
        <w:rPr>
          <w:color w:val="000000"/>
        </w:rPr>
      </w:pPr>
      <w:r>
        <w:rPr>
          <w:color w:val="000000"/>
        </w:rPr>
        <w:t xml:space="preserve">ESC noted there are </w:t>
      </w:r>
      <w:r w:rsidR="0003383C">
        <w:rPr>
          <w:color w:val="000000"/>
        </w:rPr>
        <w:t xml:space="preserve">pathogenic variants which are </w:t>
      </w:r>
      <w:r w:rsidR="003C6F7D">
        <w:rPr>
          <w:color w:val="000000"/>
        </w:rPr>
        <w:t>common</w:t>
      </w:r>
      <w:r>
        <w:rPr>
          <w:color w:val="000000"/>
        </w:rPr>
        <w:t xml:space="preserve"> across CLL</w:t>
      </w:r>
      <w:r w:rsidR="0003383C">
        <w:rPr>
          <w:color w:val="000000"/>
        </w:rPr>
        <w:t>,</w:t>
      </w:r>
      <w:r>
        <w:rPr>
          <w:color w:val="000000"/>
        </w:rPr>
        <w:t xml:space="preserve"> MM and also numerous other B-cell malignancies which may be identified using GWMA.</w:t>
      </w:r>
    </w:p>
    <w:p w14:paraId="5626EC98" w14:textId="77777777" w:rsidR="00146D2B" w:rsidRPr="005E4930" w:rsidRDefault="00146D2B" w:rsidP="00146D2B">
      <w:pPr>
        <w:spacing w:after="240"/>
        <w:rPr>
          <w:color w:val="000000"/>
        </w:rPr>
      </w:pPr>
      <w:r w:rsidRPr="005E4930">
        <w:rPr>
          <w:color w:val="000000"/>
        </w:rPr>
        <w:t>ESC acknowledged that GWMA detects more copy number variations (CNVs) than FISH and karyotyping, but that this information does not necessarily lead to change in treatment</w:t>
      </w:r>
      <w:r>
        <w:rPr>
          <w:color w:val="000000"/>
        </w:rPr>
        <w:t xml:space="preserve"> </w:t>
      </w:r>
      <w:r w:rsidRPr="005E4930">
        <w:rPr>
          <w:color w:val="000000"/>
        </w:rPr>
        <w:t>as many CNVs currently have unknown clinical significance</w:t>
      </w:r>
      <w:r w:rsidRPr="00BD5D8B">
        <w:rPr>
          <w:color w:val="000000"/>
        </w:rPr>
        <w:t xml:space="preserve"> </w:t>
      </w:r>
      <w:r>
        <w:rPr>
          <w:color w:val="000000"/>
        </w:rPr>
        <w:t>or there is no associated targeted therapy which can change patient management</w:t>
      </w:r>
      <w:r w:rsidRPr="005E4930">
        <w:rPr>
          <w:color w:val="000000"/>
        </w:rPr>
        <w:t>.</w:t>
      </w:r>
    </w:p>
    <w:p w14:paraId="2E4F63BA" w14:textId="7096B48C" w:rsidR="00146D2B" w:rsidRPr="005E4930" w:rsidRDefault="00146D2B" w:rsidP="00146D2B">
      <w:pPr>
        <w:spacing w:after="240"/>
        <w:rPr>
          <w:color w:val="000000"/>
        </w:rPr>
      </w:pPr>
      <w:r w:rsidRPr="005E4930">
        <w:rPr>
          <w:color w:val="000000"/>
        </w:rPr>
        <w:t xml:space="preserve">ESC noted the </w:t>
      </w:r>
      <w:r w:rsidR="00B11338" w:rsidRPr="005E4930">
        <w:rPr>
          <w:color w:val="000000"/>
        </w:rPr>
        <w:t>c</w:t>
      </w:r>
      <w:r w:rsidRPr="005E4930">
        <w:rPr>
          <w:color w:val="000000"/>
        </w:rPr>
        <w:t xml:space="preserve">ritique’s comment that the </w:t>
      </w:r>
      <w:r w:rsidR="00B11338">
        <w:rPr>
          <w:szCs w:val="24"/>
        </w:rPr>
        <w:t>assessment report</w:t>
      </w:r>
      <w:r w:rsidRPr="005E4930">
        <w:rPr>
          <w:color w:val="000000"/>
        </w:rPr>
        <w:t xml:space="preserve"> should have addressed the prognostic evidence of GWMA testing in CLL and MM, with a focus on </w:t>
      </w:r>
      <w:proofErr w:type="spellStart"/>
      <w:r w:rsidRPr="005E4930">
        <w:rPr>
          <w:color w:val="000000"/>
        </w:rPr>
        <w:t>cytogenic</w:t>
      </w:r>
      <w:proofErr w:type="spellEnd"/>
      <w:r w:rsidRPr="005E4930">
        <w:rPr>
          <w:color w:val="000000"/>
        </w:rPr>
        <w:t xml:space="preserve"> abnormalities of known clinical significance. </w:t>
      </w:r>
      <w:r>
        <w:rPr>
          <w:color w:val="000000"/>
        </w:rPr>
        <w:t xml:space="preserve">However, </w:t>
      </w:r>
      <w:r w:rsidRPr="005E4930">
        <w:rPr>
          <w:color w:val="000000"/>
        </w:rPr>
        <w:t xml:space="preserve">ESC agreed with the </w:t>
      </w:r>
      <w:r>
        <w:rPr>
          <w:color w:val="000000"/>
        </w:rPr>
        <w:t>pre-ESC response</w:t>
      </w:r>
      <w:r w:rsidRPr="005E4930">
        <w:rPr>
          <w:color w:val="000000"/>
        </w:rPr>
        <w:t xml:space="preserve">, that the impact of known CNVs on patient management and outcome is minimal </w:t>
      </w:r>
      <w:r>
        <w:rPr>
          <w:color w:val="000000"/>
        </w:rPr>
        <w:t xml:space="preserve">at this stage </w:t>
      </w:r>
      <w:r w:rsidRPr="005E4930">
        <w:rPr>
          <w:color w:val="000000"/>
        </w:rPr>
        <w:t xml:space="preserve">and thus not necessary to include (with the exception of </w:t>
      </w:r>
      <w:proofErr w:type="gramStart"/>
      <w:r w:rsidRPr="005E4930">
        <w:rPr>
          <w:i/>
          <w:iCs/>
          <w:color w:val="000000"/>
        </w:rPr>
        <w:t>del</w:t>
      </w:r>
      <w:r>
        <w:rPr>
          <w:i/>
          <w:iCs/>
          <w:color w:val="000000"/>
        </w:rPr>
        <w:t>(</w:t>
      </w:r>
      <w:proofErr w:type="gramEnd"/>
      <w:r w:rsidRPr="005E4930">
        <w:rPr>
          <w:i/>
          <w:iCs/>
          <w:color w:val="000000"/>
        </w:rPr>
        <w:t>17p</w:t>
      </w:r>
      <w:r>
        <w:rPr>
          <w:i/>
          <w:iCs/>
          <w:color w:val="000000"/>
        </w:rPr>
        <w:t>)</w:t>
      </w:r>
      <w:r>
        <w:rPr>
          <w:color w:val="000000"/>
        </w:rPr>
        <w:t xml:space="preserve"> </w:t>
      </w:r>
      <w:r w:rsidRPr="005E4930">
        <w:rPr>
          <w:color w:val="000000"/>
        </w:rPr>
        <w:t>CLL).</w:t>
      </w:r>
    </w:p>
    <w:p w14:paraId="36B1AE9D" w14:textId="77777777" w:rsidR="00146D2B" w:rsidRPr="005E4930" w:rsidRDefault="00146D2B" w:rsidP="00146D2B">
      <w:pPr>
        <w:spacing w:after="240"/>
        <w:rPr>
          <w:color w:val="000000"/>
        </w:rPr>
      </w:pPr>
      <w:r w:rsidRPr="005E4930">
        <w:rPr>
          <w:color w:val="000000"/>
        </w:rPr>
        <w:t>ESC noted that the economic evaluation was a limited cost-minimisation analysis, with only the costs of tests considered. ESC queried whether a cost-effectiveness analysis would have been more appropriate, given the tw</w:t>
      </w:r>
      <w:r>
        <w:rPr>
          <w:color w:val="000000"/>
        </w:rPr>
        <w:t>o tests attract different fees.</w:t>
      </w:r>
    </w:p>
    <w:p w14:paraId="598480EB" w14:textId="77777777" w:rsidR="00146D2B" w:rsidRPr="005E4930" w:rsidRDefault="00146D2B" w:rsidP="00146D2B">
      <w:pPr>
        <w:spacing w:after="240"/>
        <w:rPr>
          <w:color w:val="000000"/>
        </w:rPr>
      </w:pPr>
      <w:r w:rsidRPr="005E4930">
        <w:rPr>
          <w:color w:val="000000"/>
        </w:rPr>
        <w:t xml:space="preserve">ESC queried whether GWMA’s higher </w:t>
      </w:r>
      <w:r>
        <w:rPr>
          <w:color w:val="000000"/>
        </w:rPr>
        <w:t>fee</w:t>
      </w:r>
      <w:r w:rsidRPr="005E4930">
        <w:rPr>
          <w:color w:val="000000"/>
        </w:rPr>
        <w:t xml:space="preserve"> (about $190–$200 more than karyotyping) was justified, as a higher cost </w:t>
      </w:r>
      <w:r>
        <w:rPr>
          <w:color w:val="000000"/>
        </w:rPr>
        <w:t>overall should be supported by superior outcomes at acceptable cost-effectiveness</w:t>
      </w:r>
      <w:r w:rsidRPr="005E4930">
        <w:rPr>
          <w:color w:val="000000"/>
        </w:rPr>
        <w:t xml:space="preserve">. ESC also noted that this cost may not have included the cost of re-biopsy for the comparator. However, ESC did not consider there to be enough evidence to make the claim of superiority, although the </w:t>
      </w:r>
      <w:r>
        <w:rPr>
          <w:color w:val="000000"/>
        </w:rPr>
        <w:t>shorter</w:t>
      </w:r>
      <w:r w:rsidRPr="005E4930">
        <w:rPr>
          <w:color w:val="000000"/>
        </w:rPr>
        <w:t xml:space="preserve"> turnaround time for GWMA results is a major advantage.</w:t>
      </w:r>
    </w:p>
    <w:p w14:paraId="4B52A6F0" w14:textId="77777777" w:rsidR="00146D2B" w:rsidRPr="005E4930" w:rsidRDefault="00146D2B" w:rsidP="00146D2B">
      <w:pPr>
        <w:spacing w:after="240"/>
        <w:rPr>
          <w:color w:val="000000"/>
        </w:rPr>
      </w:pPr>
      <w:r w:rsidRPr="005E4930">
        <w:rPr>
          <w:color w:val="000000"/>
        </w:rPr>
        <w:t>ESC noted the heterogeneity in fees for current similar MBS items</w:t>
      </w:r>
      <w:r>
        <w:rPr>
          <w:color w:val="000000"/>
        </w:rPr>
        <w:t xml:space="preserve"> (e.g. MBS items 73287, 73289 and 73290)</w:t>
      </w:r>
      <w:r w:rsidRPr="005E4930">
        <w:rPr>
          <w:color w:val="000000"/>
        </w:rPr>
        <w:t xml:space="preserve"> and apparent jurisdictional variance in item usage, which could affect the overall financial impact.</w:t>
      </w:r>
    </w:p>
    <w:p w14:paraId="3FEB6291" w14:textId="77777777" w:rsidR="00146D2B" w:rsidRDefault="00146D2B" w:rsidP="00146D2B">
      <w:pPr>
        <w:spacing w:after="240"/>
        <w:rPr>
          <w:color w:val="000000"/>
        </w:rPr>
      </w:pPr>
      <w:r w:rsidRPr="005E4930">
        <w:rPr>
          <w:color w:val="000000"/>
        </w:rPr>
        <w:t xml:space="preserve">ESC noted that the </w:t>
      </w:r>
      <w:r>
        <w:rPr>
          <w:color w:val="000000"/>
        </w:rPr>
        <w:t xml:space="preserve">economic </w:t>
      </w:r>
      <w:r w:rsidRPr="005E4930">
        <w:rPr>
          <w:color w:val="000000"/>
        </w:rPr>
        <w:t>evaluation did not include the cost of failed tests in the comparator</w:t>
      </w:r>
      <w:r>
        <w:rPr>
          <w:color w:val="000000"/>
        </w:rPr>
        <w:t xml:space="preserve"> (favours comparator)</w:t>
      </w:r>
      <w:r w:rsidRPr="005E4930">
        <w:rPr>
          <w:color w:val="000000"/>
        </w:rPr>
        <w:t>, and queried whether this should be factored into the model.</w:t>
      </w:r>
      <w:r>
        <w:rPr>
          <w:color w:val="000000"/>
        </w:rPr>
        <w:t xml:space="preserve"> ESC also queried whether repeat testing (no limit to re-use of the test in the proposed MBS item descriptor) would happen in the event of MBS listing.</w:t>
      </w:r>
    </w:p>
    <w:p w14:paraId="44311C75" w14:textId="01308577" w:rsidR="00146D2B" w:rsidRPr="005E4930" w:rsidRDefault="00146D2B" w:rsidP="00146D2B">
      <w:pPr>
        <w:spacing w:after="240"/>
        <w:rPr>
          <w:color w:val="000000"/>
        </w:rPr>
      </w:pPr>
      <w:r w:rsidRPr="007D2D70">
        <w:rPr>
          <w:color w:val="000000"/>
        </w:rPr>
        <w:t>ESC noted the cost saving for CLL (</w:t>
      </w:r>
      <w:r w:rsidRPr="007D2D70">
        <w:rPr>
          <w:rFonts w:cs="Calibri"/>
          <w:color w:val="000000"/>
        </w:rPr>
        <w:t>-$59.65</w:t>
      </w:r>
      <w:r w:rsidRPr="007D2D70">
        <w:rPr>
          <w:rFonts w:cs="Calibri"/>
          <w:b/>
          <w:color w:val="000000"/>
        </w:rPr>
        <w:t xml:space="preserve">; </w:t>
      </w:r>
      <w:r w:rsidRPr="007D2D70">
        <w:rPr>
          <w:color w:val="000000"/>
        </w:rPr>
        <w:t xml:space="preserve">see Table 7) in the </w:t>
      </w:r>
      <w:r w:rsidR="000B6D56">
        <w:rPr>
          <w:szCs w:val="24"/>
        </w:rPr>
        <w:t>assessment report</w:t>
      </w:r>
      <w:r w:rsidRPr="007D2D70">
        <w:rPr>
          <w:color w:val="000000"/>
        </w:rPr>
        <w:t xml:space="preserve">’s cost-minimisation analysis might not apply if GWMA and FISH </w:t>
      </w:r>
      <w:r w:rsidRPr="007D2D70">
        <w:rPr>
          <w:color w:val="000000"/>
          <w:szCs w:val="24"/>
        </w:rPr>
        <w:t xml:space="preserve">for </w:t>
      </w:r>
      <w:proofErr w:type="gramStart"/>
      <w:r w:rsidRPr="007D2D70">
        <w:rPr>
          <w:i/>
          <w:iCs/>
          <w:color w:val="000000"/>
          <w:szCs w:val="24"/>
        </w:rPr>
        <w:t>del(</w:t>
      </w:r>
      <w:proofErr w:type="gramEnd"/>
      <w:r w:rsidRPr="007D2D70">
        <w:rPr>
          <w:i/>
          <w:iCs/>
          <w:color w:val="000000"/>
          <w:szCs w:val="24"/>
        </w:rPr>
        <w:t>17p)</w:t>
      </w:r>
      <w:r w:rsidRPr="007D2D70">
        <w:rPr>
          <w:color w:val="000000"/>
          <w:szCs w:val="24"/>
        </w:rPr>
        <w:t xml:space="preserve"> </w:t>
      </w:r>
      <w:r>
        <w:rPr>
          <w:color w:val="000000"/>
          <w:szCs w:val="24"/>
        </w:rPr>
        <w:t xml:space="preserve">were used </w:t>
      </w:r>
      <w:r w:rsidRPr="007D2D70">
        <w:rPr>
          <w:color w:val="000000"/>
          <w:szCs w:val="24"/>
        </w:rPr>
        <w:t>as complementary tests in clinical practice.</w:t>
      </w:r>
    </w:p>
    <w:p w14:paraId="23AA8A0B" w14:textId="77777777" w:rsidR="00285394" w:rsidRPr="005E4930" w:rsidRDefault="00285394" w:rsidP="00285394">
      <w:pPr>
        <w:spacing w:after="240"/>
        <w:rPr>
          <w:color w:val="000000"/>
        </w:rPr>
      </w:pPr>
      <w:r w:rsidRPr="005E4930">
        <w:rPr>
          <w:color w:val="000000"/>
        </w:rPr>
        <w:t>ESC noted that many laboratories w</w:t>
      </w:r>
      <w:r>
        <w:rPr>
          <w:color w:val="000000"/>
        </w:rPr>
        <w:t>ould</w:t>
      </w:r>
      <w:r w:rsidRPr="005E4930">
        <w:rPr>
          <w:color w:val="000000"/>
        </w:rPr>
        <w:t xml:space="preserve"> use GWMA rather than karyotyping and FISH given the choice, as GWMA attracts a higher fee and is faster; this must be considered in the budget impacts. Sensitivity analyses show that the model is sensitive to increasing the number of tests per person (e.g. for people who have relapsed) and the higher cost of GWMA, which need to be included in </w:t>
      </w:r>
      <w:r>
        <w:rPr>
          <w:color w:val="000000"/>
        </w:rPr>
        <w:t>the estimates of budget impact.</w:t>
      </w:r>
    </w:p>
    <w:p w14:paraId="2B1D8ECB" w14:textId="77777777" w:rsidR="00146D2B" w:rsidRPr="005E4930" w:rsidRDefault="00146D2B" w:rsidP="00146D2B">
      <w:pPr>
        <w:spacing w:after="240"/>
        <w:rPr>
          <w:color w:val="000000"/>
        </w:rPr>
      </w:pPr>
      <w:r w:rsidRPr="005E4930">
        <w:rPr>
          <w:color w:val="000000"/>
        </w:rPr>
        <w:t>ESC noted the possibility of next-generation sequencing being used in haematological malignancies in the future</w:t>
      </w:r>
      <w:r>
        <w:rPr>
          <w:color w:val="000000"/>
        </w:rPr>
        <w:t xml:space="preserve"> (e.g. NGS endorsed by MM guidelines)</w:t>
      </w:r>
      <w:r w:rsidRPr="005E4930">
        <w:rPr>
          <w:color w:val="000000"/>
        </w:rPr>
        <w:t>, which is more expensive and will have a large impact on budgets.</w:t>
      </w:r>
    </w:p>
    <w:p w14:paraId="036EC351" w14:textId="77777777" w:rsidR="0077195C" w:rsidRPr="00F715D1" w:rsidRDefault="0077195C" w:rsidP="0077195C">
      <w:pPr>
        <w:pStyle w:val="Heading1"/>
      </w:pPr>
      <w:r w:rsidRPr="00F715D1">
        <w:t>Other significant factors</w:t>
      </w:r>
    </w:p>
    <w:p w14:paraId="4B47A489" w14:textId="75BA2BDF" w:rsidR="0077195C" w:rsidRPr="005A4362" w:rsidRDefault="0000506E" w:rsidP="0000506E">
      <w:r>
        <w:t>Nil.</w:t>
      </w:r>
    </w:p>
    <w:p w14:paraId="167FF8C2" w14:textId="77777777" w:rsidR="0077195C" w:rsidRPr="00F715D1" w:rsidRDefault="0077195C" w:rsidP="0077195C">
      <w:pPr>
        <w:pStyle w:val="Heading1"/>
      </w:pPr>
      <w:r w:rsidRPr="00F715D1">
        <w:t>Applicant’s comments on MSAC’s Public Summary Document</w:t>
      </w:r>
    </w:p>
    <w:p w14:paraId="538C776B" w14:textId="79CF99A7" w:rsidR="00271537" w:rsidRDefault="008C6F3F" w:rsidP="008C6F3F">
      <w:pPr>
        <w:spacing w:after="240"/>
        <w:rPr>
          <w:szCs w:val="24"/>
        </w:rPr>
      </w:pPr>
      <w:r w:rsidRPr="008C6F3F">
        <w:rPr>
          <w:szCs w:val="24"/>
        </w:rPr>
        <w:t xml:space="preserve">The College and its Haematology Advisory Committee support the expansion of MBS item number 73292 to allow annual testing using of genome-wide microarray testing (GWMA) for patients with chronic lymphocytic leukaemia (CLL) at </w:t>
      </w:r>
      <w:r w:rsidR="00271537">
        <w:rPr>
          <w:szCs w:val="24"/>
        </w:rPr>
        <w:t xml:space="preserve"> the </w:t>
      </w:r>
      <w:r w:rsidRPr="008C6F3F">
        <w:rPr>
          <w:szCs w:val="24"/>
        </w:rPr>
        <w:t>time of disease progression in an incurable disease. Regarding the question as to whether small lymphocytic lymphoma (SLL) should be included in the submission: clinically SLL and CLL are the same disease</w:t>
      </w:r>
      <w:r w:rsidR="00A753BA">
        <w:rPr>
          <w:szCs w:val="24"/>
        </w:rPr>
        <w:t xml:space="preserve">. </w:t>
      </w:r>
      <w:r w:rsidRPr="008C6F3F">
        <w:rPr>
          <w:szCs w:val="24"/>
        </w:rPr>
        <w:t xml:space="preserve">The ‘once per lifetime’ limitation for patients with </w:t>
      </w:r>
      <w:r w:rsidR="005C38A3">
        <w:rPr>
          <w:szCs w:val="24"/>
        </w:rPr>
        <w:t>multiple myeloma (</w:t>
      </w:r>
      <w:r w:rsidRPr="008C6F3F">
        <w:rPr>
          <w:szCs w:val="24"/>
        </w:rPr>
        <w:t>MM</w:t>
      </w:r>
      <w:r w:rsidR="005C38A3">
        <w:rPr>
          <w:szCs w:val="24"/>
        </w:rPr>
        <w:t>)</w:t>
      </w:r>
      <w:r w:rsidRPr="008C6F3F">
        <w:rPr>
          <w:szCs w:val="24"/>
        </w:rPr>
        <w:t xml:space="preserve">, as opposed to ‘not more than yearly’ for patients with CLL is concerning because </w:t>
      </w:r>
      <w:r w:rsidR="00271537">
        <w:rPr>
          <w:szCs w:val="24"/>
        </w:rPr>
        <w:t xml:space="preserve">of two reasons: </w:t>
      </w:r>
    </w:p>
    <w:p w14:paraId="031582AE" w14:textId="182D299E" w:rsidR="00271537" w:rsidRDefault="00271537" w:rsidP="008C6F3F">
      <w:pPr>
        <w:spacing w:after="240"/>
        <w:rPr>
          <w:szCs w:val="24"/>
        </w:rPr>
      </w:pPr>
      <w:r>
        <w:rPr>
          <w:szCs w:val="24"/>
        </w:rPr>
        <w:t>1) M</w:t>
      </w:r>
      <w:r w:rsidRPr="008C6F3F">
        <w:rPr>
          <w:szCs w:val="24"/>
        </w:rPr>
        <w:t xml:space="preserve">onoclonal </w:t>
      </w:r>
      <w:proofErr w:type="spellStart"/>
      <w:r w:rsidR="008C6F3F" w:rsidRPr="008C6F3F">
        <w:rPr>
          <w:szCs w:val="24"/>
        </w:rPr>
        <w:t>gammopathy</w:t>
      </w:r>
      <w:proofErr w:type="spellEnd"/>
      <w:r w:rsidR="008C6F3F" w:rsidRPr="008C6F3F">
        <w:rPr>
          <w:szCs w:val="24"/>
        </w:rPr>
        <w:t xml:space="preserve"> of undetermined significance (MGUS) and </w:t>
      </w:r>
      <w:proofErr w:type="spellStart"/>
      <w:r w:rsidR="008C6F3F" w:rsidRPr="008C6F3F">
        <w:rPr>
          <w:szCs w:val="24"/>
        </w:rPr>
        <w:t>smoldering</w:t>
      </w:r>
      <w:proofErr w:type="spellEnd"/>
      <w:r w:rsidR="008C6F3F" w:rsidRPr="008C6F3F">
        <w:rPr>
          <w:szCs w:val="24"/>
        </w:rPr>
        <w:t xml:space="preserve"> MM precede progression to MM</w:t>
      </w:r>
      <w:r>
        <w:rPr>
          <w:szCs w:val="24"/>
        </w:rPr>
        <w:t>, and i</w:t>
      </w:r>
      <w:r w:rsidR="008C6F3F" w:rsidRPr="008C6F3F">
        <w:rPr>
          <w:szCs w:val="24"/>
        </w:rPr>
        <w:t>t is not uncom</w:t>
      </w:r>
      <w:bookmarkStart w:id="35" w:name="_GoBack"/>
      <w:bookmarkEnd w:id="35"/>
      <w:r w:rsidR="008C6F3F" w:rsidRPr="008C6F3F">
        <w:rPr>
          <w:szCs w:val="24"/>
        </w:rPr>
        <w:t>mon for laboratories to receive requests for cytogenetics (FISH and karyotype or array) accompanied by a referral with ‘MGUS</w:t>
      </w:r>
      <w:proofErr w:type="gramStart"/>
      <w:r w:rsidR="008C6F3F" w:rsidRPr="008C6F3F">
        <w:rPr>
          <w:szCs w:val="24"/>
        </w:rPr>
        <w:t>, ?</w:t>
      </w:r>
      <w:proofErr w:type="gramEnd"/>
      <w:r w:rsidR="008C6F3F" w:rsidRPr="008C6F3F">
        <w:rPr>
          <w:szCs w:val="24"/>
        </w:rPr>
        <w:t xml:space="preserve">progression MM’. If an SNP array is referred </w:t>
      </w:r>
      <w:proofErr w:type="gramStart"/>
      <w:r w:rsidR="008C6F3F" w:rsidRPr="008C6F3F">
        <w:rPr>
          <w:szCs w:val="24"/>
        </w:rPr>
        <w:t xml:space="preserve">for </w:t>
      </w:r>
      <w:r>
        <w:rPr>
          <w:szCs w:val="24"/>
        </w:rPr>
        <w:t xml:space="preserve"> such</w:t>
      </w:r>
      <w:proofErr w:type="gramEnd"/>
      <w:r>
        <w:rPr>
          <w:szCs w:val="24"/>
        </w:rPr>
        <w:t xml:space="preserve"> a request</w:t>
      </w:r>
      <w:r w:rsidR="008C6F3F" w:rsidRPr="008C6F3F">
        <w:rPr>
          <w:szCs w:val="24"/>
        </w:rPr>
        <w:t xml:space="preserve"> and it returns a normal result, the MBS descriptor would seem to preclude another array test</w:t>
      </w:r>
      <w:r>
        <w:rPr>
          <w:szCs w:val="24"/>
        </w:rPr>
        <w:t xml:space="preserve"> when it is required for</w:t>
      </w:r>
      <w:r w:rsidR="008C6F3F" w:rsidRPr="008C6F3F">
        <w:rPr>
          <w:szCs w:val="24"/>
        </w:rPr>
        <w:t xml:space="preserve"> prognostication </w:t>
      </w:r>
      <w:r>
        <w:rPr>
          <w:szCs w:val="24"/>
        </w:rPr>
        <w:t>at time of diagnosis of</w:t>
      </w:r>
      <w:r w:rsidR="008C6F3F" w:rsidRPr="008C6F3F">
        <w:rPr>
          <w:szCs w:val="24"/>
        </w:rPr>
        <w:t xml:space="preserve"> MM </w:t>
      </w:r>
      <w:r>
        <w:rPr>
          <w:szCs w:val="24"/>
        </w:rPr>
        <w:t>prior to commencement of treatment</w:t>
      </w:r>
      <w:r w:rsidR="008C6F3F" w:rsidRPr="008C6F3F">
        <w:rPr>
          <w:szCs w:val="24"/>
        </w:rPr>
        <w:t xml:space="preserve">. </w:t>
      </w:r>
    </w:p>
    <w:p w14:paraId="4676EDE9" w14:textId="25BD1AF8" w:rsidR="0077195C" w:rsidRDefault="00271537" w:rsidP="008C6F3F">
      <w:pPr>
        <w:spacing w:after="240"/>
        <w:rPr>
          <w:szCs w:val="24"/>
        </w:rPr>
      </w:pPr>
      <w:r>
        <w:rPr>
          <w:szCs w:val="24"/>
        </w:rPr>
        <w:t xml:space="preserve">2) </w:t>
      </w:r>
      <w:r w:rsidR="008C6F3F" w:rsidRPr="008C6F3F">
        <w:rPr>
          <w:szCs w:val="24"/>
        </w:rPr>
        <w:t xml:space="preserve">The College appreciates that there is inadequate evidence at present to support treatment change based on GWMA at disease progression in MM, but given that karyotyping is approved at disease progression and plasma cells have low proliferative index and are known to be difficult to grow in culture, we feel that GWMA should be considered as an alternative to routine karyotyping in these patients. </w:t>
      </w:r>
    </w:p>
    <w:p w14:paraId="193F486F" w14:textId="19356E49" w:rsidR="00B76AF7" w:rsidRPr="008C6F3F" w:rsidRDefault="00B76AF7" w:rsidP="008C6F3F">
      <w:pPr>
        <w:spacing w:after="240"/>
        <w:rPr>
          <w:szCs w:val="24"/>
        </w:rPr>
      </w:pPr>
      <w:r w:rsidRPr="00B76AF7">
        <w:rPr>
          <w:szCs w:val="24"/>
        </w:rPr>
        <w:t>The College would therefore like to seek reimbursement for MM on an annual basis in keeping with the criteria for CLL, noting that both are incurable diseases with recurrent presentations.</w:t>
      </w:r>
    </w:p>
    <w:p w14:paraId="5B91EFC4" w14:textId="77777777" w:rsidR="0077195C" w:rsidRPr="00F715D1" w:rsidRDefault="0077195C" w:rsidP="0077195C">
      <w:pPr>
        <w:pStyle w:val="Heading1"/>
      </w:pPr>
      <w:r w:rsidRPr="00F715D1">
        <w:t>Further information on MSAC</w:t>
      </w:r>
    </w:p>
    <w:p w14:paraId="08A8102B" w14:textId="77777777" w:rsidR="0077195C" w:rsidRPr="00F715D1" w:rsidRDefault="0077195C" w:rsidP="0077195C">
      <w:pPr>
        <w:spacing w:after="240"/>
        <w:rPr>
          <w:szCs w:val="24"/>
        </w:rPr>
      </w:pPr>
      <w:r w:rsidRPr="00F715D1">
        <w:rPr>
          <w:szCs w:val="24"/>
        </w:rPr>
        <w:t xml:space="preserve">MSAC Terms of Reference and other information are available on the MSAC Website: </w:t>
      </w:r>
      <w:r>
        <w:rPr>
          <w:szCs w:val="24"/>
        </w:rPr>
        <w:br/>
      </w:r>
      <w:hyperlink r:id="rId17" w:tooltip="Link to Medical Services Advisory Committee website" w:history="1">
        <w:r w:rsidRPr="00F715D1">
          <w:rPr>
            <w:rStyle w:val="Hyperlink"/>
            <w:szCs w:val="24"/>
          </w:rPr>
          <w:t>visit the MSAC website</w:t>
        </w:r>
      </w:hyperlink>
    </w:p>
    <w:sectPr w:rsidR="0077195C" w:rsidRPr="00F715D1" w:rsidSect="003E798D">
      <w:headerReference w:type="even" r:id="rId18"/>
      <w:headerReference w:type="default" r:id="rId19"/>
      <w:footerReference w:type="even" r:id="rId20"/>
      <w:footerReference w:type="default" r:id="rId21"/>
      <w:headerReference w:type="first" r:id="rId22"/>
      <w:footerReference w:type="first" r:id="rId23"/>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BA8B9A" w16cid:durableId="221C7ECD"/>
  <w16cid:commentId w16cid:paraId="6D01A51F" w16cid:durableId="221C7ECE"/>
  <w16cid:commentId w16cid:paraId="461EF3DC" w16cid:durableId="221C7ECF"/>
  <w16cid:commentId w16cid:paraId="2A26CF1D" w16cid:durableId="221C7ED0"/>
  <w16cid:commentId w16cid:paraId="06687F29" w16cid:durableId="221C7E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A8375" w14:textId="77777777" w:rsidR="006F0E6F" w:rsidRDefault="006F0E6F">
      <w:r>
        <w:separator/>
      </w:r>
    </w:p>
  </w:endnote>
  <w:endnote w:type="continuationSeparator" w:id="0">
    <w:p w14:paraId="0BCA4958" w14:textId="77777777" w:rsidR="006F0E6F" w:rsidRDefault="006F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7E1B0" w14:textId="77777777" w:rsidR="007703F7" w:rsidRDefault="00770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32FBCA9F" w14:textId="133E2A68" w:rsidR="00E1602B" w:rsidRDefault="00E1602B">
        <w:pPr>
          <w:pStyle w:val="Footer"/>
          <w:jc w:val="right"/>
        </w:pPr>
        <w:r>
          <w:fldChar w:fldCharType="begin"/>
        </w:r>
        <w:r>
          <w:instrText xml:space="preserve"> PAGE   \* MERGEFORMAT </w:instrText>
        </w:r>
        <w:r>
          <w:fldChar w:fldCharType="separate"/>
        </w:r>
        <w:r w:rsidR="00A753BA">
          <w:rPr>
            <w:noProof/>
          </w:rPr>
          <w:t>19</w:t>
        </w:r>
        <w:r>
          <w:rPr>
            <w:noProof/>
          </w:rPr>
          <w:fldChar w:fldCharType="end"/>
        </w:r>
      </w:p>
    </w:sdtContent>
  </w:sdt>
  <w:p w14:paraId="0098FF6C" w14:textId="77777777" w:rsidR="00E1602B" w:rsidRDefault="00E16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58DA2" w14:textId="77777777" w:rsidR="007703F7" w:rsidRDefault="0077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1EEF1" w14:textId="77777777" w:rsidR="006F0E6F" w:rsidRDefault="006F0E6F">
      <w:r>
        <w:separator/>
      </w:r>
    </w:p>
  </w:footnote>
  <w:footnote w:type="continuationSeparator" w:id="0">
    <w:p w14:paraId="2E048F77" w14:textId="77777777" w:rsidR="006F0E6F" w:rsidRDefault="006F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69D32" w14:textId="77777777" w:rsidR="007703F7" w:rsidRDefault="00770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8E659" w14:textId="77777777" w:rsidR="007703F7" w:rsidRDefault="00770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285D" w14:textId="77777777" w:rsidR="007703F7" w:rsidRDefault="00770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3588D"/>
    <w:multiLevelType w:val="hybridMultilevel"/>
    <w:tmpl w:val="608C3E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E5111C"/>
    <w:multiLevelType w:val="hybridMultilevel"/>
    <w:tmpl w:val="B9B047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A0MzWyMDWzMDMyMjZX0lEKTi0uzszPAykwrAUAWTfoLiwAAAA="/>
  </w:docVars>
  <w:rsids>
    <w:rsidRoot w:val="0077195C"/>
    <w:rsid w:val="0000506E"/>
    <w:rsid w:val="00007321"/>
    <w:rsid w:val="0003383C"/>
    <w:rsid w:val="0005197E"/>
    <w:rsid w:val="000B6D56"/>
    <w:rsid w:val="000C4498"/>
    <w:rsid w:val="000E436D"/>
    <w:rsid w:val="00132C5F"/>
    <w:rsid w:val="00146D2B"/>
    <w:rsid w:val="00154599"/>
    <w:rsid w:val="00165513"/>
    <w:rsid w:val="0017794F"/>
    <w:rsid w:val="001B2593"/>
    <w:rsid w:val="002033E7"/>
    <w:rsid w:val="00223E1A"/>
    <w:rsid w:val="00233FD2"/>
    <w:rsid w:val="00235709"/>
    <w:rsid w:val="0025272D"/>
    <w:rsid w:val="00260735"/>
    <w:rsid w:val="002626FA"/>
    <w:rsid w:val="00262F57"/>
    <w:rsid w:val="00271537"/>
    <w:rsid w:val="00273704"/>
    <w:rsid w:val="002756D2"/>
    <w:rsid w:val="00280050"/>
    <w:rsid w:val="00285394"/>
    <w:rsid w:val="002C55C1"/>
    <w:rsid w:val="002C5BD6"/>
    <w:rsid w:val="002D7C31"/>
    <w:rsid w:val="00304F82"/>
    <w:rsid w:val="003128FE"/>
    <w:rsid w:val="00333E35"/>
    <w:rsid w:val="003A34AD"/>
    <w:rsid w:val="003A3B89"/>
    <w:rsid w:val="003B7C65"/>
    <w:rsid w:val="003C6F7D"/>
    <w:rsid w:val="003E798D"/>
    <w:rsid w:val="003F5716"/>
    <w:rsid w:val="00407DA5"/>
    <w:rsid w:val="004216C4"/>
    <w:rsid w:val="004276A4"/>
    <w:rsid w:val="004806F3"/>
    <w:rsid w:val="00490211"/>
    <w:rsid w:val="004A61B9"/>
    <w:rsid w:val="004E585A"/>
    <w:rsid w:val="0051105F"/>
    <w:rsid w:val="00514B3F"/>
    <w:rsid w:val="00516999"/>
    <w:rsid w:val="00520BCF"/>
    <w:rsid w:val="005240AF"/>
    <w:rsid w:val="00582721"/>
    <w:rsid w:val="00583FA3"/>
    <w:rsid w:val="00595661"/>
    <w:rsid w:val="005C38A3"/>
    <w:rsid w:val="005C592B"/>
    <w:rsid w:val="006079BB"/>
    <w:rsid w:val="006409B9"/>
    <w:rsid w:val="006426CF"/>
    <w:rsid w:val="006719BB"/>
    <w:rsid w:val="00676137"/>
    <w:rsid w:val="0067733F"/>
    <w:rsid w:val="00690DA1"/>
    <w:rsid w:val="00696AC9"/>
    <w:rsid w:val="006B0A34"/>
    <w:rsid w:val="006E17C7"/>
    <w:rsid w:val="006E79E0"/>
    <w:rsid w:val="006F0E6F"/>
    <w:rsid w:val="00721345"/>
    <w:rsid w:val="00732A99"/>
    <w:rsid w:val="00750470"/>
    <w:rsid w:val="007703F7"/>
    <w:rsid w:val="0077195C"/>
    <w:rsid w:val="00780296"/>
    <w:rsid w:val="0078753E"/>
    <w:rsid w:val="00792A35"/>
    <w:rsid w:val="007A6BF1"/>
    <w:rsid w:val="007D6BE0"/>
    <w:rsid w:val="007E7F6A"/>
    <w:rsid w:val="007F4154"/>
    <w:rsid w:val="00892388"/>
    <w:rsid w:val="008C1AE6"/>
    <w:rsid w:val="008C6F3F"/>
    <w:rsid w:val="008C775D"/>
    <w:rsid w:val="008F096B"/>
    <w:rsid w:val="008F124C"/>
    <w:rsid w:val="00914F45"/>
    <w:rsid w:val="00962C53"/>
    <w:rsid w:val="009634F6"/>
    <w:rsid w:val="0097379A"/>
    <w:rsid w:val="00983A26"/>
    <w:rsid w:val="009A382B"/>
    <w:rsid w:val="009B4496"/>
    <w:rsid w:val="009B65CA"/>
    <w:rsid w:val="009D79A8"/>
    <w:rsid w:val="009F1343"/>
    <w:rsid w:val="00A1771A"/>
    <w:rsid w:val="00A26FA7"/>
    <w:rsid w:val="00A4193A"/>
    <w:rsid w:val="00A72AEB"/>
    <w:rsid w:val="00A753BA"/>
    <w:rsid w:val="00A93CAB"/>
    <w:rsid w:val="00AA2290"/>
    <w:rsid w:val="00AB344F"/>
    <w:rsid w:val="00AE424C"/>
    <w:rsid w:val="00B0557F"/>
    <w:rsid w:val="00B11338"/>
    <w:rsid w:val="00B228FF"/>
    <w:rsid w:val="00B67B76"/>
    <w:rsid w:val="00B76AF7"/>
    <w:rsid w:val="00B9410B"/>
    <w:rsid w:val="00BB6E86"/>
    <w:rsid w:val="00BC36B3"/>
    <w:rsid w:val="00BD6EEA"/>
    <w:rsid w:val="00C17344"/>
    <w:rsid w:val="00C31ADB"/>
    <w:rsid w:val="00C553D3"/>
    <w:rsid w:val="00C57AF3"/>
    <w:rsid w:val="00C7015A"/>
    <w:rsid w:val="00C946E4"/>
    <w:rsid w:val="00CC0A53"/>
    <w:rsid w:val="00D00337"/>
    <w:rsid w:val="00D06A41"/>
    <w:rsid w:val="00D46361"/>
    <w:rsid w:val="00D57D34"/>
    <w:rsid w:val="00D84DEE"/>
    <w:rsid w:val="00D85F47"/>
    <w:rsid w:val="00D967A5"/>
    <w:rsid w:val="00E04704"/>
    <w:rsid w:val="00E1602B"/>
    <w:rsid w:val="00E51356"/>
    <w:rsid w:val="00E63BF3"/>
    <w:rsid w:val="00E836F9"/>
    <w:rsid w:val="00E973EA"/>
    <w:rsid w:val="00EA49B8"/>
    <w:rsid w:val="00EC4084"/>
    <w:rsid w:val="00F14D6C"/>
    <w:rsid w:val="00F37E94"/>
    <w:rsid w:val="00F44253"/>
    <w:rsid w:val="00F978A2"/>
    <w:rsid w:val="00FB46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D485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95C"/>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77195C"/>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rsid w:val="00146D2B"/>
    <w:pPr>
      <w:keepNext/>
      <w:keepLines/>
      <w:spacing w:before="40"/>
      <w:outlineLvl w:val="1"/>
    </w:pPr>
    <w:rPr>
      <w:rFonts w:eastAsiaTheme="majorEastAsia" w:cstheme="majorBidi"/>
      <w:i/>
      <w:szCs w:val="26"/>
    </w:rPr>
  </w:style>
  <w:style w:type="paragraph" w:styleId="Heading3">
    <w:name w:val="heading 3"/>
    <w:basedOn w:val="Normal"/>
    <w:next w:val="Normal"/>
    <w:link w:val="Heading3Char"/>
    <w:uiPriority w:val="9"/>
    <w:semiHidden/>
    <w:unhideWhenUsed/>
    <w:qFormat/>
    <w:rsid w:val="003E798D"/>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iPriority w:val="9"/>
    <w:unhideWhenUsed/>
    <w:qFormat/>
    <w:rsid w:val="00C31AD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7195C"/>
    <w:rPr>
      <w:rFonts w:ascii="Arial" w:eastAsia="Times New Roman" w:hAnsi="Arial"/>
      <w:b/>
      <w:bCs/>
      <w:szCs w:val="28"/>
      <w:lang w:eastAsia="en-AU"/>
    </w:rPr>
  </w:style>
  <w:style w:type="character" w:styleId="Hyperlink">
    <w:name w:val="Hyperlink"/>
    <w:basedOn w:val="DefaultParagraphFont"/>
    <w:uiPriority w:val="99"/>
    <w:rsid w:val="0077195C"/>
    <w:rPr>
      <w:rFonts w:cs="Times New Roman"/>
      <w:color w:val="0000FF"/>
      <w:u w:val="single"/>
    </w:rPr>
  </w:style>
  <w:style w:type="paragraph" w:styleId="ListParagraph">
    <w:name w:val="List Paragraph"/>
    <w:aliases w:val="Styl moj,Akapit z listą1,Akapit z listą11"/>
    <w:basedOn w:val="Normal"/>
    <w:link w:val="ListParagraphChar"/>
    <w:uiPriority w:val="34"/>
    <w:qFormat/>
    <w:rsid w:val="0077195C"/>
    <w:pPr>
      <w:ind w:left="720"/>
      <w:contextualSpacing/>
    </w:pPr>
  </w:style>
  <w:style w:type="paragraph" w:styleId="Footer">
    <w:name w:val="footer"/>
    <w:basedOn w:val="Normal"/>
    <w:link w:val="FooterChar"/>
    <w:uiPriority w:val="99"/>
    <w:rsid w:val="0077195C"/>
    <w:pPr>
      <w:tabs>
        <w:tab w:val="center" w:pos="4513"/>
        <w:tab w:val="right" w:pos="9026"/>
      </w:tabs>
    </w:pPr>
  </w:style>
  <w:style w:type="character" w:customStyle="1" w:styleId="FooterChar">
    <w:name w:val="Footer Char"/>
    <w:basedOn w:val="DefaultParagraphFont"/>
    <w:link w:val="Footer"/>
    <w:uiPriority w:val="99"/>
    <w:rsid w:val="0077195C"/>
    <w:rPr>
      <w:rFonts w:eastAsia="Times New Roman"/>
      <w:szCs w:val="20"/>
      <w:lang w:eastAsia="en-AU"/>
    </w:rPr>
  </w:style>
  <w:style w:type="paragraph" w:customStyle="1" w:styleId="Default">
    <w:name w:val="Default"/>
    <w:rsid w:val="0077195C"/>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77195C"/>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77195C"/>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195C"/>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77195C"/>
    <w:rPr>
      <w:rFonts w:ascii="Arial" w:eastAsia="Times New Roman" w:hAnsi="Arial" w:cs="Arial"/>
      <w:b/>
      <w:bCs/>
      <w:i/>
      <w:color w:val="000080"/>
      <w:sz w:val="28"/>
      <w:szCs w:val="28"/>
      <w:lang w:eastAsia="en-AU"/>
    </w:rPr>
  </w:style>
  <w:style w:type="character" w:customStyle="1" w:styleId="Heading2Char">
    <w:name w:val="Heading 2 Char"/>
    <w:basedOn w:val="DefaultParagraphFont"/>
    <w:link w:val="Heading2"/>
    <w:uiPriority w:val="9"/>
    <w:rsid w:val="00146D2B"/>
    <w:rPr>
      <w:rFonts w:eastAsiaTheme="majorEastAsia" w:cstheme="majorBidi"/>
      <w:i/>
      <w:szCs w:val="26"/>
      <w:lang w:eastAsia="en-AU"/>
    </w:rPr>
  </w:style>
  <w:style w:type="table" w:styleId="TableGrid">
    <w:name w:val="Table Grid"/>
    <w:aliases w:val="Summary box,Table Gridbeth,RTI AMCP Table,new style,ASD Table"/>
    <w:basedOn w:val="TableNormal"/>
    <w:uiPriority w:val="59"/>
    <w:rsid w:val="00C1734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46D2B"/>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3FA3"/>
    <w:rPr>
      <w:sz w:val="16"/>
      <w:szCs w:val="16"/>
    </w:rPr>
  </w:style>
  <w:style w:type="paragraph" w:styleId="CommentText">
    <w:name w:val="annotation text"/>
    <w:basedOn w:val="Normal"/>
    <w:link w:val="CommentTextChar"/>
    <w:uiPriority w:val="99"/>
    <w:semiHidden/>
    <w:unhideWhenUsed/>
    <w:rsid w:val="00583FA3"/>
    <w:rPr>
      <w:sz w:val="20"/>
    </w:rPr>
  </w:style>
  <w:style w:type="character" w:customStyle="1" w:styleId="CommentTextChar">
    <w:name w:val="Comment Text Char"/>
    <w:basedOn w:val="DefaultParagraphFont"/>
    <w:link w:val="CommentText"/>
    <w:uiPriority w:val="99"/>
    <w:semiHidden/>
    <w:rsid w:val="00583FA3"/>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83FA3"/>
    <w:rPr>
      <w:b/>
      <w:bCs/>
    </w:rPr>
  </w:style>
  <w:style w:type="character" w:customStyle="1" w:styleId="CommentSubjectChar">
    <w:name w:val="Comment Subject Char"/>
    <w:basedOn w:val="CommentTextChar"/>
    <w:link w:val="CommentSubject"/>
    <w:uiPriority w:val="99"/>
    <w:semiHidden/>
    <w:rsid w:val="00583FA3"/>
    <w:rPr>
      <w:rFonts w:eastAsia="Times New Roman"/>
      <w:b/>
      <w:bCs/>
      <w:sz w:val="20"/>
      <w:szCs w:val="20"/>
      <w:lang w:eastAsia="en-AU"/>
    </w:rPr>
  </w:style>
  <w:style w:type="paragraph" w:styleId="BalloonText">
    <w:name w:val="Balloon Text"/>
    <w:basedOn w:val="Normal"/>
    <w:link w:val="BalloonTextChar"/>
    <w:uiPriority w:val="99"/>
    <w:semiHidden/>
    <w:unhideWhenUsed/>
    <w:rsid w:val="00583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FA3"/>
    <w:rPr>
      <w:rFonts w:ascii="Segoe UI" w:eastAsia="Times New Roman" w:hAnsi="Segoe UI" w:cs="Segoe UI"/>
      <w:sz w:val="18"/>
      <w:szCs w:val="18"/>
      <w:lang w:eastAsia="en-AU"/>
    </w:rPr>
  </w:style>
  <w:style w:type="paragraph" w:customStyle="1" w:styleId="Tabletext">
    <w:name w:val="Table text"/>
    <w:basedOn w:val="Normal"/>
    <w:link w:val="TabletextChar"/>
    <w:qFormat/>
    <w:rsid w:val="00C31ADB"/>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C31ADB"/>
    <w:rPr>
      <w:rFonts w:ascii="Arial Narrow" w:eastAsia="Times New Roman" w:hAnsi="Arial Narrow"/>
      <w:sz w:val="2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rsid w:val="00C31ADB"/>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C31ADB"/>
    <w:rPr>
      <w:rFonts w:ascii="Arial Narrow" w:eastAsia="Times New Roman" w:hAnsi="Arial Narrow" w:cs="Arial"/>
      <w:b/>
      <w:bCs/>
      <w:iCs/>
      <w:sz w:val="20"/>
      <w:szCs w:val="20"/>
    </w:rPr>
  </w:style>
  <w:style w:type="paragraph" w:customStyle="1" w:styleId="Tablenotes">
    <w:name w:val="Tablenotes"/>
    <w:basedOn w:val="Normal"/>
    <w:link w:val="TablenotesChar"/>
    <w:autoRedefine/>
    <w:qFormat/>
    <w:rsid w:val="00C31ADB"/>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C31ADB"/>
    <w:rPr>
      <w:rFonts w:ascii="Arial Narrow" w:eastAsia="Times New Roman" w:hAnsi="Arial Narrow" w:cs="Arial"/>
      <w:snapToGrid w:val="0"/>
      <w:sz w:val="18"/>
      <w:szCs w:val="20"/>
    </w:rPr>
  </w:style>
  <w:style w:type="character" w:customStyle="1" w:styleId="Heading3Char">
    <w:name w:val="Heading 3 Char"/>
    <w:basedOn w:val="DefaultParagraphFont"/>
    <w:link w:val="Heading3"/>
    <w:uiPriority w:val="9"/>
    <w:semiHidden/>
    <w:rsid w:val="003E798D"/>
    <w:rPr>
      <w:rFonts w:eastAsiaTheme="majorEastAsia" w:cstheme="majorBidi"/>
      <w:u w:val="single"/>
      <w:lang w:eastAsia="en-AU"/>
    </w:rPr>
  </w:style>
  <w:style w:type="character" w:customStyle="1" w:styleId="Heading4Char">
    <w:name w:val="Heading 4 Char"/>
    <w:basedOn w:val="DefaultParagraphFont"/>
    <w:link w:val="Heading4"/>
    <w:uiPriority w:val="9"/>
    <w:rsid w:val="00C31ADB"/>
    <w:rPr>
      <w:rFonts w:asciiTheme="majorHAnsi" w:eastAsiaTheme="majorEastAsia" w:hAnsiTheme="majorHAnsi" w:cstheme="majorBidi"/>
      <w:i/>
      <w:iCs/>
      <w:color w:val="2E74B5" w:themeColor="accent1" w:themeShade="BF"/>
      <w:szCs w:val="20"/>
      <w:lang w:eastAsia="en-AU"/>
    </w:rPr>
  </w:style>
  <w:style w:type="paragraph" w:customStyle="1" w:styleId="Tablecaption">
    <w:name w:val="Table caption"/>
    <w:basedOn w:val="Normal"/>
    <w:link w:val="TablecaptionChar"/>
    <w:qFormat/>
    <w:rsid w:val="00C31ADB"/>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C31ADB"/>
    <w:rPr>
      <w:rFonts w:ascii="Arial Narrow" w:eastAsia="Times New Roman" w:hAnsi="Arial Narrow" w:cs="Arial"/>
      <w:sz w:val="20"/>
      <w:szCs w:val="20"/>
    </w:rPr>
  </w:style>
  <w:style w:type="paragraph" w:customStyle="1" w:styleId="TableText0">
    <w:name w:val="Table Text"/>
    <w:basedOn w:val="Normal"/>
    <w:link w:val="TableTextChar0"/>
    <w:qFormat/>
    <w:rsid w:val="00C31ADB"/>
    <w:pPr>
      <w:keepNext/>
      <w:spacing w:before="40" w:after="40"/>
      <w:jc w:val="both"/>
    </w:pPr>
    <w:rPr>
      <w:rFonts w:ascii="Arial Narrow" w:hAnsi="Arial Narrow" w:cs="Tahoma"/>
      <w:sz w:val="20"/>
      <w:szCs w:val="22"/>
      <w:lang w:eastAsia="en-US"/>
    </w:rPr>
  </w:style>
  <w:style w:type="character" w:customStyle="1" w:styleId="TableTextChar0">
    <w:name w:val="Table Text Char"/>
    <w:link w:val="TableText0"/>
    <w:rsid w:val="00C31ADB"/>
    <w:rPr>
      <w:rFonts w:ascii="Arial Narrow" w:eastAsia="Times New Roman" w:hAnsi="Arial Narrow" w:cs="Tahoma"/>
      <w:sz w:val="20"/>
      <w:szCs w:val="22"/>
    </w:rPr>
  </w:style>
  <w:style w:type="table" w:customStyle="1" w:styleId="TableGrid1">
    <w:name w:val="Table Grid1"/>
    <w:basedOn w:val="TableNormal"/>
    <w:rsid w:val="00C31ADB"/>
    <w:pPr>
      <w:spacing w:before="40" w:after="40" w:line="240" w:lineRule="auto"/>
    </w:pPr>
    <w:rPr>
      <w:rFonts w:ascii="Arial Narrow" w:eastAsia="Times New Roman" w:hAnsi="Arial Narrow"/>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ahoma" w:hAnsi="Tahoma" w:cs="Tahoma" w:hint="default"/>
        <w:b w:val="0"/>
        <w:sz w:val="20"/>
        <w:szCs w:val="20"/>
      </w:rPr>
    </w:tblStylePr>
  </w:style>
  <w:style w:type="paragraph" w:customStyle="1" w:styleId="BoxText">
    <w:name w:val="BoxText"/>
    <w:basedOn w:val="Normal"/>
    <w:qFormat/>
    <w:rsid w:val="009634F6"/>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9634F6"/>
    <w:pPr>
      <w:keepNext/>
      <w:spacing w:before="180"/>
      <w:ind w:left="1080" w:hanging="1080"/>
    </w:pPr>
    <w:rPr>
      <w:b/>
      <w:bCs/>
    </w:rPr>
  </w:style>
  <w:style w:type="paragraph" w:customStyle="1" w:styleId="BoxHeading">
    <w:name w:val="BoxHeading"/>
    <w:basedOn w:val="BoxText"/>
    <w:rsid w:val="009634F6"/>
    <w:pPr>
      <w:keepNext/>
      <w:spacing w:before="120" w:after="60"/>
    </w:pPr>
    <w:rPr>
      <w:b/>
      <w:bCs/>
    </w:rPr>
  </w:style>
  <w:style w:type="paragraph" w:customStyle="1" w:styleId="BulletBeforeDash">
    <w:name w:val="BulletBeforeDash"/>
    <w:basedOn w:val="Normal"/>
    <w:rsid w:val="002C55C1"/>
    <w:pPr>
      <w:numPr>
        <w:numId w:val="4"/>
      </w:numPr>
      <w:ind w:left="720"/>
    </w:pPr>
    <w:rPr>
      <w:color w:val="000000"/>
    </w:rPr>
  </w:style>
  <w:style w:type="paragraph" w:customStyle="1" w:styleId="Bullet">
    <w:name w:val="Bullet"/>
    <w:basedOn w:val="BulletBeforeDash"/>
    <w:qFormat/>
    <w:rsid w:val="002C55C1"/>
    <w:pPr>
      <w:spacing w:after="120"/>
    </w:pPr>
  </w:style>
  <w:style w:type="paragraph" w:customStyle="1" w:styleId="BulletLast">
    <w:name w:val="BulletLast"/>
    <w:basedOn w:val="Bullet"/>
    <w:qFormat/>
    <w:rsid w:val="002C55C1"/>
    <w:pPr>
      <w:spacing w:after="240"/>
    </w:pPr>
  </w:style>
  <w:style w:type="paragraph" w:customStyle="1" w:styleId="NormalBeforeBullet">
    <w:name w:val="NormalBeforeBullet"/>
    <w:basedOn w:val="Normal"/>
    <w:qFormat/>
    <w:rsid w:val="002C55C1"/>
    <w:pPr>
      <w:keepNext/>
      <w:spacing w:after="120"/>
    </w:pPr>
    <w:rPr>
      <w:color w:val="000000"/>
    </w:rPr>
  </w:style>
  <w:style w:type="character" w:customStyle="1" w:styleId="ListParagraphChar">
    <w:name w:val="List Paragraph Char"/>
    <w:aliases w:val="Styl moj Char,Akapit z listą1 Char,Akapit z listą11 Char"/>
    <w:link w:val="ListParagraph"/>
    <w:uiPriority w:val="34"/>
    <w:rsid w:val="002626FA"/>
    <w:rPr>
      <w:rFonts w:eastAsia="Times New Roman"/>
      <w:szCs w:val="20"/>
      <w:lang w:eastAsia="en-AU"/>
    </w:rPr>
  </w:style>
  <w:style w:type="paragraph" w:styleId="Header">
    <w:name w:val="header"/>
    <w:basedOn w:val="Normal"/>
    <w:link w:val="HeaderChar"/>
    <w:uiPriority w:val="99"/>
    <w:unhideWhenUsed/>
    <w:rsid w:val="002C5BD6"/>
    <w:pPr>
      <w:tabs>
        <w:tab w:val="center" w:pos="4513"/>
        <w:tab w:val="right" w:pos="9026"/>
      </w:tabs>
    </w:pPr>
  </w:style>
  <w:style w:type="character" w:customStyle="1" w:styleId="HeaderChar">
    <w:name w:val="Header Char"/>
    <w:basedOn w:val="DefaultParagraphFont"/>
    <w:link w:val="Header"/>
    <w:uiPriority w:val="99"/>
    <w:rsid w:val="002C5BD6"/>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image" Target="media/image6.png"/><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msac.gov.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6584</Words>
  <Characters>37532</Characters>
  <Application>Microsoft Office Word</Application>
  <DocSecurity>0</DocSecurity>
  <Lines>312</Lines>
  <Paragraphs>88</Paragraphs>
  <ScaleCrop>false</ScaleCrop>
  <Company/>
  <LinksUpToDate>false</LinksUpToDate>
  <CharactersWithSpaces>44028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2020-03-31T03:31:00Z</dcterms:created>
  <dcterms:modified xsi:type="dcterms:W3CDTF">2020-03-31T23:32:00Z</dcterms:modified>
</cp:coreProperties>
</file>