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10B72" w14:textId="77777777" w:rsidR="0044715D" w:rsidRPr="007F53B9" w:rsidRDefault="0044715D" w:rsidP="0044715D">
      <w:pPr>
        <w:spacing w:before="120" w:after="120" w:line="312" w:lineRule="auto"/>
        <w:jc w:val="center"/>
      </w:pPr>
      <w:bookmarkStart w:id="0" w:name="_Toc403747457"/>
      <w:bookmarkStart w:id="1" w:name="_Toc412039297"/>
      <w:r w:rsidRPr="007F53B9">
        <w:rPr>
          <w:b/>
          <w:noProof/>
          <w:lang w:eastAsia="en-AU"/>
        </w:rPr>
        <w:drawing>
          <wp:inline distT="0" distB="0" distL="0" distR="0" wp14:anchorId="1468C7F6" wp14:editId="12CBD793">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7B9E160" w14:textId="77777777" w:rsidR="00492F9C" w:rsidRDefault="00492F9C" w:rsidP="00CD4CB9">
      <w:pPr>
        <w:pStyle w:val="Heading10"/>
        <w:spacing w:before="480"/>
        <w:jc w:val="center"/>
        <w:rPr>
          <w:sz w:val="48"/>
          <w:szCs w:val="48"/>
          <w:lang w:val="en-AU"/>
        </w:rPr>
      </w:pPr>
      <w:bookmarkStart w:id="2" w:name="_Hlk515631298"/>
    </w:p>
    <w:p w14:paraId="2EA10F99" w14:textId="56B7796B" w:rsidR="0044715D" w:rsidRPr="007F53B9" w:rsidRDefault="005F4D2F" w:rsidP="00CD4CB9">
      <w:pPr>
        <w:pStyle w:val="Heading10"/>
        <w:spacing w:before="480"/>
        <w:jc w:val="center"/>
        <w:rPr>
          <w:sz w:val="48"/>
          <w:szCs w:val="48"/>
          <w:lang w:val="en-AU"/>
        </w:rPr>
      </w:pPr>
      <w:r w:rsidRPr="007F53B9">
        <w:rPr>
          <w:sz w:val="48"/>
          <w:szCs w:val="48"/>
          <w:lang w:val="en-AU"/>
        </w:rPr>
        <w:t>Application</w:t>
      </w:r>
      <w:bookmarkStart w:id="3" w:name="_GoBack"/>
      <w:bookmarkEnd w:id="3"/>
      <w:r w:rsidRPr="007F53B9">
        <w:rPr>
          <w:sz w:val="48"/>
          <w:szCs w:val="48"/>
          <w:lang w:val="en-AU"/>
        </w:rPr>
        <w:t xml:space="preserve"> </w:t>
      </w:r>
      <w:r w:rsidR="00736C98" w:rsidRPr="007F53B9">
        <w:rPr>
          <w:sz w:val="48"/>
          <w:szCs w:val="48"/>
          <w:lang w:val="en-AU"/>
        </w:rPr>
        <w:t>15</w:t>
      </w:r>
      <w:r w:rsidR="00736C98">
        <w:rPr>
          <w:sz w:val="48"/>
          <w:szCs w:val="48"/>
          <w:lang w:val="en-AU"/>
        </w:rPr>
        <w:t>44</w:t>
      </w:r>
      <w:r w:rsidR="00303C94" w:rsidRPr="007F53B9">
        <w:rPr>
          <w:sz w:val="48"/>
          <w:szCs w:val="48"/>
          <w:lang w:val="en-AU"/>
        </w:rPr>
        <w:t>:</w:t>
      </w:r>
    </w:p>
    <w:p w14:paraId="73E02BBB" w14:textId="77777777" w:rsidR="00F67D54" w:rsidRPr="007F53B9" w:rsidRDefault="009212E5" w:rsidP="00A601AC">
      <w:pPr>
        <w:pStyle w:val="Heading10"/>
        <w:jc w:val="center"/>
        <w:rPr>
          <w:color w:val="4F81BD" w:themeColor="accent1"/>
          <w:sz w:val="48"/>
          <w:szCs w:val="48"/>
          <w:lang w:val="en-AU"/>
        </w:rPr>
      </w:pPr>
      <w:r w:rsidRPr="007F53B9">
        <w:rPr>
          <w:color w:val="4F81BD" w:themeColor="accent1"/>
          <w:sz w:val="48"/>
          <w:szCs w:val="48"/>
          <w:lang w:val="en-AU"/>
        </w:rPr>
        <w:t xml:space="preserve">Genome-wide </w:t>
      </w:r>
      <w:r w:rsidR="00344CB2">
        <w:rPr>
          <w:color w:val="4F81BD" w:themeColor="accent1"/>
          <w:sz w:val="48"/>
          <w:szCs w:val="48"/>
          <w:lang w:val="en-AU"/>
        </w:rPr>
        <w:t>microarray</w:t>
      </w:r>
      <w:r w:rsidRPr="007F53B9">
        <w:rPr>
          <w:color w:val="4F81BD" w:themeColor="accent1"/>
          <w:sz w:val="48"/>
          <w:szCs w:val="48"/>
          <w:lang w:val="en-AU"/>
        </w:rPr>
        <w:t xml:space="preserve"> testing for </w:t>
      </w:r>
      <w:r w:rsidR="00C634D5">
        <w:rPr>
          <w:color w:val="4F81BD" w:themeColor="accent1"/>
          <w:sz w:val="48"/>
          <w:szCs w:val="48"/>
          <w:lang w:val="en-AU"/>
        </w:rPr>
        <w:t>h</w:t>
      </w:r>
      <w:r w:rsidRPr="007F53B9">
        <w:rPr>
          <w:color w:val="4F81BD" w:themeColor="accent1"/>
          <w:sz w:val="48"/>
          <w:szCs w:val="48"/>
          <w:lang w:val="en-AU"/>
        </w:rPr>
        <w:t>aematological malignancies</w:t>
      </w:r>
    </w:p>
    <w:bookmarkEnd w:id="2"/>
    <w:p w14:paraId="79FAAC40" w14:textId="2E42DFCA" w:rsidR="00D46C89" w:rsidRPr="007F53B9" w:rsidRDefault="00537545" w:rsidP="006D25F7">
      <w:pPr>
        <w:pStyle w:val="Heading10"/>
        <w:spacing w:before="600"/>
        <w:jc w:val="center"/>
        <w:rPr>
          <w:sz w:val="72"/>
          <w:szCs w:val="72"/>
          <w:lang w:val="en-AU"/>
        </w:rPr>
      </w:pPr>
      <w:r>
        <w:rPr>
          <w:sz w:val="72"/>
          <w:szCs w:val="72"/>
          <w:lang w:val="en-AU"/>
        </w:rPr>
        <w:t xml:space="preserve">Ratified </w:t>
      </w:r>
      <w:r w:rsidR="00D46C89" w:rsidRPr="007F53B9">
        <w:rPr>
          <w:sz w:val="72"/>
          <w:szCs w:val="72"/>
          <w:lang w:val="en-AU"/>
        </w:rPr>
        <w:t>PICO Confirmation</w:t>
      </w:r>
    </w:p>
    <w:p w14:paraId="1D54A890" w14:textId="77777777" w:rsidR="007E7E23" w:rsidRPr="007F53B9" w:rsidRDefault="007E7E23">
      <w:pPr>
        <w:rPr>
          <w:sz w:val="20"/>
          <w:szCs w:val="20"/>
        </w:rPr>
      </w:pPr>
      <w:r w:rsidRPr="007F53B9">
        <w:rPr>
          <w:sz w:val="20"/>
          <w:szCs w:val="20"/>
        </w:rPr>
        <w:br w:type="page"/>
      </w:r>
    </w:p>
    <w:p w14:paraId="53D3503D" w14:textId="77777777" w:rsidR="002A4909" w:rsidRPr="007F53B9" w:rsidRDefault="0044715D" w:rsidP="00916344">
      <w:pPr>
        <w:pStyle w:val="Heading2"/>
        <w:rPr>
          <w:color w:val="FF0000"/>
          <w:u w:val="none" w:color="FF0000"/>
        </w:rPr>
      </w:pPr>
      <w:r w:rsidRPr="007F53B9">
        <w:rPr>
          <w:color w:val="548DD4"/>
          <w:u w:val="none"/>
        </w:rPr>
        <w:lastRenderedPageBreak/>
        <w:t>Summary of PICO</w:t>
      </w:r>
      <w:r w:rsidR="00A84A56" w:rsidRPr="007F53B9">
        <w:rPr>
          <w:color w:val="548DD4"/>
          <w:u w:val="none"/>
        </w:rPr>
        <w:t>/PPICO</w:t>
      </w:r>
      <w:r w:rsidRPr="007F53B9">
        <w:rPr>
          <w:color w:val="548DD4"/>
          <w:u w:val="none"/>
        </w:rPr>
        <w:t xml:space="preserve"> criteria</w:t>
      </w:r>
      <w:bookmarkEnd w:id="0"/>
      <w:bookmarkEnd w:id="1"/>
      <w:r w:rsidR="00F12E59" w:rsidRPr="007F53B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39167E" w:rsidRPr="007F53B9" w14:paraId="5EEB7BD6" w14:textId="77777777" w:rsidTr="00A73FFC">
        <w:trPr>
          <w:tblHeader/>
        </w:trPr>
        <w:tc>
          <w:tcPr>
            <w:tcW w:w="1005" w:type="pct"/>
            <w:tcBorders>
              <w:top w:val="single" w:sz="8" w:space="0" w:color="auto"/>
              <w:bottom w:val="single" w:sz="8" w:space="0" w:color="auto"/>
              <w:right w:val="single" w:sz="4" w:space="0" w:color="auto"/>
            </w:tcBorders>
            <w:shd w:val="clear" w:color="auto" w:fill="D9D9D9"/>
          </w:tcPr>
          <w:p w14:paraId="6CBA0947" w14:textId="77777777" w:rsidR="0039167E" w:rsidRPr="007F53B9" w:rsidRDefault="0039167E" w:rsidP="00A73FFC">
            <w:pPr>
              <w:spacing w:before="20" w:after="20" w:line="240" w:lineRule="auto"/>
              <w:rPr>
                <w:b/>
              </w:rPr>
            </w:pPr>
            <w:bookmarkStart w:id="4" w:name="_Hlk515631238"/>
            <w:r w:rsidRPr="007F53B9">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3802CFD2" w14:textId="77777777" w:rsidR="0039167E" w:rsidRPr="007F53B9" w:rsidRDefault="0039167E" w:rsidP="00A73FFC">
            <w:pPr>
              <w:spacing w:before="20" w:after="20" w:line="240" w:lineRule="auto"/>
              <w:jc w:val="both"/>
              <w:rPr>
                <w:b/>
              </w:rPr>
            </w:pPr>
            <w:r w:rsidRPr="007F53B9">
              <w:rPr>
                <w:b/>
              </w:rPr>
              <w:t>Description</w:t>
            </w:r>
          </w:p>
        </w:tc>
      </w:tr>
      <w:tr w:rsidR="0039167E" w:rsidRPr="007F53B9" w14:paraId="7F100827" w14:textId="77777777" w:rsidTr="00A73FFC">
        <w:tc>
          <w:tcPr>
            <w:tcW w:w="1005" w:type="pct"/>
            <w:tcBorders>
              <w:top w:val="single" w:sz="8" w:space="0" w:color="auto"/>
              <w:right w:val="single" w:sz="4" w:space="0" w:color="auto"/>
            </w:tcBorders>
          </w:tcPr>
          <w:p w14:paraId="0AFAA4B3" w14:textId="77777777" w:rsidR="0039167E" w:rsidRPr="007F53B9" w:rsidRDefault="0039167E" w:rsidP="00A73FFC">
            <w:pPr>
              <w:spacing w:before="20" w:after="20" w:line="240" w:lineRule="auto"/>
              <w:rPr>
                <w:rFonts w:cs="Arial"/>
              </w:rPr>
            </w:pPr>
            <w:r w:rsidRPr="007F53B9">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4C8D2657" w14:textId="77777777" w:rsidR="000F792E" w:rsidRPr="007F53B9" w:rsidRDefault="000F792E" w:rsidP="000F792E">
            <w:r w:rsidRPr="007F53B9">
              <w:t>Patients with a confirmed clinical diagnosis of:</w:t>
            </w:r>
          </w:p>
          <w:p w14:paraId="5E04C41A" w14:textId="7238CB2F" w:rsidR="000F792E" w:rsidRPr="007F53B9" w:rsidRDefault="00F554EA" w:rsidP="00CB6C65">
            <w:pPr>
              <w:pStyle w:val="ListParagraph"/>
              <w:numPr>
                <w:ilvl w:val="0"/>
                <w:numId w:val="10"/>
              </w:numPr>
            </w:pPr>
            <w:r w:rsidRPr="007F53B9">
              <w:t>chronic lymphocytic leukaemia (CLL)</w:t>
            </w:r>
            <w:r w:rsidR="00BE6E5B">
              <w:t>, or</w:t>
            </w:r>
          </w:p>
          <w:p w14:paraId="77E3F3E1" w14:textId="77777777" w:rsidR="0039167E" w:rsidRPr="007F53B9" w:rsidRDefault="00F554EA" w:rsidP="00A20246">
            <w:pPr>
              <w:pStyle w:val="ListParagraph"/>
              <w:numPr>
                <w:ilvl w:val="0"/>
                <w:numId w:val="10"/>
              </w:numPr>
            </w:pPr>
            <w:r w:rsidRPr="007F53B9">
              <w:t>multiple myeloma (MM)</w:t>
            </w:r>
          </w:p>
        </w:tc>
      </w:tr>
      <w:tr w:rsidR="0039167E" w:rsidRPr="007F53B9" w14:paraId="2F86BAE7" w14:textId="77777777" w:rsidTr="00A73FFC">
        <w:tc>
          <w:tcPr>
            <w:tcW w:w="1005" w:type="pct"/>
            <w:tcBorders>
              <w:top w:val="single" w:sz="8" w:space="0" w:color="auto"/>
              <w:right w:val="single" w:sz="4" w:space="0" w:color="auto"/>
            </w:tcBorders>
          </w:tcPr>
          <w:p w14:paraId="2515C578" w14:textId="77777777" w:rsidR="0039167E" w:rsidRPr="007F53B9" w:rsidRDefault="0039167E" w:rsidP="00356E77">
            <w:pPr>
              <w:spacing w:before="20" w:after="20" w:line="240" w:lineRule="auto"/>
              <w:rPr>
                <w:rFonts w:cs="Arial"/>
              </w:rPr>
            </w:pPr>
            <w:r w:rsidRPr="007F53B9">
              <w:rPr>
                <w:rFonts w:cs="Arial"/>
              </w:rPr>
              <w:t>Prior tests</w:t>
            </w:r>
          </w:p>
        </w:tc>
        <w:tc>
          <w:tcPr>
            <w:tcW w:w="3995" w:type="pct"/>
            <w:tcBorders>
              <w:top w:val="single" w:sz="4" w:space="0" w:color="auto"/>
              <w:left w:val="single" w:sz="4" w:space="0" w:color="auto"/>
              <w:bottom w:val="single" w:sz="4" w:space="0" w:color="auto"/>
              <w:right w:val="single" w:sz="4" w:space="0" w:color="auto"/>
            </w:tcBorders>
          </w:tcPr>
          <w:p w14:paraId="4F454577" w14:textId="77777777" w:rsidR="00546936" w:rsidRPr="007F53B9" w:rsidRDefault="00546936" w:rsidP="00CB6C65">
            <w:pPr>
              <w:rPr>
                <w:rFonts w:cs="Arial"/>
              </w:rPr>
            </w:pPr>
            <w:r w:rsidRPr="00CB6C65">
              <w:rPr>
                <w:rFonts w:cs="Arial"/>
              </w:rPr>
              <w:t>Biopsy/surgical resection sample for tissue</w:t>
            </w:r>
            <w:r>
              <w:rPr>
                <w:rFonts w:cs="Arial"/>
              </w:rPr>
              <w:t>.</w:t>
            </w:r>
            <w:r w:rsidRPr="00CB6C65">
              <w:rPr>
                <w:rFonts w:cs="Arial"/>
              </w:rPr>
              <w:t xml:space="preserve"> </w:t>
            </w:r>
            <w:r>
              <w:rPr>
                <w:rFonts w:cs="Arial"/>
              </w:rPr>
              <w:t>P</w:t>
            </w:r>
            <w:r w:rsidRPr="00CB6C65">
              <w:rPr>
                <w:rFonts w:cs="Arial"/>
              </w:rPr>
              <w:t>athological or haematological investigation of cancer cells</w:t>
            </w:r>
            <w:r>
              <w:rPr>
                <w:rFonts w:cs="Arial"/>
              </w:rPr>
              <w:t xml:space="preserve"> including: complete blood count; bone marrow aspiration </w:t>
            </w:r>
            <w:r w:rsidRPr="007F53B9">
              <w:rPr>
                <w:rFonts w:asciiTheme="minorHAnsi" w:eastAsiaTheme="minorHAnsi" w:hAnsiTheme="minorHAnsi" w:cstheme="minorHAnsi"/>
                <w:bCs/>
                <w:color w:val="330000"/>
                <w:szCs w:val="20"/>
              </w:rPr>
              <w:t>and trephine biopsy</w:t>
            </w:r>
            <w:r>
              <w:rPr>
                <w:rFonts w:cstheme="minorHAnsi"/>
                <w:bCs/>
                <w:color w:val="330000"/>
                <w:szCs w:val="20"/>
              </w:rPr>
              <w:t>;</w:t>
            </w:r>
            <w:r>
              <w:rPr>
                <w:rFonts w:cs="Arial"/>
              </w:rPr>
              <w:t xml:space="preserve"> physical examination by palpation of lymph node zones</w:t>
            </w:r>
            <w:r w:rsidR="00C706B2">
              <w:rPr>
                <w:rFonts w:cs="Arial"/>
              </w:rPr>
              <w:t xml:space="preserve"> (in CLL)</w:t>
            </w:r>
            <w:r>
              <w:rPr>
                <w:rFonts w:cs="Arial"/>
              </w:rPr>
              <w:t>, and possible computed tomography</w:t>
            </w:r>
            <w:r w:rsidRPr="00CB6C65">
              <w:rPr>
                <w:rFonts w:cs="Arial"/>
              </w:rPr>
              <w:t>.</w:t>
            </w:r>
          </w:p>
        </w:tc>
      </w:tr>
      <w:tr w:rsidR="0039167E" w:rsidRPr="007F53B9" w14:paraId="40CC9F59" w14:textId="77777777" w:rsidTr="00A73FFC">
        <w:tc>
          <w:tcPr>
            <w:tcW w:w="1005" w:type="pct"/>
            <w:tcBorders>
              <w:right w:val="single" w:sz="4" w:space="0" w:color="auto"/>
            </w:tcBorders>
          </w:tcPr>
          <w:p w14:paraId="5EBCED22" w14:textId="77777777" w:rsidR="0039167E" w:rsidRPr="007F53B9" w:rsidRDefault="0039167E" w:rsidP="00A73FFC">
            <w:pPr>
              <w:spacing w:before="20" w:after="20" w:line="240" w:lineRule="auto"/>
              <w:rPr>
                <w:rFonts w:cs="Arial"/>
              </w:rPr>
            </w:pPr>
            <w:r w:rsidRPr="007F53B9">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10E21A8E" w14:textId="77777777" w:rsidR="002A2B0D" w:rsidRPr="007F53B9" w:rsidRDefault="00CB6C65" w:rsidP="00CB6C65">
            <w:r w:rsidRPr="007F53B9">
              <w:t>G</w:t>
            </w:r>
            <w:r w:rsidR="000F792E" w:rsidRPr="007F53B9">
              <w:t>enome</w:t>
            </w:r>
            <w:r w:rsidR="00454CE3">
              <w:t>-wide</w:t>
            </w:r>
            <w:r w:rsidR="000F792E" w:rsidRPr="007F53B9">
              <w:t xml:space="preserve"> </w:t>
            </w:r>
            <w:r w:rsidR="00344CB2">
              <w:t>microarray</w:t>
            </w:r>
            <w:r w:rsidR="000F792E" w:rsidRPr="007F53B9">
              <w:t xml:space="preserve"> as an</w:t>
            </w:r>
            <w:r w:rsidR="002A2B0D" w:rsidRPr="007F53B9">
              <w:t>:</w:t>
            </w:r>
          </w:p>
          <w:p w14:paraId="4D216DF6" w14:textId="77777777" w:rsidR="002A2B0D" w:rsidRPr="007F53B9" w:rsidRDefault="002A2B0D" w:rsidP="00CB6C65">
            <w:r w:rsidRPr="007F53B9">
              <w:t xml:space="preserve">1. </w:t>
            </w:r>
            <w:r w:rsidR="00454CE3">
              <w:t>adjunct or</w:t>
            </w:r>
          </w:p>
          <w:p w14:paraId="6CD4F51F" w14:textId="055C2F0C" w:rsidR="0039167E" w:rsidRPr="007F53B9" w:rsidRDefault="002A2B0D">
            <w:r w:rsidRPr="007F53B9">
              <w:t xml:space="preserve">2. </w:t>
            </w:r>
            <w:r w:rsidR="000F792E" w:rsidRPr="007F53B9">
              <w:t>alternative testing method to current investigations</w:t>
            </w:r>
            <w:r w:rsidR="00CB6C65" w:rsidRPr="007F53B9">
              <w:t>.</w:t>
            </w:r>
          </w:p>
        </w:tc>
      </w:tr>
      <w:tr w:rsidR="0039167E" w:rsidRPr="007F53B9" w14:paraId="0AFCB0AA" w14:textId="77777777" w:rsidTr="00A73FFC">
        <w:tc>
          <w:tcPr>
            <w:tcW w:w="1005" w:type="pct"/>
            <w:tcBorders>
              <w:right w:val="single" w:sz="4" w:space="0" w:color="auto"/>
            </w:tcBorders>
          </w:tcPr>
          <w:p w14:paraId="0509E131" w14:textId="77777777" w:rsidR="0039167E" w:rsidRPr="007F53B9" w:rsidRDefault="0039167E" w:rsidP="00A73FFC">
            <w:pPr>
              <w:spacing w:before="20" w:after="20" w:line="240" w:lineRule="auto"/>
              <w:rPr>
                <w:rFonts w:cs="Arial"/>
              </w:rPr>
            </w:pPr>
            <w:r w:rsidRPr="007F53B9">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6710CFB1" w14:textId="77777777" w:rsidR="00663C22" w:rsidRPr="007F53B9" w:rsidRDefault="00891FF9" w:rsidP="00A73FFC">
            <w:r w:rsidRPr="007F53B9">
              <w:t>K</w:t>
            </w:r>
            <w:r w:rsidR="00C43445" w:rsidRPr="007F53B9">
              <w:t>aryotyping and fluorescence in situ hybridisation</w:t>
            </w:r>
            <w:r w:rsidR="00310AD4" w:rsidRPr="007F53B9">
              <w:t xml:space="preserve"> (FISH)</w:t>
            </w:r>
            <w:r w:rsidR="00C43445" w:rsidRPr="007F53B9">
              <w:t>.</w:t>
            </w:r>
          </w:p>
        </w:tc>
      </w:tr>
      <w:tr w:rsidR="00546936" w:rsidRPr="007F53B9" w14:paraId="64A44090" w14:textId="77777777" w:rsidTr="00A73FFC">
        <w:tc>
          <w:tcPr>
            <w:tcW w:w="1005" w:type="pct"/>
            <w:tcBorders>
              <w:right w:val="single" w:sz="4" w:space="0" w:color="auto"/>
            </w:tcBorders>
          </w:tcPr>
          <w:p w14:paraId="1B122ACC" w14:textId="77777777" w:rsidR="00546936" w:rsidRPr="007F53B9" w:rsidRDefault="00546936" w:rsidP="00546936">
            <w:pPr>
              <w:spacing w:before="20" w:after="20" w:line="240" w:lineRule="auto"/>
              <w:rPr>
                <w:rFonts w:cs="Arial"/>
              </w:rPr>
            </w:pPr>
            <w:r w:rsidRPr="007F53B9">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2300A110" w14:textId="03BD5589" w:rsidR="00546936" w:rsidRDefault="00B42711" w:rsidP="00B42711">
            <w:pPr>
              <w:pStyle w:val="ListParagraph"/>
              <w:numPr>
                <w:ilvl w:val="0"/>
                <w:numId w:val="8"/>
              </w:numPr>
            </w:pPr>
            <w:r w:rsidRPr="00B42711">
              <w:rPr>
                <w:i/>
                <w:u w:val="single"/>
              </w:rPr>
              <w:t>Effectiveness</w:t>
            </w:r>
            <w:r w:rsidR="00546936">
              <w:t>: impact on clinical management, disease</w:t>
            </w:r>
            <w:r>
              <w:t>-free and/or overall survival</w:t>
            </w:r>
            <w:r w:rsidR="00AE2EAD">
              <w:t>,</w:t>
            </w:r>
            <w:r>
              <w:t xml:space="preserve"> </w:t>
            </w:r>
            <w:r w:rsidR="00546936">
              <w:t xml:space="preserve">disease progression, </w:t>
            </w:r>
            <w:r w:rsidR="00546936" w:rsidRPr="005D6538">
              <w:t>incidence of metastases</w:t>
            </w:r>
            <w:r>
              <w:t>, health-related quality of life</w:t>
            </w:r>
            <w:r w:rsidR="00546936" w:rsidRPr="005D6538">
              <w:t>.</w:t>
            </w:r>
            <w:r w:rsidR="00546936">
              <w:t xml:space="preserve"> </w:t>
            </w:r>
          </w:p>
          <w:p w14:paraId="6A2FAB31" w14:textId="77777777" w:rsidR="00B42711" w:rsidRPr="00CB6C65" w:rsidRDefault="00B42711" w:rsidP="00B42711">
            <w:pPr>
              <w:pStyle w:val="ListParagraph"/>
              <w:numPr>
                <w:ilvl w:val="0"/>
                <w:numId w:val="8"/>
              </w:numPr>
            </w:pPr>
            <w:r w:rsidRPr="00251B3B">
              <w:rPr>
                <w:i/>
                <w:u w:val="single"/>
              </w:rPr>
              <w:t>Safety:</w:t>
            </w:r>
            <w:r w:rsidRPr="00251B3B">
              <w:t xml:space="preserve"> unexpected prognosis</w:t>
            </w:r>
            <w:r>
              <w:t>, adverse events related to chemotherapy or targeted treatment</w:t>
            </w:r>
          </w:p>
          <w:p w14:paraId="41C76279" w14:textId="77777777" w:rsidR="00546936" w:rsidRDefault="00546936" w:rsidP="00546936">
            <w:pPr>
              <w:pStyle w:val="ListParagraph"/>
              <w:numPr>
                <w:ilvl w:val="0"/>
                <w:numId w:val="8"/>
              </w:numPr>
            </w:pPr>
            <w:r>
              <w:rPr>
                <w:i/>
                <w:u w:val="single"/>
              </w:rPr>
              <w:t>Clinical validity</w:t>
            </w:r>
            <w:r w:rsidR="009A582D">
              <w:rPr>
                <w:i/>
                <w:u w:val="single"/>
                <w:vertAlign w:val="superscript"/>
              </w:rPr>
              <w:t>1</w:t>
            </w:r>
            <w:r w:rsidRPr="00C76640">
              <w:t>: Clinical sensitivity and specificity, positive and negative predictive values, prognostic value</w:t>
            </w:r>
          </w:p>
          <w:p w14:paraId="05AE639F" w14:textId="77777777" w:rsidR="00546936" w:rsidRPr="00E91AC5" w:rsidRDefault="00546936" w:rsidP="00546936">
            <w:pPr>
              <w:pStyle w:val="ListParagraph"/>
              <w:numPr>
                <w:ilvl w:val="0"/>
                <w:numId w:val="8"/>
              </w:numPr>
              <w:rPr>
                <w:i/>
                <w:u w:val="single"/>
              </w:rPr>
            </w:pPr>
            <w:r w:rsidRPr="00E91AC5">
              <w:rPr>
                <w:i/>
                <w:u w:val="single"/>
              </w:rPr>
              <w:t>Healthcare resources</w:t>
            </w:r>
            <w:r>
              <w:rPr>
                <w:i/>
                <w:u w:val="single"/>
              </w:rPr>
              <w:t xml:space="preserve">: </w:t>
            </w:r>
            <w:r w:rsidRPr="00251B3B">
              <w:t>cost of genome</w:t>
            </w:r>
            <w:r>
              <w:t>-</w:t>
            </w:r>
            <w:r w:rsidRPr="00251B3B">
              <w:t xml:space="preserve">wide </w:t>
            </w:r>
            <w:r w:rsidR="00344CB2">
              <w:t>microarray</w:t>
            </w:r>
            <w:r w:rsidRPr="00251B3B">
              <w:t>, cost of clinical genetic evaluation</w:t>
            </w:r>
            <w:r>
              <w:t>, cost of treatments</w:t>
            </w:r>
          </w:p>
          <w:p w14:paraId="0E307F11" w14:textId="7A889D5C" w:rsidR="00546936" w:rsidRPr="00E91AC5" w:rsidRDefault="00546936" w:rsidP="00546936">
            <w:pPr>
              <w:pStyle w:val="ListParagraph"/>
              <w:numPr>
                <w:ilvl w:val="0"/>
                <w:numId w:val="8"/>
              </w:numPr>
              <w:rPr>
                <w:i/>
                <w:u w:val="single"/>
              </w:rPr>
            </w:pPr>
            <w:r w:rsidRPr="00E91AC5">
              <w:rPr>
                <w:i/>
                <w:u w:val="single"/>
              </w:rPr>
              <w:t xml:space="preserve">Cost-effectiveness: </w:t>
            </w:r>
            <w:r w:rsidR="008270FD">
              <w:t>Cost per quality-adjusted life year</w:t>
            </w:r>
          </w:p>
          <w:p w14:paraId="75875A68" w14:textId="6F5C3479" w:rsidR="00546936" w:rsidRPr="007F53B9" w:rsidRDefault="00546936" w:rsidP="00C634D5">
            <w:pPr>
              <w:pStyle w:val="ListParagraph"/>
              <w:numPr>
                <w:ilvl w:val="0"/>
                <w:numId w:val="8"/>
              </w:numPr>
              <w:rPr>
                <w:i/>
                <w:u w:val="single"/>
              </w:rPr>
            </w:pPr>
            <w:r w:rsidRPr="00E91AC5">
              <w:rPr>
                <w:i/>
                <w:u w:val="single"/>
              </w:rPr>
              <w:t>Total Australian Government healthcare costs</w:t>
            </w:r>
            <w:r>
              <w:rPr>
                <w:i/>
                <w:u w:val="single"/>
              </w:rPr>
              <w:t xml:space="preserve">: </w:t>
            </w:r>
            <w:r w:rsidRPr="00251B3B">
              <w:t xml:space="preserve">cost of </w:t>
            </w:r>
            <w:r w:rsidR="00896658">
              <w:t>genome-wide</w:t>
            </w:r>
            <w:r w:rsidRPr="00251B3B">
              <w:t xml:space="preserve"> </w:t>
            </w:r>
            <w:r w:rsidR="00344CB2">
              <w:t>microarray</w:t>
            </w:r>
            <w:r w:rsidRPr="00251B3B">
              <w:t xml:space="preserve"> cost</w:t>
            </w:r>
            <w:r>
              <w:t xml:space="preserve"> partially</w:t>
            </w:r>
            <w:r w:rsidRPr="00251B3B">
              <w:t xml:space="preserve"> offset </w:t>
            </w:r>
            <w:r>
              <w:t>b</w:t>
            </w:r>
            <w:r w:rsidRPr="00251B3B">
              <w:t>y</w:t>
            </w:r>
            <w:r>
              <w:t xml:space="preserve"> reduction in use of other tests, change in use of</w:t>
            </w:r>
            <w:r w:rsidR="00C634D5">
              <w:t>, and cost of,</w:t>
            </w:r>
            <w:r>
              <w:t xml:space="preserve"> cancer treatments</w:t>
            </w:r>
          </w:p>
        </w:tc>
      </w:tr>
    </w:tbl>
    <w:p w14:paraId="0C4DCD07" w14:textId="77777777" w:rsidR="00251B3B" w:rsidRPr="007F53B9" w:rsidRDefault="00251B3B" w:rsidP="00251B3B">
      <w:pPr>
        <w:rPr>
          <w:rFonts w:cs="Arial"/>
          <w:sz w:val="16"/>
          <w:szCs w:val="16"/>
        </w:rPr>
      </w:pPr>
      <w:bookmarkStart w:id="5" w:name="_Hlk515631251"/>
      <w:bookmarkEnd w:id="4"/>
      <w:r w:rsidRPr="007F53B9">
        <w:rPr>
          <w:rFonts w:cs="Arial"/>
          <w:sz w:val="16"/>
          <w:szCs w:val="16"/>
        </w:rPr>
        <w:t>Abbreviations:</w:t>
      </w:r>
      <w:r w:rsidR="00C706B2">
        <w:rPr>
          <w:rFonts w:cs="Arial"/>
          <w:sz w:val="16"/>
          <w:szCs w:val="16"/>
        </w:rPr>
        <w:t xml:space="preserve"> CLL, chronic lymphocytic leukaemia;</w:t>
      </w:r>
      <w:r w:rsidRPr="007F53B9">
        <w:rPr>
          <w:rFonts w:cs="Arial"/>
          <w:sz w:val="16"/>
          <w:szCs w:val="16"/>
        </w:rPr>
        <w:t xml:space="preserve"> FISH, fluorescence in situ hybridisation;</w:t>
      </w:r>
      <w:r w:rsidR="00C706B2">
        <w:rPr>
          <w:rFonts w:cs="Arial"/>
          <w:sz w:val="16"/>
          <w:szCs w:val="16"/>
        </w:rPr>
        <w:t xml:space="preserve"> MM, multiple myeloma</w:t>
      </w:r>
      <w:r w:rsidRPr="007F53B9">
        <w:rPr>
          <w:rFonts w:cs="Arial"/>
          <w:sz w:val="16"/>
          <w:szCs w:val="16"/>
        </w:rPr>
        <w:t xml:space="preserve"> </w:t>
      </w:r>
    </w:p>
    <w:p w14:paraId="1FBF2A8F" w14:textId="77777777" w:rsidR="00C76640" w:rsidRPr="007F53B9" w:rsidRDefault="00C76640" w:rsidP="00C76640">
      <w:pPr>
        <w:pStyle w:val="ListParagraph"/>
        <w:numPr>
          <w:ilvl w:val="0"/>
          <w:numId w:val="20"/>
        </w:numPr>
        <w:rPr>
          <w:rFonts w:cs="Arial"/>
          <w:sz w:val="16"/>
          <w:szCs w:val="16"/>
        </w:rPr>
      </w:pPr>
      <w:r w:rsidRPr="007F53B9">
        <w:rPr>
          <w:rFonts w:cs="Arial"/>
          <w:sz w:val="16"/>
          <w:szCs w:val="16"/>
        </w:rPr>
        <w:t>Clinical validity: measures the test’s ability to predict the presence or absence of disease, that is, the sensitivity, specificity and positive and negative predictive values, in this case, to accurately predict the risk of distant recurrence.</w:t>
      </w:r>
    </w:p>
    <w:bookmarkEnd w:id="5"/>
    <w:p w14:paraId="03D07F74" w14:textId="77777777" w:rsidR="007F4E20" w:rsidRPr="007F53B9" w:rsidRDefault="00F12E59" w:rsidP="00781D1A">
      <w:pPr>
        <w:rPr>
          <w:rFonts w:eastAsia="MS Gothic"/>
          <w:bCs/>
          <w:color w:val="548DD4"/>
          <w:szCs w:val="26"/>
        </w:rPr>
      </w:pPr>
      <w:r w:rsidRPr="007F53B9">
        <w:rPr>
          <w:rFonts w:eastAsia="MS Gothic"/>
          <w:b/>
          <w:bCs/>
          <w:i/>
          <w:color w:val="548DD4"/>
          <w:sz w:val="16"/>
          <w:szCs w:val="16"/>
          <w:u w:val="single"/>
        </w:rPr>
        <w:br w:type="page"/>
      </w:r>
      <w:r w:rsidR="00E364F7" w:rsidRPr="007F53B9">
        <w:rPr>
          <w:rFonts w:eastAsia="MS Gothic"/>
          <w:b/>
          <w:bCs/>
          <w:i/>
          <w:color w:val="548DD4"/>
          <w:szCs w:val="26"/>
          <w:u w:val="single"/>
        </w:rPr>
        <w:lastRenderedPageBreak/>
        <w:t>PICO</w:t>
      </w:r>
      <w:r w:rsidR="00953ED7" w:rsidRPr="007F53B9">
        <w:rPr>
          <w:rFonts w:eastAsia="MS Gothic"/>
          <w:b/>
          <w:bCs/>
          <w:i/>
          <w:color w:val="548DD4"/>
          <w:szCs w:val="26"/>
          <w:u w:val="single"/>
        </w:rPr>
        <w:t xml:space="preserve"> or PPICO</w:t>
      </w:r>
      <w:r w:rsidR="00E364F7" w:rsidRPr="007F53B9">
        <w:rPr>
          <w:rFonts w:eastAsia="MS Gothic"/>
          <w:b/>
          <w:bCs/>
          <w:i/>
          <w:color w:val="548DD4"/>
          <w:szCs w:val="26"/>
          <w:u w:val="single"/>
        </w:rPr>
        <w:t xml:space="preserve"> rationale</w:t>
      </w:r>
      <w:r w:rsidR="006D1643" w:rsidRPr="007F53B9">
        <w:rPr>
          <w:rFonts w:eastAsia="MS Gothic"/>
          <w:b/>
          <w:bCs/>
          <w:i/>
          <w:color w:val="548DD4"/>
          <w:szCs w:val="26"/>
          <w:u w:val="single"/>
        </w:rPr>
        <w:t xml:space="preserve"> for therapeutic </w:t>
      </w:r>
      <w:r w:rsidR="00B45971" w:rsidRPr="007F53B9">
        <w:rPr>
          <w:rFonts w:eastAsia="MS Gothic"/>
          <w:b/>
          <w:bCs/>
          <w:i/>
          <w:color w:val="548DD4"/>
          <w:szCs w:val="26"/>
          <w:u w:val="single"/>
        </w:rPr>
        <w:t xml:space="preserve">and investigative </w:t>
      </w:r>
      <w:r w:rsidR="00BA63AA" w:rsidRPr="007F53B9">
        <w:rPr>
          <w:rFonts w:eastAsia="MS Gothic"/>
          <w:b/>
          <w:bCs/>
          <w:i/>
          <w:color w:val="548DD4"/>
          <w:szCs w:val="26"/>
          <w:u w:val="single"/>
        </w:rPr>
        <w:t>medical services only</w:t>
      </w:r>
    </w:p>
    <w:p w14:paraId="70B62DE6" w14:textId="77777777" w:rsidR="00896845" w:rsidRPr="007F53B9" w:rsidRDefault="00896845">
      <w:pPr>
        <w:rPr>
          <w:b/>
        </w:rPr>
      </w:pPr>
      <w:r w:rsidRPr="007F53B9">
        <w:rPr>
          <w:b/>
        </w:rPr>
        <w:t>Population</w:t>
      </w:r>
    </w:p>
    <w:p w14:paraId="180BC991" w14:textId="3E6EB253" w:rsidR="00892706" w:rsidRDefault="00892706" w:rsidP="00D21490">
      <w:pPr>
        <w:spacing w:after="160"/>
      </w:pPr>
      <w:r>
        <w:t>The proposed population are patients</w:t>
      </w:r>
      <w:r w:rsidRPr="00892706">
        <w:t xml:space="preserve"> </w:t>
      </w:r>
      <w:r>
        <w:t>with confirmed clinical</w:t>
      </w:r>
      <w:r w:rsidR="00906A69">
        <w:t xml:space="preserve"> diagnosis of Chronic L</w:t>
      </w:r>
      <w:r>
        <w:t xml:space="preserve">ymphocytic </w:t>
      </w:r>
      <w:r w:rsidR="00906A69">
        <w:t>L</w:t>
      </w:r>
      <w:r>
        <w:t xml:space="preserve">eukaemia (CLL) or </w:t>
      </w:r>
      <w:r w:rsidR="00906A69">
        <w:t>M</w:t>
      </w:r>
      <w:r>
        <w:t xml:space="preserve">ultiple </w:t>
      </w:r>
      <w:r w:rsidR="00906A69">
        <w:t>M</w:t>
      </w:r>
      <w:r>
        <w:t>yeloma (MM).</w:t>
      </w:r>
    </w:p>
    <w:p w14:paraId="174080A4" w14:textId="3F55EA96" w:rsidR="00357ECA" w:rsidRPr="00A775FD" w:rsidRDefault="00357ECA" w:rsidP="00D21490">
      <w:pPr>
        <w:spacing w:after="160"/>
        <w:rPr>
          <w:u w:val="single"/>
        </w:rPr>
      </w:pPr>
      <w:bookmarkStart w:id="6" w:name="_Hlk515456854"/>
      <w:r w:rsidRPr="00A775FD">
        <w:rPr>
          <w:u w:val="single"/>
        </w:rPr>
        <w:t>Chronic lymphocytic leukaemia</w:t>
      </w:r>
    </w:p>
    <w:p w14:paraId="2093D990" w14:textId="7042D116" w:rsidR="00ED3E3D" w:rsidRDefault="00357ECA" w:rsidP="00D21490">
      <w:pPr>
        <w:spacing w:after="160"/>
      </w:pPr>
      <w:r w:rsidRPr="00A775FD">
        <w:t>CLL</w:t>
      </w:r>
      <w:r>
        <w:t xml:space="preserve"> </w:t>
      </w:r>
      <w:r w:rsidRPr="00A775FD">
        <w:t xml:space="preserve">is a type of slow-growing leukaemia </w:t>
      </w:r>
      <w:r>
        <w:t xml:space="preserve">in the blood </w:t>
      </w:r>
      <w:r w:rsidRPr="00A775FD">
        <w:t>that affects developing B-lymphocytes</w:t>
      </w:r>
      <w:r>
        <w:t>, which are</w:t>
      </w:r>
      <w:r w:rsidRPr="00A775FD">
        <w:t xml:space="preserve"> specialised white blood cells. Under normal conditions they produce immunoglobulins </w:t>
      </w:r>
      <w:r>
        <w:t xml:space="preserve">or </w:t>
      </w:r>
      <w:r w:rsidRPr="00A775FD">
        <w:t xml:space="preserve">antibodies that help protect against infection and disease. In people with CLL, lymphocytes undergo a malignant change and become </w:t>
      </w:r>
      <w:r w:rsidR="00C706B2" w:rsidRPr="00A775FD">
        <w:t>leuk</w:t>
      </w:r>
      <w:r w:rsidR="00C706B2">
        <w:t>e</w:t>
      </w:r>
      <w:r w:rsidR="00C706B2" w:rsidRPr="00A775FD">
        <w:t>mic</w:t>
      </w:r>
      <w:r w:rsidRPr="00A775FD">
        <w:t xml:space="preserve"> cells</w:t>
      </w:r>
      <w:r>
        <w:fldChar w:fldCharType="begin"/>
      </w:r>
      <w:r>
        <w:instrText xml:space="preserve"> ADDIN EN.CITE &lt;EndNote&gt;&lt;Cite&gt;&lt;Author&gt;Leukaemia Foundation&lt;/Author&gt;&lt;Year&gt;Accessed 30 May 2018&lt;/Year&gt;&lt;RecNum&gt;52&lt;/RecNum&gt;&lt;DisplayText&gt;&lt;style face="superscript"&gt;1&lt;/style&gt;&lt;/DisplayText&gt;&lt;record&gt;&lt;rec-number&gt;52&lt;/rec-number&gt;&lt;foreign-keys&gt;&lt;key app="EN" db-id="etetv2xvcdvsviev2ppxs9v2v9wadxdpa59d" timestamp="1527646565"&gt;52&lt;/key&gt;&lt;/foreign-keys&gt;&lt;ref-type name="Generic"&gt;13&lt;/ref-type&gt;&lt;contributors&gt;&lt;authors&gt;&lt;author&gt;Leukaemia Foundation, &lt;/author&gt;&lt;/authors&gt;&lt;/contributors&gt;&lt;titles&gt;&lt;title&gt;Chronic lymphocytic leukaemia (CLL)&lt;/title&gt;&lt;secondary-title&gt;What is chronic lymphocytic leukaemia?&lt;/secondary-title&gt;&lt;/titles&gt;&lt;dates&gt;&lt;year&gt;Accessed 30 May 2018&lt;/year&gt;&lt;/dates&gt;&lt;urls&gt;&lt;related-urls&gt;&lt;url&gt;https://www.leukaemia.org.au/disease-information/leukaemias/chronic-lymphocytic-leukaemia/&lt;/url&gt;&lt;/related-urls&gt;&lt;/urls&gt;&lt;/record&gt;&lt;/Cite&gt;&lt;/EndNote&gt;</w:instrText>
      </w:r>
      <w:r>
        <w:fldChar w:fldCharType="separate"/>
      </w:r>
      <w:r w:rsidRPr="002942EA">
        <w:rPr>
          <w:noProof/>
          <w:vertAlign w:val="superscript"/>
        </w:rPr>
        <w:t>1</w:t>
      </w:r>
      <w:r>
        <w:fldChar w:fldCharType="end"/>
      </w:r>
      <w:r>
        <w:t>, accumulating in parts of the body such as the bone marrow, blood, lymph nodes, spleen or liver. As these cells do not function properly, their presence interferes with normal blood cell production.</w:t>
      </w:r>
    </w:p>
    <w:p w14:paraId="333357DC" w14:textId="77777777" w:rsidR="00357ECA" w:rsidRDefault="00357ECA" w:rsidP="00D21490">
      <w:pPr>
        <w:spacing w:after="160"/>
      </w:pPr>
      <w:r>
        <w:t xml:space="preserve">In Australia there were </w:t>
      </w:r>
      <w:r w:rsidRPr="000C1D7F">
        <w:t>1,</w:t>
      </w:r>
      <w:r>
        <w:t xml:space="preserve">259 new cases of </w:t>
      </w:r>
      <w:r w:rsidRPr="003524C3">
        <w:t>CLL</w:t>
      </w:r>
      <w:r>
        <w:t xml:space="preserve"> in 2013</w:t>
      </w:r>
      <w:r>
        <w:fldChar w:fldCharType="begin"/>
      </w:r>
      <w:r>
        <w:instrText xml:space="preserve"> ADDIN EN.CITE &lt;EndNote&gt;&lt;Cite&gt;&lt;Author&gt;Australian Institute of Health and Welfare AIHW&lt;/Author&gt;&lt;Year&gt;2017&lt;/Year&gt;&lt;RecNum&gt;54&lt;/RecNum&gt;&lt;DisplayText&gt;&lt;style face="superscript"&gt;2&lt;/style&gt;&lt;/DisplayText&gt;&lt;record&gt;&lt;rec-number&gt;54&lt;/rec-number&gt;&lt;foreign-keys&gt;&lt;key app="EN" db-id="etetv2xvcdvsviev2ppxs9v2v9wadxdpa59d" timestamp="1527649583"&gt;54&lt;/key&gt;&lt;/foreign-keys&gt;&lt;ref-type name="Government Document"&gt;46&lt;/ref-type&gt;&lt;contributors&gt;&lt;authors&gt;&lt;author&gt;Australian Institute of Health and Welfare AIHW, &lt;/author&gt;&lt;/authors&gt;&lt;/contributors&gt;&lt;titles&gt;&lt;title&gt;Cancer in Australia 2017&lt;/title&gt;&lt;/titles&gt;&lt;pages&gt;Canberra: AIHW&lt;/pages&gt;&lt;volume&gt;Cancer series no.101.&lt;/volume&gt;&lt;number&gt;Cat. no. CAN 100.&lt;/number&gt;&lt;dates&gt;&lt;year&gt;2017&lt;/year&gt;&lt;/dates&gt;&lt;urls&gt;&lt;/urls&gt;&lt;/record&gt;&lt;/Cite&gt;&lt;/EndNote&gt;</w:instrText>
      </w:r>
      <w:r>
        <w:fldChar w:fldCharType="separate"/>
      </w:r>
      <w:r w:rsidRPr="00357ECA">
        <w:rPr>
          <w:noProof/>
          <w:vertAlign w:val="superscript"/>
        </w:rPr>
        <w:t>2</w:t>
      </w:r>
      <w:r>
        <w:fldChar w:fldCharType="end"/>
      </w:r>
      <w:r>
        <w:t xml:space="preserve">, and it is estimated that this will increase to </w:t>
      </w:r>
      <w:r w:rsidR="00BE0A1B">
        <w:t xml:space="preserve">approximately </w:t>
      </w:r>
      <w:r>
        <w:t>1,451</w:t>
      </w:r>
      <w:r w:rsidR="00BE0A1B">
        <w:t xml:space="preserve"> new</w:t>
      </w:r>
      <w:r>
        <w:t xml:space="preserve"> cases in 2018. The median age at diagnosis is 72 years and life expectancy is 6.5 to over 10 years</w:t>
      </w:r>
      <w:r>
        <w:fldChar w:fldCharType="begin"/>
      </w:r>
      <w:r>
        <w:instrText xml:space="preserve"> ADDIN EN.CITE &lt;EndNote&gt;&lt;Cite&gt;&lt;Author&gt;Eichhorst&lt;/Author&gt;&lt;Year&gt;2015&lt;/Year&gt;&lt;RecNum&gt;67&lt;/RecNum&gt;&lt;DisplayText&gt;&lt;style face="superscript"&gt;3&lt;/style&gt;&lt;/DisplayText&gt;&lt;record&gt;&lt;rec-number&gt;67&lt;/rec-number&gt;&lt;foreign-keys&gt;&lt;key app="EN" db-id="etetv2xvcdvsviev2ppxs9v2v9wadxdpa59d" timestamp="1529551215"&gt;67&lt;/key&gt;&lt;/foreign-keys&gt;&lt;ref-type name="Journal Article"&gt;17&lt;/ref-type&gt;&lt;contributors&gt;&lt;authors&gt;&lt;author&gt;Eichhorst, B&lt;/author&gt;&lt;author&gt;Robak, T&lt;/author&gt;&lt;author&gt;Montserrat, E&lt;/author&gt;&lt;author&gt;Ghia, P&lt;/author&gt;&lt;author&gt;Hillmen, P&lt;/author&gt;&lt;author&gt;Hallek, M&lt;/author&gt;&lt;author&gt;Buske, C&lt;/author&gt;&lt;/authors&gt;&lt;/contributors&gt;&lt;titles&gt;&lt;title&gt;Chronic lymphocytic leukaemia: ESMO Clinical Practice Guidelines for diagnosis, treatment and follow-up&lt;/title&gt;&lt;secondary-title&gt;Annals of Oncology&lt;/secondary-title&gt;&lt;/titles&gt;&lt;periodical&gt;&lt;full-title&gt;Annals of Oncology&lt;/full-title&gt;&lt;/periodical&gt;&lt;pages&gt;v78-v84&lt;/pages&gt;&lt;volume&gt;26&lt;/volume&gt;&lt;number&gt;suppl_5&lt;/number&gt;&lt;dates&gt;&lt;year&gt;2015&lt;/year&gt;&lt;/dates&gt;&lt;isbn&gt;1569-8041&lt;/isbn&gt;&lt;urls&gt;&lt;/urls&gt;&lt;/record&gt;&lt;/Cite&gt;&lt;/EndNote&gt;</w:instrText>
      </w:r>
      <w:r>
        <w:fldChar w:fldCharType="separate"/>
      </w:r>
      <w:r w:rsidRPr="002942EA">
        <w:rPr>
          <w:noProof/>
          <w:vertAlign w:val="superscript"/>
        </w:rPr>
        <w:t>3</w:t>
      </w:r>
      <w:r>
        <w:fldChar w:fldCharType="end"/>
      </w:r>
      <w:r>
        <w:t xml:space="preserve"> depending on severity of disease.</w:t>
      </w:r>
      <w:r w:rsidRPr="000112FD">
        <w:t xml:space="preserve"> </w:t>
      </w:r>
      <w:r>
        <w:t>CLL is twice as likely to occur in men than in women and is very rare in children</w:t>
      </w:r>
      <w:r>
        <w:fldChar w:fldCharType="begin"/>
      </w:r>
      <w:r>
        <w:instrText xml:space="preserve"> ADDIN EN.CITE &lt;EndNote&gt;&lt;Cite&gt;&lt;Author&gt;Cancer Council NSW&lt;/Author&gt;&lt;Year&gt;Accessed 30 May 2018&lt;/Year&gt;&lt;RecNum&gt;53&lt;/RecNum&gt;&lt;DisplayText&gt;&lt;style face="superscript"&gt;4&lt;/style&gt;&lt;/DisplayText&gt;&lt;record&gt;&lt;rec-number&gt;53&lt;/rec-number&gt;&lt;foreign-keys&gt;&lt;key app="EN" db-id="etetv2xvcdvsviev2ppxs9v2v9wadxdpa59d" timestamp="1527648365"&gt;53&lt;/key&gt;&lt;/foreign-keys&gt;&lt;ref-type name="Web Page"&gt;12&lt;/ref-type&gt;&lt;contributors&gt;&lt;authors&gt;&lt;author&gt;Cancer Council NSW, &lt;/author&gt;&lt;/authors&gt;&lt;/contributors&gt;&lt;titles&gt;&lt;title&gt;Chronic lymphocytic leukaemia (CLL)&lt;/title&gt;&lt;secondary-title&gt;Who gets CLL?&lt;/secondary-title&gt;&lt;/titles&gt;&lt;dates&gt;&lt;year&gt;Accessed 30 May 2018&lt;/year&gt;&lt;/dates&gt;&lt;urls&gt;&lt;related-urls&gt;&lt;url&gt;https://www.cancercouncil.com.au/chronic-lymphocytic-leukaemia/&lt;/url&gt;&lt;/related-urls&gt;&lt;/urls&gt;&lt;/record&gt;&lt;/Cite&gt;&lt;/EndNote&gt;</w:instrText>
      </w:r>
      <w:r>
        <w:fldChar w:fldCharType="separate"/>
      </w:r>
      <w:r w:rsidRPr="00357ECA">
        <w:rPr>
          <w:noProof/>
          <w:vertAlign w:val="superscript"/>
        </w:rPr>
        <w:t>4</w:t>
      </w:r>
      <w:r>
        <w:fldChar w:fldCharType="end"/>
      </w:r>
      <w:r>
        <w:t>.</w:t>
      </w:r>
    </w:p>
    <w:p w14:paraId="53BE70F5" w14:textId="46545BF7" w:rsidR="00357ECA" w:rsidRDefault="00357ECA" w:rsidP="00D21490">
      <w:pPr>
        <w:spacing w:after="160"/>
      </w:pPr>
      <w:r>
        <w:t>Treatment for CLL is based on clinical risk staging</w:t>
      </w:r>
      <w:r w:rsidR="00ED3E3D">
        <w:t xml:space="preserve"> which</w:t>
      </w:r>
      <w:r w:rsidR="00ED3E3D" w:rsidRPr="00ED3E3D">
        <w:t xml:space="preserve"> </w:t>
      </w:r>
      <w:r w:rsidR="00ED3E3D">
        <w:t>is determined using the Binet clinical system</w:t>
      </w:r>
      <w:r>
        <w:t>. For patients with inactive disease or in the lowest risk category, observation is recommended. Previous studies have shown that early chemotherapy treatment for these patients does not translate into a survival gain</w:t>
      </w:r>
      <w:r>
        <w:fldChar w:fldCharType="begin"/>
      </w:r>
      <w:r>
        <w:instrText xml:space="preserve"> ADDIN EN.CITE &lt;EndNote&gt;&lt;Cite&gt;&lt;Author&gt;Eichhorst&lt;/Author&gt;&lt;Year&gt;2015&lt;/Year&gt;&lt;RecNum&gt;67&lt;/RecNum&gt;&lt;DisplayText&gt;&lt;style face="superscript"&gt;3&lt;/style&gt;&lt;/DisplayText&gt;&lt;record&gt;&lt;rec-number&gt;67&lt;/rec-number&gt;&lt;foreign-keys&gt;&lt;key app="EN" db-id="etetv2xvcdvsviev2ppxs9v2v9wadxdpa59d" timestamp="1529551215"&gt;67&lt;/key&gt;&lt;/foreign-keys&gt;&lt;ref-type name="Journal Article"&gt;17&lt;/ref-type&gt;&lt;contributors&gt;&lt;authors&gt;&lt;author&gt;Eichhorst, B&lt;/author&gt;&lt;author&gt;Robak, T&lt;/author&gt;&lt;author&gt;Montserrat, E&lt;/author&gt;&lt;author&gt;Ghia, P&lt;/author&gt;&lt;author&gt;Hillmen, P&lt;/author&gt;&lt;author&gt;Hallek, M&lt;/author&gt;&lt;author&gt;Buske, C&lt;/author&gt;&lt;/authors&gt;&lt;/contributors&gt;&lt;titles&gt;&lt;title&gt;Chronic lymphocytic leukaemia: ESMO Clinical Practice Guidelines for diagnosis, treatment and follow-up&lt;/title&gt;&lt;secondary-title&gt;Annals of Oncology&lt;/secondary-title&gt;&lt;/titles&gt;&lt;periodical&gt;&lt;full-title&gt;Annals of Oncology&lt;/full-title&gt;&lt;/periodical&gt;&lt;pages&gt;v78-v84&lt;/pages&gt;&lt;volume&gt;26&lt;/volume&gt;&lt;number&gt;suppl_5&lt;/number&gt;&lt;dates&gt;&lt;year&gt;2015&lt;/year&gt;&lt;/dates&gt;&lt;isbn&gt;1569-8041&lt;/isbn&gt;&lt;urls&gt;&lt;/urls&gt;&lt;/record&gt;&lt;/Cite&gt;&lt;/EndNote&gt;</w:instrText>
      </w:r>
      <w:r>
        <w:fldChar w:fldCharType="separate"/>
      </w:r>
      <w:r w:rsidRPr="002942EA">
        <w:rPr>
          <w:noProof/>
          <w:vertAlign w:val="superscript"/>
        </w:rPr>
        <w:t>3</w:t>
      </w:r>
      <w:r>
        <w:fldChar w:fldCharType="end"/>
      </w:r>
      <w:r>
        <w:t xml:space="preserve">. For patients with either active disease or in the higher risk categories, first-line treatment includes chemotherapy, </w:t>
      </w:r>
      <w:r w:rsidRPr="0059099C">
        <w:t>monoclonal antibodies</w:t>
      </w:r>
      <w:r>
        <w:t xml:space="preserve"> or t</w:t>
      </w:r>
      <w:r w:rsidRPr="0059099C">
        <w:t>yrosine kinase inhibitors</w:t>
      </w:r>
      <w:r>
        <w:t>.</w:t>
      </w:r>
    </w:p>
    <w:p w14:paraId="4C003F45" w14:textId="77777777" w:rsidR="00ED3E3D" w:rsidRDefault="00ED3E3D" w:rsidP="00ED3E3D">
      <w:pPr>
        <w:spacing w:after="160"/>
      </w:pPr>
      <w:r>
        <w:t>For many patients, CLL remains stable for months or years, with little impact on their health. Around 30-50% of people diagnosed with CLL never require treatment for their disease.</w:t>
      </w:r>
    </w:p>
    <w:p w14:paraId="3F483EC4" w14:textId="77777777" w:rsidR="00357ECA" w:rsidRPr="00E364F7" w:rsidRDefault="00357ECA" w:rsidP="00D21490">
      <w:pPr>
        <w:spacing w:after="160"/>
        <w:rPr>
          <w:b/>
        </w:rPr>
      </w:pPr>
      <w:r>
        <w:rPr>
          <w:b/>
        </w:rPr>
        <w:t>Testing prior to treatment</w:t>
      </w:r>
    </w:p>
    <w:p w14:paraId="519CAB8F" w14:textId="6F4ACDD2" w:rsidR="00357ECA" w:rsidRDefault="00AD13E9" w:rsidP="00D21490">
      <w:pPr>
        <w:spacing w:after="160"/>
      </w:pPr>
      <w:r>
        <w:t>Prior tests</w:t>
      </w:r>
      <w:r w:rsidR="00357ECA">
        <w:t xml:space="preserve"> for diagnosis and risk assessment of CLL</w:t>
      </w:r>
      <w:r>
        <w:t xml:space="preserve"> include</w:t>
      </w:r>
      <w:r w:rsidR="00357ECA">
        <w:fldChar w:fldCharType="begin"/>
      </w:r>
      <w:r w:rsidR="00357ECA">
        <w:instrText xml:space="preserve"> ADDIN EN.CITE &lt;EndNote&gt;&lt;Cite&gt;&lt;Author&gt;Eichhorst&lt;/Author&gt;&lt;Year&gt;2015&lt;/Year&gt;&lt;RecNum&gt;67&lt;/RecNum&gt;&lt;DisplayText&gt;&lt;style face="superscript"&gt;3&lt;/style&gt;&lt;/DisplayText&gt;&lt;record&gt;&lt;rec-number&gt;67&lt;/rec-number&gt;&lt;foreign-keys&gt;&lt;key app="EN" db-id="etetv2xvcdvsviev2ppxs9v2v9wadxdpa59d" timestamp="1529551215"&gt;67&lt;/key&gt;&lt;/foreign-keys&gt;&lt;ref-type name="Journal Article"&gt;17&lt;/ref-type&gt;&lt;contributors&gt;&lt;authors&gt;&lt;author&gt;Eichhorst, B&lt;/author&gt;&lt;author&gt;Robak, T&lt;/author&gt;&lt;author&gt;Montserrat, E&lt;/author&gt;&lt;author&gt;Ghia, P&lt;/author&gt;&lt;author&gt;Hillmen, P&lt;/author&gt;&lt;author&gt;Hallek, M&lt;/author&gt;&lt;author&gt;Buske, C&lt;/author&gt;&lt;/authors&gt;&lt;/contributors&gt;&lt;titles&gt;&lt;title&gt;Chronic lymphocytic leukaemia: ESMO Clinical Practice Guidelines for diagnosis, treatment and follow-up&lt;/title&gt;&lt;secondary-title&gt;Annals of Oncology&lt;/secondary-title&gt;&lt;/titles&gt;&lt;periodical&gt;&lt;full-title&gt;Annals of Oncology&lt;/full-title&gt;&lt;/periodical&gt;&lt;pages&gt;v78-v84&lt;/pages&gt;&lt;volume&gt;26&lt;/volume&gt;&lt;number&gt;suppl_5&lt;/number&gt;&lt;dates&gt;&lt;year&gt;2015&lt;/year&gt;&lt;/dates&gt;&lt;isbn&gt;1569-8041&lt;/isbn&gt;&lt;urls&gt;&lt;/urls&gt;&lt;/record&gt;&lt;/Cite&gt;&lt;/EndNote&gt;</w:instrText>
      </w:r>
      <w:r w:rsidR="00357ECA">
        <w:fldChar w:fldCharType="separate"/>
      </w:r>
      <w:r w:rsidR="00357ECA" w:rsidRPr="002942EA">
        <w:rPr>
          <w:noProof/>
          <w:vertAlign w:val="superscript"/>
        </w:rPr>
        <w:t>3</w:t>
      </w:r>
      <w:r w:rsidR="00357ECA">
        <w:fldChar w:fldCharType="end"/>
      </w:r>
      <w:r w:rsidR="00357ECA">
        <w:t>:</w:t>
      </w:r>
      <w:r w:rsidR="000A3F98">
        <w:t xml:space="preserve"> h</w:t>
      </w:r>
      <w:r w:rsidR="00357ECA">
        <w:t>istory and physical examination, including palpation of all lymph node areas</w:t>
      </w:r>
      <w:r w:rsidR="000A3F98">
        <w:t>; c</w:t>
      </w:r>
      <w:r w:rsidR="00357ECA">
        <w:t>omplete blood</w:t>
      </w:r>
      <w:r w:rsidR="009C1B41">
        <w:t xml:space="preserve"> </w:t>
      </w:r>
      <w:r w:rsidR="00357ECA">
        <w:t xml:space="preserve">and differential count </w:t>
      </w:r>
      <w:r w:rsidR="009C1B41">
        <w:t xml:space="preserve">in addition to </w:t>
      </w:r>
      <w:r w:rsidR="00357ECA">
        <w:t>serum chemistry</w:t>
      </w:r>
      <w:r w:rsidR="000A3F98">
        <w:rPr>
          <w:rFonts w:asciiTheme="minorHAnsi" w:hAnsiTheme="minorHAnsi" w:cstheme="minorHAnsi"/>
        </w:rPr>
        <w:t xml:space="preserve">; </w:t>
      </w:r>
      <w:r w:rsidR="000A3F98">
        <w:t>b</w:t>
      </w:r>
      <w:r w:rsidR="00BE0A1B" w:rsidRPr="00F32E0F">
        <w:rPr>
          <w:rFonts w:asciiTheme="minorHAnsi" w:hAnsiTheme="minorHAnsi" w:cstheme="minorHAnsi"/>
        </w:rPr>
        <w:t>one marrow aspirate testing and trephine biopsy (BMAT)</w:t>
      </w:r>
      <w:r w:rsidR="000A3F98">
        <w:t xml:space="preserve">; </w:t>
      </w:r>
      <w:r w:rsidR="00AD2905">
        <w:rPr>
          <w:rFonts w:eastAsiaTheme="minorHAnsi" w:cs="Calibri"/>
          <w:color w:val="000000"/>
          <w:highlight w:val="white"/>
        </w:rPr>
        <w:t>fluorescence in situ hybridisation</w:t>
      </w:r>
      <w:r w:rsidR="00AD2905">
        <w:t xml:space="preserve"> (</w:t>
      </w:r>
      <w:r w:rsidR="00357ECA">
        <w:t>FISH</w:t>
      </w:r>
      <w:r w:rsidR="00AD2905">
        <w:t>)</w:t>
      </w:r>
      <w:r w:rsidR="00357ECA">
        <w:t xml:space="preserve"> </w:t>
      </w:r>
      <w:r w:rsidR="00BE0A1B">
        <w:t xml:space="preserve">testing </w:t>
      </w:r>
      <w:r w:rsidR="00357ECA">
        <w:t>for</w:t>
      </w:r>
      <w:r w:rsidR="00BE0A1B">
        <w:t xml:space="preserve"> the</w:t>
      </w:r>
      <w:r w:rsidR="00357ECA">
        <w:t xml:space="preserve"> detection of del 17p</w:t>
      </w:r>
      <w:r w:rsidR="000A3F98">
        <w:t>; a</w:t>
      </w:r>
      <w:r w:rsidR="00357ECA">
        <w:t>dditional molecular genetic</w:t>
      </w:r>
      <w:r w:rsidR="000A3F98">
        <w:t xml:space="preserve"> testing</w:t>
      </w:r>
      <w:r w:rsidR="00357ECA">
        <w:t xml:space="preserve"> to detect other cytogenetic abnormalities, such as del 11q or trisomy 12, immunoglobulin heavy chain variable mutation status</w:t>
      </w:r>
      <w:r w:rsidR="000A3F98">
        <w:t xml:space="preserve">; </w:t>
      </w:r>
      <w:r w:rsidR="00357ECA">
        <w:t>and</w:t>
      </w:r>
      <w:r w:rsidR="000A3F98">
        <w:t xml:space="preserve"> i</w:t>
      </w:r>
      <w:r w:rsidR="00357ECA">
        <w:t>maging studies by computed tomography</w:t>
      </w:r>
      <w:r w:rsidR="0061322A">
        <w:t xml:space="preserve"> (CT)</w:t>
      </w:r>
      <w:r w:rsidR="00357ECA">
        <w:t>.</w:t>
      </w:r>
    </w:p>
    <w:p w14:paraId="026E7C4C" w14:textId="77777777" w:rsidR="00AD5443" w:rsidRPr="00D21490" w:rsidRDefault="00AD5443" w:rsidP="00D21490">
      <w:pPr>
        <w:autoSpaceDE w:val="0"/>
        <w:autoSpaceDN w:val="0"/>
        <w:adjustRightInd w:val="0"/>
        <w:spacing w:after="160"/>
        <w:rPr>
          <w:rFonts w:eastAsiaTheme="minorHAnsi" w:cs="Calibri"/>
          <w:lang w:val="en"/>
        </w:rPr>
      </w:pPr>
      <w:r>
        <w:rPr>
          <w:rFonts w:eastAsiaTheme="minorHAnsi" w:cs="Calibri"/>
          <w:color w:val="000000"/>
          <w:highlight w:val="white"/>
        </w:rPr>
        <w:t xml:space="preserve">The frequency of cytogenetic abnormalities </w:t>
      </w:r>
      <w:r w:rsidR="00F54707">
        <w:t>which inform prognosis and treatment</w:t>
      </w:r>
      <w:r>
        <w:rPr>
          <w:rFonts w:eastAsiaTheme="minorHAnsi" w:cs="Calibri"/>
          <w:color w:val="000000"/>
          <w:highlight w:val="white"/>
        </w:rPr>
        <w:t xml:space="preserve"> in CLL patients vary when identified using FISH. In CLL, </w:t>
      </w:r>
      <w:r w:rsidR="00F54707">
        <w:rPr>
          <w:rFonts w:eastAsiaTheme="minorHAnsi" w:cs="Calibri"/>
          <w:color w:val="000000"/>
          <w:highlight w:val="white"/>
        </w:rPr>
        <w:t xml:space="preserve">del(17p) has a frequency of 3-8%, del(11q) 5-20%, trisomy 12, 10-20% and </w:t>
      </w:r>
      <w:r>
        <w:rPr>
          <w:rFonts w:eastAsiaTheme="minorHAnsi" w:cs="Calibri"/>
          <w:color w:val="000000"/>
          <w:highlight w:val="white"/>
        </w:rPr>
        <w:t>del(13q)</w:t>
      </w:r>
      <w:r w:rsidR="00F54707">
        <w:rPr>
          <w:rFonts w:eastAsiaTheme="minorHAnsi" w:cs="Calibri"/>
          <w:color w:val="000000"/>
          <w:highlight w:val="white"/>
        </w:rPr>
        <w:t xml:space="preserve"> </w:t>
      </w:r>
      <w:r>
        <w:rPr>
          <w:rFonts w:eastAsiaTheme="minorHAnsi" w:cs="Calibri"/>
          <w:color w:val="000000"/>
          <w:highlight w:val="white"/>
        </w:rPr>
        <w:t>50%</w:t>
      </w:r>
      <w:r w:rsidR="00D21490">
        <w:rPr>
          <w:rFonts w:eastAsiaTheme="minorHAnsi" w:cs="Calibri"/>
          <w:color w:val="000000"/>
          <w:highlight w:val="white"/>
        </w:rPr>
        <w:fldChar w:fldCharType="begin"/>
      </w:r>
      <w:r w:rsidR="00D21490">
        <w:rPr>
          <w:rFonts w:eastAsiaTheme="minorHAnsi" w:cs="Calibri"/>
          <w:color w:val="000000"/>
          <w:highlight w:val="white"/>
        </w:rPr>
        <w:instrText xml:space="preserve"> ADDIN EN.CITE &lt;EndNote&gt;&lt;Cite&gt;&lt;Author&gt;Puiggros&lt;/Author&gt;&lt;Year&gt;2014&lt;/Year&gt;&lt;RecNum&gt;78&lt;/RecNum&gt;&lt;DisplayText&gt;&lt;style face="superscript"&gt;5&lt;/style&gt;&lt;/DisplayText&gt;&lt;record&gt;&lt;rec-number&gt;78&lt;/rec-number&gt;&lt;foreign-keys&gt;&lt;key app="EN" db-id="vepewp0vsd9e2pea20s5svf89az5we2t9d5v" timestamp="1531350994"&gt;78&lt;/key&gt;&lt;/foreign-keys&gt;&lt;ref-type name="Journal Article"&gt;17&lt;/ref-type&gt;&lt;contributors&gt;&lt;authors&gt;&lt;author&gt;Puiggros, Anna&lt;/author&gt;&lt;author&gt;Blanco, Gonzalo&lt;/author&gt;&lt;author&gt;Espinet, Blanca&lt;/author&gt;&lt;/authors&gt;&lt;/contributors&gt;&lt;titles&gt;&lt;title&gt;Genetic abnormalities in chronic lymphocytic leukemia: where we are and where we go&lt;/title&gt;&lt;secondary-title&gt;BioMed research international&lt;/secondary-title&gt;&lt;/titles&gt;&lt;periodical&gt;&lt;full-title&gt;BioMed research international&lt;/full-title&gt;&lt;/periodical&gt;&lt;volume&gt;2014&lt;/volume&gt;&lt;dates&gt;&lt;year&gt;2014&lt;/year&gt;&lt;/dates&gt;&lt;isbn&gt;2314-6133&lt;/isbn&gt;&lt;urls&gt;&lt;/urls&gt;&lt;/record&gt;&lt;/Cite&gt;&lt;/EndNote&gt;</w:instrText>
      </w:r>
      <w:r w:rsidR="00D21490">
        <w:rPr>
          <w:rFonts w:eastAsiaTheme="minorHAnsi" w:cs="Calibri"/>
          <w:color w:val="000000"/>
          <w:highlight w:val="white"/>
        </w:rPr>
        <w:fldChar w:fldCharType="separate"/>
      </w:r>
      <w:r w:rsidR="00D21490" w:rsidRPr="00D21490">
        <w:rPr>
          <w:rFonts w:eastAsiaTheme="minorHAnsi" w:cs="Calibri"/>
          <w:noProof/>
          <w:color w:val="000000"/>
          <w:highlight w:val="white"/>
          <w:vertAlign w:val="superscript"/>
        </w:rPr>
        <w:t>5</w:t>
      </w:r>
      <w:r w:rsidR="00D21490">
        <w:rPr>
          <w:rFonts w:eastAsiaTheme="minorHAnsi" w:cs="Calibri"/>
          <w:color w:val="000000"/>
          <w:highlight w:val="white"/>
        </w:rPr>
        <w:fldChar w:fldCharType="end"/>
      </w:r>
      <w:r w:rsidR="00533AD6">
        <w:rPr>
          <w:rFonts w:eastAsiaTheme="minorHAnsi" w:cs="Calibri"/>
          <w:color w:val="000000"/>
          <w:highlight w:val="white"/>
        </w:rPr>
        <w:t>.</w:t>
      </w:r>
      <w:r>
        <w:rPr>
          <w:rFonts w:eastAsiaTheme="minorHAnsi" w:cs="Calibri"/>
          <w:color w:val="000000"/>
          <w:highlight w:val="white"/>
        </w:rPr>
        <w:t xml:space="preserve"> </w:t>
      </w:r>
    </w:p>
    <w:bookmarkEnd w:id="6"/>
    <w:p w14:paraId="63A31FF0" w14:textId="77777777" w:rsidR="003B0821" w:rsidRPr="007F53B9" w:rsidRDefault="00A73FFC" w:rsidP="00D21490">
      <w:pPr>
        <w:spacing w:after="160"/>
      </w:pPr>
      <w:r w:rsidRPr="007F53B9">
        <w:rPr>
          <w:u w:val="single"/>
        </w:rPr>
        <w:t>Multiple Myeloma</w:t>
      </w:r>
      <w:r w:rsidR="00232320">
        <w:rPr>
          <w:u w:val="single"/>
        </w:rPr>
        <w:t xml:space="preserve"> (MM)</w:t>
      </w:r>
    </w:p>
    <w:p w14:paraId="040D1A1A" w14:textId="1F654064" w:rsidR="0033681D" w:rsidRPr="007F53B9" w:rsidRDefault="0033681D" w:rsidP="00D21490">
      <w:pPr>
        <w:spacing w:after="160"/>
      </w:pPr>
      <w:r w:rsidRPr="007F53B9">
        <w:t>MM is a cancer of the plasma cells in the blood that affects</w:t>
      </w:r>
      <w:r w:rsidR="006B0877" w:rsidRPr="007F53B9">
        <w:t xml:space="preserve"> mature</w:t>
      </w:r>
      <w:r w:rsidRPr="007F53B9">
        <w:t xml:space="preserve"> </w:t>
      </w:r>
      <w:r w:rsidR="006B0877" w:rsidRPr="007F53B9">
        <w:t>lymphocytes which</w:t>
      </w:r>
      <w:r w:rsidRPr="007F53B9">
        <w:t xml:space="preserve"> are specialised white blood cells. Under normal conditions they produce immunoglobulins or antibodies that help protect against infection and disease. In people with </w:t>
      </w:r>
      <w:r w:rsidR="006B0877" w:rsidRPr="007F53B9">
        <w:t>MM</w:t>
      </w:r>
      <w:r w:rsidRPr="007F53B9">
        <w:t xml:space="preserve">, lymphocytes undergo a malignant change and become </w:t>
      </w:r>
      <w:r w:rsidR="006B0877" w:rsidRPr="007F53B9">
        <w:t>myeloma</w:t>
      </w:r>
      <w:r w:rsidRPr="007F53B9">
        <w:t xml:space="preserve"> cells</w:t>
      </w:r>
      <w:r w:rsidR="0065562A" w:rsidRPr="007F53B9">
        <w:fldChar w:fldCharType="begin"/>
      </w:r>
      <w:r w:rsidR="00D21490">
        <w:instrText xml:space="preserve"> ADDIN EN.CITE &lt;EndNote&gt;&lt;Cite&gt;&lt;Author&gt;Foundation&lt;/Author&gt;&lt;RecNum&gt;12&lt;/RecNum&gt;&lt;DisplayText&gt;&lt;style face="superscript"&gt;6&lt;/style&gt;&lt;/DisplayText&gt;&lt;record&gt;&lt;rec-number&gt;12&lt;/rec-number&gt;&lt;foreign-keys&gt;&lt;key app="EN" db-id="vepewp0vsd9e2pea20s5svf89az5we2t9d5v" timestamp="1529548643"&gt;12&lt;/key&gt;&lt;/foreign-keys&gt;&lt;ref-type name="Web Page"&gt;12&lt;/ref-type&gt;&lt;contributors&gt;&lt;authors&gt;&lt;author&gt;Leukaemia Foundation,&lt;/author&gt;&lt;/authors&gt;&lt;/contributors&gt;&lt;titles&gt;&lt;title&gt;What is Myeloma?&lt;/title&gt;&lt;/titles&gt;&lt;number&gt;12 June 2018&lt;/number&gt;&lt;dates&gt;&lt;/dates&gt;&lt;urls&gt;&lt;related-urls&gt;&lt;url&gt;https://www.leukaemia.org.au/disease-information/myeloma/&lt;/url&gt;&lt;/related-urls&gt;&lt;/urls&gt;&lt;/record&gt;&lt;/Cite&gt;&lt;/EndNote&gt;</w:instrText>
      </w:r>
      <w:r w:rsidR="0065562A" w:rsidRPr="007F53B9">
        <w:fldChar w:fldCharType="separate"/>
      </w:r>
      <w:r w:rsidR="00D21490" w:rsidRPr="00D21490">
        <w:rPr>
          <w:noProof/>
          <w:vertAlign w:val="superscript"/>
        </w:rPr>
        <w:t>6</w:t>
      </w:r>
      <w:r w:rsidR="0065562A" w:rsidRPr="007F53B9">
        <w:fldChar w:fldCharType="end"/>
      </w:r>
      <w:r w:rsidR="00947E04">
        <w:t>.</w:t>
      </w:r>
      <w:r w:rsidRPr="007F53B9">
        <w:t xml:space="preserve"> </w:t>
      </w:r>
      <w:r w:rsidR="00AC4E9C" w:rsidRPr="007F53B9">
        <w:rPr>
          <w:rFonts w:eastAsia="Times New Roman"/>
          <w:color w:val="000000"/>
        </w:rPr>
        <w:t xml:space="preserve">MM is an incurable and very heterogenous disease </w:t>
      </w:r>
      <w:r w:rsidR="00AC4E9C" w:rsidRPr="007F53B9">
        <w:rPr>
          <w:rFonts w:eastAsia="Times New Roman"/>
          <w:color w:val="000000"/>
        </w:rPr>
        <w:lastRenderedPageBreak/>
        <w:t>group where some patients have severe disease with rapid progression and short survival, while others are less severely affected</w:t>
      </w:r>
      <w:r w:rsidR="00AC4E9C" w:rsidRPr="007F53B9">
        <w:rPr>
          <w:rFonts w:eastAsia="Times New Roman"/>
          <w:color w:val="000000"/>
        </w:rPr>
        <w:fldChar w:fldCharType="begin"/>
      </w:r>
      <w:r w:rsidR="00D21490">
        <w:rPr>
          <w:rFonts w:eastAsia="Times New Roman"/>
          <w:color w:val="000000"/>
        </w:rPr>
        <w:instrText xml:space="preserve"> ADDIN EN.CITE &lt;EndNote&gt;&lt;Cite&gt;&lt;Author&gt;Kjeldsen&lt;/Author&gt;&lt;Year&gt;2016&lt;/Year&gt;&lt;RecNum&gt;20&lt;/RecNum&gt;&lt;DisplayText&gt;&lt;style face="superscript"&gt;7&lt;/style&gt;&lt;/DisplayText&gt;&lt;record&gt;&lt;rec-number&gt;20&lt;/rec-number&gt;&lt;foreign-keys&gt;&lt;key app="EN" db-id="vepewp0vsd9e2pea20s5svf89az5we2t9d5v" timestamp="1529548644"&gt;20&lt;/key&gt;&lt;/foreign-keys&gt;&lt;ref-type name="Journal Article"&gt;17&lt;/ref-type&gt;&lt;contributors&gt;&lt;authors&gt;&lt;author&gt;Kjeldsen, Eigil&lt;/author&gt;&lt;/authors&gt;&lt;/contributors&gt;&lt;titles&gt;&lt;title&gt;Identification of prognostically relevant chromosomal abnormalities in routine diagnostics of multiple myeloma using genomic profiling&lt;/title&gt;&lt;secondary-title&gt;Cancer Genomics-Proteomics&lt;/secondary-title&gt;&lt;/titles&gt;&lt;periodical&gt;&lt;full-title&gt;Cancer Genomics-Proteomics&lt;/full-title&gt;&lt;/periodical&gt;&lt;pages&gt;91-127&lt;/pages&gt;&lt;volume&gt;13&lt;/volume&gt;&lt;number&gt;2&lt;/number&gt;&lt;dates&gt;&lt;year&gt;2016&lt;/year&gt;&lt;/dates&gt;&lt;isbn&gt;1109-6535&lt;/isbn&gt;&lt;urls&gt;&lt;/urls&gt;&lt;/record&gt;&lt;/Cite&gt;&lt;/EndNote&gt;</w:instrText>
      </w:r>
      <w:r w:rsidR="00AC4E9C" w:rsidRPr="007F53B9">
        <w:rPr>
          <w:rFonts w:eastAsia="Times New Roman"/>
          <w:color w:val="000000"/>
        </w:rPr>
        <w:fldChar w:fldCharType="separate"/>
      </w:r>
      <w:r w:rsidR="00D21490" w:rsidRPr="00D21490">
        <w:rPr>
          <w:rFonts w:eastAsia="Times New Roman"/>
          <w:noProof/>
          <w:color w:val="000000"/>
          <w:vertAlign w:val="superscript"/>
        </w:rPr>
        <w:t>7</w:t>
      </w:r>
      <w:r w:rsidR="00AC4E9C" w:rsidRPr="007F53B9">
        <w:rPr>
          <w:rFonts w:eastAsia="Times New Roman"/>
          <w:color w:val="000000"/>
        </w:rPr>
        <w:fldChar w:fldCharType="end"/>
      </w:r>
      <w:r w:rsidR="00AC4E9C">
        <w:rPr>
          <w:rFonts w:eastAsia="Times New Roman"/>
          <w:color w:val="000000"/>
        </w:rPr>
        <w:t>.</w:t>
      </w:r>
    </w:p>
    <w:p w14:paraId="05AF0EBF" w14:textId="39F300FA" w:rsidR="0033681D" w:rsidRPr="008A05B2" w:rsidRDefault="0033681D" w:rsidP="00D21490">
      <w:pPr>
        <w:spacing w:after="160"/>
        <w:rPr>
          <w:rFonts w:eastAsia="Times New Roman"/>
        </w:rPr>
      </w:pPr>
      <w:r w:rsidRPr="007F53B9">
        <w:t>In Australia there were 1,</w:t>
      </w:r>
      <w:r w:rsidR="006B0877" w:rsidRPr="007F53B9">
        <w:t>637</w:t>
      </w:r>
      <w:r w:rsidRPr="007F53B9">
        <w:t xml:space="preserve"> new cases of </w:t>
      </w:r>
      <w:r w:rsidR="006B0877" w:rsidRPr="007F53B9">
        <w:t>MM</w:t>
      </w:r>
      <w:r w:rsidRPr="007F53B9">
        <w:t xml:space="preserve"> in 2013, and it is estimated this will increase to approx</w:t>
      </w:r>
      <w:r w:rsidRPr="008A05B2">
        <w:t>imately 1,</w:t>
      </w:r>
      <w:r w:rsidR="00807260" w:rsidRPr="008A05B2">
        <w:t>876</w:t>
      </w:r>
      <w:r w:rsidRPr="008A05B2">
        <w:t xml:space="preserve"> new cases </w:t>
      </w:r>
      <w:r w:rsidR="00BE0A1B">
        <w:t>in</w:t>
      </w:r>
      <w:r w:rsidR="00A4237C" w:rsidRPr="008A05B2">
        <w:t xml:space="preserve"> 2018</w:t>
      </w:r>
      <w:r w:rsidR="009A1415" w:rsidRPr="008A05B2">
        <w:fldChar w:fldCharType="begin"/>
      </w:r>
      <w:r w:rsidR="00D21490">
        <w:instrText xml:space="preserve"> ADDIN EN.CITE &lt;EndNote&gt;&lt;Cite&gt;&lt;Author&gt;Foundation&lt;/Author&gt;&lt;RecNum&gt;12&lt;/RecNum&gt;&lt;DisplayText&gt;&lt;style face="superscript"&gt;6&lt;/style&gt;&lt;/DisplayText&gt;&lt;record&gt;&lt;rec-number&gt;12&lt;/rec-number&gt;&lt;foreign-keys&gt;&lt;key app="EN" db-id="vepewp0vsd9e2pea20s5svf89az5we2t9d5v" timestamp="1529548643"&gt;12&lt;/key&gt;&lt;/foreign-keys&gt;&lt;ref-type name="Web Page"&gt;12&lt;/ref-type&gt;&lt;contributors&gt;&lt;authors&gt;&lt;author&gt;Leukaemia Foundation,&lt;/author&gt;&lt;/authors&gt;&lt;/contributors&gt;&lt;titles&gt;&lt;title&gt;What is Myeloma?&lt;/title&gt;&lt;/titles&gt;&lt;number&gt;12 June 2018&lt;/number&gt;&lt;dates&gt;&lt;/dates&gt;&lt;urls&gt;&lt;related-urls&gt;&lt;url&gt;https://www.leukaemia.org.au/disease-information/myeloma/&lt;/url&gt;&lt;/related-urls&gt;&lt;/urls&gt;&lt;/record&gt;&lt;/Cite&gt;&lt;/EndNote&gt;</w:instrText>
      </w:r>
      <w:r w:rsidR="009A1415" w:rsidRPr="008A05B2">
        <w:fldChar w:fldCharType="separate"/>
      </w:r>
      <w:r w:rsidR="00D21490" w:rsidRPr="00D21490">
        <w:rPr>
          <w:noProof/>
          <w:vertAlign w:val="superscript"/>
        </w:rPr>
        <w:t>6</w:t>
      </w:r>
      <w:r w:rsidR="009A1415" w:rsidRPr="008A05B2">
        <w:fldChar w:fldCharType="end"/>
      </w:r>
      <w:r w:rsidR="00947E04">
        <w:t>.</w:t>
      </w:r>
      <w:r w:rsidRPr="008A05B2">
        <w:t xml:space="preserve"> </w:t>
      </w:r>
      <w:r w:rsidR="00ED3E3D" w:rsidRPr="008A05B2">
        <w:t>M</w:t>
      </w:r>
      <w:r w:rsidR="00ED3E3D">
        <w:t xml:space="preserve">M </w:t>
      </w:r>
      <w:r w:rsidR="006B0877" w:rsidRPr="008A05B2">
        <w:rPr>
          <w:rFonts w:eastAsia="Times New Roman"/>
        </w:rPr>
        <w:t>accounts for 15% of blood cancers and 1% of all cancers generally. M</w:t>
      </w:r>
      <w:r w:rsidR="00ED3E3D">
        <w:rPr>
          <w:rFonts w:eastAsia="Times New Roman"/>
        </w:rPr>
        <w:t>M</w:t>
      </w:r>
      <w:r w:rsidR="006B0877" w:rsidRPr="008A05B2">
        <w:rPr>
          <w:rFonts w:eastAsia="Times New Roman"/>
        </w:rPr>
        <w:t xml:space="preserve"> is rare in people under the age of 40</w:t>
      </w:r>
      <w:r w:rsidR="00B433FA" w:rsidRPr="008A05B2">
        <w:rPr>
          <w:rFonts w:eastAsia="Times New Roman"/>
        </w:rPr>
        <w:t>, with the disease</w:t>
      </w:r>
      <w:r w:rsidR="006B0877" w:rsidRPr="008A05B2">
        <w:rPr>
          <w:rFonts w:eastAsia="Times New Roman"/>
        </w:rPr>
        <w:t xml:space="preserve"> often found in people over 60. It is slightly more common in men than in women</w:t>
      </w:r>
      <w:r w:rsidR="009A1415" w:rsidRPr="008A05B2">
        <w:rPr>
          <w:rFonts w:eastAsia="Times New Roman"/>
        </w:rPr>
        <w:fldChar w:fldCharType="begin"/>
      </w:r>
      <w:r w:rsidR="00D21490">
        <w:rPr>
          <w:rFonts w:eastAsia="Times New Roman"/>
        </w:rPr>
        <w:instrText xml:space="preserve"> ADDIN EN.CITE &lt;EndNote&gt;&lt;Cite&gt;&lt;Author&gt;Council&lt;/Author&gt;&lt;Year&gt;2014&lt;/Year&gt;&lt;RecNum&gt;10&lt;/RecNum&gt;&lt;DisplayText&gt;&lt;style face="superscript"&gt;8&lt;/style&gt;&lt;/DisplayText&gt;&lt;record&gt;&lt;rec-number&gt;10&lt;/rec-number&gt;&lt;foreign-keys&gt;&lt;key app="EN" db-id="vepewp0vsd9e2pea20s5svf89az5we2t9d5v" timestamp="1529548643"&gt;10&lt;/key&gt;&lt;/foreign-keys&gt;&lt;ref-type name="Journal Article"&gt;17&lt;/ref-type&gt;&lt;contributors&gt;&lt;authors&gt;&lt;author&gt;Cancer Council,&lt;/author&gt;&lt;/authors&gt;&lt;/contributors&gt;&lt;titles&gt;&lt;title&gt;Understanding Myeloma&lt;/title&gt;&lt;/titles&gt;&lt;dates&gt;&lt;year&gt;2014&lt;/year&gt;&lt;/dates&gt;&lt;urls&gt;&lt;related-urls&gt;&lt;url&gt;https://www.cancercouncil.com.au/myeloma/&lt;/url&gt;&lt;/related-urls&gt;&lt;/urls&gt;&lt;access-date&gt;12 June 2018&lt;/access-date&gt;&lt;/record&gt;&lt;/Cite&gt;&lt;/EndNote&gt;</w:instrText>
      </w:r>
      <w:r w:rsidR="009A1415" w:rsidRPr="008A05B2">
        <w:rPr>
          <w:rFonts w:eastAsia="Times New Roman"/>
        </w:rPr>
        <w:fldChar w:fldCharType="separate"/>
      </w:r>
      <w:r w:rsidR="00D21490" w:rsidRPr="00D21490">
        <w:rPr>
          <w:rFonts w:eastAsia="Times New Roman"/>
          <w:noProof/>
          <w:vertAlign w:val="superscript"/>
        </w:rPr>
        <w:t>8</w:t>
      </w:r>
      <w:r w:rsidR="009A1415" w:rsidRPr="008A05B2">
        <w:rPr>
          <w:rFonts w:eastAsia="Times New Roman"/>
        </w:rPr>
        <w:fldChar w:fldCharType="end"/>
      </w:r>
      <w:r w:rsidR="00947E04">
        <w:rPr>
          <w:rFonts w:eastAsia="Times New Roman"/>
        </w:rPr>
        <w:t>.</w:t>
      </w:r>
      <w:r w:rsidR="00DD1DA6" w:rsidRPr="008A05B2">
        <w:rPr>
          <w:rFonts w:eastAsia="Times New Roman"/>
        </w:rPr>
        <w:t xml:space="preserve"> </w:t>
      </w:r>
    </w:p>
    <w:p w14:paraId="27D56AD0" w14:textId="3A795C6C" w:rsidR="00FE7FE1" w:rsidRDefault="00B071AB" w:rsidP="00D21490">
      <w:pPr>
        <w:spacing w:after="160"/>
        <w:rPr>
          <w:color w:val="000000"/>
          <w:shd w:val="clear" w:color="auto" w:fill="FFFFFF"/>
        </w:rPr>
      </w:pPr>
      <w:r w:rsidRPr="007402A4">
        <w:rPr>
          <w:rFonts w:eastAsiaTheme="minorHAnsi"/>
        </w:rPr>
        <w:t xml:space="preserve">There are three stages of disease: </w:t>
      </w:r>
      <w:r w:rsidR="00232320">
        <w:rPr>
          <w:rFonts w:eastAsiaTheme="minorHAnsi"/>
        </w:rPr>
        <w:t>a</w:t>
      </w:r>
      <w:r w:rsidRPr="007402A4">
        <w:rPr>
          <w:rFonts w:eastAsiaTheme="minorHAnsi"/>
        </w:rPr>
        <w:t>n initial premalignant stage termed monoclonal gammopathy of uncertain significance (MGUS), followed by smouldering (or asymptomatic) MM and symptomatic MM</w:t>
      </w:r>
      <w:r w:rsidR="009A1415" w:rsidRPr="007402A4">
        <w:rPr>
          <w:rFonts w:eastAsiaTheme="minorHAnsi"/>
        </w:rPr>
        <w:fldChar w:fldCharType="begin"/>
      </w:r>
      <w:r w:rsidR="00D21490">
        <w:rPr>
          <w:rFonts w:eastAsiaTheme="minorHAnsi"/>
        </w:rPr>
        <w:instrText xml:space="preserve"> ADDIN EN.CITE &lt;EndNote&gt;&lt;Cite&gt;&lt;Author&gt;Australia&lt;/Author&gt;&lt;Year&gt;2017&lt;/Year&gt;&lt;RecNum&gt;4&lt;/RecNum&gt;&lt;DisplayText&gt;&lt;style face="superscript"&gt;9&lt;/style&gt;&lt;/DisplayText&gt;&lt;record&gt;&lt;rec-number&gt;4&lt;/rec-number&gt;&lt;foreign-keys&gt;&lt;key app="EN" db-id="vepewp0vsd9e2pea20s5svf89az5we2t9d5v" timestamp="1529548643"&gt;4&lt;/key&gt;&lt;/foreign-keys&gt;&lt;ref-type name="Report"&gt;27&lt;/ref-type&gt;&lt;contributors&gt;&lt;authors&gt;&lt;author&gt;Myeloma Australia&lt;/author&gt;&lt;/authors&gt;&lt;/contributors&gt;&lt;titles&gt;&lt;title&gt;Clinical Practice Guideline MULTIPLE MYELOMA&lt;/title&gt;&lt;/titles&gt;&lt;dates&gt;&lt;year&gt;2017&lt;/year&gt;&lt;/dates&gt;&lt;urls&gt;&lt;related-urls&gt;&lt;url&gt;http://myeloma.org.au/wp-content/uploads/2017/10/MSAG-Clinical-Practice-Guideline-Myeloma-V4-March-2017.pdf&lt;/url&gt;&lt;/related-urls&gt;&lt;/urls&gt;&lt;access-date&gt;12 June 1028&lt;/access-date&gt;&lt;/record&gt;&lt;/Cite&gt;&lt;/EndNote&gt;</w:instrText>
      </w:r>
      <w:r w:rsidR="009A1415" w:rsidRPr="007402A4">
        <w:rPr>
          <w:rFonts w:eastAsiaTheme="minorHAnsi"/>
        </w:rPr>
        <w:fldChar w:fldCharType="separate"/>
      </w:r>
      <w:r w:rsidR="00D21490" w:rsidRPr="00D21490">
        <w:rPr>
          <w:rFonts w:eastAsiaTheme="minorHAnsi"/>
          <w:noProof/>
          <w:vertAlign w:val="superscript"/>
        </w:rPr>
        <w:t>9</w:t>
      </w:r>
      <w:r w:rsidR="009A1415" w:rsidRPr="007402A4">
        <w:rPr>
          <w:rFonts w:eastAsiaTheme="minorHAnsi"/>
        </w:rPr>
        <w:fldChar w:fldCharType="end"/>
      </w:r>
      <w:r w:rsidR="00947E04">
        <w:rPr>
          <w:rFonts w:eastAsiaTheme="minorHAnsi"/>
        </w:rPr>
        <w:t>.</w:t>
      </w:r>
      <w:r w:rsidRPr="007402A4">
        <w:rPr>
          <w:rFonts w:eastAsiaTheme="minorHAnsi"/>
        </w:rPr>
        <w:t xml:space="preserve"> M</w:t>
      </w:r>
      <w:r w:rsidR="00ED3E3D">
        <w:rPr>
          <w:rFonts w:eastAsiaTheme="minorHAnsi"/>
        </w:rPr>
        <w:t>M</w:t>
      </w:r>
      <w:r w:rsidRPr="007402A4">
        <w:rPr>
          <w:rFonts w:eastAsiaTheme="minorHAnsi"/>
        </w:rPr>
        <w:t xml:space="preserve"> is almost always preceded by MGUS.</w:t>
      </w:r>
    </w:p>
    <w:p w14:paraId="416F7498" w14:textId="5CDB80C3" w:rsidR="00FB67E5" w:rsidRPr="007F53B9" w:rsidRDefault="005A78DD" w:rsidP="00D21490">
      <w:pPr>
        <w:spacing w:after="160"/>
        <w:rPr>
          <w:rFonts w:ascii="SourceSansPro-Light" w:eastAsiaTheme="minorHAnsi" w:hAnsi="SourceSansPro-Light" w:cs="SourceSansPro-Light"/>
          <w:color w:val="231F20"/>
          <w:sz w:val="19"/>
          <w:szCs w:val="19"/>
        </w:rPr>
      </w:pPr>
      <w:r w:rsidRPr="007402A4">
        <w:t xml:space="preserve">If a clinical trial is not available for a person to enter, </w:t>
      </w:r>
      <w:r w:rsidR="00232320">
        <w:t>autologous stem cell transplant (</w:t>
      </w:r>
      <w:r w:rsidRPr="007402A4">
        <w:t>ASCT</w:t>
      </w:r>
      <w:r w:rsidR="00232320">
        <w:t>)</w:t>
      </w:r>
      <w:r w:rsidRPr="007402A4">
        <w:t xml:space="preserve"> is recommended (</w:t>
      </w:r>
      <w:r w:rsidR="009B0365" w:rsidRPr="007402A4">
        <w:t>pending the person’s suitability</w:t>
      </w:r>
      <w:r w:rsidRPr="007402A4">
        <w:t xml:space="preserve">) followed by chemotherapy. </w:t>
      </w:r>
      <w:r w:rsidR="000428D1" w:rsidRPr="007402A4">
        <w:t xml:space="preserve">Treatment for MM, depends on a patient’s eligibility for ASCT and high dose therapy, which is reliant on a person’s age, comorbidities and functional status. </w:t>
      </w:r>
      <w:r w:rsidR="003B5256" w:rsidRPr="007402A4">
        <w:t>Currently, c</w:t>
      </w:r>
      <w:r w:rsidRPr="007402A4">
        <w:t>hemotherapy</w:t>
      </w:r>
      <w:r w:rsidRPr="007F53B9">
        <w:t xml:space="preserve"> includes immunomodulator</w:t>
      </w:r>
      <w:r w:rsidR="003B5256" w:rsidRPr="007F53B9">
        <w:t xml:space="preserve">y </w:t>
      </w:r>
      <w:r w:rsidRPr="007F53B9">
        <w:t xml:space="preserve">and </w:t>
      </w:r>
      <w:r w:rsidR="003B5256" w:rsidRPr="007F53B9">
        <w:t xml:space="preserve">proteasome inhibitor-based treatments. Treatment is determined by the presence of </w:t>
      </w:r>
      <w:r w:rsidR="00ED3E3D">
        <w:t>MM</w:t>
      </w:r>
      <w:r w:rsidR="003B5256" w:rsidRPr="007F53B9">
        <w:t xml:space="preserve"> defining events, manifested by either hypercalcemia, renal impairment, anaemia or bone disease (so-called CRAB criteria)</w:t>
      </w:r>
      <w:r w:rsidR="009A1415" w:rsidRPr="007F53B9">
        <w:rPr>
          <w:rFonts w:eastAsiaTheme="minorHAnsi"/>
          <w:color w:val="231F20"/>
        </w:rPr>
        <w:fldChar w:fldCharType="begin"/>
      </w:r>
      <w:r w:rsidR="00D21490">
        <w:rPr>
          <w:rFonts w:eastAsiaTheme="minorHAnsi"/>
          <w:color w:val="231F20"/>
        </w:rPr>
        <w:instrText xml:space="preserve"> ADDIN EN.CITE &lt;EndNote&gt;&lt;Cite&gt;&lt;Author&gt;Australia&lt;/Author&gt;&lt;Year&gt;2017&lt;/Year&gt;&lt;RecNum&gt;4&lt;/RecNum&gt;&lt;DisplayText&gt;&lt;style face="superscript"&gt;9&lt;/style&gt;&lt;/DisplayText&gt;&lt;record&gt;&lt;rec-number&gt;4&lt;/rec-number&gt;&lt;foreign-keys&gt;&lt;key app="EN" db-id="vepewp0vsd9e2pea20s5svf89az5we2t9d5v" timestamp="1529548643"&gt;4&lt;/key&gt;&lt;/foreign-keys&gt;&lt;ref-type name="Report"&gt;27&lt;/ref-type&gt;&lt;contributors&gt;&lt;authors&gt;&lt;author&gt;Myeloma Australia&lt;/author&gt;&lt;/authors&gt;&lt;/contributors&gt;&lt;titles&gt;&lt;title&gt;Clinical Practice Guideline MULTIPLE MYELOMA&lt;/title&gt;&lt;/titles&gt;&lt;dates&gt;&lt;year&gt;2017&lt;/year&gt;&lt;/dates&gt;&lt;urls&gt;&lt;related-urls&gt;&lt;url&gt;http://myeloma.org.au/wp-content/uploads/2017/10/MSAG-Clinical-Practice-Guideline-Myeloma-V4-March-2017.pdf&lt;/url&gt;&lt;/related-urls&gt;&lt;/urls&gt;&lt;access-date&gt;12 June 1028&lt;/access-date&gt;&lt;/record&gt;&lt;/Cite&gt;&lt;/EndNote&gt;</w:instrText>
      </w:r>
      <w:r w:rsidR="009A1415" w:rsidRPr="007F53B9">
        <w:rPr>
          <w:rFonts w:eastAsiaTheme="minorHAnsi"/>
          <w:color w:val="231F20"/>
        </w:rPr>
        <w:fldChar w:fldCharType="separate"/>
      </w:r>
      <w:r w:rsidR="00D21490" w:rsidRPr="00D21490">
        <w:rPr>
          <w:rFonts w:eastAsiaTheme="minorHAnsi"/>
          <w:noProof/>
          <w:color w:val="231F20"/>
          <w:vertAlign w:val="superscript"/>
        </w:rPr>
        <w:t>9</w:t>
      </w:r>
      <w:r w:rsidR="009A1415" w:rsidRPr="007F53B9">
        <w:rPr>
          <w:rFonts w:eastAsiaTheme="minorHAnsi"/>
          <w:color w:val="231F20"/>
        </w:rPr>
        <w:fldChar w:fldCharType="end"/>
      </w:r>
      <w:r w:rsidR="00947E04">
        <w:rPr>
          <w:rFonts w:eastAsiaTheme="minorHAnsi"/>
          <w:color w:val="231F20"/>
        </w:rPr>
        <w:t>.</w:t>
      </w:r>
      <w:r w:rsidR="009A1415" w:rsidRPr="007F53B9">
        <w:t xml:space="preserve"> </w:t>
      </w:r>
    </w:p>
    <w:p w14:paraId="6BD8CC8C" w14:textId="77777777" w:rsidR="00AF16E3" w:rsidRPr="007F53B9" w:rsidRDefault="00BE0A1B" w:rsidP="0033681D">
      <w:pPr>
        <w:rPr>
          <w:b/>
        </w:rPr>
      </w:pPr>
      <w:r>
        <w:rPr>
          <w:b/>
        </w:rPr>
        <w:t>Testing prior to treatment</w:t>
      </w:r>
    </w:p>
    <w:p w14:paraId="772C152F" w14:textId="6BE79766" w:rsidR="00A921F8" w:rsidRDefault="006B6164" w:rsidP="00F10857">
      <w:pPr>
        <w:spacing w:after="160"/>
      </w:pPr>
      <w:r>
        <w:t>Prior tests</w:t>
      </w:r>
      <w:r w:rsidR="00A921F8" w:rsidRPr="00736C98">
        <w:t xml:space="preserve"> conducted for the diagnosis and risk assessment of MM</w:t>
      </w:r>
      <w:r>
        <w:t xml:space="preserve"> include</w:t>
      </w:r>
      <w:r w:rsidR="00A921F8" w:rsidRPr="00736C98">
        <w:t>: blood tests to measure the levels of paraprotein, lactate dehydrogenase, serum levels of</w:t>
      </w:r>
      <w:r w:rsidR="00A921F8" w:rsidRPr="00834D34">
        <w:t xml:space="preserve"> </w:t>
      </w:r>
      <w:r w:rsidR="00A921F8" w:rsidRPr="00A921F8">
        <w:rPr>
          <w:rFonts w:asciiTheme="minorHAnsi" w:eastAsiaTheme="minorHAnsi" w:hAnsiTheme="minorHAnsi" w:cstheme="minorHAnsi"/>
          <w:color w:val="231F20"/>
        </w:rPr>
        <w:t>ß</w:t>
      </w:r>
      <w:r w:rsidR="00A921F8" w:rsidRPr="00A921F8">
        <w:rPr>
          <w:rFonts w:asciiTheme="minorHAnsi" w:eastAsiaTheme="minorHAnsi" w:hAnsiTheme="minorHAnsi" w:cstheme="minorHAnsi"/>
          <w:color w:val="231F20"/>
          <w:vertAlign w:val="subscript"/>
        </w:rPr>
        <w:t>2</w:t>
      </w:r>
      <w:r w:rsidR="00A921F8" w:rsidRPr="00A921F8">
        <w:rPr>
          <w:rFonts w:asciiTheme="minorHAnsi" w:eastAsiaTheme="minorHAnsi" w:hAnsiTheme="minorHAnsi" w:cstheme="minorHAnsi"/>
          <w:color w:val="231F20"/>
        </w:rPr>
        <w:t>-microglobulin and albumin</w:t>
      </w:r>
      <w:r w:rsidR="00A921F8">
        <w:rPr>
          <w:rFonts w:asciiTheme="minorHAnsi" w:eastAsiaTheme="minorHAnsi" w:hAnsiTheme="minorHAnsi" w:cstheme="minorHAnsi"/>
          <w:color w:val="231F20"/>
        </w:rPr>
        <w:t xml:space="preserve">; x-ray of bone; CT or </w:t>
      </w:r>
      <w:r w:rsidR="0061322A">
        <w:rPr>
          <w:rFonts w:asciiTheme="minorHAnsi" w:eastAsiaTheme="minorHAnsi" w:hAnsiTheme="minorHAnsi" w:cstheme="minorHAnsi"/>
          <w:color w:val="231F20"/>
        </w:rPr>
        <w:t>m</w:t>
      </w:r>
      <w:r w:rsidR="0061322A" w:rsidRPr="0061322A">
        <w:rPr>
          <w:rFonts w:asciiTheme="minorHAnsi" w:eastAsiaTheme="minorHAnsi" w:hAnsiTheme="minorHAnsi" w:cstheme="minorHAnsi"/>
          <w:color w:val="231F20"/>
        </w:rPr>
        <w:t>agnetic resonance imaging</w:t>
      </w:r>
      <w:r w:rsidR="0061322A">
        <w:rPr>
          <w:rFonts w:asciiTheme="minorHAnsi" w:eastAsiaTheme="minorHAnsi" w:hAnsiTheme="minorHAnsi" w:cstheme="minorHAnsi"/>
          <w:color w:val="231F20"/>
        </w:rPr>
        <w:t xml:space="preserve"> (</w:t>
      </w:r>
      <w:r w:rsidR="00A921F8">
        <w:rPr>
          <w:rFonts w:asciiTheme="minorHAnsi" w:eastAsiaTheme="minorHAnsi" w:hAnsiTheme="minorHAnsi" w:cstheme="minorHAnsi"/>
          <w:color w:val="231F20"/>
        </w:rPr>
        <w:t>MRI</w:t>
      </w:r>
      <w:r w:rsidR="0061322A">
        <w:rPr>
          <w:rFonts w:asciiTheme="minorHAnsi" w:eastAsiaTheme="minorHAnsi" w:hAnsiTheme="minorHAnsi" w:cstheme="minorHAnsi"/>
          <w:color w:val="231F20"/>
        </w:rPr>
        <w:t>)</w:t>
      </w:r>
      <w:r w:rsidR="00A921F8">
        <w:rPr>
          <w:rFonts w:asciiTheme="minorHAnsi" w:eastAsiaTheme="minorHAnsi" w:hAnsiTheme="minorHAnsi" w:cstheme="minorHAnsi"/>
          <w:color w:val="231F20"/>
        </w:rPr>
        <w:t xml:space="preserve"> scan; </w:t>
      </w:r>
      <w:r>
        <w:rPr>
          <w:rFonts w:asciiTheme="minorHAnsi" w:eastAsiaTheme="minorHAnsi" w:hAnsiTheme="minorHAnsi" w:cstheme="minorHAnsi"/>
          <w:color w:val="231F20"/>
        </w:rPr>
        <w:t>BMAT</w:t>
      </w:r>
      <w:r w:rsidR="00A921F8">
        <w:rPr>
          <w:rFonts w:asciiTheme="minorHAnsi" w:eastAsiaTheme="minorHAnsi" w:hAnsiTheme="minorHAnsi" w:cstheme="minorHAnsi"/>
          <w:color w:val="231F20"/>
        </w:rPr>
        <w:t>; urine protein electrophoresis; urine immunofixation electrophoresis; and genetic testing for various abnormalities which lead to poor prognosis.</w:t>
      </w:r>
      <w:r w:rsidR="00A921F8" w:rsidRPr="00A921F8">
        <w:rPr>
          <w:color w:val="000000"/>
          <w:shd w:val="clear" w:color="auto" w:fill="FFFFFF"/>
        </w:rPr>
        <w:t xml:space="preserve"> </w:t>
      </w:r>
      <w:r w:rsidR="00A921F8" w:rsidRPr="007F53B9">
        <w:rPr>
          <w:color w:val="000000"/>
          <w:shd w:val="clear" w:color="auto" w:fill="FFFFFF"/>
        </w:rPr>
        <w:t xml:space="preserve">Testing for these abnormalities </w:t>
      </w:r>
      <w:r w:rsidR="00396BFF">
        <w:rPr>
          <w:color w:val="000000"/>
          <w:shd w:val="clear" w:color="auto" w:fill="FFFFFF"/>
        </w:rPr>
        <w:t>is</w:t>
      </w:r>
      <w:r w:rsidR="00A921F8" w:rsidRPr="007F53B9">
        <w:rPr>
          <w:color w:val="000000"/>
          <w:shd w:val="clear" w:color="auto" w:fill="FFFFFF"/>
        </w:rPr>
        <w:t xml:space="preserve"> endorsed by local societies such as Myeloma Australia</w:t>
      </w:r>
      <w:r w:rsidR="00A921F8" w:rsidRPr="007F53B9">
        <w:rPr>
          <w:color w:val="000000"/>
          <w:shd w:val="clear" w:color="auto" w:fill="FFFFFF"/>
        </w:rPr>
        <w:fldChar w:fldCharType="begin"/>
      </w:r>
      <w:r w:rsidR="00D21490">
        <w:rPr>
          <w:color w:val="000000"/>
          <w:shd w:val="clear" w:color="auto" w:fill="FFFFFF"/>
        </w:rPr>
        <w:instrText xml:space="preserve"> ADDIN EN.CITE &lt;EndNote&gt;&lt;Cite&gt;&lt;Author&gt;Australia&lt;/Author&gt;&lt;Year&gt;2017&lt;/Year&gt;&lt;RecNum&gt;4&lt;/RecNum&gt;&lt;DisplayText&gt;&lt;style face="superscript"&gt;9&lt;/style&gt;&lt;/DisplayText&gt;&lt;record&gt;&lt;rec-number&gt;4&lt;/rec-number&gt;&lt;foreign-keys&gt;&lt;key app="EN" db-id="vepewp0vsd9e2pea20s5svf89az5we2t9d5v" timestamp="1529548643"&gt;4&lt;/key&gt;&lt;/foreign-keys&gt;&lt;ref-type name="Report"&gt;27&lt;/ref-type&gt;&lt;contributors&gt;&lt;authors&gt;&lt;author&gt;Myeloma Australia&lt;/author&gt;&lt;/authors&gt;&lt;/contributors&gt;&lt;titles&gt;&lt;title&gt;Clinical Practice Guideline MULTIPLE MYELOMA&lt;/title&gt;&lt;/titles&gt;&lt;dates&gt;&lt;year&gt;2017&lt;/year&gt;&lt;/dates&gt;&lt;urls&gt;&lt;related-urls&gt;&lt;url&gt;http://myeloma.org.au/wp-content/uploads/2017/10/MSAG-Clinical-Practice-Guideline-Myeloma-V4-March-2017.pdf&lt;/url&gt;&lt;/related-urls&gt;&lt;/urls&gt;&lt;access-date&gt;12 June 1028&lt;/access-date&gt;&lt;/record&gt;&lt;/Cite&gt;&lt;/EndNote&gt;</w:instrText>
      </w:r>
      <w:r w:rsidR="00A921F8" w:rsidRPr="007F53B9">
        <w:rPr>
          <w:color w:val="000000"/>
          <w:shd w:val="clear" w:color="auto" w:fill="FFFFFF"/>
        </w:rPr>
        <w:fldChar w:fldCharType="separate"/>
      </w:r>
      <w:r w:rsidR="00D21490" w:rsidRPr="00D21490">
        <w:rPr>
          <w:noProof/>
          <w:color w:val="000000"/>
          <w:shd w:val="clear" w:color="auto" w:fill="FFFFFF"/>
          <w:vertAlign w:val="superscript"/>
        </w:rPr>
        <w:t>9</w:t>
      </w:r>
      <w:r w:rsidR="00A921F8" w:rsidRPr="007F53B9">
        <w:rPr>
          <w:color w:val="000000"/>
          <w:shd w:val="clear" w:color="auto" w:fill="FFFFFF"/>
        </w:rPr>
        <w:fldChar w:fldCharType="end"/>
      </w:r>
      <w:r w:rsidR="00A921F8" w:rsidRPr="007F53B9">
        <w:rPr>
          <w:color w:val="000000"/>
          <w:shd w:val="clear" w:color="auto" w:fill="FFFFFF"/>
        </w:rPr>
        <w:t xml:space="preserve"> and HSANZ</w:t>
      </w:r>
      <w:r w:rsidR="00A921F8" w:rsidRPr="007F53B9">
        <w:rPr>
          <w:color w:val="000000"/>
          <w:shd w:val="clear" w:color="auto" w:fill="FFFFFF"/>
        </w:rPr>
        <w:fldChar w:fldCharType="begin"/>
      </w:r>
      <w:r w:rsidR="00D21490">
        <w:rPr>
          <w:color w:val="000000"/>
          <w:shd w:val="clear" w:color="auto" w:fill="FFFFFF"/>
        </w:rPr>
        <w:instrText xml:space="preserve"> ADDIN EN.CITE &lt;EndNote&gt;&lt;Cite&gt;&lt;Author&gt;Group&lt;/Author&gt;&lt;Year&gt;2017&lt;/Year&gt;&lt;RecNum&gt;15&lt;/RecNum&gt;&lt;DisplayText&gt;&lt;style face="superscript"&gt;10&lt;/style&gt;&lt;/DisplayText&gt;&lt;record&gt;&lt;rec-number&gt;15&lt;/rec-number&gt;&lt;foreign-keys&gt;&lt;key app="EN" db-id="vepewp0vsd9e2pea20s5svf89az5we2t9d5v" timestamp="1529548643"&gt;15&lt;/key&gt;&lt;/foreign-keys&gt;&lt;ref-type name="Report"&gt;27&lt;/ref-type&gt;&lt;contributors&gt;&lt;authors&gt;&lt;author&gt;Haematology Society of Australia and New Zealand (HSANZ) Nurses Group,&lt;/author&gt;&lt;/authors&gt;&lt;/contributors&gt;&lt;titles&gt;&lt;title&gt;TESTS AND INVESTIGATIONS FOR MULTIPLE MYELOMA A guide for patients and caregivers&lt;/title&gt;&lt;/titles&gt;&lt;dates&gt;&lt;year&gt;2017&lt;/year&gt;&lt;/dates&gt;&lt;urls&gt;&lt;related-urls&gt;&lt;url&gt;https://www.hsanz.org.au/downloads/MSPN_Guide_to_MM_Investigations_Dec_2017.PDF&lt;/url&gt;&lt;/related-urls&gt;&lt;/urls&gt;&lt;access-date&gt;12 June 2018&lt;/access-date&gt;&lt;/record&gt;&lt;/Cite&gt;&lt;/EndNote&gt;</w:instrText>
      </w:r>
      <w:r w:rsidR="00A921F8" w:rsidRPr="007F53B9">
        <w:rPr>
          <w:color w:val="000000"/>
          <w:shd w:val="clear" w:color="auto" w:fill="FFFFFF"/>
        </w:rPr>
        <w:fldChar w:fldCharType="separate"/>
      </w:r>
      <w:r w:rsidR="00D21490" w:rsidRPr="00D21490">
        <w:rPr>
          <w:noProof/>
          <w:color w:val="000000"/>
          <w:shd w:val="clear" w:color="auto" w:fill="FFFFFF"/>
          <w:vertAlign w:val="superscript"/>
        </w:rPr>
        <w:t>10</w:t>
      </w:r>
      <w:r w:rsidR="00A921F8" w:rsidRPr="007F53B9">
        <w:rPr>
          <w:color w:val="000000"/>
          <w:shd w:val="clear" w:color="auto" w:fill="FFFFFF"/>
        </w:rPr>
        <w:fldChar w:fldCharType="end"/>
      </w:r>
      <w:r w:rsidR="00A921F8">
        <w:rPr>
          <w:color w:val="000000"/>
          <w:shd w:val="clear" w:color="auto" w:fill="FFFFFF"/>
        </w:rPr>
        <w:t>.</w:t>
      </w:r>
    </w:p>
    <w:p w14:paraId="7135B5DD" w14:textId="6901754A" w:rsidR="00AF16E3" w:rsidRDefault="00834D34" w:rsidP="00D21490">
      <w:pPr>
        <w:spacing w:after="160"/>
        <w:rPr>
          <w:color w:val="000000"/>
          <w:shd w:val="clear" w:color="auto" w:fill="FFFFFF"/>
        </w:rPr>
      </w:pPr>
      <w:r>
        <w:rPr>
          <w:color w:val="000000"/>
          <w:shd w:val="clear" w:color="auto" w:fill="FFFFFF"/>
        </w:rPr>
        <w:t>T</w:t>
      </w:r>
      <w:r w:rsidR="00AF16E3" w:rsidRPr="007F53B9">
        <w:rPr>
          <w:color w:val="000000"/>
          <w:shd w:val="clear" w:color="auto" w:fill="FFFFFF"/>
        </w:rPr>
        <w:t>he frequency of</w:t>
      </w:r>
      <w:r>
        <w:rPr>
          <w:color w:val="000000"/>
          <w:shd w:val="clear" w:color="auto" w:fill="FFFFFF"/>
        </w:rPr>
        <w:t xml:space="preserve"> </w:t>
      </w:r>
      <w:r w:rsidR="00A31321">
        <w:rPr>
          <w:color w:val="000000"/>
          <w:shd w:val="clear" w:color="auto" w:fill="FFFFFF"/>
        </w:rPr>
        <w:t>high-risk</w:t>
      </w:r>
      <w:r w:rsidR="00AF16E3" w:rsidRPr="007F53B9">
        <w:rPr>
          <w:color w:val="000000"/>
          <w:shd w:val="clear" w:color="auto" w:fill="FFFFFF"/>
        </w:rPr>
        <w:t xml:space="preserve"> cytogenetic abnormalities in MM patients vary when identified using FISH.</w:t>
      </w:r>
      <w:r w:rsidR="00A4237C" w:rsidRPr="007F53B9">
        <w:rPr>
          <w:color w:val="000000"/>
          <w:shd w:val="clear" w:color="auto" w:fill="FFFFFF"/>
        </w:rPr>
        <w:t xml:space="preserve"> In MM,</w:t>
      </w:r>
      <w:r w:rsidR="00AF16E3" w:rsidRPr="007F53B9">
        <w:rPr>
          <w:color w:val="000000"/>
          <w:shd w:val="clear" w:color="auto" w:fill="FFFFFF"/>
        </w:rPr>
        <w:t xml:space="preserve"> </w:t>
      </w:r>
      <w:r w:rsidR="00A4237C" w:rsidRPr="007F53B9">
        <w:rPr>
          <w:color w:val="000000"/>
          <w:shd w:val="clear" w:color="auto" w:fill="FFFFFF"/>
        </w:rPr>
        <w:t>t</w:t>
      </w:r>
      <w:r w:rsidR="00AF16E3" w:rsidRPr="007F53B9">
        <w:rPr>
          <w:color w:val="000000"/>
          <w:shd w:val="clear" w:color="auto" w:fill="FFFFFF"/>
        </w:rPr>
        <w:t>(4;14) has a frequency of 15%, del(17/17p) 7%, t(14;16) 4%, t(14;20) 1%, nonhyperploidy 50% and gain (1q) 40%</w:t>
      </w:r>
      <w:r w:rsidR="005F4EC6" w:rsidRPr="007F53B9">
        <w:rPr>
          <w:color w:val="000000"/>
          <w:shd w:val="clear" w:color="auto" w:fill="FFFFFF"/>
        </w:rPr>
        <w:fldChar w:fldCharType="begin"/>
      </w:r>
      <w:r w:rsidR="00D21490">
        <w:rPr>
          <w:color w:val="000000"/>
          <w:shd w:val="clear" w:color="auto" w:fill="FFFFFF"/>
        </w:rPr>
        <w:instrText xml:space="preserve"> ADDIN EN.CITE &lt;EndNote&gt;&lt;Cite&gt;&lt;Author&gt;Sonneveld&lt;/Author&gt;&lt;Year&gt;2016&lt;/Year&gt;&lt;RecNum&gt;29&lt;/RecNum&gt;&lt;DisplayText&gt;&lt;style face="superscript"&gt;11, 12&lt;/style&gt;&lt;/DisplayText&gt;&lt;record&gt;&lt;rec-number&gt;29&lt;/rec-number&gt;&lt;foreign-keys&gt;&lt;key app="EN" db-id="vepewp0vsd9e2pea20s5svf89az5we2t9d5v" timestamp="1529548644"&gt;29&lt;/key&gt;&lt;/foreign-keys&gt;&lt;ref-type name="Journal Article"&gt;17&lt;/ref-type&gt;&lt;contributors&gt;&lt;authors&gt;&lt;author&gt;Sonneveld, Pieter&lt;/author&gt;&lt;author&gt;Avet-Loiseau, Hervé&lt;/author&gt;&lt;author&gt;Lonial, Sagar&lt;/author&gt;&lt;author&gt;Usmani, Saad&lt;/author&gt;&lt;author&gt;Siegel, David&lt;/author&gt;&lt;author&gt;Anderson, Kenneth C&lt;/author&gt;&lt;author&gt;Chng, Wee-Joo&lt;/author&gt;&lt;author&gt;Moreau, Philippe&lt;/author&gt;&lt;author&gt;Attal, Michel&lt;/author&gt;&lt;author&gt;Kyle, Robert A&lt;/author&gt;&lt;/authors&gt;&lt;/contributors&gt;&lt;titles&gt;&lt;title&gt;Treatment of multiple myeloma with high-risk cytogenetics: a consensus of the International Myeloma Working Group&lt;/title&gt;&lt;secondary-title&gt;Blood&lt;/secondary-title&gt;&lt;/titles&gt;&lt;periodical&gt;&lt;full-title&gt;Blood&lt;/full-title&gt;&lt;/periodical&gt;&lt;pages&gt;2955-2962&lt;/pages&gt;&lt;volume&gt;127&lt;/volume&gt;&lt;number&gt;24&lt;/number&gt;&lt;dates&gt;&lt;year&gt;2016&lt;/year&gt;&lt;/dates&gt;&lt;isbn&gt;0006-4971&lt;/isbn&gt;&lt;urls&gt;&lt;/urls&gt;&lt;/record&gt;&lt;/Cite&gt;&lt;Cite&gt;&lt;Author&gt;Kalff&lt;/Author&gt;&lt;Year&gt;2012&lt;/Year&gt;&lt;RecNum&gt;18&lt;/RecNum&gt;&lt;record&gt;&lt;rec-number&gt;18&lt;/rec-number&gt;&lt;foreign-keys&gt;&lt;key app="EN" db-id="vepewp0vsd9e2pea20s5svf89az5we2t9d5v" timestamp="1529548643"&gt;18&lt;/key&gt;&lt;/foreign-keys&gt;&lt;ref-type name="Journal Article"&gt;17&lt;/ref-type&gt;&lt;contributors&gt;&lt;authors&gt;&lt;author&gt;Kalff, A&lt;/author&gt;&lt;author&gt;Spencer, A&lt;/author&gt;&lt;/authors&gt;&lt;/contributors&gt;&lt;titles&gt;&lt;title&gt;The t (4; 14) translocation and FGFR3 overexpression in multiple myeloma: prognostic implications and current clinical strategies&lt;/title&gt;&lt;secondary-title&gt;Blood cancer journal&lt;/secondary-title&gt;&lt;/titles&gt;&lt;periodical&gt;&lt;full-title&gt;Blood cancer journal&lt;/full-title&gt;&lt;/periodical&gt;&lt;pages&gt;e89&lt;/pages&gt;&lt;volume&gt;2&lt;/volume&gt;&lt;number&gt;9&lt;/number&gt;&lt;dates&gt;&lt;year&gt;2012&lt;/year&gt;&lt;/dates&gt;&lt;isbn&gt;2044-5385&lt;/isbn&gt;&lt;urls&gt;&lt;/urls&gt;&lt;/record&gt;&lt;/Cite&gt;&lt;/EndNote&gt;</w:instrText>
      </w:r>
      <w:r w:rsidR="005F4EC6" w:rsidRPr="007F53B9">
        <w:rPr>
          <w:color w:val="000000"/>
          <w:shd w:val="clear" w:color="auto" w:fill="FFFFFF"/>
        </w:rPr>
        <w:fldChar w:fldCharType="separate"/>
      </w:r>
      <w:r w:rsidR="00D21490" w:rsidRPr="00D21490">
        <w:rPr>
          <w:noProof/>
          <w:color w:val="000000"/>
          <w:shd w:val="clear" w:color="auto" w:fill="FFFFFF"/>
          <w:vertAlign w:val="superscript"/>
        </w:rPr>
        <w:t>11, 12</w:t>
      </w:r>
      <w:r w:rsidR="005F4EC6" w:rsidRPr="007F53B9">
        <w:rPr>
          <w:color w:val="000000"/>
          <w:shd w:val="clear" w:color="auto" w:fill="FFFFFF"/>
        </w:rPr>
        <w:fldChar w:fldCharType="end"/>
      </w:r>
      <w:r w:rsidR="00EF5B39">
        <w:rPr>
          <w:color w:val="000000"/>
          <w:shd w:val="clear" w:color="auto" w:fill="FFFFFF"/>
        </w:rPr>
        <w:t>.</w:t>
      </w:r>
      <w:r w:rsidR="00A4237C" w:rsidRPr="007F53B9">
        <w:rPr>
          <w:color w:val="000000"/>
          <w:shd w:val="clear" w:color="auto" w:fill="FFFFFF"/>
        </w:rPr>
        <w:t xml:space="preserve"> Favourable/neutral cytogenetic abnormalities such as t(11;14)</w:t>
      </w:r>
      <w:r w:rsidR="0099726D" w:rsidRPr="007F53B9">
        <w:rPr>
          <w:color w:val="000000"/>
          <w:shd w:val="clear" w:color="auto" w:fill="FFFFFF"/>
        </w:rPr>
        <w:t>,</w:t>
      </w:r>
      <w:r w:rsidR="00A4237C" w:rsidRPr="007F53B9">
        <w:rPr>
          <w:color w:val="000000"/>
          <w:shd w:val="clear" w:color="auto" w:fill="FFFFFF"/>
        </w:rPr>
        <w:t xml:space="preserve"> t(6;14)</w:t>
      </w:r>
      <w:r w:rsidR="0099726D" w:rsidRPr="007F53B9">
        <w:rPr>
          <w:color w:val="000000"/>
          <w:shd w:val="clear" w:color="auto" w:fill="FFFFFF"/>
        </w:rPr>
        <w:t xml:space="preserve"> and trisomy of odd numbered chromosomes (3, 7, 9, 11, 15 or 17)</w:t>
      </w:r>
      <w:r w:rsidR="00A4237C" w:rsidRPr="007F53B9">
        <w:rPr>
          <w:color w:val="000000"/>
          <w:shd w:val="clear" w:color="auto" w:fill="FFFFFF"/>
        </w:rPr>
        <w:t xml:space="preserve"> have 16%</w:t>
      </w:r>
      <w:r w:rsidR="0099726D" w:rsidRPr="007F53B9">
        <w:rPr>
          <w:color w:val="000000"/>
          <w:shd w:val="clear" w:color="auto" w:fill="FFFFFF"/>
        </w:rPr>
        <w:t xml:space="preserve">, </w:t>
      </w:r>
      <w:r w:rsidR="00A4237C" w:rsidRPr="007F53B9">
        <w:rPr>
          <w:color w:val="000000"/>
          <w:shd w:val="clear" w:color="auto" w:fill="FFFFFF"/>
        </w:rPr>
        <w:t xml:space="preserve">4% </w:t>
      </w:r>
      <w:r w:rsidR="0099726D" w:rsidRPr="007F53B9">
        <w:rPr>
          <w:color w:val="000000"/>
          <w:shd w:val="clear" w:color="auto" w:fill="FFFFFF"/>
        </w:rPr>
        <w:t xml:space="preserve">and 57% </w:t>
      </w:r>
      <w:r w:rsidR="00A4237C" w:rsidRPr="007F53B9">
        <w:rPr>
          <w:color w:val="000000"/>
          <w:shd w:val="clear" w:color="auto" w:fill="FFFFFF"/>
        </w:rPr>
        <w:t>prevalence rates, respectively</w:t>
      </w:r>
      <w:r w:rsidR="005F4EC6" w:rsidRPr="007F53B9">
        <w:rPr>
          <w:color w:val="000000"/>
          <w:shd w:val="clear" w:color="auto" w:fill="FFFFFF"/>
        </w:rPr>
        <w:fldChar w:fldCharType="begin"/>
      </w:r>
      <w:r w:rsidR="00D21490">
        <w:rPr>
          <w:color w:val="000000"/>
          <w:shd w:val="clear" w:color="auto" w:fill="FFFFFF"/>
        </w:rPr>
        <w:instrText xml:space="preserve"> ADDIN EN.CITE &lt;EndNote&gt;&lt;Cite&gt;&lt;Author&gt;Kalff&lt;/Author&gt;&lt;Year&gt;2012&lt;/Year&gt;&lt;RecNum&gt;18&lt;/RecNum&gt;&lt;DisplayText&gt;&lt;style face="superscript"&gt;12, 13&lt;/style&gt;&lt;/DisplayText&gt;&lt;record&gt;&lt;rec-number&gt;18&lt;/rec-number&gt;&lt;foreign-keys&gt;&lt;key app="EN" db-id="vepewp0vsd9e2pea20s5svf89az5we2t9d5v" timestamp="1529548643"&gt;18&lt;/key&gt;&lt;/foreign-keys&gt;&lt;ref-type name="Journal Article"&gt;17&lt;/ref-type&gt;&lt;contributors&gt;&lt;authors&gt;&lt;author&gt;Kalff, A&lt;/author&gt;&lt;author&gt;Spencer, A&lt;/author&gt;&lt;/authors&gt;&lt;/contributors&gt;&lt;titles&gt;&lt;title&gt;The t (4; 14) translocation and FGFR3 overexpression in multiple myeloma: prognostic implications and current clinical strategies&lt;/title&gt;&lt;secondary-title&gt;Blood cancer journal&lt;/secondary-title&gt;&lt;/titles&gt;&lt;periodical&gt;&lt;full-title&gt;Blood cancer journal&lt;/full-title&gt;&lt;/periodical&gt;&lt;pages&gt;e89&lt;/pages&gt;&lt;volume&gt;2&lt;/volume&gt;&lt;number&gt;9&lt;/number&gt;&lt;dates&gt;&lt;year&gt;2012&lt;/year&gt;&lt;/dates&gt;&lt;isbn&gt;2044-5385&lt;/isbn&gt;&lt;urls&gt;&lt;/urls&gt;&lt;/record&gt;&lt;/Cite&gt;&lt;Cite&gt;&lt;Author&gt;Kumar&lt;/Author&gt;&lt;Year&gt;2012&lt;/Year&gt;&lt;RecNum&gt;21&lt;/RecNum&gt;&lt;record&gt;&lt;rec-number&gt;21&lt;/rec-number&gt;&lt;foreign-keys&gt;&lt;key app="EN" db-id="vepewp0vsd9e2pea20s5svf89az5we2t9d5v" timestamp="1529548644"&gt;21&lt;/key&gt;&lt;/foreign-keys&gt;&lt;ref-type name="Journal Article"&gt;17&lt;/ref-type&gt;&lt;contributors&gt;&lt;authors&gt;&lt;author&gt;Kumar, Shaji&lt;/author&gt;&lt;author&gt;Fonseca, Rafael&lt;/author&gt;&lt;author&gt;Ketterling, Rhett P&lt;/author&gt;&lt;author&gt;Dispenzieri, Angela&lt;/author&gt;&lt;author&gt;Lacy, Martha Q&lt;/author&gt;&lt;author&gt;Gertz, Morie A&lt;/author&gt;&lt;author&gt;Hayman, Suzanne R&lt;/author&gt;&lt;author&gt;Buadi, Francis K&lt;/author&gt;&lt;author&gt;Dingli, David&lt;/author&gt;&lt;author&gt;Knudson, Ryan A&lt;/author&gt;&lt;/authors&gt;&lt;/contributors&gt;&lt;titles&gt;&lt;title&gt;Trisomies in multiple myeloma: impact on survival in patients with high-risk cytogenetics&lt;/title&gt;&lt;secondary-title&gt;Blood&lt;/secondary-title&gt;&lt;/titles&gt;&lt;periodical&gt;&lt;full-title&gt;Blood&lt;/full-title&gt;&lt;/periodical&gt;&lt;pages&gt;2100-2105&lt;/pages&gt;&lt;volume&gt;119&lt;/volume&gt;&lt;number&gt;9&lt;/number&gt;&lt;dates&gt;&lt;year&gt;2012&lt;/year&gt;&lt;/dates&gt;&lt;isbn&gt;0006-4971&lt;/isbn&gt;&lt;urls&gt;&lt;/urls&gt;&lt;/record&gt;&lt;/Cite&gt;&lt;/EndNote&gt;</w:instrText>
      </w:r>
      <w:r w:rsidR="005F4EC6" w:rsidRPr="007F53B9">
        <w:rPr>
          <w:color w:val="000000"/>
          <w:shd w:val="clear" w:color="auto" w:fill="FFFFFF"/>
        </w:rPr>
        <w:fldChar w:fldCharType="separate"/>
      </w:r>
      <w:r w:rsidR="00D21490" w:rsidRPr="00D21490">
        <w:rPr>
          <w:noProof/>
          <w:color w:val="000000"/>
          <w:shd w:val="clear" w:color="auto" w:fill="FFFFFF"/>
          <w:vertAlign w:val="superscript"/>
        </w:rPr>
        <w:t>12, 13</w:t>
      </w:r>
      <w:r w:rsidR="005F4EC6" w:rsidRPr="007F53B9">
        <w:rPr>
          <w:color w:val="000000"/>
          <w:shd w:val="clear" w:color="auto" w:fill="FFFFFF"/>
        </w:rPr>
        <w:fldChar w:fldCharType="end"/>
      </w:r>
      <w:r w:rsidR="00EF5B39">
        <w:rPr>
          <w:color w:val="000000"/>
          <w:shd w:val="clear" w:color="auto" w:fill="FFFFFF"/>
        </w:rPr>
        <w:t>.</w:t>
      </w:r>
    </w:p>
    <w:p w14:paraId="348EE0FD" w14:textId="77777777" w:rsidR="0065507B" w:rsidRPr="00597897" w:rsidRDefault="0065507B" w:rsidP="00D21490">
      <w:pPr>
        <w:spacing w:after="160"/>
        <w:rPr>
          <w:i/>
          <w:color w:val="000000"/>
          <w:u w:val="single"/>
          <w:shd w:val="clear" w:color="auto" w:fill="FFFFFF"/>
        </w:rPr>
      </w:pPr>
      <w:r w:rsidRPr="00597897">
        <w:rPr>
          <w:i/>
          <w:color w:val="000000"/>
          <w:u w:val="single"/>
          <w:shd w:val="clear" w:color="auto" w:fill="FFFFFF"/>
        </w:rPr>
        <w:t>Rationale:</w:t>
      </w:r>
    </w:p>
    <w:p w14:paraId="685A0D91" w14:textId="1A052D3F" w:rsidR="0065507B" w:rsidRPr="00275E1E" w:rsidRDefault="0065507B" w:rsidP="0065507B">
      <w:pPr>
        <w:spacing w:after="160"/>
      </w:pPr>
      <w:r>
        <w:t>The use of array</w:t>
      </w:r>
      <w:r w:rsidR="00AD2905">
        <w:t xml:space="preserve"> comparative genomic hybridisation</w:t>
      </w:r>
      <w:r>
        <w:t xml:space="preserve"> </w:t>
      </w:r>
      <w:r w:rsidR="00AD2905">
        <w:t>(</w:t>
      </w:r>
      <w:r>
        <w:t>CGH</w:t>
      </w:r>
      <w:r w:rsidR="00AD2905">
        <w:t>)</w:t>
      </w:r>
      <w:r>
        <w:t xml:space="preserve"> in CLL is to detect </w:t>
      </w:r>
      <w:r w:rsidRPr="00275E1E">
        <w:t>genetic changes</w:t>
      </w:r>
      <w:r>
        <w:t xml:space="preserve"> which inform prognosis and treatment. Current studies focus on four main genetic mutations</w:t>
      </w:r>
      <w:r>
        <w:fldChar w:fldCharType="begin"/>
      </w:r>
      <w:r w:rsidR="00537FBA">
        <w:instrText xml:space="preserve"> ADDIN EN.CITE &lt;EndNote&gt;&lt;Cite&gt;&lt;Author&gt;Hallek&lt;/Author&gt;&lt;Year&gt;2017&lt;/Year&gt;&lt;RecNum&gt;34&lt;/RecNum&gt;&lt;DisplayText&gt;&lt;style face="superscript"&gt;14&lt;/style&gt;&lt;/DisplayText&gt;&lt;record&gt;&lt;rec-number&gt;34&lt;/rec-number&gt;&lt;foreign-keys&gt;&lt;key app="EN" db-id="vepewp0vsd9e2pea20s5svf89az5we2t9d5v" timestamp="1529888718"&gt;34&lt;/key&gt;&lt;/foreign-keys&gt;&lt;ref-type name="Journal Article"&gt;17&lt;/ref-type&gt;&lt;contributors&gt;&lt;authors&gt;&lt;author&gt;Hallek, Michael&lt;/author&gt;&lt;/authors&gt;&lt;/contributors&gt;&lt;titles&gt;&lt;title&gt;Chronic lymphocytic leukemia: 2017 update on diagnosis, risk stratification, and treatment&lt;/title&gt;&lt;secondary-title&gt;American journal of hematology&lt;/secondary-title&gt;&lt;/titles&gt;&lt;periodical&gt;&lt;full-title&gt;American journal of hematology&lt;/full-title&gt;&lt;/periodical&gt;&lt;pages&gt;946-965&lt;/pages&gt;&lt;volume&gt;92&lt;/volume&gt;&lt;number&gt;9&lt;/number&gt;&lt;dates&gt;&lt;year&gt;2017&lt;/year&gt;&lt;/dates&gt;&lt;isbn&gt;1096-8652&lt;/isbn&gt;&lt;urls&gt;&lt;/urls&gt;&lt;/record&gt;&lt;/Cite&gt;&lt;/EndNote&gt;</w:instrText>
      </w:r>
      <w:r>
        <w:fldChar w:fldCharType="separate"/>
      </w:r>
      <w:r w:rsidR="00537FBA" w:rsidRPr="00537FBA">
        <w:rPr>
          <w:noProof/>
          <w:vertAlign w:val="superscript"/>
        </w:rPr>
        <w:t>14</w:t>
      </w:r>
      <w:r>
        <w:fldChar w:fldCharType="end"/>
      </w:r>
      <w:r>
        <w:t>:</w:t>
      </w:r>
    </w:p>
    <w:p w14:paraId="61C774B3" w14:textId="440570DF" w:rsidR="0065507B" w:rsidRPr="00275E1E" w:rsidRDefault="0065507B" w:rsidP="0065507B">
      <w:pPr>
        <w:pStyle w:val="ListParagraph"/>
        <w:numPr>
          <w:ilvl w:val="0"/>
          <w:numId w:val="40"/>
        </w:numPr>
      </w:pPr>
      <w:r w:rsidRPr="00275E1E">
        <w:t xml:space="preserve">Deletions of part of the short arm of chromosome 17 (del 17p), are particularly </w:t>
      </w:r>
      <w:r>
        <w:t>harmful</w:t>
      </w:r>
      <w:r w:rsidRPr="00275E1E">
        <w:t xml:space="preserve">. </w:t>
      </w:r>
      <w:r w:rsidR="0061322A" w:rsidRPr="00275E1E">
        <w:t xml:space="preserve">The abnormality occurs infrequently </w:t>
      </w:r>
      <w:r w:rsidR="0061322A">
        <w:t>(</w:t>
      </w:r>
      <w:r>
        <w:t>5-10% of p</w:t>
      </w:r>
      <w:r w:rsidRPr="00275E1E">
        <w:t>atients</w:t>
      </w:r>
      <w:r>
        <w:t xml:space="preserve"> with CLL</w:t>
      </w:r>
      <w:r w:rsidR="0061322A">
        <w:t xml:space="preserve">) but results in </w:t>
      </w:r>
      <w:r w:rsidRPr="00275E1E">
        <w:t>significantly short</w:t>
      </w:r>
      <w:r>
        <w:t>er</w:t>
      </w:r>
      <w:r w:rsidRPr="00275E1E">
        <w:t xml:space="preserve"> interval before they require therapy and a shorter survival</w:t>
      </w:r>
      <w:r>
        <w:t xml:space="preserve"> as a result.</w:t>
      </w:r>
    </w:p>
    <w:p w14:paraId="3BD4EEFD" w14:textId="77777777" w:rsidR="0065507B" w:rsidRPr="00275E1E" w:rsidRDefault="0065507B" w:rsidP="0065507B">
      <w:pPr>
        <w:pStyle w:val="ListParagraph"/>
        <w:numPr>
          <w:ilvl w:val="0"/>
          <w:numId w:val="40"/>
        </w:numPr>
      </w:pPr>
      <w:r w:rsidRPr="00275E1E">
        <w:t>Deletions of the long arm on chromosome 11 (del 11q) are also unfavourable although not to the degree seen with del 17p. The abnormality occurs infrequently in CLL (5–10%).</w:t>
      </w:r>
    </w:p>
    <w:p w14:paraId="72E13254" w14:textId="77777777" w:rsidR="0065507B" w:rsidRPr="00275E1E" w:rsidRDefault="0065507B" w:rsidP="0065507B">
      <w:pPr>
        <w:pStyle w:val="ListParagraph"/>
        <w:numPr>
          <w:ilvl w:val="0"/>
          <w:numId w:val="40"/>
        </w:numPr>
      </w:pPr>
      <w:r w:rsidRPr="00275E1E">
        <w:t>Trisomy 12 is a relatively frequent finding occurring in 20–25% of patients and imparts an intermediate prognosis.</w:t>
      </w:r>
    </w:p>
    <w:p w14:paraId="4454B93A" w14:textId="77777777" w:rsidR="0065507B" w:rsidRPr="00275E1E" w:rsidRDefault="0065507B" w:rsidP="0065507B">
      <w:pPr>
        <w:pStyle w:val="ListParagraph"/>
        <w:numPr>
          <w:ilvl w:val="0"/>
          <w:numId w:val="40"/>
        </w:numPr>
      </w:pPr>
      <w:r w:rsidRPr="00275E1E">
        <w:lastRenderedPageBreak/>
        <w:t>Deletion of the long arm of chromosome 13 (del 13q) is the most common abnormality in CLL with roughly 50% of patients with cells containing this defect. These patients have the best prognosis and most live</w:t>
      </w:r>
      <w:r>
        <w:t xml:space="preserve"> for</w:t>
      </w:r>
      <w:r w:rsidRPr="00275E1E">
        <w:t xml:space="preserve"> many years.</w:t>
      </w:r>
    </w:p>
    <w:p w14:paraId="0152B187" w14:textId="77777777" w:rsidR="0065507B" w:rsidRDefault="0065507B" w:rsidP="0065507B">
      <w:pPr>
        <w:spacing w:after="160"/>
      </w:pPr>
      <w:r>
        <w:t>The most important of these for this application is del 17p, as this mutation is used to guide treatment, not merely for prognosis.</w:t>
      </w:r>
    </w:p>
    <w:p w14:paraId="5C713825" w14:textId="2B4708DC" w:rsidR="0065507B" w:rsidRPr="00597897" w:rsidRDefault="0065507B" w:rsidP="00597897">
      <w:pPr>
        <w:spacing w:after="160"/>
      </w:pPr>
      <w:r>
        <w:t>The impact of copy number variants (CNVs, i.e. genetic abnormalities) on a patient’s prognosis</w:t>
      </w:r>
      <w:r w:rsidR="00AD2905">
        <w:t xml:space="preserve"> in MM</w:t>
      </w:r>
      <w:r>
        <w:t xml:space="preserve"> </w:t>
      </w:r>
      <w:r w:rsidR="0061322A">
        <w:t xml:space="preserve">is included in </w:t>
      </w:r>
      <w:r w:rsidRPr="007F53B9">
        <w:t>Kim and colleagues</w:t>
      </w:r>
      <w:r>
        <w:t xml:space="preserve"> (2015)</w:t>
      </w:r>
      <w:r w:rsidRPr="007F53B9">
        <w:fldChar w:fldCharType="begin"/>
      </w:r>
      <w:r w:rsidR="00537FBA">
        <w:instrText xml:space="preserve"> ADDIN EN.CITE &lt;EndNote&gt;&lt;Cite&gt;&lt;Author&gt;Kim&lt;/Author&gt;&lt;Year&gt;2015&lt;/Year&gt;&lt;RecNum&gt;19&lt;/RecNum&gt;&lt;DisplayText&gt;&lt;style face="superscript"&gt;15&lt;/style&gt;&lt;/DisplayText&gt;&lt;record&gt;&lt;rec-number&gt;19&lt;/rec-number&gt;&lt;foreign-keys&gt;&lt;key app="EN" db-id="vepewp0vsd9e2pea20s5svf89az5we2t9d5v" timestamp="1529548644"&gt;19&lt;/key&gt;&lt;/foreign-keys&gt;&lt;ref-type name="Journal Article"&gt;17&lt;/ref-type&gt;&lt;contributors&gt;&lt;authors&gt;&lt;author&gt;Kim, Myungshin&lt;/author&gt;&lt;author&gt;Lee, Shin Hyo&lt;/author&gt;&lt;author&gt;Kim, Jiyeon&lt;/author&gt;&lt;author&gt;Lee, Sung‐Eun&lt;/author&gt;&lt;author&gt;Kim, Yoo‐Jin&lt;/author&gt;&lt;author&gt;Min, Chang‐Ki&lt;/author&gt;&lt;/authors&gt;&lt;/contributors&gt;&lt;titles&gt;&lt;title&gt;Copy number variations could predict the outcome of bortezomib plus melphalan and prednisone for initial treatment of multiple myeloma&lt;/title&gt;&lt;secondary-title&gt;Genes, Chromosomes and Cancer&lt;/secondary-title&gt;&lt;/titles&gt;&lt;periodical&gt;&lt;full-title&gt;Genes, Chromosomes and Cancer&lt;/full-title&gt;&lt;/periodical&gt;&lt;pages&gt;20-27&lt;/pages&gt;&lt;volume&gt;54&lt;/volume&gt;&lt;number&gt;1&lt;/number&gt;&lt;dates&gt;&lt;year&gt;2015&lt;/year&gt;&lt;/dates&gt;&lt;isbn&gt;1098-2264&lt;/isbn&gt;&lt;urls&gt;&lt;/urls&gt;&lt;/record&gt;&lt;/Cite&gt;&lt;/EndNote&gt;</w:instrText>
      </w:r>
      <w:r w:rsidRPr="007F53B9">
        <w:fldChar w:fldCharType="separate"/>
      </w:r>
      <w:r w:rsidR="00537FBA" w:rsidRPr="00537FBA">
        <w:rPr>
          <w:noProof/>
          <w:vertAlign w:val="superscript"/>
        </w:rPr>
        <w:t>15</w:t>
      </w:r>
      <w:r w:rsidRPr="007F53B9">
        <w:fldChar w:fldCharType="end"/>
      </w:r>
      <w:r>
        <w:t>.</w:t>
      </w:r>
      <w:r w:rsidRPr="007F53B9">
        <w:t xml:space="preserve"> </w:t>
      </w:r>
      <w:r>
        <w:t>Thirty-five</w:t>
      </w:r>
      <w:r w:rsidRPr="007F53B9">
        <w:t xml:space="preserve"> newly diagnosed MM patients commencing bortezomib + melphalan + prednisone (VMP) treatment</w:t>
      </w:r>
      <w:r>
        <w:t xml:space="preserve"> had their</w:t>
      </w:r>
      <w:r w:rsidRPr="007F53B9">
        <w:t xml:space="preserve"> </w:t>
      </w:r>
      <w:r>
        <w:t>c</w:t>
      </w:r>
      <w:r w:rsidRPr="007F53B9">
        <w:t>ytogenetic samples analysed with FISH and</w:t>
      </w:r>
      <w:r w:rsidR="00AD2905">
        <w:t xml:space="preserve"> single nucleotide polymorphism</w:t>
      </w:r>
      <w:r w:rsidRPr="007F53B9">
        <w:t xml:space="preserve"> </w:t>
      </w:r>
      <w:r w:rsidR="00AD2905">
        <w:t>(</w:t>
      </w:r>
      <w:r w:rsidRPr="007F53B9">
        <w:t>SNP</w:t>
      </w:r>
      <w:r w:rsidR="00AD2905">
        <w:t>)</w:t>
      </w:r>
      <w:r w:rsidRPr="007F53B9">
        <w:t xml:space="preserve"> arrays. </w:t>
      </w:r>
      <w:r>
        <w:t>I</w:t>
      </w:r>
      <w:r w:rsidRPr="007F53B9">
        <w:t>t was de</w:t>
      </w:r>
      <w:r w:rsidR="00AD2905">
        <w:t>monstrated</w:t>
      </w:r>
      <w:r w:rsidRPr="007F53B9">
        <w:t xml:space="preserve"> that cytogenetic abnormalities had an impact on a patient’s chances of obtaining greater than very good partial response (VGPR) to VMP treatment. </w:t>
      </w:r>
      <w:r w:rsidRPr="007F53B9">
        <w:rPr>
          <w:rFonts w:asciiTheme="minorHAnsi" w:eastAsiaTheme="minorHAnsi" w:hAnsiTheme="minorHAnsi" w:cstheme="minorHAnsi"/>
          <w:color w:val="231F20"/>
          <w:szCs w:val="20"/>
        </w:rPr>
        <w:t>The number of detected abnormalities by SNP array was significantly higher in patients who did not achieve VGPR compared to those with VGPR (P=0.032) and was also higher in patients with progressive disease (PD) compared to those without PD (P=0.011).</w:t>
      </w:r>
    </w:p>
    <w:p w14:paraId="7E83D4CE" w14:textId="77777777" w:rsidR="00896845" w:rsidRPr="007F53B9" w:rsidRDefault="00896845">
      <w:pPr>
        <w:rPr>
          <w:b/>
        </w:rPr>
      </w:pPr>
      <w:r w:rsidRPr="007F53B9">
        <w:rPr>
          <w:b/>
        </w:rPr>
        <w:t>Intervention</w:t>
      </w:r>
    </w:p>
    <w:p w14:paraId="2287E7B0" w14:textId="242FFAC1" w:rsidR="00243B43" w:rsidRDefault="00B136A6" w:rsidP="00D21490">
      <w:pPr>
        <w:spacing w:after="120"/>
      </w:pPr>
      <w:r w:rsidRPr="007F53B9">
        <w:t xml:space="preserve">Genome-wide </w:t>
      </w:r>
      <w:r w:rsidR="00344CB2">
        <w:t>microarray</w:t>
      </w:r>
      <w:r w:rsidRPr="007F53B9">
        <w:t xml:space="preserve"> is a </w:t>
      </w:r>
      <w:r w:rsidR="00243B43">
        <w:t>method of measuring gains and losses of DNA throughout the human genome. The technology works by collecting DNA from two groups of participants: people with the disease and similar people without the disease. Both sets of DNA are then labelled with fluorescent d</w:t>
      </w:r>
      <w:r w:rsidR="007440A2">
        <w:t>y</w:t>
      </w:r>
      <w:r w:rsidR="00243B43">
        <w:t xml:space="preserve">es and attached to glass slides. The </w:t>
      </w:r>
      <w:r w:rsidR="00344CB2">
        <w:t>microarray</w:t>
      </w:r>
      <w:r w:rsidR="00243B43">
        <w:t xml:space="preserve"> scanner then measures the fluorescent signals, which are coloured differently depending on whether the gene is strongly expressed, strongly repressed, or neither. Finally, computer software analyses the data and generates a plot which can be interpreted by a trained technician.</w:t>
      </w:r>
      <w:r w:rsidR="006D16CB" w:rsidRPr="006D16CB">
        <w:t xml:space="preserve"> </w:t>
      </w:r>
      <w:r w:rsidR="006D16CB">
        <w:t xml:space="preserve">Several types of genome-wide </w:t>
      </w:r>
      <w:r w:rsidR="00344CB2">
        <w:t>microarray</w:t>
      </w:r>
      <w:r w:rsidR="006D16CB">
        <w:t xml:space="preserve"> exist, such as </w:t>
      </w:r>
      <w:bookmarkStart w:id="7" w:name="_Hlk527019953"/>
      <w:r w:rsidR="006D16CB">
        <w:t xml:space="preserve">SNP array, CGH, oligonucleotide </w:t>
      </w:r>
      <w:bookmarkEnd w:id="7"/>
      <w:r w:rsidR="00344CB2">
        <w:t>microarray</w:t>
      </w:r>
      <w:r w:rsidR="006D16CB">
        <w:t>, and gene expression profiling.</w:t>
      </w:r>
    </w:p>
    <w:p w14:paraId="52D0005C" w14:textId="4BDA9D13" w:rsidR="00B136A6" w:rsidRDefault="00243B43" w:rsidP="00D21490">
      <w:pPr>
        <w:spacing w:after="160"/>
      </w:pPr>
      <w:r>
        <w:t>The technology</w:t>
      </w:r>
      <w:r w:rsidR="00B136A6" w:rsidRPr="007F53B9">
        <w:t xml:space="preserve"> identifies extra or deleted genome chromosomal segments called CNVs</w:t>
      </w:r>
      <w:r w:rsidR="00B136A6" w:rsidRPr="007F53B9">
        <w:fldChar w:fldCharType="begin"/>
      </w:r>
      <w:r w:rsidR="00537FBA">
        <w:instrText xml:space="preserve"> ADDIN EN.CITE &lt;EndNote&gt;&lt;Cite&gt;&lt;Author&gt;Theisen&lt;/Author&gt;&lt;Year&gt;2008&lt;/Year&gt;&lt;RecNum&gt;1&lt;/RecNum&gt;&lt;DisplayText&gt;&lt;style face="superscript"&gt;16&lt;/style&gt;&lt;/DisplayText&gt;&lt;record&gt;&lt;rec-number&gt;1&lt;/rec-number&gt;&lt;foreign-keys&gt;&lt;key app="EN" db-id="psaz5df5yps5w4ezxthp55r4trtasap5es5x" timestamp="1528334472"&gt;1&lt;/key&gt;&lt;/foreign-keys&gt;&lt;ref-type name="Journal Article"&gt;17&lt;/ref-type&gt;&lt;contributors&gt;&lt;authors&gt;&lt;author&gt;Theisen, A&lt;/author&gt;&lt;/authors&gt;&lt;/contributors&gt;&lt;titles&gt;&lt;title&gt;Microarray-based comparative genomic hybridization (aCGH)&lt;/title&gt;&lt;secondary-title&gt;Nature Education&lt;/secondary-title&gt;&lt;/titles&gt;&lt;periodical&gt;&lt;full-title&gt;Nature Education&lt;/full-title&gt;&lt;/periodical&gt;&lt;pages&gt;45&lt;/pages&gt;&lt;volume&gt;1&lt;/volume&gt;&lt;number&gt;1&lt;/number&gt;&lt;dates&gt;&lt;year&gt;2008&lt;/year&gt;&lt;/dates&gt;&lt;urls&gt;&lt;/urls&gt;&lt;/record&gt;&lt;/Cite&gt;&lt;/EndNote&gt;</w:instrText>
      </w:r>
      <w:r w:rsidR="00B136A6" w:rsidRPr="007F53B9">
        <w:fldChar w:fldCharType="separate"/>
      </w:r>
      <w:r w:rsidR="00537FBA" w:rsidRPr="00537FBA">
        <w:rPr>
          <w:noProof/>
          <w:vertAlign w:val="superscript"/>
        </w:rPr>
        <w:t>16</w:t>
      </w:r>
      <w:r w:rsidR="00B136A6" w:rsidRPr="007F53B9">
        <w:fldChar w:fldCharType="end"/>
      </w:r>
      <w:r w:rsidR="00EF5B39">
        <w:t>.</w:t>
      </w:r>
      <w:r w:rsidR="000E0BC0" w:rsidRPr="007F53B9">
        <w:t xml:space="preserve"> </w:t>
      </w:r>
      <w:r w:rsidR="00B136A6" w:rsidRPr="007F53B9">
        <w:t xml:space="preserve">A CNV is when the number of copies of a particular gene varies from one individual to the next. It has long been </w:t>
      </w:r>
      <w:r w:rsidR="007440A2" w:rsidRPr="007F53B9">
        <w:t>recogni</w:t>
      </w:r>
      <w:r w:rsidR="007440A2">
        <w:t>s</w:t>
      </w:r>
      <w:r w:rsidR="007440A2" w:rsidRPr="007F53B9">
        <w:t xml:space="preserve">ed </w:t>
      </w:r>
      <w:r w:rsidR="00B136A6" w:rsidRPr="007F53B9">
        <w:t>that some cancers are associated with elevated copy numbers of particular genes</w:t>
      </w:r>
      <w:r w:rsidR="00B136A6" w:rsidRPr="007F53B9">
        <w:fldChar w:fldCharType="begin"/>
      </w:r>
      <w:r w:rsidR="00537FBA">
        <w:instrText xml:space="preserve"> ADDIN EN.CITE &lt;EndNote&gt;&lt;Cite&gt;&lt;Author&gt;Institute&lt;/Author&gt;&lt;Year&gt;Accessed 12 June&lt;/Year&gt;&lt;RecNum&gt;16&lt;/RecNum&gt;&lt;DisplayText&gt;&lt;style face="superscript"&gt;17&lt;/style&gt;&lt;/DisplayText&gt;&lt;record&gt;&lt;rec-number&gt;16&lt;/rec-number&gt;&lt;foreign-keys&gt;&lt;key app="EN" db-id="psaz5df5yps5w4ezxthp55r4trtasap5es5x" timestamp="1528774076"&gt;16&lt;/key&gt;&lt;/foreign-keys&gt;&lt;ref-type name="Web Page"&gt;12&lt;/ref-type&gt;&lt;contributors&gt;&lt;authors&gt;&lt;author&gt;National Human Genome Research Institute&lt;/author&gt;&lt;/authors&gt;&lt;/contributors&gt;&lt;titles&gt;&lt;title&gt;Genome-Wide Association Studies&lt;/title&gt;&lt;secondary-title&gt;Genome-Wide Association Studies&lt;/secondary-title&gt;&lt;/titles&gt;&lt;edition&gt;Fact Sheets&lt;/edition&gt;&lt;dates&gt;&lt;year&gt;Accessed 12 June &lt;/year&gt;&lt;/dates&gt;&lt;urls&gt;&lt;related-urls&gt;&lt;url&gt;https://www.genome.gov/20019523/&lt;/url&gt;&lt;/related-urls&gt;&lt;/urls&gt;&lt;/record&gt;&lt;/Cite&gt;&lt;/EndNote&gt;</w:instrText>
      </w:r>
      <w:r w:rsidR="00B136A6" w:rsidRPr="007F53B9">
        <w:fldChar w:fldCharType="separate"/>
      </w:r>
      <w:r w:rsidR="00537FBA" w:rsidRPr="00537FBA">
        <w:rPr>
          <w:noProof/>
          <w:vertAlign w:val="superscript"/>
        </w:rPr>
        <w:t>17</w:t>
      </w:r>
      <w:r w:rsidR="00B136A6" w:rsidRPr="007F53B9">
        <w:fldChar w:fldCharType="end"/>
      </w:r>
      <w:r w:rsidR="00EF5B39">
        <w:t>.</w:t>
      </w:r>
    </w:p>
    <w:p w14:paraId="10AAB6D2" w14:textId="77777777" w:rsidR="00243B43" w:rsidRDefault="00243B43" w:rsidP="00D21490">
      <w:pPr>
        <w:spacing w:after="160"/>
      </w:pPr>
      <w:r>
        <w:t xml:space="preserve">Genome-wide </w:t>
      </w:r>
      <w:r w:rsidR="00344CB2">
        <w:t>microarray</w:t>
      </w:r>
      <w:r>
        <w:t xml:space="preserve">s have two significant limitations. The first is that many of the CNVs detected by </w:t>
      </w:r>
      <w:r w:rsidR="00344CB2">
        <w:t>microarray</w:t>
      </w:r>
      <w:r>
        <w:t xml:space="preserve"> are of uncertain clinical significance, meaning that the impact of the </w:t>
      </w:r>
      <w:r w:rsidR="000E19A9">
        <w:t>CNV</w:t>
      </w:r>
      <w:r>
        <w:t xml:space="preserve"> on patient prognosis is unknown</w:t>
      </w:r>
      <w:r w:rsidR="00396BFF">
        <w:t xml:space="preserve"> and there is</w:t>
      </w:r>
      <w:r>
        <w:t xml:space="preserve"> no treatment </w:t>
      </w:r>
      <w:r w:rsidR="00396BFF">
        <w:t>targeting</w:t>
      </w:r>
      <w:r>
        <w:t xml:space="preserve"> these CNVs. The second limitation is that genome-wide </w:t>
      </w:r>
      <w:r w:rsidR="00344CB2">
        <w:t>microarray</w:t>
      </w:r>
      <w:r>
        <w:t xml:space="preserve"> cannot detect certain chromosome rearrangements, such as balanced translocation and inversions</w:t>
      </w:r>
      <w:r w:rsidR="007440A2">
        <w:t>,</w:t>
      </w:r>
      <w:r>
        <w:t xml:space="preserve"> because although there has been an exchange of DNA, there is no net gain or loss.</w:t>
      </w:r>
    </w:p>
    <w:p w14:paraId="00345143" w14:textId="5F51E5CD" w:rsidR="00B87B27" w:rsidRDefault="00AB4A0A" w:rsidP="00D21490">
      <w:pPr>
        <w:spacing w:after="160"/>
      </w:pPr>
      <w:r>
        <w:t>T</w:t>
      </w:r>
      <w:r w:rsidR="00B87B27">
        <w:t>hese tests are able to measure for greater than a single gene mutation</w:t>
      </w:r>
      <w:r w:rsidR="00D80804">
        <w:t xml:space="preserve"> (low complexity test)</w:t>
      </w:r>
      <w:r w:rsidR="00B87B27">
        <w:t xml:space="preserve"> but less than a higher complexity test such as full gene sequencing</w:t>
      </w:r>
      <w:r w:rsidR="00D80804">
        <w:fldChar w:fldCharType="begin"/>
      </w:r>
      <w:r w:rsidR="00537FBA">
        <w:instrText xml:space="preserve"> ADDIN EN.CITE &lt;EndNote&gt;&lt;Cite&gt;&lt;Author&gt;Australian Law Reform Comisssion (ALRC)&lt;/Author&gt;&lt;RecNum&gt;79&lt;/RecNum&gt;&lt;DisplayText&gt;&lt;style face="superscript"&gt;18&lt;/style&gt;&lt;/DisplayText&gt;&lt;record&gt;&lt;rec-number&gt;79&lt;/rec-number&gt;&lt;foreign-keys&gt;&lt;key app="EN" db-id="vepewp0vsd9e2pea20s5svf89az5we2t9d5v" timestamp="1531372795"&gt;79&lt;/key&gt;&lt;/foreign-keys&gt;&lt;ref-type name="Web Page"&gt;12&lt;/ref-type&gt;&lt;contributors&gt;&lt;authors&gt;&lt;author&gt;Australian Law Reform Comisssion (ALRC),&lt;/author&gt;&lt;/authors&gt;&lt;/contributors&gt;&lt;titles&gt;&lt;title&gt;10. Genetic Testing&lt;/title&gt;&lt;/titles&gt;&lt;number&gt;12 July 2018&lt;/number&gt;&lt;dates&gt;&lt;/dates&gt;&lt;urls&gt;&lt;related-urls&gt;&lt;url&gt;https://www.alrc.gov.au/publications/10-genetic-testing/access-genetic-testing&lt;/url&gt;&lt;/related-urls&gt;&lt;/urls&gt;&lt;/record&gt;&lt;/Cite&gt;&lt;/EndNote&gt;</w:instrText>
      </w:r>
      <w:r w:rsidR="00D80804">
        <w:fldChar w:fldCharType="separate"/>
      </w:r>
      <w:r w:rsidR="00537FBA" w:rsidRPr="00537FBA">
        <w:rPr>
          <w:noProof/>
          <w:vertAlign w:val="superscript"/>
        </w:rPr>
        <w:t>18</w:t>
      </w:r>
      <w:r w:rsidR="00D80804">
        <w:fldChar w:fldCharType="end"/>
      </w:r>
      <w:r w:rsidR="00B87B27">
        <w:t>; the</w:t>
      </w:r>
      <w:r w:rsidR="00D80804">
        <w:t xml:space="preserve"> nominated</w:t>
      </w:r>
      <w:r w:rsidR="00B87B27">
        <w:t xml:space="preserve"> tests</w:t>
      </w:r>
      <w:r w:rsidR="00D80804">
        <w:t xml:space="preserve"> stated above,</w:t>
      </w:r>
      <w:r w:rsidR="00B87B27">
        <w:t xml:space="preserve"> would qualify as medium complexity tests.</w:t>
      </w:r>
    </w:p>
    <w:p w14:paraId="3FCE7AE0" w14:textId="77777777" w:rsidR="004E352B" w:rsidRPr="004E352B" w:rsidRDefault="00FF5886" w:rsidP="004E352B">
      <w:pPr>
        <w:spacing w:after="160"/>
        <w:rPr>
          <w:rFonts w:asciiTheme="minorHAnsi" w:hAnsiTheme="minorHAnsi" w:cstheme="minorHAnsi"/>
        </w:rPr>
      </w:pPr>
      <w:r w:rsidRPr="007F53B9">
        <w:t xml:space="preserve">Currently there is only one item on the MBS for </w:t>
      </w:r>
      <w:r>
        <w:t>genome-wide</w:t>
      </w:r>
      <w:r w:rsidRPr="007F53B9">
        <w:t xml:space="preserve"> </w:t>
      </w:r>
      <w:r w:rsidR="00344CB2">
        <w:t>microarray</w:t>
      </w:r>
      <w:r w:rsidRPr="007F53B9">
        <w:t xml:space="preserve">s (MBS item </w:t>
      </w:r>
      <w:r w:rsidRPr="00316590">
        <w:rPr>
          <w:rFonts w:asciiTheme="minorHAnsi" w:hAnsiTheme="minorHAnsi" w:cstheme="minorHAnsi"/>
        </w:rPr>
        <w:t>73292,</w:t>
      </w:r>
      <w:r w:rsidR="00316590" w:rsidRPr="00316590">
        <w:rPr>
          <w:rFonts w:asciiTheme="minorHAnsi" w:hAnsiTheme="minorHAnsi" w:cstheme="minorHAnsi"/>
        </w:rPr>
        <w:t xml:space="preserve"> </w:t>
      </w:r>
      <w:bookmarkStart w:id="8" w:name="_Hlk527022124"/>
      <w:r w:rsidR="00316590" w:rsidRPr="00316590">
        <w:rPr>
          <w:rFonts w:asciiTheme="minorHAnsi" w:hAnsiTheme="minorHAnsi" w:cstheme="minorHAnsi"/>
        </w:rPr>
        <w:fldChar w:fldCharType="begin"/>
      </w:r>
      <w:r w:rsidR="00316590" w:rsidRPr="00316590">
        <w:rPr>
          <w:rFonts w:asciiTheme="minorHAnsi" w:hAnsiTheme="minorHAnsi" w:cstheme="minorHAnsi"/>
        </w:rPr>
        <w:instrText xml:space="preserve"> REF _Ref519257399 \h  \* MERGEFORMAT </w:instrText>
      </w:r>
      <w:r w:rsidR="00316590" w:rsidRPr="00316590">
        <w:rPr>
          <w:rFonts w:asciiTheme="minorHAnsi" w:hAnsiTheme="minorHAnsi" w:cstheme="minorHAnsi"/>
        </w:rPr>
      </w:r>
      <w:r w:rsidR="00316590" w:rsidRPr="00316590">
        <w:rPr>
          <w:rFonts w:asciiTheme="minorHAnsi" w:hAnsiTheme="minorHAnsi" w:cstheme="minorHAnsi"/>
        </w:rPr>
        <w:fldChar w:fldCharType="separate"/>
      </w:r>
      <w:r w:rsidR="004E352B" w:rsidRPr="004E352B">
        <w:rPr>
          <w:rFonts w:asciiTheme="minorHAnsi" w:hAnsiTheme="minorHAnsi" w:cstheme="minorHAnsi"/>
        </w:rPr>
        <w:br w:type="page"/>
      </w:r>
    </w:p>
    <w:p w14:paraId="721E28F1" w14:textId="46036E41" w:rsidR="00FF5886" w:rsidRDefault="004E352B" w:rsidP="00D21490">
      <w:pPr>
        <w:spacing w:after="160"/>
      </w:pPr>
      <w:r w:rsidRPr="004E352B">
        <w:rPr>
          <w:rFonts w:asciiTheme="minorHAnsi" w:hAnsiTheme="minorHAnsi" w:cstheme="minorHAnsi"/>
          <w:noProof/>
        </w:rPr>
        <w:lastRenderedPageBreak/>
        <w:t>Table</w:t>
      </w:r>
      <w:r w:rsidRPr="007F53B9">
        <w:rPr>
          <w:rFonts w:ascii="Arial Narrow" w:hAnsi="Arial Narrow"/>
          <w:b/>
          <w:sz w:val="20"/>
        </w:rPr>
        <w:t xml:space="preserve"> </w:t>
      </w:r>
      <w:r>
        <w:rPr>
          <w:rFonts w:ascii="Arial Narrow" w:hAnsi="Arial Narrow"/>
          <w:b/>
          <w:noProof/>
          <w:sz w:val="20"/>
        </w:rPr>
        <w:t>1</w:t>
      </w:r>
      <w:r w:rsidR="00316590" w:rsidRPr="00316590">
        <w:rPr>
          <w:rFonts w:asciiTheme="minorHAnsi" w:hAnsiTheme="minorHAnsi" w:cstheme="minorHAnsi"/>
        </w:rPr>
        <w:fldChar w:fldCharType="end"/>
      </w:r>
      <w:r w:rsidR="00FF5886" w:rsidRPr="00316590">
        <w:rPr>
          <w:rFonts w:asciiTheme="minorHAnsi" w:hAnsiTheme="minorHAnsi" w:cstheme="minorHAnsi"/>
        </w:rPr>
        <w:t>). It is currently listed</w:t>
      </w:r>
      <w:r w:rsidR="00FF5886" w:rsidRPr="007F53B9">
        <w:t xml:space="preserve"> for targeted assessment of a person with developmental delay, intellectual disability, autism, or at least two congenital abnormalities.</w:t>
      </w:r>
    </w:p>
    <w:p w14:paraId="0A1588D6" w14:textId="77777777" w:rsidR="009078F5" w:rsidRDefault="009078F5">
      <w:pPr>
        <w:rPr>
          <w:rFonts w:ascii="Arial Narrow" w:hAnsi="Arial Narrow"/>
          <w:b/>
          <w:sz w:val="20"/>
        </w:rPr>
      </w:pPr>
      <w:bookmarkStart w:id="9" w:name="_Ref519257399"/>
      <w:r>
        <w:rPr>
          <w:rFonts w:ascii="Arial Narrow" w:hAnsi="Arial Narrow"/>
          <w:b/>
          <w:sz w:val="20"/>
        </w:rPr>
        <w:br w:type="page"/>
      </w:r>
    </w:p>
    <w:p w14:paraId="772F2F2A" w14:textId="7461D838" w:rsidR="00FF5886" w:rsidRPr="007F53B9" w:rsidRDefault="00FF5886" w:rsidP="00FF5886">
      <w:pPr>
        <w:spacing w:after="0"/>
        <w:rPr>
          <w:rFonts w:ascii="Arial Narrow" w:hAnsi="Arial Narrow"/>
          <w:b/>
          <w:sz w:val="20"/>
        </w:rPr>
      </w:pPr>
      <w:r w:rsidRPr="007F53B9">
        <w:rPr>
          <w:rFonts w:ascii="Arial Narrow" w:hAnsi="Arial Narrow"/>
          <w:b/>
          <w:sz w:val="20"/>
        </w:rPr>
        <w:lastRenderedPageBreak/>
        <w:t xml:space="preserve">Table </w:t>
      </w:r>
      <w:r w:rsidRPr="007F53B9">
        <w:rPr>
          <w:rFonts w:ascii="Arial Narrow" w:hAnsi="Arial Narrow"/>
          <w:b/>
          <w:sz w:val="20"/>
        </w:rPr>
        <w:fldChar w:fldCharType="begin"/>
      </w:r>
      <w:r w:rsidRPr="007F53B9">
        <w:rPr>
          <w:rFonts w:ascii="Arial Narrow" w:hAnsi="Arial Narrow"/>
          <w:b/>
          <w:sz w:val="20"/>
        </w:rPr>
        <w:instrText xml:space="preserve"> SEQ Table \* ARABIC </w:instrText>
      </w:r>
      <w:r w:rsidRPr="007F53B9">
        <w:rPr>
          <w:rFonts w:ascii="Arial Narrow" w:hAnsi="Arial Narrow"/>
          <w:b/>
          <w:sz w:val="20"/>
        </w:rPr>
        <w:fldChar w:fldCharType="separate"/>
      </w:r>
      <w:r w:rsidR="004E352B">
        <w:rPr>
          <w:rFonts w:ascii="Arial Narrow" w:hAnsi="Arial Narrow"/>
          <w:b/>
          <w:noProof/>
          <w:sz w:val="20"/>
        </w:rPr>
        <w:t>1</w:t>
      </w:r>
      <w:r w:rsidRPr="007F53B9">
        <w:rPr>
          <w:rFonts w:ascii="Arial Narrow" w:hAnsi="Arial Narrow"/>
          <w:b/>
          <w:sz w:val="20"/>
        </w:rPr>
        <w:fldChar w:fldCharType="end"/>
      </w:r>
      <w:bookmarkEnd w:id="9"/>
      <w:r w:rsidRPr="007F53B9">
        <w:rPr>
          <w:rFonts w:ascii="Arial Narrow" w:hAnsi="Arial Narrow"/>
          <w:b/>
          <w:sz w:val="20"/>
        </w:rPr>
        <w:tab/>
        <w:t xml:space="preserve">MBS approved genome-wide </w:t>
      </w:r>
      <w:r w:rsidR="00344CB2">
        <w:rPr>
          <w:rFonts w:ascii="Arial Narrow" w:hAnsi="Arial Narrow"/>
          <w:b/>
          <w:sz w:val="20"/>
        </w:rPr>
        <w:t>microarray</w:t>
      </w:r>
      <w:r w:rsidRPr="007F53B9">
        <w:rPr>
          <w:rFonts w:ascii="Arial Narrow" w:hAnsi="Arial Narrow"/>
          <w:b/>
          <w:sz w:val="20"/>
        </w:rPr>
        <w:t>s</w:t>
      </w:r>
    </w:p>
    <w:tbl>
      <w:tblPr>
        <w:tblStyle w:val="TableGrid"/>
        <w:tblW w:w="0" w:type="auto"/>
        <w:tblLook w:val="04A0" w:firstRow="1" w:lastRow="0" w:firstColumn="1" w:lastColumn="0" w:noHBand="0" w:noVBand="1"/>
        <w:tblCaption w:val="Table 1 - MBS approved genome-wide microarrays"/>
        <w:tblDescription w:val="Table 1 - MBS approved genome-wide microarrays"/>
      </w:tblPr>
      <w:tblGrid>
        <w:gridCol w:w="1100"/>
        <w:gridCol w:w="5951"/>
        <w:gridCol w:w="1965"/>
      </w:tblGrid>
      <w:tr w:rsidR="00FF5886" w:rsidRPr="007F53B9" w14:paraId="185FA103" w14:textId="77777777" w:rsidTr="006A2658">
        <w:trPr>
          <w:tblHeader/>
        </w:trPr>
        <w:tc>
          <w:tcPr>
            <w:tcW w:w="1100" w:type="dxa"/>
          </w:tcPr>
          <w:p w14:paraId="68314BA7" w14:textId="77777777" w:rsidR="00FF5886" w:rsidRPr="007F53B9" w:rsidRDefault="00FF5886" w:rsidP="00BA0CDA">
            <w:pPr>
              <w:rPr>
                <w:rFonts w:ascii="Arial Narrow" w:hAnsi="Arial Narrow"/>
                <w:b/>
                <w:sz w:val="18"/>
                <w:szCs w:val="18"/>
              </w:rPr>
            </w:pPr>
            <w:r w:rsidRPr="007F53B9">
              <w:rPr>
                <w:rFonts w:ascii="Arial Narrow" w:hAnsi="Arial Narrow"/>
                <w:b/>
                <w:sz w:val="18"/>
                <w:szCs w:val="18"/>
              </w:rPr>
              <w:t>MBS Item Number</w:t>
            </w:r>
          </w:p>
        </w:tc>
        <w:tc>
          <w:tcPr>
            <w:tcW w:w="5951" w:type="dxa"/>
          </w:tcPr>
          <w:p w14:paraId="46302700" w14:textId="77777777" w:rsidR="00FF5886" w:rsidRPr="007F53B9" w:rsidRDefault="00FF5886" w:rsidP="00BA0CDA">
            <w:pPr>
              <w:rPr>
                <w:rFonts w:ascii="Arial Narrow" w:hAnsi="Arial Narrow"/>
                <w:b/>
                <w:sz w:val="18"/>
                <w:szCs w:val="18"/>
              </w:rPr>
            </w:pPr>
            <w:r w:rsidRPr="007F53B9">
              <w:rPr>
                <w:rFonts w:ascii="Arial Narrow" w:hAnsi="Arial Narrow"/>
                <w:b/>
                <w:sz w:val="18"/>
                <w:szCs w:val="18"/>
              </w:rPr>
              <w:t>Description</w:t>
            </w:r>
          </w:p>
        </w:tc>
        <w:tc>
          <w:tcPr>
            <w:tcW w:w="1965" w:type="dxa"/>
          </w:tcPr>
          <w:p w14:paraId="405502F7" w14:textId="77777777" w:rsidR="00FF5886" w:rsidRPr="007F53B9" w:rsidRDefault="00FF5886" w:rsidP="00BA0CDA">
            <w:pPr>
              <w:rPr>
                <w:rFonts w:ascii="Arial Narrow" w:hAnsi="Arial Narrow"/>
                <w:b/>
                <w:sz w:val="18"/>
                <w:szCs w:val="18"/>
              </w:rPr>
            </w:pPr>
            <w:r w:rsidRPr="007F53B9">
              <w:rPr>
                <w:rFonts w:ascii="Arial Narrow" w:hAnsi="Arial Narrow"/>
                <w:b/>
                <w:sz w:val="18"/>
                <w:szCs w:val="18"/>
              </w:rPr>
              <w:t xml:space="preserve">Cost </w:t>
            </w:r>
          </w:p>
        </w:tc>
      </w:tr>
      <w:tr w:rsidR="00FF5886" w:rsidRPr="007F53B9" w14:paraId="5ABB6D61" w14:textId="77777777" w:rsidTr="00BA0CDA">
        <w:tc>
          <w:tcPr>
            <w:tcW w:w="1100" w:type="dxa"/>
          </w:tcPr>
          <w:p w14:paraId="27B0BD6B" w14:textId="77777777" w:rsidR="00FF5886" w:rsidRPr="007F53B9" w:rsidRDefault="00FF5886" w:rsidP="00BA0CDA">
            <w:pPr>
              <w:rPr>
                <w:rFonts w:ascii="Arial Narrow" w:hAnsi="Arial Narrow"/>
                <w:sz w:val="18"/>
                <w:szCs w:val="18"/>
              </w:rPr>
            </w:pPr>
            <w:r w:rsidRPr="007F53B9">
              <w:rPr>
                <w:rFonts w:ascii="Arial Narrow" w:hAnsi="Arial Narrow"/>
                <w:sz w:val="18"/>
                <w:szCs w:val="18"/>
              </w:rPr>
              <w:t>73292</w:t>
            </w:r>
          </w:p>
        </w:tc>
        <w:tc>
          <w:tcPr>
            <w:tcW w:w="5951" w:type="dxa"/>
          </w:tcPr>
          <w:p w14:paraId="425F76BB" w14:textId="77777777" w:rsidR="00FF5886" w:rsidRPr="007F53B9" w:rsidRDefault="00FF5886" w:rsidP="00BA0CDA">
            <w:pPr>
              <w:rPr>
                <w:rFonts w:ascii="Arial Narrow" w:hAnsi="Arial Narrow"/>
                <w:sz w:val="18"/>
                <w:szCs w:val="18"/>
              </w:rPr>
            </w:pPr>
            <w:r w:rsidRPr="007F53B9">
              <w:rPr>
                <w:rFonts w:ascii="Arial Narrow" w:hAnsi="Arial Narrow" w:cs="Helvetica"/>
                <w:color w:val="222222"/>
                <w:sz w:val="18"/>
                <w:szCs w:val="18"/>
                <w:shd w:val="clear" w:color="auto" w:fill="FBFBFB"/>
              </w:rPr>
              <w:t xml:space="preserve">Analysis of chromosomes by genome-wide </w:t>
            </w:r>
            <w:r w:rsidR="00344CB2">
              <w:rPr>
                <w:rFonts w:ascii="Arial Narrow" w:hAnsi="Arial Narrow" w:cs="Helvetica"/>
                <w:color w:val="222222"/>
                <w:sz w:val="18"/>
                <w:szCs w:val="18"/>
                <w:shd w:val="clear" w:color="auto" w:fill="FBFBFB"/>
              </w:rPr>
              <w:t>microarray</w:t>
            </w:r>
            <w:r w:rsidRPr="007F53B9">
              <w:rPr>
                <w:rFonts w:ascii="Arial Narrow" w:hAnsi="Arial Narrow" w:cs="Helvetica"/>
                <w:color w:val="222222"/>
                <w:sz w:val="18"/>
                <w:szCs w:val="18"/>
                <w:shd w:val="clear" w:color="auto" w:fill="FBFBFB"/>
              </w:rPr>
              <w:t xml:space="preserve"> including targeted assessment of specific regions for constitutional genetic abnormalities in diagnostic studies of a person with developmental delay, intellectual disability, autism, or at least two congenital abnormalities (including a service in items 73287, 73289 or 73291, if performed)</w:t>
            </w:r>
            <w:r w:rsidRPr="007F53B9">
              <w:rPr>
                <w:rFonts w:ascii="Arial Narrow" w:hAnsi="Arial Narrow"/>
                <w:sz w:val="18"/>
                <w:szCs w:val="18"/>
              </w:rPr>
              <w:t>– 1 or more tests.</w:t>
            </w:r>
          </w:p>
        </w:tc>
        <w:tc>
          <w:tcPr>
            <w:tcW w:w="1965" w:type="dxa"/>
          </w:tcPr>
          <w:p w14:paraId="635ABB00" w14:textId="77777777" w:rsidR="00762D7F" w:rsidRDefault="00FF5886" w:rsidP="00BA0CDA">
            <w:pPr>
              <w:rPr>
                <w:rFonts w:ascii="Arial Narrow" w:hAnsi="Arial Narrow"/>
                <w:sz w:val="18"/>
                <w:szCs w:val="18"/>
              </w:rPr>
            </w:pPr>
            <w:r w:rsidRPr="007F53B9">
              <w:rPr>
                <w:rFonts w:ascii="Arial Narrow" w:hAnsi="Arial Narrow"/>
                <w:sz w:val="18"/>
                <w:szCs w:val="18"/>
              </w:rPr>
              <w:t xml:space="preserve">Fee: $589.90 </w:t>
            </w:r>
          </w:p>
          <w:p w14:paraId="2AC4CB63" w14:textId="77777777" w:rsidR="00FF5886" w:rsidRPr="007F53B9" w:rsidRDefault="00FF5886" w:rsidP="00BA0CDA">
            <w:pPr>
              <w:rPr>
                <w:rFonts w:ascii="Arial Narrow" w:hAnsi="Arial Narrow"/>
                <w:sz w:val="18"/>
                <w:szCs w:val="18"/>
              </w:rPr>
            </w:pPr>
            <w:r w:rsidRPr="007F53B9">
              <w:rPr>
                <w:rFonts w:ascii="Arial Narrow" w:hAnsi="Arial Narrow"/>
                <w:sz w:val="18"/>
                <w:szCs w:val="18"/>
              </w:rPr>
              <w:t>Benefit: 75% = $442.45 85% = $5</w:t>
            </w:r>
            <w:r>
              <w:rPr>
                <w:rFonts w:ascii="Arial Narrow" w:hAnsi="Arial Narrow"/>
                <w:sz w:val="18"/>
                <w:szCs w:val="18"/>
              </w:rPr>
              <w:t>08.20</w:t>
            </w:r>
          </w:p>
        </w:tc>
      </w:tr>
    </w:tbl>
    <w:p w14:paraId="636008F7" w14:textId="77777777" w:rsidR="00FF5886" w:rsidRPr="007F53B9" w:rsidRDefault="00FF5886" w:rsidP="00FF5886">
      <w:pPr>
        <w:spacing w:after="0"/>
        <w:rPr>
          <w:rFonts w:ascii="Arial Narrow" w:hAnsi="Arial Narrow" w:cstheme="minorHAnsi"/>
          <w:sz w:val="18"/>
          <w:szCs w:val="18"/>
        </w:rPr>
      </w:pPr>
      <w:r w:rsidRPr="007F53B9">
        <w:rPr>
          <w:rFonts w:ascii="Arial Narrow" w:hAnsi="Arial Narrow" w:cstheme="minorHAnsi"/>
          <w:sz w:val="18"/>
          <w:szCs w:val="18"/>
        </w:rPr>
        <w:t>Source: MBS online (accessed Jun 2018)</w:t>
      </w:r>
    </w:p>
    <w:p w14:paraId="7644C6B1" w14:textId="77777777" w:rsidR="00FF5886" w:rsidRPr="007F53B9" w:rsidRDefault="00FF5886" w:rsidP="00D7300D">
      <w:pPr>
        <w:rPr>
          <w:rFonts w:ascii="Arial Narrow" w:hAnsi="Arial Narrow" w:cstheme="minorHAnsi"/>
          <w:sz w:val="18"/>
          <w:szCs w:val="18"/>
        </w:rPr>
      </w:pPr>
      <w:r w:rsidRPr="007F53B9">
        <w:rPr>
          <w:rFonts w:ascii="Arial Narrow" w:hAnsi="Arial Narrow" w:cstheme="minorHAnsi"/>
          <w:sz w:val="18"/>
          <w:szCs w:val="18"/>
        </w:rPr>
        <w:t>Abbreviations: MBS, Medicare benefits schedule</w:t>
      </w:r>
    </w:p>
    <w:bookmarkEnd w:id="8"/>
    <w:p w14:paraId="478761C5" w14:textId="77777777" w:rsidR="00AB4A0A" w:rsidRPr="00597897" w:rsidRDefault="00AB4A0A" w:rsidP="00D21490">
      <w:pPr>
        <w:spacing w:after="160"/>
        <w:rPr>
          <w:i/>
          <w:u w:val="single"/>
        </w:rPr>
      </w:pPr>
      <w:r w:rsidRPr="00597897">
        <w:rPr>
          <w:i/>
          <w:u w:val="single"/>
        </w:rPr>
        <w:t>Rationale:</w:t>
      </w:r>
    </w:p>
    <w:p w14:paraId="2FBEAAF1" w14:textId="77777777" w:rsidR="0065507B" w:rsidRDefault="00AB4A0A" w:rsidP="00AB4A0A">
      <w:pPr>
        <w:spacing w:after="160"/>
      </w:pPr>
      <w:r>
        <w:t xml:space="preserve">The ability of the genome-wide microarray to detect abnormalities in CLL patients has been the subject of much research. </w:t>
      </w:r>
      <w:r w:rsidR="00AD2905">
        <w:t>T</w:t>
      </w:r>
      <w:r>
        <w:t xml:space="preserve">he </w:t>
      </w:r>
      <w:r w:rsidR="00AD2905">
        <w:t>use of genome-wide microarray alone (rather than in combination with FISH and karyotyping) has been investigated</w:t>
      </w:r>
      <w:r>
        <w:t xml:space="preserve">. </w:t>
      </w:r>
    </w:p>
    <w:p w14:paraId="40B0BA5D" w14:textId="6D486122" w:rsidR="00AB4A0A" w:rsidRDefault="00AB4A0A" w:rsidP="00AB4A0A">
      <w:pPr>
        <w:spacing w:after="160"/>
      </w:pPr>
      <w:r>
        <w:t>One study found that array CGH was able to detect abnormalities in 81% of cases, compared to 65% using FISH, and 28% using karyotyping</w:t>
      </w:r>
      <w:r>
        <w:fldChar w:fldCharType="begin"/>
      </w:r>
      <w:r w:rsidR="00537FBA">
        <w:instrText xml:space="preserve"> ADDIN EN.CITE &lt;EndNote&gt;&lt;Cite&gt;&lt;Author&gt;P.&lt;/Author&gt;&lt;Year&gt;2011&lt;/Year&gt;&lt;RecNum&gt;35&lt;/RecNum&gt;&lt;DisplayText&gt;&lt;style face="superscript"&gt;19&lt;/style&gt;&lt;/DisplayText&gt;&lt;record&gt;&lt;rec-number&gt;35&lt;/rec-number&gt;&lt;foreign-keys&gt;&lt;key app="EN" db-id="vepewp0vsd9e2pea20s5svf89az5we2t9d5v" timestamp="1529889329"&gt;35&lt;/key&gt;&lt;/foreign-keys&gt;&lt;ref-type name="Journal Article"&gt;17&lt;/ref-type&gt;&lt;contributors&gt;&lt;authors&gt;&lt;author&gt;O’MALLEY, D. P.&lt;/author&gt;&lt;author&gt;GIUDICE C.&lt;/author&gt;&lt;author&gt;CHANG A. S.&lt;/author&gt;&lt;author&gt;CHANG D.&lt;/author&gt;&lt;author&gt;BARRY T. S.&lt;/author&gt;&lt;author&gt;HIBBARD M. K.&lt;/author&gt;&lt;author&gt;CHEN R.&lt;/author&gt;&lt;author&gt;CHEN S.‐T.&lt;/author&gt;&lt;/authors&gt;&lt;/contributors&gt;&lt;titles&gt;&lt;title&gt;Comparison of array comparative genomic hybridization (aCGH) to FISH and cytogenetics in prognostic evaluation of chronic lymphocytic leukemia&lt;/title&gt;&lt;secondary-title&gt;International Journal of Laboratory Hematology&lt;/secondary-title&gt;&lt;/titles&gt;&lt;periodical&gt;&lt;full-title&gt;International Journal of Laboratory Hematology&lt;/full-title&gt;&lt;/periodical&gt;&lt;pages&gt;238-244&lt;/pages&gt;&lt;volume&gt;33&lt;/volume&gt;&lt;number&gt;3&lt;/number&gt;&lt;dates&gt;&lt;year&gt;2011&lt;/year&gt;&lt;/dates&gt;&lt;urls&gt;&lt;related-urls&gt;&lt;url&gt;https://onlinelibrary.wiley.com/doi/abs/10.1111/j.1751-553X.2010.01284.x&lt;/url&gt;&lt;/related-urls&gt;&lt;/urls&gt;&lt;electronic-resource-num&gt;doi:10.1111/j.1751-553X.2010.01284.x&lt;/electronic-resource-num&gt;&lt;/record&gt;&lt;/Cite&gt;&lt;/EndNote&gt;</w:instrText>
      </w:r>
      <w:r>
        <w:fldChar w:fldCharType="separate"/>
      </w:r>
      <w:r w:rsidR="00537FBA" w:rsidRPr="00537FBA">
        <w:rPr>
          <w:noProof/>
          <w:vertAlign w:val="superscript"/>
        </w:rPr>
        <w:t>19</w:t>
      </w:r>
      <w:r>
        <w:fldChar w:fldCharType="end"/>
      </w:r>
      <w:r>
        <w:t>. In the detection of del 17p, array CGH detected the abnormality in 11% of cases, while FISH detected it in 12%. In the subpopulation which was tested using both techniques, there was no discordance in findings. Other studies have found discordance between the results of genome-wide microarray testing and FISH but have confirmed that the rate of detection of del 17p using genome-wide microarray is approximately 11%</w:t>
      </w:r>
      <w:r>
        <w:fldChar w:fldCharType="begin">
          <w:fldData xml:space="preserve">PEVuZE5vdGU+PENpdGU+PEF1dGhvcj5TdGV2ZW5zLUtyb2VmPC9BdXRob3I+PFllYXI+MjAxNDwv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</w:fldData>
        </w:fldChar>
      </w:r>
      <w:r w:rsidR="00537FBA">
        <w:instrText xml:space="preserve"> ADDIN EN.CITE </w:instrText>
      </w:r>
      <w:r w:rsidR="00537FBA">
        <w:fldChar w:fldCharType="begin">
          <w:fldData xml:space="preserve">PEVuZE5vdGU+PENpdGU+PEF1dGhvcj5TdGV2ZW5zLUtyb2VmPC9BdXRob3I+PFllYXI+MjAxNDwv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</w:fldData>
        </w:fldChar>
      </w:r>
      <w:r w:rsidR="00537FBA">
        <w:instrText xml:space="preserve"> ADDIN EN.CITE.DATA </w:instrText>
      </w:r>
      <w:r w:rsidR="00537FBA">
        <w:fldChar w:fldCharType="end"/>
      </w:r>
      <w:r>
        <w:fldChar w:fldCharType="separate"/>
      </w:r>
      <w:r w:rsidR="00537FBA" w:rsidRPr="00537FBA">
        <w:rPr>
          <w:noProof/>
          <w:vertAlign w:val="superscript"/>
        </w:rPr>
        <w:t>20, 21</w:t>
      </w:r>
      <w:r>
        <w:fldChar w:fldCharType="end"/>
      </w:r>
      <w:r>
        <w:t>.</w:t>
      </w:r>
    </w:p>
    <w:p w14:paraId="56EA6151" w14:textId="0793CB77" w:rsidR="00AD2905" w:rsidRDefault="0065507B" w:rsidP="00D21490">
      <w:pPr>
        <w:spacing w:after="160"/>
      </w:pPr>
      <w:r>
        <w:t>In</w:t>
      </w:r>
      <w:r w:rsidRPr="007F53B9">
        <w:t xml:space="preserve"> a prospective population-based study of 123 patients with newly diagnosed MM with their samples undergoing karyotyping, FISH and oligonucleotide-array comparative genomic </w:t>
      </w:r>
      <w:r w:rsidR="00762D7F" w:rsidRPr="007F53B9">
        <w:t>hybridi</w:t>
      </w:r>
      <w:r w:rsidR="00762D7F">
        <w:t>s</w:t>
      </w:r>
      <w:r w:rsidR="00762D7F" w:rsidRPr="007F53B9">
        <w:t xml:space="preserve">ation </w:t>
      </w:r>
      <w:r w:rsidRPr="007F53B9">
        <w:t>(oaCGH). Clonal abnormalities were identified</w:t>
      </w:r>
      <w:r>
        <w:t xml:space="preserve"> in</w:t>
      </w:r>
      <w:r w:rsidRPr="007F53B9">
        <w:t xml:space="preserve"> 27%, 83% and 99% </w:t>
      </w:r>
      <w:r>
        <w:t>of cases</w:t>
      </w:r>
      <w:r w:rsidRPr="007F53B9">
        <w:t xml:space="preserve"> when conducting karyotyping, FISH and oaCGH, </w:t>
      </w:r>
      <w:r w:rsidRPr="001E30A9">
        <w:rPr>
          <w:rFonts w:asciiTheme="minorHAnsi" w:hAnsiTheme="minorHAnsi"/>
        </w:rPr>
        <w:t>respectively.</w:t>
      </w:r>
      <w:r w:rsidRPr="001E30A9">
        <w:rPr>
          <w:rFonts w:asciiTheme="minorHAnsi" w:eastAsia="Times-Roman" w:hAnsiTheme="minorHAnsi"/>
        </w:rPr>
        <w:t xml:space="preserve"> </w:t>
      </w:r>
      <w:r w:rsidRPr="007F53B9">
        <w:rPr>
          <w:rFonts w:eastAsia="Times-Roman"/>
        </w:rPr>
        <w:t>However, oaCGH is unable to detect gene arrangements, multiple clones, low level clonal aberrations and balanced translocations</w:t>
      </w:r>
      <w:r w:rsidRPr="007F53B9">
        <w:rPr>
          <w:rFonts w:eastAsia="Times-Roman"/>
        </w:rPr>
        <w:fldChar w:fldCharType="begin"/>
      </w:r>
      <w:r>
        <w:rPr>
          <w:rFonts w:eastAsia="Times-Roman"/>
        </w:rPr>
        <w:instrText xml:space="preserve"> ADDIN EN.CITE &lt;EndNote&gt;&lt;Cite&gt;&lt;Author&gt;Kjeldsen&lt;/Author&gt;&lt;Year&gt;2016&lt;/Year&gt;&lt;RecNum&gt;20&lt;/RecNum&gt;&lt;DisplayText&gt;&lt;style face="superscript"&gt;7&lt;/style&gt;&lt;/DisplayText&gt;&lt;record&gt;&lt;rec-number&gt;20&lt;/rec-number&gt;&lt;foreign-keys&gt;&lt;key app="EN" db-id="vepewp0vsd9e2pea20s5svf89az5we2t9d5v" timestamp="1529548644"&gt;20&lt;/key&gt;&lt;/foreign-keys&gt;&lt;ref-type name="Journal Article"&gt;17&lt;/ref-type&gt;&lt;contributors&gt;&lt;authors&gt;&lt;author&gt;Kjeldsen, Eigil&lt;/author&gt;&lt;/authors&gt;&lt;/contributors&gt;&lt;titles&gt;&lt;title&gt;Identification of prognostically relevant chromosomal abnormalities in routine diagnostics of multiple myeloma using genomic profiling&lt;/title&gt;&lt;secondary-title&gt;Cancer Genomics-Proteomics&lt;/secondary-title&gt;&lt;/titles&gt;&lt;periodical&gt;&lt;full-title&gt;Cancer Genomics-Proteomics&lt;/full-title&gt;&lt;/periodical&gt;&lt;pages&gt;91-127&lt;/pages&gt;&lt;volume&gt;13&lt;/volume&gt;&lt;number&gt;2&lt;/number&gt;&lt;dates&gt;&lt;year&gt;2016&lt;/year&gt;&lt;/dates&gt;&lt;isbn&gt;1109-6535&lt;/isbn&gt;&lt;urls&gt;&lt;/urls&gt;&lt;/record&gt;&lt;/Cite&gt;&lt;/EndNote&gt;</w:instrText>
      </w:r>
      <w:r w:rsidRPr="007F53B9">
        <w:rPr>
          <w:rFonts w:eastAsia="Times-Roman"/>
        </w:rPr>
        <w:fldChar w:fldCharType="separate"/>
      </w:r>
      <w:r w:rsidRPr="00D21490">
        <w:rPr>
          <w:rFonts w:eastAsia="Times-Roman"/>
          <w:noProof/>
          <w:vertAlign w:val="superscript"/>
        </w:rPr>
        <w:t>7</w:t>
      </w:r>
      <w:r w:rsidRPr="007F53B9">
        <w:rPr>
          <w:rFonts w:eastAsia="Times-Roman"/>
        </w:rPr>
        <w:fldChar w:fldCharType="end"/>
      </w:r>
      <w:r>
        <w:rPr>
          <w:rFonts w:eastAsia="Times-Roman"/>
        </w:rPr>
        <w:t>.</w:t>
      </w:r>
      <w:r w:rsidRPr="007F53B9">
        <w:t xml:space="preserve"> Furthermore, a caveat of CGH, a</w:t>
      </w:r>
      <w:r>
        <w:t xml:space="preserve">rray </w:t>
      </w:r>
      <w:r w:rsidRPr="007F53B9">
        <w:t xml:space="preserve">CGH and SNP </w:t>
      </w:r>
      <w:r>
        <w:t>microarray</w:t>
      </w:r>
      <w:r w:rsidRPr="007F53B9">
        <w:t xml:space="preserve"> are their inability to identify triploidy or tetraploidy</w:t>
      </w:r>
      <w:r w:rsidRPr="007F53B9">
        <w:fldChar w:fldCharType="begin"/>
      </w:r>
      <w:r w:rsidR="00537FBA">
        <w:instrText xml:space="preserve"> ADDIN EN.CITE &lt;EndNote&gt;&lt;Cite&gt;&lt;Author&gt;Agnelli&lt;/Author&gt;&lt;Year&gt;2009&lt;/Year&gt;&lt;RecNum&gt;3&lt;/RecNum&gt;&lt;DisplayText&gt;&lt;style face="superscript"&gt;22&lt;/style&gt;&lt;/DisplayText&gt;&lt;record&gt;&lt;rec-number&gt;3&lt;/rec-number&gt;&lt;foreign-keys&gt;&lt;key app="EN" db-id="vepewp0vsd9e2pea20s5svf89az5we2t9d5v" timestamp="1529548643"&gt;3&lt;/key&gt;&lt;/foreign-keys&gt;&lt;ref-type name="Journal Article"&gt;17&lt;/ref-type&gt;&lt;contributors&gt;&lt;authors&gt;&lt;author&gt;Agnelli, Luca&lt;/author&gt;&lt;author&gt;Mosca, Laura&lt;/author&gt;&lt;author&gt;Fabris, Sonia&lt;/author&gt;&lt;author&gt;Lionetti, Marta&lt;/author&gt;&lt;author&gt;Andronache, Adrian&lt;/author&gt;&lt;author&gt;Kwee, Ivo&lt;/author&gt;&lt;author&gt;Todoerti, Katia&lt;/author&gt;&lt;author&gt;Verdelli, Donata&lt;/author&gt;&lt;author&gt;Battaglia, Cristina&lt;/author&gt;&lt;author&gt;Bertoni, Francesco&lt;/author&gt;&lt;/authors&gt;&lt;/contributors&gt;&lt;titles&gt;&lt;title&gt;A SNP microarray and FISH‐based procedure to detect allelic imbalances in multiple myeloma: An integrated genomics approach reveals a wide gene dosage effect&lt;/title&gt;&lt;secondary-title&gt;Genes, Chromosomes and Cancer&lt;/secondary-title&gt;&lt;/titles&gt;&lt;periodical&gt;&lt;full-title&gt;Genes, Chromosomes and Cancer&lt;/full-title&gt;&lt;/periodical&gt;&lt;pages&gt;603-614&lt;/pages&gt;&lt;volume&gt;48&lt;/volume&gt;&lt;number&gt;7&lt;/number&gt;&lt;dates&gt;&lt;year&gt;2009&lt;/year&gt;&lt;/dates&gt;&lt;isbn&gt;1098-2264&lt;/isbn&gt;&lt;urls&gt;&lt;/urls&gt;&lt;/record&gt;&lt;/Cite&gt;&lt;/EndNote&gt;</w:instrText>
      </w:r>
      <w:r w:rsidRPr="007F53B9">
        <w:fldChar w:fldCharType="separate"/>
      </w:r>
      <w:r w:rsidR="00537FBA" w:rsidRPr="00537FBA">
        <w:rPr>
          <w:noProof/>
          <w:vertAlign w:val="superscript"/>
        </w:rPr>
        <w:t>22</w:t>
      </w:r>
      <w:r w:rsidRPr="007F53B9">
        <w:fldChar w:fldCharType="end"/>
      </w:r>
      <w:r w:rsidR="000D01BA">
        <w:t>.</w:t>
      </w:r>
    </w:p>
    <w:p w14:paraId="78A450F7" w14:textId="77777777" w:rsidR="00896845" w:rsidRPr="007F53B9" w:rsidRDefault="00896845">
      <w:pPr>
        <w:rPr>
          <w:b/>
        </w:rPr>
      </w:pPr>
      <w:r w:rsidRPr="007F53B9">
        <w:rPr>
          <w:b/>
        </w:rPr>
        <w:t>Comparator</w:t>
      </w:r>
    </w:p>
    <w:p w14:paraId="52C30D30" w14:textId="77777777" w:rsidR="00FF5886" w:rsidRPr="007F53B9" w:rsidRDefault="00FF5886" w:rsidP="00597897">
      <w:pPr>
        <w:spacing w:after="160"/>
        <w:rPr>
          <w:rFonts w:eastAsiaTheme="minorHAnsi"/>
        </w:rPr>
      </w:pPr>
      <w:bookmarkStart w:id="10" w:name="_Hlk534806263"/>
      <w:r>
        <w:t>The main comparators for</w:t>
      </w:r>
      <w:r w:rsidR="00892706">
        <w:t xml:space="preserve"> genome-wide </w:t>
      </w:r>
      <w:r w:rsidR="00344CB2">
        <w:t>microarray</w:t>
      </w:r>
      <w:r>
        <w:t xml:space="preserve"> are FISH testing and karyotyping.</w:t>
      </w:r>
      <w:r w:rsidR="003A4D20">
        <w:t xml:space="preserve"> </w:t>
      </w:r>
      <w:r w:rsidR="00C57FA6">
        <w:t xml:space="preserve">Genome-wide </w:t>
      </w:r>
      <w:r w:rsidR="00344CB2">
        <w:t>microarray</w:t>
      </w:r>
      <w:r w:rsidR="00C57FA6">
        <w:t xml:space="preserve"> would likely be employed with FISH testing but is likely to replace standard karyotyping in diagnostic assessments of MM and CLL.</w:t>
      </w:r>
    </w:p>
    <w:p w14:paraId="1FDDD536" w14:textId="77777777" w:rsidR="00E87C6E" w:rsidRPr="00FF5886" w:rsidRDefault="00E87C6E" w:rsidP="00597897">
      <w:pPr>
        <w:autoSpaceDE w:val="0"/>
        <w:autoSpaceDN w:val="0"/>
        <w:adjustRightInd w:val="0"/>
        <w:spacing w:after="160" w:line="240" w:lineRule="auto"/>
        <w:rPr>
          <w:rFonts w:asciiTheme="minorHAnsi" w:eastAsiaTheme="minorHAnsi" w:hAnsiTheme="minorHAnsi" w:cstheme="minorHAnsi"/>
        </w:rPr>
      </w:pPr>
      <w:r w:rsidRPr="00D7300D">
        <w:rPr>
          <w:rFonts w:asciiTheme="minorHAnsi" w:eastAsiaTheme="minorHAnsi" w:hAnsiTheme="minorHAnsi" w:cstheme="minorHAnsi"/>
          <w:u w:val="single"/>
        </w:rPr>
        <w:t>Karyotyping</w:t>
      </w:r>
    </w:p>
    <w:p w14:paraId="1C494C3D" w14:textId="6C2E3711" w:rsidR="00FF5886" w:rsidRPr="00D7300D" w:rsidRDefault="00FF5886" w:rsidP="00597897">
      <w:pPr>
        <w:spacing w:after="160"/>
      </w:pPr>
      <w:r w:rsidRPr="007F53B9">
        <w:t>Chromosome analysis or karyotyping is a test that evaluates the number and structure of a person</w:t>
      </w:r>
      <w:r w:rsidR="00762D7F">
        <w:t>’</w:t>
      </w:r>
      <w:r w:rsidRPr="007F53B9">
        <w:t>s chromosomes in order to detect abnormalities. K</w:t>
      </w:r>
      <w:r w:rsidRPr="007F53B9">
        <w:rPr>
          <w:rFonts w:eastAsiaTheme="minorHAnsi"/>
        </w:rPr>
        <w:t>aryotyping reveals cytogenetic abnormalities in 20% to 30% of patients, those being mainly numerical abnormalities (seen with chromosomes). Several translocations such as t(4;14) are not detected</w:t>
      </w:r>
      <w:r w:rsidRPr="007F53B9">
        <w:rPr>
          <w:rFonts w:eastAsiaTheme="minorHAnsi"/>
        </w:rPr>
        <w:fldChar w:fldCharType="begin"/>
      </w:r>
      <w:r w:rsidR="00D21490">
        <w:rPr>
          <w:rFonts w:eastAsiaTheme="minorHAnsi"/>
        </w:rPr>
        <w:instrText xml:space="preserve"> ADDIN EN.CITE &lt;EndNote&gt;&lt;Cite&gt;&lt;Author&gt;Sonneveld&lt;/Author&gt;&lt;Year&gt;2016&lt;/Year&gt;&lt;RecNum&gt;29&lt;/RecNum&gt;&lt;DisplayText&gt;&lt;style face="superscript"&gt;11&lt;/style&gt;&lt;/DisplayText&gt;&lt;record&gt;&lt;rec-number&gt;29&lt;/rec-number&gt;&lt;foreign-keys&gt;&lt;key app="EN" db-id="vepewp0vsd9e2pea20s5svf89az5we2t9d5v" timestamp="1529548644"&gt;29&lt;/key&gt;&lt;/foreign-keys&gt;&lt;ref-type name="Journal Article"&gt;17&lt;/ref-type&gt;&lt;contributors&gt;&lt;authors&gt;&lt;author&gt;Sonneveld, Pieter&lt;/author&gt;&lt;author&gt;Avet-Loiseau, Hervé&lt;/author&gt;&lt;author&gt;Lonial, Sagar&lt;/author&gt;&lt;author&gt;Usmani, Saad&lt;/author&gt;&lt;author&gt;Siegel, David&lt;/author&gt;&lt;author&gt;Anderson, Kenneth C&lt;/author&gt;&lt;author&gt;Chng, Wee-Joo&lt;/author&gt;&lt;author&gt;Moreau, Philippe&lt;/author&gt;&lt;author&gt;Attal, Michel&lt;/author&gt;&lt;author&gt;Kyle, Robert A&lt;/author&gt;&lt;/authors&gt;&lt;/contributors&gt;&lt;titles&gt;&lt;title&gt;Treatment of multiple myeloma with high-risk cytogenetics: a consensus of the International Myeloma Working Group&lt;/title&gt;&lt;secondary-title&gt;Blood&lt;/secondary-title&gt;&lt;/titles&gt;&lt;periodical&gt;&lt;full-title&gt;Blood&lt;/full-title&gt;&lt;/periodical&gt;&lt;pages&gt;2955-2962&lt;/pages&gt;&lt;volume&gt;127&lt;/volume&gt;&lt;number&gt;24&lt;/number&gt;&lt;dates&gt;&lt;year&gt;2016&lt;/year&gt;&lt;/dates&gt;&lt;isbn&gt;0006-4971&lt;/isbn&gt;&lt;urls&gt;&lt;/urls&gt;&lt;/record&gt;&lt;/Cite&gt;&lt;/EndNote&gt;</w:instrText>
      </w:r>
      <w:r w:rsidRPr="007F53B9">
        <w:rPr>
          <w:rFonts w:eastAsiaTheme="minorHAnsi"/>
        </w:rPr>
        <w:fldChar w:fldCharType="separate"/>
      </w:r>
      <w:r w:rsidR="00D21490" w:rsidRPr="00D21490">
        <w:rPr>
          <w:rFonts w:eastAsiaTheme="minorHAnsi"/>
          <w:noProof/>
          <w:vertAlign w:val="superscript"/>
        </w:rPr>
        <w:t>11</w:t>
      </w:r>
      <w:r w:rsidRPr="007F53B9">
        <w:rPr>
          <w:rFonts w:eastAsiaTheme="minorHAnsi"/>
        </w:rPr>
        <w:fldChar w:fldCharType="end"/>
      </w:r>
      <w:r>
        <w:rPr>
          <w:rFonts w:eastAsiaTheme="minorHAnsi"/>
        </w:rPr>
        <w:t xml:space="preserve">. </w:t>
      </w:r>
      <w:r w:rsidRPr="007F53B9">
        <w:rPr>
          <w:rFonts w:asciiTheme="minorHAnsi" w:eastAsiaTheme="minorHAnsi" w:hAnsiTheme="minorHAnsi" w:cstheme="minorHAnsi"/>
        </w:rPr>
        <w:t xml:space="preserve">Karyotyping is able to detect trisomy, </w:t>
      </w:r>
      <w:r w:rsidRPr="000D01BA">
        <w:rPr>
          <w:rFonts w:asciiTheme="minorHAnsi" w:eastAsiaTheme="minorHAnsi" w:hAnsiTheme="minorHAnsi" w:cstheme="minorHAnsi"/>
        </w:rPr>
        <w:t>monosomy, deletions, duplications, translocations and genetic rearrangement</w:t>
      </w:r>
      <w:r w:rsidRPr="00597897">
        <w:fldChar w:fldCharType="begin"/>
      </w:r>
      <w:r w:rsidR="00D80804" w:rsidRPr="000D01BA">
        <w:instrText xml:space="preserve"> ADDIN EN.CITE &lt;EndNote&gt;&lt;Cite&gt;&lt;Author&gt;Lab tests online&lt;/Author&gt;&lt;Year&gt;Accessed 25 May 2018&lt;/Year&gt;&lt;RecNum&gt;20&lt;/RecNum&gt;&lt;DisplayText&gt;&lt;style face="superscript"&gt;23&lt;/style&gt;&lt;/DisplayText&gt;&lt;record&gt;&lt;rec-number&gt;20&lt;/rec-number&gt;&lt;foreign-keys&gt;&lt;key app="EN" db-id="etetv2xvcdvsviev2ppxs9v2v9wadxdpa59d" timestamp="1527207929"&gt;20&lt;/key&gt;&lt;/foreign-keys&gt;&lt;ref-type name="Web Page"&gt;12&lt;/ref-type&gt;&lt;contributors&gt;&lt;authors&gt;&lt;author&gt;Lab tests online, &lt;/author&gt;&lt;/authors&gt;&lt;/contributors&gt;&lt;titles&gt;&lt;title&gt;Chromosome Analysis (Karyotyping)&lt;/title&gt;&lt;/titles&gt;&lt;dates&gt;&lt;year&gt;Accessed 25 May 2018&lt;/year&gt;&lt;/dates&gt;&lt;urls&gt;&lt;related-urls&gt;&lt;url&gt;https://www.labtestsonline.org.au/learning/test-index/chromosome-analysis-karyotyping. &lt;/url&gt;&lt;/related-urls&gt;&lt;/urls&gt;&lt;/record&gt;&lt;/Cite&gt;&lt;/EndNote&gt;</w:instrText>
      </w:r>
      <w:r w:rsidRPr="00597897">
        <w:fldChar w:fldCharType="separate"/>
      </w:r>
      <w:r w:rsidR="00D80804" w:rsidRPr="000D01BA">
        <w:rPr>
          <w:noProof/>
          <w:vertAlign w:val="superscript"/>
        </w:rPr>
        <w:t>23</w:t>
      </w:r>
      <w:r w:rsidRPr="00597897">
        <w:fldChar w:fldCharType="end"/>
      </w:r>
      <w:r w:rsidRPr="000D01BA">
        <w:t>.</w:t>
      </w:r>
      <w:r w:rsidR="000A3F98" w:rsidRPr="000D01BA">
        <w:t xml:space="preserve"> Of note, </w:t>
      </w:r>
      <w:r w:rsidR="000A3F98" w:rsidRPr="000D01BA">
        <w:rPr>
          <w:rFonts w:asciiTheme="minorHAnsi" w:hAnsiTheme="minorHAnsi" w:cstheme="minorHAnsi"/>
        </w:rPr>
        <w:t>cytogenetic analysis with karyotyping</w:t>
      </w:r>
      <w:r w:rsidR="000A3F98" w:rsidRPr="00597897">
        <w:rPr>
          <w:rFonts w:asciiTheme="minorHAnsi" w:eastAsiaTheme="minorHAnsi" w:hAnsiTheme="minorHAnsi" w:cstheme="minorHAnsi"/>
        </w:rPr>
        <w:t xml:space="preserve"> in MM is often only possible in patients with &gt;15% plasma cells in the aspirate as the yield of metaphases is low with a lesser plasma cell burden.</w:t>
      </w:r>
      <w:r w:rsidR="000A3F98" w:rsidRPr="00597897">
        <w:rPr>
          <w:rFonts w:asciiTheme="minorHAnsi" w:eastAsiaTheme="minorHAnsi" w:hAnsiTheme="minorHAnsi" w:cstheme="minorHAnsi"/>
        </w:rPr>
        <w:fldChar w:fldCharType="begin"/>
      </w:r>
      <w:r w:rsidR="00D21490" w:rsidRPr="00597897">
        <w:rPr>
          <w:rFonts w:asciiTheme="minorHAnsi" w:eastAsiaTheme="minorHAnsi" w:hAnsiTheme="minorHAnsi" w:cstheme="minorHAnsi"/>
        </w:rPr>
        <w:instrText xml:space="preserve"> ADDIN EN.CITE &lt;EndNote&gt;&lt;Cite&gt;&lt;Author&gt;Australia&lt;/Author&gt;&lt;Year&gt;2017&lt;/Year&gt;&lt;RecNum&gt;4&lt;/RecNum&gt;&lt;DisplayText&gt;&lt;style face="superscript"&gt;9&lt;/style&gt;&lt;/DisplayText&gt;&lt;record&gt;&lt;rec-number&gt;4&lt;/rec-number&gt;&lt;foreign-keys&gt;&lt;key app="EN" db-id="vepewp0vsd9e2pea20s5svf89az5we2t9d5v" timestamp="1529548643"&gt;4&lt;/key&gt;&lt;/foreign-keys&gt;&lt;ref-type name="Report"&gt;27&lt;/ref-type&gt;&lt;contributors&gt;&lt;authors&gt;&lt;author&gt;Myeloma Australia&lt;/author&gt;&lt;/authors&gt;&lt;/contributors&gt;&lt;titles&gt;&lt;title&gt;Clinical Practice Guideline MULTIPLE MYELOMA&lt;/title&gt;&lt;/titles&gt;&lt;dates&gt;&lt;year&gt;2017&lt;/year&gt;&lt;/dates&gt;&lt;urls&gt;&lt;related-urls&gt;&lt;url&gt;http://myeloma.org.au/wp-content/uploads/2017/10/MSAG-Clinical-Practice-Guideline-Myeloma-V4-March-2017.pdf&lt;/url&gt;&lt;/related-urls&gt;&lt;/urls&gt;&lt;access-date&gt;12 June 1028&lt;/access-date&gt;&lt;/record&gt;&lt;/Cite&gt;&lt;/EndNote&gt;</w:instrText>
      </w:r>
      <w:r w:rsidR="000A3F98" w:rsidRPr="00597897">
        <w:rPr>
          <w:rFonts w:asciiTheme="minorHAnsi" w:eastAsiaTheme="minorHAnsi" w:hAnsiTheme="minorHAnsi" w:cstheme="minorHAnsi"/>
        </w:rPr>
        <w:fldChar w:fldCharType="separate"/>
      </w:r>
      <w:r w:rsidR="00D21490" w:rsidRPr="00597897">
        <w:rPr>
          <w:rFonts w:asciiTheme="minorHAnsi" w:eastAsiaTheme="minorHAnsi" w:hAnsiTheme="minorHAnsi" w:cstheme="minorHAnsi"/>
          <w:noProof/>
          <w:vertAlign w:val="superscript"/>
        </w:rPr>
        <w:t>9</w:t>
      </w:r>
      <w:r w:rsidR="000A3F98" w:rsidRPr="00597897">
        <w:rPr>
          <w:rFonts w:asciiTheme="minorHAnsi" w:eastAsiaTheme="minorHAnsi" w:hAnsiTheme="minorHAnsi" w:cstheme="minorHAnsi"/>
        </w:rPr>
        <w:fldChar w:fldCharType="end"/>
      </w:r>
      <w:r w:rsidR="000A3F98" w:rsidRPr="00597897">
        <w:rPr>
          <w:rFonts w:asciiTheme="minorHAnsi" w:eastAsiaTheme="minorHAnsi" w:hAnsiTheme="minorHAnsi" w:cstheme="minorHAnsi"/>
        </w:rPr>
        <w:t xml:space="preserve"> Due to this limitation, karyotyping </w:t>
      </w:r>
      <w:r w:rsidR="003D4531" w:rsidRPr="00597897">
        <w:rPr>
          <w:rFonts w:asciiTheme="minorHAnsi" w:eastAsiaTheme="minorHAnsi" w:hAnsiTheme="minorHAnsi" w:cstheme="minorHAnsi"/>
        </w:rPr>
        <w:t>is prone to failure</w:t>
      </w:r>
      <w:r w:rsidR="003D4531" w:rsidRPr="00597897">
        <w:rPr>
          <w:rFonts w:asciiTheme="minorHAnsi" w:eastAsiaTheme="minorHAnsi" w:hAnsiTheme="minorHAnsi" w:cstheme="minorHAnsi"/>
        </w:rPr>
        <w:fldChar w:fldCharType="begin"/>
      </w:r>
      <w:r w:rsidR="00D80804" w:rsidRPr="00597897">
        <w:rPr>
          <w:rFonts w:asciiTheme="minorHAnsi" w:eastAsiaTheme="minorHAnsi" w:hAnsiTheme="minorHAnsi" w:cstheme="minorHAnsi"/>
        </w:rPr>
        <w:instrText xml:space="preserve"> ADDIN EN.CITE &lt;EndNote&gt;&lt;Cite&gt;&lt;Author&gt;Stevens‐Kroef&lt;/Author&gt;&lt;Year&gt;2017&lt;/Year&gt;&lt;RecNum&gt;77&lt;/RecNum&gt;&lt;DisplayText&gt;&lt;style face="superscript"&gt;24&lt;/style&gt;&lt;/DisplayText&gt;&lt;record&gt;&lt;rec-number&gt;77&lt;/rec-number&gt;&lt;foreign-keys&gt;&lt;key app="EN" db-id="vepewp0vsd9e2pea20s5svf89az5we2t9d5v" timestamp="1531098597"&gt;77&lt;/key&gt;&lt;/foreign-keys&gt;&lt;ref-type name="Journal Article"&gt;17&lt;/ref-type&gt;&lt;contributors&gt;&lt;authors&gt;&lt;author&gt;Stevens‐Kroef, Marian J&lt;/author&gt;&lt;author&gt;Olde Weghuis, Daniel&lt;/author&gt;&lt;author&gt;ElIdrissi‐Zaynoun, Najat&lt;/author&gt;&lt;author&gt;van der Reijden, Bert&lt;/author&gt;&lt;author&gt;Cremers, Eline MP&lt;/author&gt;&lt;author&gt;Alhan, Canan&lt;/author&gt;&lt;author&gt;Westers, Theresia M&lt;/author&gt;&lt;author&gt;Visser‐Wisselaar, Heleen A&lt;/author&gt;&lt;author&gt;Chitu, Dana A&lt;/author&gt;&lt;author&gt;Cunha, Sonia M&lt;/author&gt;&lt;/authors&gt;&lt;/contributors&gt;&lt;titles&gt;&lt;title&gt;Genomic array as compared to karyotyping in myelodysplastic syndromes in a prospective clinical trial&lt;/title&gt;&lt;secondary-title&gt;Genes, Chromosomes and Cancer&lt;/secondary-title&gt;&lt;/titles&gt;&lt;periodical&gt;&lt;full-title&gt;Genes, Chromosomes and Cancer&lt;/full-title&gt;&lt;/periodical&gt;&lt;pages&gt;524-534&lt;/pages&gt;&lt;volume&gt;56&lt;/volume&gt;&lt;number&gt;7&lt;/number&gt;&lt;dates&gt;&lt;year&gt;2017&lt;/year&gt;&lt;/dates&gt;&lt;isbn&gt;1045-2257&lt;/isbn&gt;&lt;urls&gt;&lt;/urls&gt;&lt;/record&gt;&lt;/Cite&gt;&lt;/EndNote&gt;</w:instrText>
      </w:r>
      <w:r w:rsidR="003D4531" w:rsidRPr="00597897">
        <w:rPr>
          <w:rFonts w:asciiTheme="minorHAnsi" w:eastAsiaTheme="minorHAnsi" w:hAnsiTheme="minorHAnsi" w:cstheme="minorHAnsi"/>
        </w:rPr>
        <w:fldChar w:fldCharType="separate"/>
      </w:r>
      <w:r w:rsidR="00D80804" w:rsidRPr="00597897">
        <w:rPr>
          <w:rFonts w:asciiTheme="minorHAnsi" w:eastAsiaTheme="minorHAnsi" w:hAnsiTheme="minorHAnsi" w:cstheme="minorHAnsi"/>
          <w:noProof/>
          <w:vertAlign w:val="superscript"/>
        </w:rPr>
        <w:t>24</w:t>
      </w:r>
      <w:r w:rsidR="003D4531" w:rsidRPr="00597897">
        <w:rPr>
          <w:rFonts w:asciiTheme="minorHAnsi" w:eastAsiaTheme="minorHAnsi" w:hAnsiTheme="minorHAnsi" w:cstheme="minorHAnsi"/>
        </w:rPr>
        <w:fldChar w:fldCharType="end"/>
      </w:r>
      <w:r w:rsidR="000A3F98" w:rsidRPr="00597897">
        <w:rPr>
          <w:rFonts w:asciiTheme="minorHAnsi" w:eastAsiaTheme="minorHAnsi" w:hAnsiTheme="minorHAnsi" w:cstheme="minorHAnsi"/>
        </w:rPr>
        <w:t>.</w:t>
      </w:r>
    </w:p>
    <w:p w14:paraId="42FE8EE9" w14:textId="496BDC40" w:rsidR="00E96327" w:rsidRPr="00D7300D" w:rsidRDefault="001B350A" w:rsidP="00FF5886">
      <w:r>
        <w:t>Currently karyotyping</w:t>
      </w:r>
      <w:r w:rsidRPr="007F53B9">
        <w:t xml:space="preserve"> for haematological malignancy is available under the current MBS item: 73290 </w:t>
      </w:r>
      <w:r w:rsidRPr="00316590">
        <w:rPr>
          <w:rFonts w:asciiTheme="minorHAnsi" w:hAnsiTheme="minorHAnsi" w:cstheme="minorHAnsi"/>
        </w:rPr>
        <w:t>(</w:t>
      </w:r>
      <w:r w:rsidR="00316590" w:rsidRPr="00316590">
        <w:rPr>
          <w:rFonts w:asciiTheme="minorHAnsi" w:hAnsiTheme="minorHAnsi" w:cstheme="minorHAnsi"/>
        </w:rPr>
        <w:fldChar w:fldCharType="begin"/>
      </w:r>
      <w:r w:rsidR="00316590" w:rsidRPr="00316590">
        <w:rPr>
          <w:rFonts w:asciiTheme="minorHAnsi" w:hAnsiTheme="minorHAnsi" w:cstheme="minorHAnsi"/>
        </w:rPr>
        <w:instrText xml:space="preserve"> REF _Ref519257450 \h  \* MERGEFORMAT </w:instrText>
      </w:r>
      <w:r w:rsidR="00316590" w:rsidRPr="00316590">
        <w:rPr>
          <w:rFonts w:asciiTheme="minorHAnsi" w:hAnsiTheme="minorHAnsi" w:cstheme="minorHAnsi"/>
        </w:rPr>
      </w:r>
      <w:r w:rsidR="00316590" w:rsidRPr="00316590">
        <w:rPr>
          <w:rFonts w:asciiTheme="minorHAnsi" w:hAnsiTheme="minorHAnsi" w:cstheme="minorHAnsi"/>
        </w:rPr>
        <w:fldChar w:fldCharType="separate"/>
      </w:r>
      <w:r w:rsidR="004E352B" w:rsidRPr="004E352B">
        <w:rPr>
          <w:rFonts w:asciiTheme="minorHAnsi" w:hAnsiTheme="minorHAnsi" w:cstheme="minorHAnsi"/>
        </w:rPr>
        <w:t xml:space="preserve">Table </w:t>
      </w:r>
      <w:r w:rsidR="004E352B" w:rsidRPr="004E352B">
        <w:rPr>
          <w:rFonts w:asciiTheme="minorHAnsi" w:hAnsiTheme="minorHAnsi" w:cstheme="minorHAnsi"/>
          <w:noProof/>
        </w:rPr>
        <w:t>2</w:t>
      </w:r>
      <w:r w:rsidR="00316590" w:rsidRPr="00316590">
        <w:rPr>
          <w:rFonts w:asciiTheme="minorHAnsi" w:hAnsiTheme="minorHAnsi" w:cstheme="minorHAnsi"/>
        </w:rPr>
        <w:fldChar w:fldCharType="end"/>
      </w:r>
      <w:r w:rsidRPr="00316590">
        <w:rPr>
          <w:rFonts w:asciiTheme="minorHAnsi" w:hAnsiTheme="minorHAnsi" w:cstheme="minorHAnsi"/>
        </w:rPr>
        <w:t>).</w:t>
      </w:r>
      <w:r>
        <w:t xml:space="preserve"> The test has a cost of $394.55, with a rebate for all or part of the cost but has a Medicare rebate of $335.40, subject to the requirements of the Medicare descriptor being met.</w:t>
      </w:r>
      <w:r w:rsidR="00FF5886" w:rsidRPr="007F53B9">
        <w:rPr>
          <w:rFonts w:asciiTheme="minorHAnsi" w:hAnsiTheme="minorHAnsi" w:cstheme="minorHAnsi"/>
        </w:rPr>
        <w:t xml:space="preserve"> Test turnaround is 18 working days for karyotyping</w:t>
      </w:r>
      <w:r w:rsidR="00FF5886" w:rsidRPr="007F53B9">
        <w:rPr>
          <w:rFonts w:asciiTheme="minorHAnsi" w:hAnsiTheme="minorHAnsi" w:cstheme="minorHAnsi"/>
        </w:rPr>
        <w:fldChar w:fldCharType="begin"/>
      </w:r>
      <w:r w:rsidR="00D80804">
        <w:rPr>
          <w:rFonts w:asciiTheme="minorHAnsi" w:hAnsiTheme="minorHAnsi" w:cstheme="minorHAnsi"/>
        </w:rPr>
        <w:instrText xml:space="preserve"> ADDIN EN.CITE &lt;EndNote&gt;&lt;Cite&gt;&lt;Author&gt;Genetics&lt;/Author&gt;&lt;Year&gt;2017&lt;/Year&gt;&lt;RecNum&gt;13&lt;/RecNum&gt;&lt;DisplayText&gt;&lt;style face="superscript"&gt;25&lt;/style&gt;&lt;/DisplayText&gt;&lt;record&gt;&lt;rec-number&gt;13&lt;/rec-number&gt;&lt;foreign-keys&gt;&lt;key app="EN" db-id="vepewp0vsd9e2pea20s5svf89az5we2t9d5v" timestamp="1529548643"&gt;13&lt;/key&gt;&lt;/foreign-keys&gt;&lt;ref-type name="Web Page"&gt;12&lt;/ref-type&gt;&lt;contributors&gt;&lt;authors&gt;&lt;author&gt;Sonic Genetics,&lt;/author&gt;&lt;/authors&gt;&lt;/contributors&gt;&lt;titles&gt;&lt;title&gt;Karyotype(blood)&lt;/title&gt;&lt;/titles&gt;&lt;number&gt;19 June 2018&lt;/number&gt;&lt;dates&gt;&lt;year&gt;2017&lt;/year&gt;&lt;/dates&gt;&lt;urls&gt;&lt;related-urls&gt;&lt;url&gt;https://www.sonicgenetics.com.au/tests/karyotype-blood/&lt;/url&gt;&lt;/related-urls&gt;&lt;/urls&gt;&lt;/record&gt;&lt;/Cite&gt;&lt;/EndNote&gt;</w:instrText>
      </w:r>
      <w:r w:rsidR="00FF5886" w:rsidRPr="007F53B9">
        <w:rPr>
          <w:rFonts w:asciiTheme="minorHAnsi" w:hAnsiTheme="minorHAnsi" w:cstheme="minorHAnsi"/>
        </w:rPr>
        <w:fldChar w:fldCharType="separate"/>
      </w:r>
      <w:r w:rsidR="00D80804" w:rsidRPr="00D80804">
        <w:rPr>
          <w:rFonts w:asciiTheme="minorHAnsi" w:hAnsiTheme="minorHAnsi" w:cstheme="minorHAnsi"/>
          <w:noProof/>
          <w:vertAlign w:val="superscript"/>
        </w:rPr>
        <w:t>25</w:t>
      </w:r>
      <w:r w:rsidR="00FF5886" w:rsidRPr="007F53B9">
        <w:rPr>
          <w:rFonts w:asciiTheme="minorHAnsi" w:hAnsiTheme="minorHAnsi" w:cstheme="minorHAnsi"/>
        </w:rPr>
        <w:fldChar w:fldCharType="end"/>
      </w:r>
      <w:r w:rsidR="00FF5886">
        <w:rPr>
          <w:rFonts w:asciiTheme="minorHAnsi" w:hAnsiTheme="minorHAnsi" w:cstheme="minorHAnsi"/>
        </w:rPr>
        <w:t>.</w:t>
      </w:r>
      <w:r w:rsidR="001C173E">
        <w:t xml:space="preserve"> </w:t>
      </w:r>
      <w:r w:rsidR="000B2622">
        <w:t>K</w:t>
      </w:r>
      <w:r w:rsidR="00E84E6C">
        <w:t>aryotyping qualifies as a low complexity test</w:t>
      </w:r>
      <w:r w:rsidR="00E84E6C">
        <w:fldChar w:fldCharType="begin"/>
      </w:r>
      <w:r w:rsidR="00537FBA">
        <w:instrText xml:space="preserve"> ADDIN EN.CITE &lt;EndNote&gt;&lt;Cite&gt;&lt;Author&gt;Australian Law Reform Comisssion (ALRC)&lt;/Author&gt;&lt;RecNum&gt;79&lt;/RecNum&gt;&lt;DisplayText&gt;&lt;style face="superscript"&gt;18&lt;/style&gt;&lt;/DisplayText&gt;&lt;record&gt;&lt;rec-number&gt;79&lt;/rec-number&gt;&lt;foreign-keys&gt;&lt;key app="EN" db-id="vepewp0vsd9e2pea20s5svf89az5we2t9d5v" timestamp="1531372795"&gt;79&lt;/key&gt;&lt;/foreign-keys&gt;&lt;ref-type name="Web Page"&gt;12&lt;/ref-type&gt;&lt;contributors&gt;&lt;authors&gt;&lt;author&gt;Australian Law Reform Comisssion (ALRC),&lt;/author&gt;&lt;/authors&gt;&lt;/contributors&gt;&lt;titles&gt;&lt;title&gt;10. Genetic Testing&lt;/title&gt;&lt;/titles&gt;&lt;number&gt;12 July 2018&lt;/number&gt;&lt;dates&gt;&lt;/dates&gt;&lt;urls&gt;&lt;related-urls&gt;&lt;url&gt;https://www.alrc.gov.au/publications/10-genetic-testing/access-genetic-testing&lt;/url&gt;&lt;/related-urls&gt;&lt;/urls&gt;&lt;/record&gt;&lt;/Cite&gt;&lt;/EndNote&gt;</w:instrText>
      </w:r>
      <w:r w:rsidR="00E84E6C">
        <w:fldChar w:fldCharType="separate"/>
      </w:r>
      <w:r w:rsidR="00537FBA" w:rsidRPr="00537FBA">
        <w:rPr>
          <w:noProof/>
          <w:vertAlign w:val="superscript"/>
        </w:rPr>
        <w:t>18</w:t>
      </w:r>
      <w:r w:rsidR="00E84E6C">
        <w:fldChar w:fldCharType="end"/>
      </w:r>
      <w:r w:rsidR="00E84E6C">
        <w:t>.</w:t>
      </w:r>
    </w:p>
    <w:p w14:paraId="3ABD56D0" w14:textId="21CC7352" w:rsidR="00FF5886" w:rsidRPr="007F53B9" w:rsidRDefault="00FF5886" w:rsidP="00FF5886">
      <w:pPr>
        <w:spacing w:after="0"/>
        <w:rPr>
          <w:rFonts w:ascii="Arial Narrow" w:hAnsi="Arial Narrow"/>
          <w:b/>
          <w:sz w:val="20"/>
        </w:rPr>
      </w:pPr>
      <w:bookmarkStart w:id="11" w:name="_Ref519257450"/>
      <w:r w:rsidRPr="007F53B9">
        <w:rPr>
          <w:rFonts w:ascii="Arial Narrow" w:hAnsi="Arial Narrow"/>
          <w:b/>
          <w:sz w:val="20"/>
        </w:rPr>
        <w:lastRenderedPageBreak/>
        <w:t xml:space="preserve">Table </w:t>
      </w:r>
      <w:r w:rsidRPr="007F53B9">
        <w:rPr>
          <w:rFonts w:ascii="Arial Narrow" w:hAnsi="Arial Narrow"/>
          <w:b/>
          <w:sz w:val="20"/>
        </w:rPr>
        <w:fldChar w:fldCharType="begin"/>
      </w:r>
      <w:r w:rsidRPr="007F53B9">
        <w:rPr>
          <w:rFonts w:ascii="Arial Narrow" w:hAnsi="Arial Narrow"/>
          <w:b/>
          <w:sz w:val="20"/>
        </w:rPr>
        <w:instrText xml:space="preserve"> SEQ Table \* ARABIC </w:instrText>
      </w:r>
      <w:r w:rsidRPr="007F53B9">
        <w:rPr>
          <w:rFonts w:ascii="Arial Narrow" w:hAnsi="Arial Narrow"/>
          <w:b/>
          <w:sz w:val="20"/>
        </w:rPr>
        <w:fldChar w:fldCharType="separate"/>
      </w:r>
      <w:r w:rsidR="004E352B">
        <w:rPr>
          <w:rFonts w:ascii="Arial Narrow" w:hAnsi="Arial Narrow"/>
          <w:b/>
          <w:noProof/>
          <w:sz w:val="20"/>
        </w:rPr>
        <w:t>2</w:t>
      </w:r>
      <w:r w:rsidRPr="007F53B9">
        <w:rPr>
          <w:rFonts w:ascii="Arial Narrow" w:hAnsi="Arial Narrow"/>
          <w:b/>
          <w:sz w:val="20"/>
        </w:rPr>
        <w:fldChar w:fldCharType="end"/>
      </w:r>
      <w:bookmarkEnd w:id="11"/>
      <w:r w:rsidRPr="007F53B9">
        <w:rPr>
          <w:rFonts w:ascii="Arial Narrow" w:hAnsi="Arial Narrow"/>
          <w:b/>
          <w:sz w:val="20"/>
        </w:rPr>
        <w:tab/>
        <w:t>MBS approved cytogenetic tests for haematological conditions</w:t>
      </w:r>
    </w:p>
    <w:tbl>
      <w:tblPr>
        <w:tblStyle w:val="TableGrid"/>
        <w:tblW w:w="0" w:type="auto"/>
        <w:tblLook w:val="04A0" w:firstRow="1" w:lastRow="0" w:firstColumn="1" w:lastColumn="0" w:noHBand="0" w:noVBand="1"/>
        <w:tblCaption w:val="Table 2 - MBS approved cytogenetic tests for haematological conditions"/>
        <w:tblDescription w:val="Table 2 - MBS approved cytogenetic tests for haematological conditions"/>
      </w:tblPr>
      <w:tblGrid>
        <w:gridCol w:w="1100"/>
        <w:gridCol w:w="5951"/>
        <w:gridCol w:w="1965"/>
      </w:tblGrid>
      <w:tr w:rsidR="00FF5886" w:rsidRPr="007F53B9" w14:paraId="2D09D8DA" w14:textId="77777777" w:rsidTr="006A2658">
        <w:trPr>
          <w:tblHeader/>
        </w:trPr>
        <w:tc>
          <w:tcPr>
            <w:tcW w:w="1100" w:type="dxa"/>
          </w:tcPr>
          <w:p w14:paraId="0CB83F0F" w14:textId="77777777" w:rsidR="00FF5886" w:rsidRPr="007F53B9" w:rsidRDefault="00FF5886" w:rsidP="00BA0CDA">
            <w:pPr>
              <w:rPr>
                <w:rFonts w:ascii="Arial Narrow" w:hAnsi="Arial Narrow"/>
                <w:b/>
                <w:sz w:val="18"/>
                <w:szCs w:val="18"/>
              </w:rPr>
            </w:pPr>
            <w:r w:rsidRPr="007F53B9">
              <w:rPr>
                <w:rFonts w:ascii="Arial Narrow" w:hAnsi="Arial Narrow"/>
                <w:b/>
                <w:sz w:val="18"/>
                <w:szCs w:val="18"/>
              </w:rPr>
              <w:t>MBS Item Number</w:t>
            </w:r>
          </w:p>
        </w:tc>
        <w:tc>
          <w:tcPr>
            <w:tcW w:w="5951" w:type="dxa"/>
          </w:tcPr>
          <w:p w14:paraId="1357DF98" w14:textId="77777777" w:rsidR="00FF5886" w:rsidRPr="007F53B9" w:rsidRDefault="00FF5886" w:rsidP="00BA0CDA">
            <w:pPr>
              <w:rPr>
                <w:rFonts w:ascii="Arial Narrow" w:hAnsi="Arial Narrow"/>
                <w:b/>
                <w:sz w:val="18"/>
                <w:szCs w:val="18"/>
              </w:rPr>
            </w:pPr>
            <w:r w:rsidRPr="007F53B9">
              <w:rPr>
                <w:rFonts w:ascii="Arial Narrow" w:hAnsi="Arial Narrow"/>
                <w:b/>
                <w:sz w:val="18"/>
                <w:szCs w:val="18"/>
              </w:rPr>
              <w:t>Description</w:t>
            </w:r>
          </w:p>
        </w:tc>
        <w:tc>
          <w:tcPr>
            <w:tcW w:w="1965" w:type="dxa"/>
          </w:tcPr>
          <w:p w14:paraId="2D298617" w14:textId="77777777" w:rsidR="00FF5886" w:rsidRPr="007F53B9" w:rsidRDefault="00FF5886" w:rsidP="00BA0CDA">
            <w:pPr>
              <w:rPr>
                <w:rFonts w:ascii="Arial Narrow" w:hAnsi="Arial Narrow"/>
                <w:b/>
                <w:sz w:val="18"/>
                <w:szCs w:val="18"/>
              </w:rPr>
            </w:pPr>
            <w:r w:rsidRPr="007F53B9">
              <w:rPr>
                <w:rFonts w:ascii="Arial Narrow" w:hAnsi="Arial Narrow"/>
                <w:b/>
                <w:sz w:val="18"/>
                <w:szCs w:val="18"/>
              </w:rPr>
              <w:t xml:space="preserve">Cost </w:t>
            </w:r>
          </w:p>
        </w:tc>
      </w:tr>
      <w:tr w:rsidR="00FF5886" w:rsidRPr="007F53B9" w14:paraId="498EFFED" w14:textId="77777777" w:rsidTr="00BA0CDA">
        <w:tc>
          <w:tcPr>
            <w:tcW w:w="1100" w:type="dxa"/>
          </w:tcPr>
          <w:p w14:paraId="6DD0FB62" w14:textId="77777777" w:rsidR="00FF5886" w:rsidRPr="007F53B9" w:rsidRDefault="00FF5886" w:rsidP="00BA0CDA">
            <w:pPr>
              <w:rPr>
                <w:rFonts w:ascii="Arial Narrow" w:hAnsi="Arial Narrow"/>
                <w:sz w:val="18"/>
                <w:szCs w:val="18"/>
              </w:rPr>
            </w:pPr>
            <w:r w:rsidRPr="007F53B9">
              <w:rPr>
                <w:rFonts w:ascii="Arial Narrow" w:hAnsi="Arial Narrow"/>
                <w:sz w:val="18"/>
                <w:szCs w:val="18"/>
              </w:rPr>
              <w:t>73290</w:t>
            </w:r>
          </w:p>
        </w:tc>
        <w:tc>
          <w:tcPr>
            <w:tcW w:w="5951" w:type="dxa"/>
          </w:tcPr>
          <w:p w14:paraId="0548D6CA" w14:textId="6CF59A6B" w:rsidR="00FF5886" w:rsidRPr="007F53B9" w:rsidRDefault="00FF5886" w:rsidP="00BA0CDA">
            <w:pPr>
              <w:rPr>
                <w:rFonts w:ascii="Arial Narrow" w:hAnsi="Arial Narrow"/>
                <w:sz w:val="18"/>
                <w:szCs w:val="18"/>
              </w:rPr>
            </w:pPr>
            <w:r w:rsidRPr="007F53B9">
              <w:rPr>
                <w:rFonts w:ascii="Arial Narrow" w:hAnsi="Arial Narrow" w:cs="Helvetica"/>
                <w:color w:val="222222"/>
                <w:sz w:val="18"/>
                <w:szCs w:val="18"/>
                <w:shd w:val="clear" w:color="auto" w:fill="FBFBFB"/>
              </w:rPr>
              <w:t xml:space="preserve">The study of the whole of each chromosome by cytogenetic or other techniques, performed on blood or bone marrow, in the diagnosis and monitoring of haematological malignancy (including a service in items 73287 or 73289, if performed). </w:t>
            </w:r>
            <w:r w:rsidR="00762D7F">
              <w:rPr>
                <w:rFonts w:ascii="Arial Narrow" w:hAnsi="Arial Narrow" w:cs="Helvetica"/>
                <w:color w:val="222222"/>
                <w:sz w:val="18"/>
                <w:szCs w:val="18"/>
                <w:shd w:val="clear" w:color="auto" w:fill="FBFBFB"/>
              </w:rPr>
              <w:t>–</w:t>
            </w:r>
            <w:r w:rsidRPr="007F53B9">
              <w:rPr>
                <w:rFonts w:ascii="Arial Narrow" w:hAnsi="Arial Narrow" w:cs="Helvetica"/>
                <w:color w:val="222222"/>
                <w:sz w:val="18"/>
                <w:szCs w:val="18"/>
                <w:shd w:val="clear" w:color="auto" w:fill="FBFBFB"/>
              </w:rPr>
              <w:t xml:space="preserve"> 1 or more tests.</w:t>
            </w:r>
          </w:p>
        </w:tc>
        <w:tc>
          <w:tcPr>
            <w:tcW w:w="1965" w:type="dxa"/>
          </w:tcPr>
          <w:p w14:paraId="5664C458" w14:textId="440372B3" w:rsidR="00762D7F" w:rsidRDefault="00FF5886" w:rsidP="00762D7F">
            <w:pPr>
              <w:rPr>
                <w:rFonts w:ascii="Arial Narrow" w:hAnsi="Arial Narrow" w:cs="Helvetica"/>
                <w:color w:val="222222"/>
                <w:sz w:val="18"/>
                <w:szCs w:val="18"/>
                <w:shd w:val="clear" w:color="auto" w:fill="FBFBFB"/>
              </w:rPr>
            </w:pPr>
            <w:r w:rsidRPr="007F53B9">
              <w:rPr>
                <w:rFonts w:ascii="Arial Narrow" w:hAnsi="Arial Narrow" w:cs="Helvetica"/>
                <w:bCs/>
                <w:color w:val="222222"/>
                <w:sz w:val="18"/>
                <w:szCs w:val="18"/>
                <w:shd w:val="clear" w:color="auto" w:fill="FBFBFB"/>
              </w:rPr>
              <w:t>Fee:</w:t>
            </w:r>
            <w:r w:rsidR="00762D7F">
              <w:rPr>
                <w:rFonts w:ascii="Arial Narrow" w:hAnsi="Arial Narrow" w:cs="Helvetica"/>
                <w:bCs/>
                <w:color w:val="222222"/>
                <w:sz w:val="18"/>
                <w:szCs w:val="18"/>
                <w:shd w:val="clear" w:color="auto" w:fill="FBFBFB"/>
              </w:rPr>
              <w:t xml:space="preserve"> </w:t>
            </w:r>
            <w:r w:rsidRPr="007F53B9">
              <w:rPr>
                <w:rFonts w:ascii="Arial Narrow" w:hAnsi="Arial Narrow" w:cs="Helvetica"/>
                <w:color w:val="222222"/>
                <w:sz w:val="18"/>
                <w:szCs w:val="18"/>
                <w:shd w:val="clear" w:color="auto" w:fill="FBFBFB"/>
              </w:rPr>
              <w:t>$394.55</w:t>
            </w:r>
          </w:p>
          <w:p w14:paraId="72CD5050" w14:textId="5A042B15" w:rsidR="00FF5886" w:rsidRPr="007F53B9" w:rsidRDefault="00FF5886" w:rsidP="00762D7F">
            <w:pPr>
              <w:rPr>
                <w:rFonts w:ascii="Arial Narrow" w:hAnsi="Arial Narrow"/>
                <w:sz w:val="18"/>
                <w:szCs w:val="18"/>
              </w:rPr>
            </w:pPr>
            <w:r w:rsidRPr="007F53B9">
              <w:rPr>
                <w:rFonts w:ascii="Arial Narrow" w:hAnsi="Arial Narrow" w:cs="Helvetica"/>
                <w:bCs/>
                <w:color w:val="222222"/>
                <w:sz w:val="18"/>
                <w:szCs w:val="18"/>
                <w:shd w:val="clear" w:color="auto" w:fill="FBFBFB"/>
              </w:rPr>
              <w:t>Benefit:</w:t>
            </w:r>
            <w:r w:rsidR="00762D7F">
              <w:rPr>
                <w:rFonts w:ascii="Arial Narrow" w:hAnsi="Arial Narrow" w:cs="Helvetica"/>
                <w:bCs/>
                <w:color w:val="222222"/>
                <w:sz w:val="18"/>
                <w:szCs w:val="18"/>
                <w:shd w:val="clear" w:color="auto" w:fill="FBFBFB"/>
              </w:rPr>
              <w:t xml:space="preserve"> </w:t>
            </w:r>
            <w:r w:rsidRPr="007F53B9">
              <w:rPr>
                <w:rFonts w:ascii="Arial Narrow" w:hAnsi="Arial Narrow" w:cs="Helvetica"/>
                <w:color w:val="222222"/>
                <w:sz w:val="18"/>
                <w:szCs w:val="18"/>
                <w:shd w:val="clear" w:color="auto" w:fill="FBFBFB"/>
              </w:rPr>
              <w:t>75% = $295.95 85% = $335.40</w:t>
            </w:r>
          </w:p>
        </w:tc>
      </w:tr>
    </w:tbl>
    <w:p w14:paraId="0DFD1279" w14:textId="77777777" w:rsidR="00FF5886" w:rsidRPr="007F53B9" w:rsidRDefault="00FF5886" w:rsidP="00FF5886">
      <w:pPr>
        <w:spacing w:after="0"/>
        <w:rPr>
          <w:rFonts w:ascii="Arial Narrow" w:hAnsi="Arial Narrow" w:cstheme="minorHAnsi"/>
          <w:sz w:val="18"/>
          <w:szCs w:val="18"/>
        </w:rPr>
      </w:pPr>
      <w:r w:rsidRPr="007F53B9">
        <w:rPr>
          <w:rFonts w:ascii="Arial Narrow" w:hAnsi="Arial Narrow" w:cstheme="minorHAnsi"/>
          <w:sz w:val="18"/>
          <w:szCs w:val="18"/>
        </w:rPr>
        <w:t>Source: MBS online (accessed Jun 2018)</w:t>
      </w:r>
    </w:p>
    <w:p w14:paraId="40BA6A99" w14:textId="77777777" w:rsidR="00FF5886" w:rsidRPr="007F53B9" w:rsidRDefault="00FF5886" w:rsidP="00D21490">
      <w:pPr>
        <w:spacing w:after="160"/>
        <w:rPr>
          <w:rFonts w:ascii="Arial Narrow" w:hAnsi="Arial Narrow" w:cstheme="minorHAnsi"/>
          <w:sz w:val="18"/>
          <w:szCs w:val="18"/>
        </w:rPr>
      </w:pPr>
      <w:r w:rsidRPr="007F53B9">
        <w:rPr>
          <w:rFonts w:ascii="Arial Narrow" w:hAnsi="Arial Narrow" w:cstheme="minorHAnsi"/>
          <w:sz w:val="18"/>
          <w:szCs w:val="18"/>
        </w:rPr>
        <w:t>Abbreviations: MBS, Medicare benefits schedule</w:t>
      </w:r>
    </w:p>
    <w:p w14:paraId="4A9843BA" w14:textId="33AC3E9A" w:rsidR="00D80804" w:rsidRDefault="00D80804" w:rsidP="006066CD">
      <w:pPr>
        <w:spacing w:after="160"/>
      </w:pPr>
      <w:r>
        <w:t>Medicare statistics indicated that a total of 8,579</w:t>
      </w:r>
      <w:r w:rsidR="000564A8">
        <w:t xml:space="preserve"> and 8,890</w:t>
      </w:r>
      <w:r>
        <w:t xml:space="preserve"> services were undertaken for the MBS item number from July </w:t>
      </w:r>
      <w:r w:rsidR="000564A8">
        <w:t xml:space="preserve">2016 </w:t>
      </w:r>
      <w:r>
        <w:t xml:space="preserve">to June </w:t>
      </w:r>
      <w:r w:rsidR="000564A8">
        <w:t xml:space="preserve">2017 </w:t>
      </w:r>
      <w:r>
        <w:t xml:space="preserve">and July </w:t>
      </w:r>
      <w:r w:rsidR="000564A8">
        <w:t xml:space="preserve">2017 </w:t>
      </w:r>
      <w:r>
        <w:t xml:space="preserve">to June </w:t>
      </w:r>
      <w:r w:rsidR="000564A8">
        <w:t>2018</w:t>
      </w:r>
      <w:r>
        <w:t>, respective (</w:t>
      </w:r>
      <w:r>
        <w:fldChar w:fldCharType="begin"/>
      </w:r>
      <w:r>
        <w:instrText xml:space="preserve"> REF _Ref502669757 \h </w:instrText>
      </w:r>
      <w:r>
        <w:fldChar w:fldCharType="separate"/>
      </w:r>
      <w:r w:rsidR="004E352B" w:rsidRPr="00E20754">
        <w:t xml:space="preserve">Table </w:t>
      </w:r>
      <w:r w:rsidR="004E352B">
        <w:rPr>
          <w:noProof/>
        </w:rPr>
        <w:t>3</w:t>
      </w:r>
      <w:r>
        <w:fldChar w:fldCharType="end"/>
      </w:r>
      <w:r>
        <w:t>).</w:t>
      </w:r>
    </w:p>
    <w:p w14:paraId="4E6B0FBC" w14:textId="20E186AC" w:rsidR="00D80804" w:rsidRPr="00E20754" w:rsidRDefault="00D80804" w:rsidP="00D80804">
      <w:pPr>
        <w:pStyle w:val="Caption"/>
      </w:pPr>
      <w:bookmarkStart w:id="12" w:name="_Ref502669757"/>
      <w:r w:rsidRPr="00E20754">
        <w:t xml:space="preserve">Table </w:t>
      </w:r>
      <w:r w:rsidRPr="00E20754">
        <w:fldChar w:fldCharType="begin"/>
      </w:r>
      <w:r w:rsidRPr="00E20754">
        <w:instrText xml:space="preserve"> SEQ Table \* ARABIC </w:instrText>
      </w:r>
      <w:r w:rsidRPr="00E20754">
        <w:fldChar w:fldCharType="separate"/>
      </w:r>
      <w:r w:rsidR="004E352B">
        <w:rPr>
          <w:noProof/>
        </w:rPr>
        <w:t>3</w:t>
      </w:r>
      <w:r w:rsidRPr="00E20754">
        <w:fldChar w:fldCharType="end"/>
      </w:r>
      <w:bookmarkEnd w:id="12"/>
      <w:r w:rsidRPr="00E20754">
        <w:t>. Number of MBS services undertaken between July 2015 and June 2017</w:t>
      </w: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 Number of MBS services undertaken between July 2015 and June 2017"/>
        <w:tblDescription w:val="Table 3 - Number of MBS services undertaken between July 2015 and June 2017"/>
      </w:tblPr>
      <w:tblGrid>
        <w:gridCol w:w="1894"/>
        <w:gridCol w:w="3561"/>
        <w:gridCol w:w="3561"/>
      </w:tblGrid>
      <w:tr w:rsidR="00D80804" w:rsidRPr="00E20754" w14:paraId="174F611A" w14:textId="77777777" w:rsidTr="00DE06ED">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050" w:type="pct"/>
            <w:tcBorders>
              <w:bottom w:val="none" w:sz="0" w:space="0" w:color="auto"/>
            </w:tcBorders>
            <w:noWrap/>
            <w:hideMark/>
          </w:tcPr>
          <w:p w14:paraId="7C477EFA" w14:textId="77777777" w:rsidR="00D80804" w:rsidRPr="00916344" w:rsidRDefault="00D80804" w:rsidP="0055176D">
            <w:pPr>
              <w:spacing w:after="120"/>
              <w:contextualSpacing/>
              <w:rPr>
                <w:rFonts w:ascii="Arial Narrow" w:hAnsi="Arial Narrow"/>
                <w:sz w:val="18"/>
                <w:szCs w:val="18"/>
                <w:lang w:eastAsia="en-AU"/>
              </w:rPr>
            </w:pPr>
            <w:r w:rsidRPr="00916344">
              <w:rPr>
                <w:rFonts w:ascii="Arial Narrow" w:hAnsi="Arial Narrow"/>
                <w:sz w:val="18"/>
                <w:szCs w:val="18"/>
                <w:lang w:eastAsia="en-AU"/>
              </w:rPr>
              <w:t xml:space="preserve">MBS Item Number </w:t>
            </w:r>
          </w:p>
        </w:tc>
        <w:tc>
          <w:tcPr>
            <w:tcW w:w="1975" w:type="pct"/>
            <w:tcBorders>
              <w:bottom w:val="none" w:sz="0" w:space="0" w:color="auto"/>
            </w:tcBorders>
            <w:noWrap/>
            <w:hideMark/>
          </w:tcPr>
          <w:p w14:paraId="5DDF3B4C" w14:textId="77777777" w:rsidR="00D80804" w:rsidRPr="00916344" w:rsidRDefault="00D80804" w:rsidP="0055176D">
            <w:pPr>
              <w:spacing w:after="120"/>
              <w:contextualSpacing/>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lang w:eastAsia="en-AU"/>
              </w:rPr>
            </w:pPr>
            <w:r w:rsidRPr="00916344">
              <w:rPr>
                <w:rFonts w:ascii="Arial Narrow" w:hAnsi="Arial Narrow"/>
                <w:sz w:val="18"/>
                <w:szCs w:val="18"/>
                <w:lang w:eastAsia="en-AU"/>
              </w:rPr>
              <w:t>Number of Services Jul 201</w:t>
            </w:r>
            <w:r w:rsidR="000564A8">
              <w:rPr>
                <w:rFonts w:ascii="Arial Narrow" w:hAnsi="Arial Narrow"/>
                <w:sz w:val="18"/>
                <w:szCs w:val="18"/>
                <w:lang w:eastAsia="en-AU"/>
              </w:rPr>
              <w:t>6</w:t>
            </w:r>
            <w:r w:rsidRPr="00916344">
              <w:rPr>
                <w:rFonts w:ascii="Arial Narrow" w:hAnsi="Arial Narrow"/>
                <w:sz w:val="18"/>
                <w:szCs w:val="18"/>
                <w:lang w:eastAsia="en-AU"/>
              </w:rPr>
              <w:t xml:space="preserve"> to Jun </w:t>
            </w:r>
            <w:r w:rsidR="000564A8" w:rsidRPr="00916344">
              <w:rPr>
                <w:rFonts w:ascii="Arial Narrow" w:hAnsi="Arial Narrow"/>
                <w:sz w:val="18"/>
                <w:szCs w:val="18"/>
                <w:lang w:eastAsia="en-AU"/>
              </w:rPr>
              <w:t>201</w:t>
            </w:r>
            <w:r w:rsidR="000564A8">
              <w:rPr>
                <w:rFonts w:ascii="Arial Narrow" w:hAnsi="Arial Narrow"/>
                <w:sz w:val="18"/>
                <w:szCs w:val="18"/>
                <w:lang w:eastAsia="en-AU"/>
              </w:rPr>
              <w:t>7</w:t>
            </w:r>
          </w:p>
        </w:tc>
        <w:tc>
          <w:tcPr>
            <w:tcW w:w="1975" w:type="pct"/>
            <w:tcBorders>
              <w:bottom w:val="none" w:sz="0" w:space="0" w:color="auto"/>
            </w:tcBorders>
          </w:tcPr>
          <w:p w14:paraId="57F2C3D3" w14:textId="77777777" w:rsidR="00D80804" w:rsidRPr="00916344" w:rsidRDefault="00D80804" w:rsidP="0055176D">
            <w:pPr>
              <w:spacing w:after="120"/>
              <w:contextualSpacing/>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lang w:eastAsia="en-AU"/>
              </w:rPr>
            </w:pPr>
            <w:r w:rsidRPr="00916344">
              <w:rPr>
                <w:rFonts w:ascii="Arial Narrow" w:hAnsi="Arial Narrow"/>
                <w:sz w:val="18"/>
                <w:szCs w:val="18"/>
                <w:lang w:eastAsia="en-AU"/>
              </w:rPr>
              <w:t xml:space="preserve">Number of Services Jul </w:t>
            </w:r>
            <w:r w:rsidR="000564A8" w:rsidRPr="00916344">
              <w:rPr>
                <w:rFonts w:ascii="Arial Narrow" w:hAnsi="Arial Narrow"/>
                <w:sz w:val="18"/>
                <w:szCs w:val="18"/>
                <w:lang w:eastAsia="en-AU"/>
              </w:rPr>
              <w:t>201</w:t>
            </w:r>
            <w:r w:rsidR="000564A8">
              <w:rPr>
                <w:rFonts w:ascii="Arial Narrow" w:hAnsi="Arial Narrow"/>
                <w:sz w:val="18"/>
                <w:szCs w:val="18"/>
                <w:lang w:eastAsia="en-AU"/>
              </w:rPr>
              <w:t>7</w:t>
            </w:r>
            <w:r w:rsidR="000564A8" w:rsidRPr="00916344">
              <w:rPr>
                <w:rFonts w:ascii="Arial Narrow" w:hAnsi="Arial Narrow"/>
                <w:sz w:val="18"/>
                <w:szCs w:val="18"/>
                <w:lang w:eastAsia="en-AU"/>
              </w:rPr>
              <w:t xml:space="preserve"> </w:t>
            </w:r>
            <w:r w:rsidRPr="00916344">
              <w:rPr>
                <w:rFonts w:ascii="Arial Narrow" w:hAnsi="Arial Narrow"/>
                <w:sz w:val="18"/>
                <w:szCs w:val="18"/>
                <w:lang w:eastAsia="en-AU"/>
              </w:rPr>
              <w:t xml:space="preserve">to Jun </w:t>
            </w:r>
            <w:r w:rsidR="000564A8" w:rsidRPr="00916344">
              <w:rPr>
                <w:rFonts w:ascii="Arial Narrow" w:hAnsi="Arial Narrow"/>
                <w:sz w:val="18"/>
                <w:szCs w:val="18"/>
                <w:lang w:eastAsia="en-AU"/>
              </w:rPr>
              <w:t>201</w:t>
            </w:r>
            <w:r w:rsidR="000564A8">
              <w:rPr>
                <w:rFonts w:ascii="Arial Narrow" w:hAnsi="Arial Narrow"/>
                <w:sz w:val="18"/>
                <w:szCs w:val="18"/>
                <w:lang w:eastAsia="en-AU"/>
              </w:rPr>
              <w:t>8</w:t>
            </w:r>
          </w:p>
        </w:tc>
      </w:tr>
      <w:tr w:rsidR="00D80804" w:rsidRPr="00E20754" w14:paraId="25759A48" w14:textId="77777777" w:rsidTr="0055176D">
        <w:trPr>
          <w:trHeight w:val="288"/>
        </w:trPr>
        <w:tc>
          <w:tcPr>
            <w:cnfStyle w:val="001000000000" w:firstRow="0" w:lastRow="0" w:firstColumn="1" w:lastColumn="0" w:oddVBand="0" w:evenVBand="0" w:oddHBand="0" w:evenHBand="0" w:firstRowFirstColumn="0" w:firstRowLastColumn="0" w:lastRowFirstColumn="0" w:lastRowLastColumn="0"/>
            <w:tcW w:w="1050" w:type="pct"/>
            <w:noWrap/>
          </w:tcPr>
          <w:p w14:paraId="5B4CE80D" w14:textId="77777777" w:rsidR="00D80804" w:rsidRPr="00DE06ED" w:rsidRDefault="00D80804" w:rsidP="0055176D">
            <w:pPr>
              <w:spacing w:after="120"/>
              <w:contextualSpacing/>
              <w:rPr>
                <w:rFonts w:ascii="Arial Narrow" w:hAnsi="Arial Narrow"/>
                <w:b w:val="0"/>
                <w:sz w:val="18"/>
                <w:szCs w:val="18"/>
                <w:lang w:eastAsia="en-AU"/>
              </w:rPr>
            </w:pPr>
            <w:r w:rsidRPr="00DE06ED">
              <w:rPr>
                <w:rFonts w:ascii="Arial Narrow" w:hAnsi="Arial Narrow"/>
                <w:b w:val="0"/>
                <w:sz w:val="18"/>
                <w:szCs w:val="18"/>
                <w:lang w:eastAsia="en-AU"/>
              </w:rPr>
              <w:t>73290</w:t>
            </w:r>
          </w:p>
        </w:tc>
        <w:tc>
          <w:tcPr>
            <w:tcW w:w="1975" w:type="pct"/>
            <w:noWrap/>
          </w:tcPr>
          <w:p w14:paraId="306F311C" w14:textId="77777777" w:rsidR="00D80804" w:rsidRPr="00916344" w:rsidRDefault="000564A8" w:rsidP="0055176D">
            <w:pPr>
              <w:spacing w:after="120"/>
              <w:contextualSpacing/>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eastAsia="en-AU"/>
              </w:rPr>
            </w:pPr>
            <w:r w:rsidRPr="00916344">
              <w:rPr>
                <w:rFonts w:ascii="Arial Narrow" w:hAnsi="Arial Narrow"/>
                <w:sz w:val="18"/>
                <w:szCs w:val="18"/>
                <w:lang w:eastAsia="en-AU"/>
              </w:rPr>
              <w:t>8</w:t>
            </w:r>
            <w:r>
              <w:rPr>
                <w:rFonts w:ascii="Arial Narrow" w:hAnsi="Arial Narrow"/>
                <w:sz w:val="18"/>
                <w:szCs w:val="18"/>
                <w:lang w:eastAsia="en-AU"/>
              </w:rPr>
              <w:t>579</w:t>
            </w:r>
          </w:p>
        </w:tc>
        <w:tc>
          <w:tcPr>
            <w:tcW w:w="1975" w:type="pct"/>
          </w:tcPr>
          <w:p w14:paraId="34BBD8B6" w14:textId="77777777" w:rsidR="00D80804" w:rsidRPr="00916344" w:rsidRDefault="000564A8" w:rsidP="0055176D">
            <w:pPr>
              <w:spacing w:after="120"/>
              <w:contextualSpacing/>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6344">
              <w:rPr>
                <w:rFonts w:ascii="Arial Narrow" w:hAnsi="Arial Narrow"/>
                <w:sz w:val="18"/>
                <w:szCs w:val="18"/>
              </w:rPr>
              <w:t>8</w:t>
            </w:r>
            <w:r>
              <w:rPr>
                <w:rFonts w:ascii="Arial Narrow" w:hAnsi="Arial Narrow"/>
                <w:sz w:val="18"/>
                <w:szCs w:val="18"/>
              </w:rPr>
              <w:t>890</w:t>
            </w:r>
          </w:p>
        </w:tc>
      </w:tr>
    </w:tbl>
    <w:p w14:paraId="2BAC7FAB" w14:textId="77777777" w:rsidR="00D80804" w:rsidRPr="00FC1B9B" w:rsidRDefault="00D80804" w:rsidP="00D80804">
      <w:pPr>
        <w:spacing w:after="0"/>
        <w:rPr>
          <w:rFonts w:ascii="Arial Narrow" w:hAnsi="Arial Narrow"/>
          <w:sz w:val="18"/>
          <w:szCs w:val="16"/>
        </w:rPr>
      </w:pPr>
      <w:r w:rsidRPr="00FC1B9B">
        <w:rPr>
          <w:rFonts w:ascii="Arial Narrow" w:hAnsi="Arial Narrow"/>
          <w:sz w:val="18"/>
          <w:szCs w:val="16"/>
        </w:rPr>
        <w:t xml:space="preserve">Source: MBS </w:t>
      </w:r>
      <w:r>
        <w:rPr>
          <w:rFonts w:ascii="Arial Narrow" w:hAnsi="Arial Narrow"/>
          <w:sz w:val="18"/>
          <w:szCs w:val="16"/>
        </w:rPr>
        <w:t>o</w:t>
      </w:r>
      <w:r w:rsidRPr="00FC1B9B">
        <w:rPr>
          <w:rFonts w:ascii="Arial Narrow" w:hAnsi="Arial Narrow"/>
          <w:sz w:val="18"/>
          <w:szCs w:val="16"/>
        </w:rPr>
        <w:t>nline (</w:t>
      </w:r>
      <w:r>
        <w:rPr>
          <w:rFonts w:ascii="Arial Narrow" w:hAnsi="Arial Narrow"/>
          <w:sz w:val="18"/>
          <w:szCs w:val="16"/>
        </w:rPr>
        <w:t xml:space="preserve">Accessed </w:t>
      </w:r>
      <w:r w:rsidRPr="00FC1B9B">
        <w:rPr>
          <w:rFonts w:ascii="Arial Narrow" w:hAnsi="Arial Narrow"/>
          <w:sz w:val="18"/>
          <w:szCs w:val="16"/>
        </w:rPr>
        <w:t>Jun 2018)</w:t>
      </w:r>
    </w:p>
    <w:p w14:paraId="13AA8FDA" w14:textId="77777777" w:rsidR="00D80804" w:rsidRDefault="00D80804" w:rsidP="006066CD">
      <w:pPr>
        <w:spacing w:after="160"/>
        <w:rPr>
          <w:rFonts w:ascii="Arial Narrow" w:hAnsi="Arial Narrow"/>
          <w:sz w:val="18"/>
          <w:szCs w:val="16"/>
        </w:rPr>
      </w:pPr>
      <w:r w:rsidRPr="00FC1B9B">
        <w:rPr>
          <w:rFonts w:ascii="Arial Narrow" w:hAnsi="Arial Narrow"/>
          <w:sz w:val="18"/>
          <w:szCs w:val="16"/>
        </w:rPr>
        <w:t xml:space="preserve">Abbreviations: </w:t>
      </w:r>
      <w:r>
        <w:rPr>
          <w:rFonts w:ascii="Arial Narrow" w:hAnsi="Arial Narrow"/>
          <w:sz w:val="18"/>
          <w:szCs w:val="16"/>
        </w:rPr>
        <w:t>MBS, Medicare benefits schedule</w:t>
      </w:r>
    </w:p>
    <w:p w14:paraId="115D51AD" w14:textId="39EE181E" w:rsidR="00D80804" w:rsidRPr="00412132" w:rsidRDefault="00D80804" w:rsidP="00D80804">
      <w:r w:rsidRPr="00412132">
        <w:t>The Australian Institute of Health and Welfare estimated that the incidence of</w:t>
      </w:r>
      <w:r w:rsidR="00524E2E">
        <w:t xml:space="preserve"> CLL and MM</w:t>
      </w:r>
      <w:r w:rsidRPr="00412132">
        <w:t xml:space="preserve"> in 201</w:t>
      </w:r>
      <w:r w:rsidR="000564A8">
        <w:t>8</w:t>
      </w:r>
      <w:r w:rsidRPr="00412132">
        <w:t xml:space="preserve"> was </w:t>
      </w:r>
      <w:r w:rsidR="00524E2E">
        <w:t>1,</w:t>
      </w:r>
      <w:r w:rsidR="000564A8">
        <w:t xml:space="preserve">451 </w:t>
      </w:r>
      <w:r w:rsidR="00524E2E">
        <w:t xml:space="preserve">and </w:t>
      </w:r>
      <w:r w:rsidRPr="00412132">
        <w:t>1,</w:t>
      </w:r>
      <w:r w:rsidR="000564A8" w:rsidRPr="00412132">
        <w:t>8</w:t>
      </w:r>
      <w:r w:rsidR="000564A8">
        <w:t>7</w:t>
      </w:r>
      <w:r w:rsidR="000564A8" w:rsidRPr="00412132">
        <w:t xml:space="preserve">6 </w:t>
      </w:r>
      <w:r w:rsidRPr="00412132">
        <w:t>cases</w:t>
      </w:r>
      <w:r w:rsidR="00524E2E">
        <w:t>, respectively</w:t>
      </w:r>
      <w:r w:rsidRPr="00412132">
        <w:t>. Using the Medicare statistics data from July 201</w:t>
      </w:r>
      <w:r w:rsidR="000564A8">
        <w:t>7</w:t>
      </w:r>
      <w:r w:rsidRPr="00412132">
        <w:t xml:space="preserve"> to July </w:t>
      </w:r>
      <w:r w:rsidR="000564A8" w:rsidRPr="00412132">
        <w:t>201</w:t>
      </w:r>
      <w:r w:rsidR="000564A8">
        <w:t>8</w:t>
      </w:r>
      <w:r w:rsidRPr="00412132">
        <w:t xml:space="preserve">, it can be </w:t>
      </w:r>
      <w:r w:rsidR="00DD5AD5">
        <w:t>determined</w:t>
      </w:r>
      <w:r w:rsidR="00DD5AD5" w:rsidRPr="00412132">
        <w:t xml:space="preserve"> </w:t>
      </w:r>
      <w:r w:rsidRPr="00412132">
        <w:t xml:space="preserve">that </w:t>
      </w:r>
      <w:r w:rsidR="00524E2E">
        <w:t>CLL and MM</w:t>
      </w:r>
      <w:r w:rsidRPr="00412132">
        <w:t xml:space="preserve"> patients account for </w:t>
      </w:r>
      <w:r w:rsidR="00762D7F">
        <w:rPr>
          <w:rFonts w:cs="Calibri"/>
        </w:rPr>
        <w:t>~</w:t>
      </w:r>
      <w:r w:rsidR="000564A8">
        <w:t>37</w:t>
      </w:r>
      <w:r w:rsidRPr="00412132">
        <w:t>%</w:t>
      </w:r>
      <w:r w:rsidR="00524E2E">
        <w:t xml:space="preserve"> (</w:t>
      </w:r>
      <w:r w:rsidR="00762D7F">
        <w:rPr>
          <w:rFonts w:cs="Calibri"/>
        </w:rPr>
        <w:t>~</w:t>
      </w:r>
      <w:r w:rsidR="00524E2E">
        <w:t>1</w:t>
      </w:r>
      <w:r w:rsidR="000564A8">
        <w:t>6</w:t>
      </w:r>
      <w:r w:rsidR="00524E2E">
        <w:t xml:space="preserve">% for CLL and </w:t>
      </w:r>
      <w:r w:rsidR="00762D7F">
        <w:rPr>
          <w:rFonts w:cs="Calibri"/>
        </w:rPr>
        <w:t>~</w:t>
      </w:r>
      <w:r w:rsidR="00524E2E">
        <w:t>21% for MM)</w:t>
      </w:r>
      <w:r w:rsidRPr="00412132">
        <w:t xml:space="preserve"> of </w:t>
      </w:r>
      <w:r w:rsidR="00524E2E">
        <w:t>uses</w:t>
      </w:r>
      <w:r w:rsidRPr="00412132">
        <w:t xml:space="preserve"> </w:t>
      </w:r>
      <w:r w:rsidR="000564A8">
        <w:t>for</w:t>
      </w:r>
      <w:r w:rsidR="000564A8" w:rsidRPr="00412132">
        <w:t xml:space="preserve"> </w:t>
      </w:r>
      <w:r w:rsidRPr="00412132">
        <w:t xml:space="preserve">MBS item 73290. </w:t>
      </w:r>
      <w:r w:rsidR="00DD5AD5">
        <w:t>Therefore</w:t>
      </w:r>
      <w:r w:rsidR="00E249B5">
        <w:t>,</w:t>
      </w:r>
      <w:r w:rsidR="00524E2E">
        <w:t xml:space="preserve"> </w:t>
      </w:r>
      <w:r w:rsidR="00762D7F">
        <w:t xml:space="preserve">if </w:t>
      </w:r>
      <w:r w:rsidR="00524E2E" w:rsidRPr="00412132">
        <w:t>the new proposed MBS item descriptor</w:t>
      </w:r>
      <w:r w:rsidR="00524E2E">
        <w:t xml:space="preserve"> for </w:t>
      </w:r>
      <w:r w:rsidR="00344CB2">
        <w:t>microarray</w:t>
      </w:r>
      <w:r w:rsidR="00524E2E">
        <w:t xml:space="preserve">s </w:t>
      </w:r>
      <w:r w:rsidR="00762D7F">
        <w:t xml:space="preserve">is introduced, this is likely to result in </w:t>
      </w:r>
      <w:r w:rsidR="00524E2E">
        <w:t xml:space="preserve">a large </w:t>
      </w:r>
      <w:r w:rsidRPr="00412132">
        <w:t>re</w:t>
      </w:r>
      <w:r>
        <w:t>duc</w:t>
      </w:r>
      <w:r w:rsidR="00524E2E">
        <w:t>tion in the</w:t>
      </w:r>
      <w:r>
        <w:t xml:space="preserve"> usage of</w:t>
      </w:r>
      <w:r w:rsidRPr="00412132">
        <w:t xml:space="preserve"> MBS item</w:t>
      </w:r>
      <w:r>
        <w:t xml:space="preserve"> </w:t>
      </w:r>
      <w:r w:rsidRPr="00412132">
        <w:t>73290.</w:t>
      </w:r>
    </w:p>
    <w:p w14:paraId="44130528" w14:textId="77777777" w:rsidR="00907330" w:rsidRPr="00597897" w:rsidRDefault="00AD2905" w:rsidP="00597897">
      <w:pPr>
        <w:spacing w:after="160"/>
        <w:rPr>
          <w:i/>
          <w:u w:val="single"/>
        </w:rPr>
      </w:pPr>
      <w:r w:rsidRPr="00597897">
        <w:rPr>
          <w:i/>
          <w:u w:val="single"/>
        </w:rPr>
        <w:t>Rationale:</w:t>
      </w:r>
    </w:p>
    <w:p w14:paraId="28B9A8EC" w14:textId="77777777" w:rsidR="00FF5886" w:rsidRDefault="00FF5886" w:rsidP="00D21490">
      <w:pPr>
        <w:spacing w:after="160"/>
      </w:pPr>
      <w:r w:rsidRPr="007F53B9">
        <w:t xml:space="preserve">FISH is a diagnostic test which looks for a few common chromosomal abnormalities. FISH is usually performed with the same genetic material gathered </w:t>
      </w:r>
      <w:r w:rsidR="000D01BA">
        <w:t>from</w:t>
      </w:r>
      <w:r w:rsidRPr="007F53B9">
        <w:t xml:space="preserve"> BMAT. The advantage of FISH testing is that results are often available within a couple of days</w:t>
      </w:r>
      <w:r w:rsidRPr="007F53B9">
        <w:fldChar w:fldCharType="begin"/>
      </w:r>
      <w:r w:rsidR="00D80804">
        <w:instrText xml:space="preserve"> ADDIN EN.CITE &lt;EndNote&gt;&lt;Cite&gt;&lt;Author&gt;Crowd&lt;/Author&gt;&lt;Year&gt;2018&lt;/Year&gt;&lt;RecNum&gt;11&lt;/RecNum&gt;&lt;DisplayText&gt;&lt;style face="superscript"&gt;26&lt;/style&gt;&lt;/DisplayText&gt;&lt;record&gt;&lt;rec-number&gt;11&lt;/rec-number&gt;&lt;foreign-keys&gt;&lt;key app="EN" db-id="vepewp0vsd9e2pea20s5svf89az5we2t9d5v" timestamp="1529548643"&gt;11&lt;/key&gt;&lt;/foreign-keys&gt;&lt;ref-type name="Web Page"&gt;12&lt;/ref-type&gt;&lt;contributors&gt;&lt;authors&gt;&lt;author&gt;Myeloma Crowd,&lt;/author&gt;&lt;/authors&gt;&lt;/contributors&gt;&lt;titles&gt;&lt;title&gt;Myeloma 101: FISH testing in Myeloma&lt;/title&gt;&lt;/titles&gt;&lt;dates&gt;&lt;year&gt;2018&lt;/year&gt;&lt;/dates&gt;&lt;urls&gt;&lt;related-urls&gt;&lt;url&gt;https://myelomacrowd.org/myeloma-101-fish-testing-in-myeloma/&lt;/url&gt;&lt;/related-urls&gt;&lt;/urls&gt;&lt;access-date&gt;18 June 2018&lt;/access-date&gt;&lt;/record&gt;&lt;/Cite&gt;&lt;/EndNote&gt;</w:instrText>
      </w:r>
      <w:r w:rsidRPr="007F53B9">
        <w:fldChar w:fldCharType="separate"/>
      </w:r>
      <w:r w:rsidR="00D80804" w:rsidRPr="00D80804">
        <w:rPr>
          <w:noProof/>
          <w:vertAlign w:val="superscript"/>
        </w:rPr>
        <w:t>26</w:t>
      </w:r>
      <w:r w:rsidRPr="007F53B9">
        <w:fldChar w:fldCharType="end"/>
      </w:r>
      <w:r>
        <w:t>.</w:t>
      </w:r>
      <w:r w:rsidRPr="007F53B9">
        <w:t xml:space="preserve"> </w:t>
      </w:r>
      <w:r>
        <w:t xml:space="preserve">Furthermore, </w:t>
      </w:r>
      <w:r w:rsidRPr="007F53B9">
        <w:t xml:space="preserve">FISH provides a rapid result for confirmation or to determine whether a patient has high risk disease which can lead to a poorer </w:t>
      </w:r>
      <w:r w:rsidRPr="007F53B9">
        <w:rPr>
          <w:rFonts w:asciiTheme="minorHAnsi" w:hAnsiTheme="minorHAnsi" w:cstheme="minorHAnsi"/>
        </w:rPr>
        <w:t xml:space="preserve">prognosis. Unlike </w:t>
      </w:r>
      <w:r w:rsidR="00A12029">
        <w:rPr>
          <w:rFonts w:asciiTheme="minorHAnsi" w:hAnsiTheme="minorHAnsi" w:cstheme="minorHAnsi"/>
        </w:rPr>
        <w:t>karyotyping</w:t>
      </w:r>
      <w:r w:rsidRPr="007F53B9">
        <w:rPr>
          <w:rFonts w:asciiTheme="minorHAnsi" w:hAnsiTheme="minorHAnsi" w:cstheme="minorHAnsi"/>
        </w:rPr>
        <w:t>, FISH only looks at a small number of chromosome changes</w:t>
      </w:r>
      <w:r w:rsidRPr="007F53B9">
        <w:rPr>
          <w:rFonts w:asciiTheme="minorHAnsi" w:hAnsiTheme="minorHAnsi" w:cstheme="minorHAnsi"/>
        </w:rPr>
        <w:fldChar w:fldCharType="begin"/>
      </w:r>
      <w:r w:rsidR="00D80804">
        <w:rPr>
          <w:rFonts w:asciiTheme="minorHAnsi" w:hAnsiTheme="minorHAnsi" w:cstheme="minorHAnsi"/>
        </w:rPr>
        <w:instrText xml:space="preserve"> ADDIN EN.CITE &lt;EndNote&gt;&lt;Cite&gt;&lt;Author&gt;Biomnis&lt;/Author&gt;&lt;Year&gt;2016&lt;/Year&gt;&lt;RecNum&gt;6&lt;/RecNum&gt;&lt;DisplayText&gt;&lt;style face="superscript"&gt;27&lt;/style&gt;&lt;/DisplayText&gt;&lt;record&gt;&lt;rec-number&gt;6&lt;/rec-number&gt;&lt;foreign-keys&gt;&lt;key app="EN" db-id="vepewp0vsd9e2pea20s5svf89az5we2t9d5v" timestamp="1529548643"&gt;6&lt;/key&gt;&lt;/foreign-keys&gt;&lt;ref-type name="Journal Article"&gt;17&lt;/ref-type&gt;&lt;contributors&gt;&lt;authors&gt;&lt;author&gt;Eurofins Biomnis&lt;/author&gt;&lt;/authors&gt;&lt;/contributors&gt;&lt;titles&gt;&lt;title&gt;Constitutional cyto- and molecular genetics: Karyotyping, FISH and CGH array&lt;/title&gt;&lt;/titles&gt;&lt;dates&gt;&lt;year&gt;2016&lt;/year&gt;&lt;/dates&gt;&lt;urls&gt;&lt;related-urls&gt;&lt;url&gt;https://www.eurofins-biomnis.com/wp-content/uploads/2016/04/56-INTGB-Focus_Karyotyping_SNP_array.pdf&lt;/url&gt;&lt;/related-urls&gt;&lt;/urls&gt;&lt;access-date&gt;15 June 2018&lt;/access-date&gt;&lt;/record&gt;&lt;/Cite&gt;&lt;/EndNote&gt;</w:instrText>
      </w:r>
      <w:r w:rsidRPr="007F53B9">
        <w:rPr>
          <w:rFonts w:asciiTheme="minorHAnsi" w:hAnsiTheme="minorHAnsi" w:cstheme="minorHAnsi"/>
        </w:rPr>
        <w:fldChar w:fldCharType="separate"/>
      </w:r>
      <w:r w:rsidR="00D80804" w:rsidRPr="00D80804">
        <w:rPr>
          <w:rFonts w:asciiTheme="minorHAnsi" w:hAnsiTheme="minorHAnsi" w:cstheme="minorHAnsi"/>
          <w:noProof/>
          <w:vertAlign w:val="superscript"/>
        </w:rPr>
        <w:t>27</w:t>
      </w:r>
      <w:r w:rsidRPr="007F53B9">
        <w:rPr>
          <w:rFonts w:asciiTheme="minorHAnsi" w:hAnsiTheme="minorHAnsi" w:cstheme="minorHAnsi"/>
        </w:rPr>
        <w:fldChar w:fldCharType="end"/>
      </w:r>
      <w:r>
        <w:rPr>
          <w:rFonts w:asciiTheme="minorHAnsi" w:hAnsiTheme="minorHAnsi" w:cstheme="minorHAnsi"/>
        </w:rPr>
        <w:t>.</w:t>
      </w:r>
      <w:r w:rsidRPr="007F53B9">
        <w:rPr>
          <w:rFonts w:asciiTheme="minorHAnsi" w:hAnsiTheme="minorHAnsi" w:cstheme="minorHAnsi"/>
        </w:rPr>
        <w:t xml:space="preserve"> Given this limitation, FISH is often used in tandem with conventional karyotyping or with </w:t>
      </w:r>
      <w:r w:rsidR="00344CB2">
        <w:rPr>
          <w:rFonts w:asciiTheme="minorHAnsi" w:hAnsiTheme="minorHAnsi" w:cstheme="minorHAnsi"/>
        </w:rPr>
        <w:t>microarray</w:t>
      </w:r>
      <w:r w:rsidRPr="007F53B9">
        <w:rPr>
          <w:rFonts w:asciiTheme="minorHAnsi" w:hAnsiTheme="minorHAnsi" w:cstheme="minorHAnsi"/>
        </w:rPr>
        <w:t>s.</w:t>
      </w:r>
    </w:p>
    <w:p w14:paraId="759233F5" w14:textId="13D28299" w:rsidR="00DB6F88" w:rsidRDefault="00FF5886" w:rsidP="00D21490">
      <w:pPr>
        <w:spacing w:after="160"/>
      </w:pPr>
      <w:r w:rsidRPr="007F53B9">
        <w:t xml:space="preserve">Currently, </w:t>
      </w:r>
      <w:r>
        <w:t xml:space="preserve">there are no FISH tests </w:t>
      </w:r>
      <w:r w:rsidRPr="007F53B9">
        <w:t>reimbursed on the MBS</w:t>
      </w:r>
      <w:r>
        <w:t xml:space="preserve"> for MM</w:t>
      </w:r>
      <w:r w:rsidRPr="007F53B9">
        <w:t>.</w:t>
      </w:r>
      <w:r>
        <w:t xml:space="preserve"> In CLL, FISH testing is currently reimbursed on the MBS to test for del 17p in a patient with </w:t>
      </w:r>
      <w:r w:rsidRPr="006066CD">
        <w:rPr>
          <w:rFonts w:asciiTheme="minorHAnsi" w:hAnsiTheme="minorHAnsi"/>
        </w:rPr>
        <w:t>relapsed or refractory CLL (</w:t>
      </w:r>
      <w:r w:rsidR="00370E4F" w:rsidRPr="006066CD">
        <w:rPr>
          <w:rFonts w:asciiTheme="minorHAnsi" w:hAnsiTheme="minorHAnsi"/>
        </w:rPr>
        <w:fldChar w:fldCharType="begin"/>
      </w:r>
      <w:r w:rsidR="00370E4F" w:rsidRPr="006066CD">
        <w:rPr>
          <w:rFonts w:asciiTheme="minorHAnsi" w:hAnsiTheme="minorHAnsi"/>
        </w:rPr>
        <w:instrText xml:space="preserve"> REF _Ref519176480 \h </w:instrText>
      </w:r>
      <w:r w:rsidR="00370E4F" w:rsidRPr="00370E4F">
        <w:rPr>
          <w:rFonts w:asciiTheme="minorHAnsi" w:hAnsiTheme="minorHAnsi"/>
        </w:rPr>
        <w:instrText xml:space="preserve"> \* MERGEFORMAT </w:instrText>
      </w:r>
      <w:r w:rsidR="00370E4F" w:rsidRPr="006066CD">
        <w:rPr>
          <w:rFonts w:asciiTheme="minorHAnsi" w:hAnsiTheme="minorHAnsi"/>
        </w:rPr>
      </w:r>
      <w:r w:rsidR="00370E4F" w:rsidRPr="006066CD">
        <w:rPr>
          <w:rFonts w:asciiTheme="minorHAnsi" w:hAnsiTheme="minorHAnsi"/>
        </w:rPr>
        <w:fldChar w:fldCharType="separate"/>
      </w:r>
      <w:r w:rsidR="004E352B" w:rsidRPr="004E352B">
        <w:rPr>
          <w:rFonts w:asciiTheme="minorHAnsi" w:hAnsiTheme="minorHAnsi"/>
        </w:rPr>
        <w:t xml:space="preserve">Table </w:t>
      </w:r>
      <w:r w:rsidR="004E352B" w:rsidRPr="004E352B">
        <w:rPr>
          <w:rFonts w:asciiTheme="minorHAnsi" w:hAnsiTheme="minorHAnsi"/>
          <w:noProof/>
        </w:rPr>
        <w:t>4</w:t>
      </w:r>
      <w:r w:rsidR="00370E4F" w:rsidRPr="006066CD">
        <w:rPr>
          <w:rFonts w:asciiTheme="minorHAnsi" w:hAnsiTheme="minorHAnsi"/>
        </w:rPr>
        <w:fldChar w:fldCharType="end"/>
      </w:r>
      <w:r w:rsidR="00370E4F" w:rsidRPr="006066CD">
        <w:rPr>
          <w:rFonts w:asciiTheme="minorHAnsi" w:hAnsiTheme="minorHAnsi"/>
        </w:rPr>
        <w:t xml:space="preserve">). </w:t>
      </w:r>
      <w:r>
        <w:t>However, various studies</w:t>
      </w:r>
      <w:r>
        <w:fldChar w:fldCharType="begin">
          <w:fldData xml:space="preserve">PEVuZE5vdGU+PENpdGU+PEF1dGhvcj5TYWxhdmVycmlhPC9BdXRob3I+PFllYXI+MjAxNTwvWWVh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</w:fldData>
        </w:fldChar>
      </w:r>
      <w:r w:rsidR="00537FBA">
        <w:instrText xml:space="preserve"> ADDIN EN.CITE </w:instrText>
      </w:r>
      <w:r w:rsidR="00537FBA">
        <w:fldChar w:fldCharType="begin">
          <w:fldData xml:space="preserve">PEVuZE5vdGU+PENpdGU+PEF1dGhvcj5TYWxhdmVycmlhPC9BdXRob3I+PFllYXI+MjAxNTwvWWVh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</w:fldData>
        </w:fldChar>
      </w:r>
      <w:r w:rsidR="00537FBA">
        <w:instrText xml:space="preserve"> ADDIN EN.CITE.DATA </w:instrText>
      </w:r>
      <w:r w:rsidR="00537FBA">
        <w:fldChar w:fldCharType="end"/>
      </w:r>
      <w:r>
        <w:fldChar w:fldCharType="separate"/>
      </w:r>
      <w:r w:rsidR="00537FBA" w:rsidRPr="00537FBA">
        <w:rPr>
          <w:noProof/>
          <w:vertAlign w:val="superscript"/>
        </w:rPr>
        <w:t>20, 21, 28</w:t>
      </w:r>
      <w:r>
        <w:fldChar w:fldCharType="end"/>
      </w:r>
      <w:r>
        <w:t xml:space="preserve"> have detected discordance between the ability of genome-wide </w:t>
      </w:r>
      <w:r w:rsidR="00344CB2">
        <w:t>microarray</w:t>
      </w:r>
      <w:r>
        <w:t xml:space="preserve"> and FISH to detect del 17p</w:t>
      </w:r>
      <w:r w:rsidR="001B350A">
        <w:t>. Therefore,</w:t>
      </w:r>
      <w:r>
        <w:t xml:space="preserve"> genome-wide </w:t>
      </w:r>
      <w:r w:rsidR="00344CB2">
        <w:t>microarray</w:t>
      </w:r>
      <w:r>
        <w:t xml:space="preserve"> is recommended for use alongside FISH, rather than in replacement. The MBS item description and fees of the FISH test are included below.</w:t>
      </w:r>
    </w:p>
    <w:p w14:paraId="04E03020" w14:textId="4D20F282" w:rsidR="00FF5886" w:rsidRDefault="00FF5886" w:rsidP="00FF5886">
      <w:pPr>
        <w:spacing w:after="0"/>
      </w:pPr>
      <w:bookmarkStart w:id="13" w:name="_Ref519176480"/>
      <w:r w:rsidRPr="007F53B9">
        <w:rPr>
          <w:rFonts w:ascii="Arial Narrow" w:hAnsi="Arial Narrow"/>
          <w:b/>
          <w:sz w:val="20"/>
        </w:rPr>
        <w:t xml:space="preserve">Table </w:t>
      </w:r>
      <w:r w:rsidRPr="007F53B9">
        <w:rPr>
          <w:rFonts w:ascii="Arial Narrow" w:hAnsi="Arial Narrow"/>
          <w:b/>
          <w:sz w:val="20"/>
        </w:rPr>
        <w:fldChar w:fldCharType="begin"/>
      </w:r>
      <w:r w:rsidRPr="007F53B9">
        <w:rPr>
          <w:rFonts w:ascii="Arial Narrow" w:hAnsi="Arial Narrow"/>
          <w:b/>
          <w:sz w:val="20"/>
        </w:rPr>
        <w:instrText xml:space="preserve"> SEQ Table \* ARABIC </w:instrText>
      </w:r>
      <w:r w:rsidRPr="007F53B9">
        <w:rPr>
          <w:rFonts w:ascii="Arial Narrow" w:hAnsi="Arial Narrow"/>
          <w:b/>
          <w:sz w:val="20"/>
        </w:rPr>
        <w:fldChar w:fldCharType="separate"/>
      </w:r>
      <w:r w:rsidR="004E352B">
        <w:rPr>
          <w:rFonts w:ascii="Arial Narrow" w:hAnsi="Arial Narrow"/>
          <w:b/>
          <w:noProof/>
          <w:sz w:val="20"/>
        </w:rPr>
        <w:t>4</w:t>
      </w:r>
      <w:r w:rsidRPr="007F53B9">
        <w:rPr>
          <w:rFonts w:ascii="Arial Narrow" w:hAnsi="Arial Narrow"/>
          <w:b/>
          <w:sz w:val="20"/>
        </w:rPr>
        <w:fldChar w:fldCharType="end"/>
      </w:r>
      <w:bookmarkEnd w:id="13"/>
      <w:r w:rsidRPr="007F53B9">
        <w:rPr>
          <w:rFonts w:ascii="Arial Narrow" w:hAnsi="Arial Narrow"/>
          <w:b/>
          <w:sz w:val="20"/>
        </w:rPr>
        <w:tab/>
        <w:t xml:space="preserve">MBS approved </w:t>
      </w:r>
      <w:r>
        <w:rPr>
          <w:rFonts w:ascii="Arial Narrow" w:hAnsi="Arial Narrow"/>
          <w:b/>
          <w:sz w:val="20"/>
        </w:rPr>
        <w:t>FISH tests in CLL</w:t>
      </w:r>
    </w:p>
    <w:tbl>
      <w:tblPr>
        <w:tblStyle w:val="TableGrid"/>
        <w:tblW w:w="0" w:type="auto"/>
        <w:tblLook w:val="04A0" w:firstRow="1" w:lastRow="0" w:firstColumn="1" w:lastColumn="0" w:noHBand="0" w:noVBand="1"/>
        <w:tblCaption w:val="Table 4 - MBS approved FISH tests in CLL"/>
        <w:tblDescription w:val="Table 4 - MBS approved FISH tests in CLL"/>
      </w:tblPr>
      <w:tblGrid>
        <w:gridCol w:w="931"/>
        <w:gridCol w:w="6861"/>
        <w:gridCol w:w="1224"/>
      </w:tblGrid>
      <w:tr w:rsidR="00FF5886" w14:paraId="52BC91CC" w14:textId="77777777" w:rsidTr="006A2658">
        <w:trPr>
          <w:tblHeader/>
        </w:trPr>
        <w:tc>
          <w:tcPr>
            <w:tcW w:w="0" w:type="auto"/>
          </w:tcPr>
          <w:p w14:paraId="27A2E151" w14:textId="77777777" w:rsidR="00FF5886" w:rsidRPr="00A12DEC" w:rsidRDefault="00FF5886" w:rsidP="00BA0CDA">
            <w:pPr>
              <w:rPr>
                <w:rFonts w:ascii="Arial Narrow" w:hAnsi="Arial Narrow"/>
                <w:b/>
                <w:sz w:val="18"/>
                <w:szCs w:val="18"/>
              </w:rPr>
            </w:pPr>
            <w:r w:rsidRPr="00A12DEC">
              <w:rPr>
                <w:rFonts w:ascii="Arial Narrow" w:hAnsi="Arial Narrow"/>
                <w:b/>
                <w:sz w:val="18"/>
                <w:szCs w:val="18"/>
              </w:rPr>
              <w:t>MBS Item Number</w:t>
            </w:r>
          </w:p>
        </w:tc>
        <w:tc>
          <w:tcPr>
            <w:tcW w:w="6861" w:type="dxa"/>
          </w:tcPr>
          <w:p w14:paraId="2EAAA1EA" w14:textId="77777777" w:rsidR="00FF5886" w:rsidRPr="00A12DEC" w:rsidRDefault="00FF5886" w:rsidP="00BA0CDA">
            <w:pPr>
              <w:rPr>
                <w:rFonts w:ascii="Arial Narrow" w:hAnsi="Arial Narrow"/>
                <w:b/>
                <w:sz w:val="18"/>
                <w:szCs w:val="18"/>
              </w:rPr>
            </w:pPr>
            <w:r w:rsidRPr="00A12DEC">
              <w:rPr>
                <w:rFonts w:ascii="Arial Narrow" w:hAnsi="Arial Narrow"/>
                <w:b/>
                <w:sz w:val="18"/>
                <w:szCs w:val="18"/>
              </w:rPr>
              <w:t>Description</w:t>
            </w:r>
          </w:p>
        </w:tc>
        <w:tc>
          <w:tcPr>
            <w:tcW w:w="1224" w:type="dxa"/>
          </w:tcPr>
          <w:p w14:paraId="63125E67" w14:textId="77777777" w:rsidR="00FF5886" w:rsidRPr="00A12DEC" w:rsidRDefault="00FF5886" w:rsidP="00BA0CDA">
            <w:pPr>
              <w:rPr>
                <w:rFonts w:ascii="Arial Narrow" w:hAnsi="Arial Narrow"/>
                <w:b/>
                <w:sz w:val="18"/>
                <w:szCs w:val="18"/>
              </w:rPr>
            </w:pPr>
            <w:r w:rsidRPr="00A12DEC">
              <w:rPr>
                <w:rFonts w:ascii="Arial Narrow" w:hAnsi="Arial Narrow"/>
                <w:b/>
                <w:sz w:val="18"/>
                <w:szCs w:val="18"/>
              </w:rPr>
              <w:t xml:space="preserve">Cost </w:t>
            </w:r>
          </w:p>
        </w:tc>
      </w:tr>
      <w:tr w:rsidR="00FF5886" w14:paraId="25D286B1" w14:textId="77777777" w:rsidTr="00597897">
        <w:tc>
          <w:tcPr>
            <w:tcW w:w="0" w:type="auto"/>
          </w:tcPr>
          <w:p w14:paraId="27322D08" w14:textId="77777777" w:rsidR="00FF5886" w:rsidRPr="00A12DEC" w:rsidRDefault="00FF5886" w:rsidP="00BA0CDA">
            <w:pPr>
              <w:rPr>
                <w:rFonts w:ascii="Arial Narrow" w:hAnsi="Arial Narrow"/>
                <w:sz w:val="18"/>
                <w:szCs w:val="18"/>
              </w:rPr>
            </w:pPr>
            <w:r w:rsidRPr="00A12DEC">
              <w:rPr>
                <w:rFonts w:ascii="Arial Narrow" w:hAnsi="Arial Narrow"/>
                <w:sz w:val="18"/>
                <w:szCs w:val="18"/>
              </w:rPr>
              <w:t>73343</w:t>
            </w:r>
          </w:p>
        </w:tc>
        <w:tc>
          <w:tcPr>
            <w:tcW w:w="6861" w:type="dxa"/>
          </w:tcPr>
          <w:p w14:paraId="4AF6514A" w14:textId="77777777" w:rsidR="00FF5886" w:rsidRPr="00A12DEC" w:rsidRDefault="00FF5886" w:rsidP="00BA0CDA">
            <w:pPr>
              <w:rPr>
                <w:rFonts w:ascii="Arial Narrow" w:hAnsi="Arial Narrow"/>
                <w:sz w:val="18"/>
                <w:szCs w:val="18"/>
              </w:rPr>
            </w:pPr>
            <w:r w:rsidRPr="00A12DEC">
              <w:rPr>
                <w:rFonts w:ascii="Arial Narrow" w:hAnsi="Arial Narrow"/>
                <w:sz w:val="18"/>
                <w:szCs w:val="18"/>
              </w:rPr>
              <w:t>Detection of 17p chromosomal deletions by fluorescence in situ hybridisation, in a patient with relapsed or refractory chronic lymphocytic leukaemia or small lymphocytic lymphoma, on a peripheral blood or bone marrow sample, requested by a specialist or consultant physician, to determine if the requirements for access to idelalisib or ibrutinib on the Pharmaceutical Benefits Scheme are fulfilled.</w:t>
            </w:r>
          </w:p>
        </w:tc>
        <w:tc>
          <w:tcPr>
            <w:tcW w:w="1224" w:type="dxa"/>
          </w:tcPr>
          <w:p w14:paraId="6699655D" w14:textId="77777777" w:rsidR="00FF5886" w:rsidRPr="00A12DEC" w:rsidRDefault="00FF5886" w:rsidP="00BA0CDA">
            <w:pPr>
              <w:rPr>
                <w:rFonts w:ascii="Arial Narrow" w:hAnsi="Arial Narrow"/>
                <w:sz w:val="18"/>
                <w:szCs w:val="18"/>
              </w:rPr>
            </w:pPr>
            <w:r w:rsidRPr="00A12DEC">
              <w:rPr>
                <w:rFonts w:ascii="Arial Narrow" w:hAnsi="Arial Narrow"/>
                <w:sz w:val="18"/>
                <w:szCs w:val="18"/>
              </w:rPr>
              <w:t>Fee: $230.95 Benefit: 75% = $173.25 85% = $196.35</w:t>
            </w:r>
          </w:p>
        </w:tc>
      </w:tr>
    </w:tbl>
    <w:p w14:paraId="1885E8FA" w14:textId="77777777" w:rsidR="00FF5886" w:rsidRPr="007F53B9" w:rsidRDefault="00FF5886" w:rsidP="00FF5886">
      <w:pPr>
        <w:spacing w:after="0"/>
        <w:rPr>
          <w:rFonts w:ascii="Arial Narrow" w:hAnsi="Arial Narrow" w:cstheme="minorHAnsi"/>
          <w:sz w:val="18"/>
          <w:szCs w:val="18"/>
        </w:rPr>
      </w:pPr>
      <w:r w:rsidRPr="007F53B9">
        <w:rPr>
          <w:rFonts w:ascii="Arial Narrow" w:hAnsi="Arial Narrow" w:cstheme="minorHAnsi"/>
          <w:sz w:val="18"/>
          <w:szCs w:val="18"/>
        </w:rPr>
        <w:t>Source: MBS online (accessed Jun 2018)</w:t>
      </w:r>
    </w:p>
    <w:p w14:paraId="64478CE5" w14:textId="77777777" w:rsidR="00FF5886" w:rsidRPr="007F53B9" w:rsidRDefault="00FF5886" w:rsidP="00D7300D">
      <w:pPr>
        <w:rPr>
          <w:rFonts w:ascii="Arial Narrow" w:hAnsi="Arial Narrow" w:cstheme="minorHAnsi"/>
          <w:sz w:val="18"/>
          <w:szCs w:val="18"/>
        </w:rPr>
      </w:pPr>
      <w:r w:rsidRPr="007F53B9">
        <w:rPr>
          <w:rFonts w:ascii="Arial Narrow" w:hAnsi="Arial Narrow" w:cstheme="minorHAnsi"/>
          <w:sz w:val="18"/>
          <w:szCs w:val="18"/>
        </w:rPr>
        <w:t>Abbreviations: MBS, Medicare benefits schedule</w:t>
      </w:r>
    </w:p>
    <w:bookmarkEnd w:id="10"/>
    <w:p w14:paraId="27F5115F" w14:textId="77777777" w:rsidR="009078F5" w:rsidRDefault="009078F5">
      <w:pPr>
        <w:rPr>
          <w:b/>
        </w:rPr>
      </w:pPr>
      <w:r>
        <w:rPr>
          <w:b/>
        </w:rPr>
        <w:br w:type="page"/>
      </w:r>
    </w:p>
    <w:p w14:paraId="7FA83DBA" w14:textId="77777777" w:rsidR="00896845" w:rsidRPr="007F53B9" w:rsidRDefault="00896845" w:rsidP="00D21490">
      <w:pPr>
        <w:spacing w:after="160"/>
        <w:rPr>
          <w:b/>
        </w:rPr>
      </w:pPr>
      <w:r w:rsidRPr="007F53B9">
        <w:rPr>
          <w:b/>
        </w:rPr>
        <w:lastRenderedPageBreak/>
        <w:t>Outcomes</w:t>
      </w:r>
    </w:p>
    <w:p w14:paraId="74550F10" w14:textId="77777777" w:rsidR="002A66BD" w:rsidRPr="007F53B9" w:rsidRDefault="002A66BD" w:rsidP="00D21490">
      <w:pPr>
        <w:spacing w:after="160"/>
        <w:rPr>
          <w:i/>
          <w:u w:val="single"/>
        </w:rPr>
      </w:pPr>
      <w:r w:rsidRPr="007F53B9">
        <w:rPr>
          <w:i/>
          <w:u w:val="single"/>
        </w:rPr>
        <w:t>Patient relevant</w:t>
      </w:r>
    </w:p>
    <w:p w14:paraId="7E2FDACF" w14:textId="491B827A" w:rsidR="00A619BC" w:rsidRDefault="003E1B81" w:rsidP="00D21490">
      <w:pPr>
        <w:spacing w:after="160"/>
      </w:pPr>
      <w:r w:rsidRPr="007F53B9">
        <w:t xml:space="preserve">From a patient perspective, the important outcomes of </w:t>
      </w:r>
      <w:r w:rsidR="00896658">
        <w:t>genome-wide</w:t>
      </w:r>
      <w:r w:rsidRPr="007F53B9">
        <w:t xml:space="preserve"> </w:t>
      </w:r>
      <w:r w:rsidR="00344CB2">
        <w:t>microarray</w:t>
      </w:r>
      <w:r w:rsidRPr="007F53B9">
        <w:t>s are:</w:t>
      </w:r>
      <w:r w:rsidR="0096615A" w:rsidRPr="007F53B9">
        <w:t xml:space="preserve"> improved </w:t>
      </w:r>
      <w:r w:rsidR="0008710A" w:rsidRPr="007F53B9">
        <w:t>prognostic assessment</w:t>
      </w:r>
      <w:r w:rsidR="00A619BC">
        <w:t xml:space="preserve"> and</w:t>
      </w:r>
      <w:r w:rsidR="0096615A" w:rsidRPr="007F53B9">
        <w:t xml:space="preserve"> avoiding less efficacious treatments.</w:t>
      </w:r>
      <w:r w:rsidR="00A619BC">
        <w:t xml:space="preserve"> Furthermore,</w:t>
      </w:r>
      <w:r w:rsidR="001B350A">
        <w:t xml:space="preserve"> in CLL,</w:t>
      </w:r>
      <w:r w:rsidR="00A619BC">
        <w:t xml:space="preserve"> the detection of del 17p by genome-wide </w:t>
      </w:r>
      <w:r w:rsidR="00344CB2">
        <w:t>microarray</w:t>
      </w:r>
      <w:r w:rsidR="00A619BC">
        <w:t xml:space="preserve"> will </w:t>
      </w:r>
      <w:r w:rsidR="00767337">
        <w:t xml:space="preserve">enable </w:t>
      </w:r>
      <w:r w:rsidR="00A619BC">
        <w:t>specialists to prescribe treatments on the PBS that require the demonstration of 17p chromosomal deletions.</w:t>
      </w:r>
    </w:p>
    <w:p w14:paraId="0CEA3D19" w14:textId="77777777" w:rsidR="00D0546F" w:rsidRDefault="003E1B81" w:rsidP="00D21490">
      <w:pPr>
        <w:spacing w:after="160"/>
      </w:pPr>
      <w:r w:rsidRPr="007F53B9">
        <w:t xml:space="preserve">From a clinical perspective, an accurate assignment of genomic mutations is important because of prognostic and therapeutic implications for the patients. Accurate determination of cytogenetic abnormalities present in </w:t>
      </w:r>
      <w:r w:rsidR="00A619BC">
        <w:t>haematological malignancies</w:t>
      </w:r>
      <w:r w:rsidRPr="007F53B9">
        <w:t xml:space="preserve"> would provide prognostic information that may lead to a more </w:t>
      </w:r>
      <w:r w:rsidR="00A619BC">
        <w:t>accurate</w:t>
      </w:r>
      <w:r w:rsidRPr="007F53B9">
        <w:t xml:space="preserve"> progression free survival (PFS) and overall survival (OS)</w:t>
      </w:r>
      <w:r w:rsidR="00A619BC">
        <w:t xml:space="preserve"> prediction</w:t>
      </w:r>
      <w:r w:rsidR="00EF23C7" w:rsidRPr="007F53B9">
        <w:t>.</w:t>
      </w:r>
    </w:p>
    <w:p w14:paraId="1136B257" w14:textId="4534A5E5" w:rsidR="00681998" w:rsidRDefault="00681998" w:rsidP="00D21490">
      <w:pPr>
        <w:spacing w:after="160"/>
      </w:pPr>
      <w:r>
        <w:rPr>
          <w:rFonts w:asciiTheme="minorHAnsi" w:eastAsiaTheme="minorHAnsi" w:hAnsiTheme="minorHAnsi" w:cstheme="minorHAnsi"/>
        </w:rPr>
        <w:t xml:space="preserve">However, </w:t>
      </w:r>
      <w:r w:rsidR="00767337">
        <w:rPr>
          <w:rFonts w:asciiTheme="minorHAnsi" w:eastAsiaTheme="minorHAnsi" w:hAnsiTheme="minorHAnsi" w:cstheme="minorHAnsi"/>
        </w:rPr>
        <w:t xml:space="preserve">in </w:t>
      </w:r>
      <w:r>
        <w:rPr>
          <w:rFonts w:asciiTheme="minorHAnsi" w:eastAsiaTheme="minorHAnsi" w:hAnsiTheme="minorHAnsi" w:cstheme="minorHAnsi"/>
        </w:rPr>
        <w:t>MM, a</w:t>
      </w:r>
      <w:r w:rsidRPr="007F53B9">
        <w:rPr>
          <w:rFonts w:asciiTheme="minorHAnsi" w:eastAsiaTheme="minorHAnsi" w:hAnsiTheme="minorHAnsi" w:cstheme="minorHAnsi"/>
        </w:rPr>
        <w:t xml:space="preserve">ccording to the </w:t>
      </w:r>
      <w:r w:rsidR="00891203">
        <w:rPr>
          <w:rFonts w:asciiTheme="minorHAnsi" w:eastAsiaTheme="minorHAnsi" w:hAnsiTheme="minorHAnsi" w:cstheme="minorHAnsi"/>
        </w:rPr>
        <w:t>International Melanoma Working Group</w:t>
      </w:r>
      <w:r w:rsidRPr="007F53B9">
        <w:rPr>
          <w:rFonts w:asciiTheme="minorHAnsi" w:eastAsiaTheme="minorHAnsi" w:hAnsiTheme="minorHAnsi" w:cstheme="minorHAnsi"/>
        </w:rPr>
        <w:t xml:space="preserve"> consensus (2016)</w:t>
      </w:r>
      <w:r w:rsidRPr="007F53B9">
        <w:rPr>
          <w:rFonts w:asciiTheme="minorHAnsi" w:eastAsiaTheme="minorHAnsi" w:hAnsiTheme="minorHAnsi" w:cstheme="minorHAnsi"/>
        </w:rPr>
        <w:fldChar w:fldCharType="begin"/>
      </w:r>
      <w:r w:rsidR="00D21490">
        <w:rPr>
          <w:rFonts w:asciiTheme="minorHAnsi" w:eastAsiaTheme="minorHAnsi" w:hAnsiTheme="minorHAnsi" w:cstheme="minorHAnsi"/>
        </w:rPr>
        <w:instrText xml:space="preserve"> ADDIN EN.CITE &lt;EndNote&gt;&lt;Cite&gt;&lt;Author&gt;Sonneveld&lt;/Author&gt;&lt;Year&gt;2016&lt;/Year&gt;&lt;RecNum&gt;29&lt;/RecNum&gt;&lt;DisplayText&gt;&lt;style face="superscript"&gt;11&lt;/style&gt;&lt;/DisplayText&gt;&lt;record&gt;&lt;rec-number&gt;29&lt;/rec-number&gt;&lt;foreign-keys&gt;&lt;key app="EN" db-id="vepewp0vsd9e2pea20s5svf89az5we2t9d5v" timestamp="1529548644"&gt;29&lt;/key&gt;&lt;/foreign-keys&gt;&lt;ref-type name="Journal Article"&gt;17&lt;/ref-type&gt;&lt;contributors&gt;&lt;authors&gt;&lt;author&gt;Sonneveld, Pieter&lt;/author&gt;&lt;author&gt;Avet-Loiseau, Hervé&lt;/author&gt;&lt;author&gt;Lonial, Sagar&lt;/author&gt;&lt;author&gt;Usmani, Saad&lt;/author&gt;&lt;author&gt;Siegel, David&lt;/author&gt;&lt;author&gt;Anderson, Kenneth C&lt;/author&gt;&lt;author&gt;Chng, Wee-Joo&lt;/author&gt;&lt;author&gt;Moreau, Philippe&lt;/author&gt;&lt;author&gt;Attal, Michel&lt;/author&gt;&lt;author&gt;Kyle, Robert A&lt;/author&gt;&lt;/authors&gt;&lt;/contributors&gt;&lt;titles&gt;&lt;title&gt;Treatment of multiple myeloma with high-risk cytogenetics: a consensus of the International Myeloma Working Group&lt;/title&gt;&lt;secondary-title&gt;Blood&lt;/secondary-title&gt;&lt;/titles&gt;&lt;periodical&gt;&lt;full-title&gt;Blood&lt;/full-title&gt;&lt;/periodical&gt;&lt;pages&gt;2955-2962&lt;/pages&gt;&lt;volume&gt;127&lt;/volume&gt;&lt;number&gt;24&lt;/number&gt;&lt;dates&gt;&lt;year&gt;2016&lt;/year&gt;&lt;/dates&gt;&lt;isbn&gt;0006-4971&lt;/isbn&gt;&lt;urls&gt;&lt;/urls&gt;&lt;/record&gt;&lt;/Cite&gt;&lt;/EndNote&gt;</w:instrText>
      </w:r>
      <w:r w:rsidRPr="007F53B9">
        <w:rPr>
          <w:rFonts w:asciiTheme="minorHAnsi" w:eastAsiaTheme="minorHAnsi" w:hAnsiTheme="minorHAnsi" w:cstheme="minorHAnsi"/>
        </w:rPr>
        <w:fldChar w:fldCharType="separate"/>
      </w:r>
      <w:r w:rsidR="00D21490" w:rsidRPr="00D21490">
        <w:rPr>
          <w:rFonts w:asciiTheme="minorHAnsi" w:eastAsiaTheme="minorHAnsi" w:hAnsiTheme="minorHAnsi" w:cstheme="minorHAnsi"/>
          <w:noProof/>
          <w:vertAlign w:val="superscript"/>
        </w:rPr>
        <w:t>11</w:t>
      </w:r>
      <w:r w:rsidRPr="007F53B9">
        <w:rPr>
          <w:rFonts w:asciiTheme="minorHAnsi" w:eastAsiaTheme="minorHAnsi" w:hAnsiTheme="minorHAnsi" w:cstheme="minorHAnsi"/>
        </w:rPr>
        <w:fldChar w:fldCharType="end"/>
      </w:r>
      <w:r w:rsidRPr="007F53B9">
        <w:rPr>
          <w:rFonts w:asciiTheme="minorHAnsi" w:eastAsiaTheme="minorHAnsi" w:hAnsiTheme="minorHAnsi" w:cstheme="minorHAnsi"/>
        </w:rPr>
        <w:t xml:space="preserve">, bortezomib and carfilzomib treatment appear to improve complete response, </w:t>
      </w:r>
      <w:r w:rsidR="00767337">
        <w:rPr>
          <w:rFonts w:asciiTheme="minorHAnsi" w:eastAsiaTheme="minorHAnsi" w:hAnsiTheme="minorHAnsi" w:cstheme="minorHAnsi"/>
        </w:rPr>
        <w:t>PFS</w:t>
      </w:r>
      <w:r w:rsidRPr="007F53B9">
        <w:rPr>
          <w:rFonts w:asciiTheme="minorHAnsi" w:eastAsiaTheme="minorHAnsi" w:hAnsiTheme="minorHAnsi" w:cstheme="minorHAnsi"/>
        </w:rPr>
        <w:t xml:space="preserve">, and </w:t>
      </w:r>
      <w:r w:rsidR="00767337">
        <w:rPr>
          <w:rFonts w:asciiTheme="minorHAnsi" w:eastAsiaTheme="minorHAnsi" w:hAnsiTheme="minorHAnsi" w:cstheme="minorHAnsi"/>
        </w:rPr>
        <w:t xml:space="preserve">OS </w:t>
      </w:r>
      <w:r w:rsidRPr="007F53B9">
        <w:rPr>
          <w:rFonts w:asciiTheme="minorHAnsi" w:eastAsiaTheme="minorHAnsi" w:hAnsiTheme="minorHAnsi" w:cstheme="minorHAnsi"/>
        </w:rPr>
        <w:t xml:space="preserve">in t(4;14) and del(17/17p). While lenalidomide may be associated with improved </w:t>
      </w:r>
      <w:r w:rsidR="00767337">
        <w:rPr>
          <w:rFonts w:asciiTheme="minorHAnsi" w:eastAsiaTheme="minorHAnsi" w:hAnsiTheme="minorHAnsi" w:cstheme="minorHAnsi"/>
        </w:rPr>
        <w:t xml:space="preserve">PFS </w:t>
      </w:r>
      <w:r w:rsidRPr="007F53B9">
        <w:rPr>
          <w:rFonts w:asciiTheme="minorHAnsi" w:eastAsiaTheme="minorHAnsi" w:hAnsiTheme="minorHAnsi" w:cstheme="minorHAnsi"/>
        </w:rPr>
        <w:t xml:space="preserve">in t(4;14) and del(17/17p). </w:t>
      </w:r>
      <w:r w:rsidR="00767337">
        <w:rPr>
          <w:rFonts w:asciiTheme="minorHAnsi" w:eastAsiaTheme="minorHAnsi" w:hAnsiTheme="minorHAnsi" w:cstheme="minorHAnsi"/>
        </w:rPr>
        <w:t xml:space="preserve">Both </w:t>
      </w:r>
      <w:r w:rsidR="00767337" w:rsidRPr="007F53B9">
        <w:rPr>
          <w:rFonts w:asciiTheme="minorHAnsi" w:eastAsiaTheme="minorHAnsi" w:hAnsiTheme="minorHAnsi" w:cstheme="minorHAnsi"/>
        </w:rPr>
        <w:t xml:space="preserve">bortezomib </w:t>
      </w:r>
      <w:r w:rsidR="00767337">
        <w:rPr>
          <w:rFonts w:asciiTheme="minorHAnsi" w:eastAsiaTheme="minorHAnsi" w:hAnsiTheme="minorHAnsi" w:cstheme="minorHAnsi"/>
        </w:rPr>
        <w:t xml:space="preserve">and </w:t>
      </w:r>
      <w:r w:rsidR="00767337" w:rsidRPr="007F53B9">
        <w:rPr>
          <w:rFonts w:asciiTheme="minorHAnsi" w:eastAsiaTheme="minorHAnsi" w:hAnsiTheme="minorHAnsi" w:cstheme="minorHAnsi"/>
        </w:rPr>
        <w:t xml:space="preserve">lenalidomide </w:t>
      </w:r>
      <w:r w:rsidRPr="007F53B9">
        <w:rPr>
          <w:rFonts w:asciiTheme="minorHAnsi" w:eastAsiaTheme="minorHAnsi" w:hAnsiTheme="minorHAnsi" w:cstheme="minorHAnsi"/>
        </w:rPr>
        <w:t xml:space="preserve">are already used in the first to third line treatment of symptomatic </w:t>
      </w:r>
      <w:r>
        <w:rPr>
          <w:rFonts w:asciiTheme="minorHAnsi" w:eastAsiaTheme="minorHAnsi" w:hAnsiTheme="minorHAnsi" w:cstheme="minorHAnsi"/>
        </w:rPr>
        <w:t>MM</w:t>
      </w:r>
      <w:r w:rsidRPr="007F53B9">
        <w:rPr>
          <w:rFonts w:asciiTheme="minorHAnsi" w:eastAsiaTheme="minorHAnsi" w:hAnsiTheme="minorHAnsi" w:cstheme="minorHAnsi"/>
        </w:rPr>
        <w:t xml:space="preserve"> patients (</w:t>
      </w:r>
      <w:r w:rsidRPr="007F53B9">
        <w:rPr>
          <w:rFonts w:asciiTheme="minorHAnsi" w:eastAsiaTheme="minorHAnsi" w:hAnsiTheme="minorHAnsi" w:cstheme="minorHAnsi"/>
        </w:rPr>
        <w:fldChar w:fldCharType="begin"/>
      </w:r>
      <w:r w:rsidRPr="007F53B9">
        <w:rPr>
          <w:rFonts w:asciiTheme="minorHAnsi" w:eastAsiaTheme="minorHAnsi" w:hAnsiTheme="minorHAnsi" w:cstheme="minorHAnsi"/>
        </w:rPr>
        <w:instrText xml:space="preserve"> REF _Ref517251026 \h  \* MERGEFORMAT </w:instrText>
      </w:r>
      <w:r w:rsidRPr="007F53B9">
        <w:rPr>
          <w:rFonts w:asciiTheme="minorHAnsi" w:eastAsiaTheme="minorHAnsi" w:hAnsiTheme="minorHAnsi" w:cstheme="minorHAnsi"/>
        </w:rPr>
      </w:r>
      <w:r w:rsidRPr="007F53B9">
        <w:rPr>
          <w:rFonts w:asciiTheme="minorHAnsi" w:eastAsiaTheme="minorHAnsi" w:hAnsiTheme="minorHAnsi" w:cstheme="minorHAnsi"/>
        </w:rPr>
        <w:fldChar w:fldCharType="separate"/>
      </w:r>
      <w:r w:rsidR="004E352B" w:rsidRPr="004E352B">
        <w:rPr>
          <w:rFonts w:asciiTheme="minorHAnsi" w:hAnsiTheme="minorHAnsi" w:cstheme="minorHAnsi"/>
        </w:rPr>
        <w:t xml:space="preserve">Figure </w:t>
      </w:r>
      <w:r w:rsidR="004E352B" w:rsidRPr="004E352B">
        <w:rPr>
          <w:rFonts w:asciiTheme="minorHAnsi" w:hAnsiTheme="minorHAnsi" w:cstheme="minorHAnsi"/>
          <w:noProof/>
        </w:rPr>
        <w:t>1</w:t>
      </w:r>
      <w:r w:rsidRPr="007F53B9">
        <w:rPr>
          <w:rFonts w:asciiTheme="minorHAnsi" w:eastAsiaTheme="minorHAnsi" w:hAnsiTheme="minorHAnsi" w:cstheme="minorHAnsi"/>
        </w:rPr>
        <w:fldChar w:fldCharType="end"/>
      </w:r>
      <w:r w:rsidRPr="007F53B9">
        <w:rPr>
          <w:rFonts w:asciiTheme="minorHAnsi" w:eastAsiaTheme="minorHAnsi" w:hAnsiTheme="minorHAnsi" w:cstheme="minorHAnsi"/>
        </w:rPr>
        <w:t>). Thus, the impact of cytogenetic abnormalities on treatment paradigms are minimal, yet their impact on patient prognosis is significant</w:t>
      </w:r>
      <w:r>
        <w:rPr>
          <w:rFonts w:asciiTheme="minorHAnsi" w:eastAsiaTheme="minorHAnsi" w:hAnsiTheme="minorHAnsi" w:cstheme="minorHAnsi"/>
        </w:rPr>
        <w:fldChar w:fldCharType="begin"/>
      </w:r>
      <w:r w:rsidR="00D21490">
        <w:rPr>
          <w:rFonts w:asciiTheme="minorHAnsi" w:eastAsiaTheme="minorHAnsi" w:hAnsiTheme="minorHAnsi" w:cstheme="minorHAnsi"/>
        </w:rPr>
        <w:instrText xml:space="preserve"> ADDIN EN.CITE &lt;EndNote&gt;&lt;Cite&gt;&lt;Author&gt;Australia&lt;/Author&gt;&lt;Year&gt;2017&lt;/Year&gt;&lt;RecNum&gt;49&lt;/RecNum&gt;&lt;DisplayText&gt;&lt;style face="superscript"&gt;9&lt;/style&gt;&lt;/DisplayText&gt;&lt;record&gt;&lt;rec-number&gt;49&lt;/rec-number&gt;&lt;foreign-keys&gt;&lt;key app="EN" db-id="vepewp0vsd9e2pea20s5svf89az5we2t9d5v" timestamp="1529897065"&gt;49&lt;/key&gt;&lt;/foreign-keys&gt;&lt;ref-type name="Report"&gt;27&lt;/ref-type&gt;&lt;contributors&gt;&lt;authors&gt;&lt;author&gt;Myeloma Australia&lt;/author&gt;&lt;/authors&gt;&lt;/contributors&gt;&lt;titles&gt;&lt;title&gt;Clinical Practice Guideline MULTIPLE MYELOMA&lt;/title&gt;&lt;/titles&gt;&lt;dates&gt;&lt;year&gt;2017&lt;/year&gt;&lt;/dates&gt;&lt;urls&gt;&lt;related-urls&gt;&lt;url&gt;http://myeloma.org.au/wp-content/uploads/2017/10/MSAG-Clinical-Practice-Guideline-Myeloma-V4-March-2017.pdf&lt;/url&gt;&lt;/related-urls&gt;&lt;/urls&gt;&lt;access-date&gt;12 June 1028&lt;/access-date&gt;&lt;/record&gt;&lt;/Cite&gt;&lt;/EndNote&gt;</w:instrText>
      </w:r>
      <w:r>
        <w:rPr>
          <w:rFonts w:asciiTheme="minorHAnsi" w:eastAsiaTheme="minorHAnsi" w:hAnsiTheme="minorHAnsi" w:cstheme="minorHAnsi"/>
        </w:rPr>
        <w:fldChar w:fldCharType="separate"/>
      </w:r>
      <w:r w:rsidR="00D21490" w:rsidRPr="00D21490">
        <w:rPr>
          <w:rFonts w:asciiTheme="minorHAnsi" w:eastAsiaTheme="minorHAnsi" w:hAnsiTheme="minorHAnsi" w:cstheme="minorHAnsi"/>
          <w:noProof/>
          <w:vertAlign w:val="superscript"/>
        </w:rPr>
        <w:t>9</w:t>
      </w:r>
      <w:r>
        <w:rPr>
          <w:rFonts w:asciiTheme="minorHAnsi" w:eastAsiaTheme="minorHAnsi" w:hAnsiTheme="minorHAnsi" w:cstheme="minorHAnsi"/>
        </w:rPr>
        <w:fldChar w:fldCharType="end"/>
      </w:r>
      <w:r w:rsidRPr="007F53B9">
        <w:rPr>
          <w:rFonts w:asciiTheme="minorHAnsi" w:eastAsiaTheme="minorHAnsi" w:hAnsiTheme="minorHAnsi" w:cstheme="minorHAnsi"/>
        </w:rPr>
        <w:t xml:space="preserve">. </w:t>
      </w:r>
      <w:r>
        <w:t>While,</w:t>
      </w:r>
      <w:r w:rsidRPr="007F53B9">
        <w:t xml:space="preserve"> cytogenetic abnormalities </w:t>
      </w:r>
      <w:r>
        <w:t>can</w:t>
      </w:r>
      <w:r w:rsidRPr="007F53B9">
        <w:t xml:space="preserve"> segregate patients into standard or high-risk disease, it is still yet to be established in routine practice</w:t>
      </w:r>
      <w:r w:rsidRPr="007F53B9">
        <w:fldChar w:fldCharType="begin"/>
      </w:r>
      <w:r w:rsidR="00D80804">
        <w:instrText xml:space="preserve"> ADDIN EN.CITE &lt;EndNote&gt;&lt;Cite&gt;&lt;Author&gt;Moreau&lt;/Author&gt;&lt;Year&gt;2017&lt;/Year&gt;&lt;RecNum&gt;25&lt;/RecNum&gt;&lt;DisplayText&gt;&lt;style face="superscript"&gt;29&lt;/style&gt;&lt;/DisplayText&gt;&lt;record&gt;&lt;rec-number&gt;25&lt;/rec-number&gt;&lt;foreign-keys&gt;&lt;key app="EN" db-id="vepewp0vsd9e2pea20s5svf89az5we2t9d5v" timestamp="1529548644"&gt;25&lt;/key&gt;&lt;/foreign-keys&gt;&lt;ref-type name="Journal Article"&gt;17&lt;/ref-type&gt;&lt;contributors&gt;&lt;authors&gt;&lt;author&gt;Moreau, P.&lt;/author&gt;&lt;author&gt;San Miguel, J.&lt;/author&gt;&lt;author&gt;Sonneveld, P.&lt;/author&gt;&lt;author&gt;Mateos, M. V.&lt;/author&gt;&lt;author&gt;Zamagni, E.&lt;/author&gt;&lt;author&gt;Avet-Loiseau, H.&lt;/author&gt;&lt;author&gt;Hajek, R.&lt;/author&gt;&lt;author&gt;Dimopoulos, M. A.&lt;/author&gt;&lt;author&gt;Ludwig, H.&lt;/author&gt;&lt;author&gt;Einsele, H.&lt;/author&gt;&lt;author&gt;Zweegman, S.&lt;/author&gt;&lt;author&gt;Facon, T.&lt;/author&gt;&lt;author&gt;Cavo, M.&lt;/author&gt;&lt;author&gt;Terpos, E.&lt;/author&gt;&lt;author&gt;Goldschmidt, H.&lt;/author&gt;&lt;author&gt;Attal, M.&lt;/author&gt;&lt;author&gt;Buske, C.&lt;/author&gt;&lt;author&gt;on behalf of the, Esmo Guidelines Committee&lt;/author&gt;&lt;/authors&gt;&lt;/contributors&gt;&lt;titles&gt;&lt;title&gt;Multiple myeloma: ESMO Clinical Practice Guidelines for diagnosis, treatment and follow-up†&lt;/title&gt;&lt;secondary-title&gt;Annals of Oncology&lt;/secondary-title&gt;&lt;/titles&gt;&lt;periodical&gt;&lt;full-title&gt;Annals of Oncology&lt;/full-title&gt;&lt;/periodical&gt;&lt;pages&gt;iv52-iv61&lt;/pages&gt;&lt;volume&gt;28&lt;/volume&gt;&lt;number&gt;suppl_4&lt;/number&gt;&lt;dates&gt;&lt;year&gt;2017&lt;/year&gt;&lt;/dates&gt;&lt;isbn&gt;0923-7534&lt;/isbn&gt;&lt;urls&gt;&lt;related-urls&gt;&lt;url&gt;http://dx.doi.org/10.1093/annonc/mdx096&lt;/url&gt;&lt;/related-urls&gt;&lt;/urls&gt;&lt;electronic-resource-num&gt;10.1093/annonc/mdx096&lt;/electronic-resource-num&gt;&lt;/record&gt;&lt;/Cite&gt;&lt;/EndNote&gt;</w:instrText>
      </w:r>
      <w:r w:rsidRPr="007F53B9">
        <w:fldChar w:fldCharType="separate"/>
      </w:r>
      <w:r w:rsidR="00D80804" w:rsidRPr="00D80804">
        <w:rPr>
          <w:noProof/>
          <w:vertAlign w:val="superscript"/>
        </w:rPr>
        <w:t>29</w:t>
      </w:r>
      <w:r w:rsidRPr="007F53B9">
        <w:fldChar w:fldCharType="end"/>
      </w:r>
      <w:r>
        <w:t>.</w:t>
      </w:r>
      <w:r w:rsidRPr="007F53B9">
        <w:t xml:space="preserve"> </w:t>
      </w:r>
    </w:p>
    <w:p w14:paraId="7A64674E" w14:textId="09AA4CE6" w:rsidR="0055176D" w:rsidRPr="001C173E" w:rsidRDefault="009C3879" w:rsidP="0055176D">
      <w:pPr>
        <w:pStyle w:val="ListParagraph"/>
        <w:spacing w:after="160"/>
        <w:ind w:left="0"/>
      </w:pPr>
      <w:r w:rsidRPr="00E65553">
        <w:rPr>
          <w:rFonts w:asciiTheme="minorHAnsi" w:hAnsiTheme="minorHAnsi" w:cstheme="minorHAnsi"/>
        </w:rPr>
        <w:t xml:space="preserve">Genome-wide microarray is currently more expensive than standard karyotype, however it would be considered more cost-effective in the </w:t>
      </w:r>
      <w:r w:rsidR="006066CD">
        <w:rPr>
          <w:rFonts w:asciiTheme="minorHAnsi" w:hAnsiTheme="minorHAnsi" w:cstheme="minorHAnsi"/>
        </w:rPr>
        <w:t>haematological</w:t>
      </w:r>
      <w:r w:rsidRPr="00E65553">
        <w:rPr>
          <w:rFonts w:asciiTheme="minorHAnsi" w:hAnsiTheme="minorHAnsi" w:cstheme="minorHAnsi"/>
        </w:rPr>
        <w:t xml:space="preserve"> population because of greater sensitivity to detect chromosomal abnormalities.</w:t>
      </w:r>
      <w:r w:rsidR="0055176D" w:rsidRPr="0055176D">
        <w:t xml:space="preserve"> </w:t>
      </w:r>
      <w:r w:rsidR="0055176D">
        <w:t>Furthermore, karyotyping has a higher culture failure rate in conducting a successful cytogenetic analysis than microarray</w:t>
      </w:r>
      <w:r w:rsidR="0055176D">
        <w:fldChar w:fldCharType="begin">
          <w:fldData xml:space="preserve">PEVuZE5vdGU+PENpdGU+PEF1dGhvcj5TdGV2ZW5z4oCQS3JvZWY8L0F1dGhvcj48WWVhcj4yMDE3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</w:fldData>
        </w:fldChar>
      </w:r>
      <w:r w:rsidR="00537FBA">
        <w:instrText xml:space="preserve"> ADDIN EN.CITE </w:instrText>
      </w:r>
      <w:r w:rsidR="00537FBA">
        <w:fldChar w:fldCharType="begin">
          <w:fldData xml:space="preserve">PEVuZE5vdGU+PENpdGU+PEF1dGhvcj5TdGV2ZW5z4oCQS3JvZWY8L0F1dGhvcj48WWVhcj4yMDE3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</w:fldData>
        </w:fldChar>
      </w:r>
      <w:r w:rsidR="00537FBA">
        <w:instrText xml:space="preserve"> ADDIN EN.CITE.DATA </w:instrText>
      </w:r>
      <w:r w:rsidR="00537FBA">
        <w:fldChar w:fldCharType="end"/>
      </w:r>
      <w:r w:rsidR="0055176D">
        <w:fldChar w:fldCharType="separate"/>
      </w:r>
      <w:r w:rsidR="00537FBA" w:rsidRPr="00537FBA">
        <w:rPr>
          <w:noProof/>
          <w:vertAlign w:val="superscript"/>
        </w:rPr>
        <w:t>19, 24</w:t>
      </w:r>
      <w:r w:rsidR="0055176D">
        <w:fldChar w:fldCharType="end"/>
      </w:r>
      <w:r w:rsidR="0055176D">
        <w:t>. Additionally, it requires more time to conduct due to the need to culture more cells</w:t>
      </w:r>
      <w:r w:rsidR="0055176D">
        <w:fldChar w:fldCharType="begin"/>
      </w:r>
      <w:r w:rsidR="0055176D">
        <w:instrText xml:space="preserve"> ADDIN EN.CITE &lt;EndNote&gt;&lt;Cite&gt;&lt;Author&gt;Kjeldsen&lt;/Author&gt;&lt;Year&gt;2016&lt;/Year&gt;&lt;RecNum&gt;53&lt;/RecNum&gt;&lt;DisplayText&gt;&lt;style face="superscript"&gt;7&lt;/style&gt;&lt;/DisplayText&gt;&lt;record&gt;&lt;rec-number&gt;53&lt;/rec-number&gt;&lt;foreign-keys&gt;&lt;key app="EN" db-id="vepewp0vsd9e2pea20s5svf89az5we2t9d5v" timestamp="1529897065"&gt;53&lt;/key&gt;&lt;/foreign-keys&gt;&lt;ref-type name="Journal Article"&gt;17&lt;/ref-type&gt;&lt;contributors&gt;&lt;authors&gt;&lt;author&gt;Kjeldsen, Eigil&lt;/author&gt;&lt;/authors&gt;&lt;/contributors&gt;&lt;titles&gt;&lt;title&gt;Identification of prognostically relevant chromosomal abnormalities in routine diagnostics of multiple myeloma using genomic profiling&lt;/title&gt;&lt;secondary-title&gt;Cancer Genomics-Proteomics&lt;/secondary-title&gt;&lt;/titles&gt;&lt;periodical&gt;&lt;full-title&gt;Cancer Genomics-Proteomics&lt;/full-title&gt;&lt;/periodical&gt;&lt;pages&gt;91-127&lt;/pages&gt;&lt;volume&gt;13&lt;/volume&gt;&lt;number&gt;2&lt;/number&gt;&lt;dates&gt;&lt;year&gt;2016&lt;/year&gt;&lt;/dates&gt;&lt;isbn&gt;1109-6535&lt;/isbn&gt;&lt;urls&gt;&lt;/urls&gt;&lt;/record&gt;&lt;/Cite&gt;&lt;/EndNote&gt;</w:instrText>
      </w:r>
      <w:r w:rsidR="0055176D">
        <w:fldChar w:fldCharType="separate"/>
      </w:r>
      <w:r w:rsidR="0055176D" w:rsidRPr="00D21490">
        <w:rPr>
          <w:noProof/>
          <w:vertAlign w:val="superscript"/>
        </w:rPr>
        <w:t>7</w:t>
      </w:r>
      <w:r w:rsidR="0055176D">
        <w:fldChar w:fldCharType="end"/>
      </w:r>
      <w:r w:rsidR="0055176D">
        <w:t xml:space="preserve">. Consequently, microarray appears to offer a more efficient and accurate form of cytogenetic analysis testing that is less prone to failure than karyotyping </w:t>
      </w:r>
      <w:r w:rsidR="00767337">
        <w:t xml:space="preserve">and </w:t>
      </w:r>
      <w:r w:rsidR="0055176D">
        <w:t xml:space="preserve">quicker to conduct. </w:t>
      </w:r>
    </w:p>
    <w:p w14:paraId="78DC01E9" w14:textId="77777777" w:rsidR="0096615A" w:rsidRPr="007F53B9" w:rsidRDefault="0096615A" w:rsidP="00780D6E">
      <w:pPr>
        <w:spacing w:after="160" w:line="240" w:lineRule="auto"/>
        <w:rPr>
          <w:i/>
        </w:rPr>
      </w:pPr>
      <w:r w:rsidRPr="007F53B9">
        <w:rPr>
          <w:i/>
        </w:rPr>
        <w:t>Effectiveness:</w:t>
      </w:r>
    </w:p>
    <w:p w14:paraId="2B423B1C" w14:textId="77777777"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Impact on clinical management</w:t>
      </w:r>
    </w:p>
    <w:p w14:paraId="26E27791" w14:textId="77777777"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Disease-free and/or overall survival</w:t>
      </w:r>
    </w:p>
    <w:p w14:paraId="5911B9B6" w14:textId="77777777"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Disease progression</w:t>
      </w:r>
    </w:p>
    <w:p w14:paraId="180E5243" w14:textId="77777777"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Incidence of metastases</w:t>
      </w:r>
    </w:p>
    <w:p w14:paraId="78769154" w14:textId="77777777"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Health-related quality of life</w:t>
      </w:r>
    </w:p>
    <w:p w14:paraId="0C08052A" w14:textId="77777777" w:rsidR="00A619BC" w:rsidRPr="007F53B9" w:rsidRDefault="00A619BC" w:rsidP="00D21490">
      <w:pPr>
        <w:pStyle w:val="ListBullet2"/>
        <w:numPr>
          <w:ilvl w:val="0"/>
          <w:numId w:val="33"/>
        </w:numPr>
        <w:tabs>
          <w:tab w:val="clear" w:pos="643"/>
          <w:tab w:val="num" w:pos="360"/>
        </w:tabs>
        <w:spacing w:after="160"/>
        <w:ind w:left="357" w:hanging="357"/>
        <w:rPr>
          <w:sz w:val="22"/>
          <w:szCs w:val="22"/>
        </w:rPr>
      </w:pPr>
      <w:r>
        <w:rPr>
          <w:sz w:val="22"/>
          <w:szCs w:val="22"/>
        </w:rPr>
        <w:t>Length of hospitals stays</w:t>
      </w:r>
    </w:p>
    <w:p w14:paraId="2ABAD461" w14:textId="77777777" w:rsidR="0096615A" w:rsidRPr="007F53B9" w:rsidRDefault="0096615A" w:rsidP="00780D6E">
      <w:pPr>
        <w:spacing w:after="160" w:line="240" w:lineRule="auto"/>
        <w:rPr>
          <w:i/>
        </w:rPr>
      </w:pPr>
      <w:r w:rsidRPr="007F53B9">
        <w:rPr>
          <w:i/>
        </w:rPr>
        <w:t>Safety:</w:t>
      </w:r>
    </w:p>
    <w:p w14:paraId="5C7268F3" w14:textId="77777777"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Adverse effects of chemotherapy – short and long term (e.g. neutropenic sepsis)</w:t>
      </w:r>
    </w:p>
    <w:p w14:paraId="2C3118B5" w14:textId="77777777"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Adverse effects of immunotherapy</w:t>
      </w:r>
    </w:p>
    <w:p w14:paraId="728D96D7" w14:textId="77777777"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Repeated biopsies</w:t>
      </w:r>
    </w:p>
    <w:p w14:paraId="3CE0B40F" w14:textId="77777777"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Hospital stays for serious adverse effects during/following treatment</w:t>
      </w:r>
    </w:p>
    <w:p w14:paraId="13688A54" w14:textId="77777777"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Improvement in function</w:t>
      </w:r>
    </w:p>
    <w:p w14:paraId="2C8F7B0E" w14:textId="77777777"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Potential drug interactions</w:t>
      </w:r>
    </w:p>
    <w:p w14:paraId="2E5FFF59" w14:textId="77777777" w:rsidR="0096615A" w:rsidRPr="007F53B9" w:rsidRDefault="0096615A" w:rsidP="00780D6E">
      <w:pPr>
        <w:spacing w:after="160" w:line="240" w:lineRule="auto"/>
        <w:rPr>
          <w:i/>
        </w:rPr>
      </w:pPr>
      <w:r w:rsidRPr="007F53B9">
        <w:rPr>
          <w:i/>
        </w:rPr>
        <w:lastRenderedPageBreak/>
        <w:t>Clinical validity</w:t>
      </w:r>
      <w:r w:rsidRPr="007F53B9">
        <w:rPr>
          <w:vertAlign w:val="superscript"/>
        </w:rPr>
        <w:footnoteReference w:id="1"/>
      </w:r>
      <w:r w:rsidRPr="007F53B9">
        <w:rPr>
          <w:i/>
          <w:vertAlign w:val="superscript"/>
        </w:rPr>
        <w:t xml:space="preserve"> </w:t>
      </w:r>
    </w:p>
    <w:p w14:paraId="33D3D319" w14:textId="56EC77A5" w:rsidR="0096615A" w:rsidRPr="007F53B9" w:rsidRDefault="0096615A"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Clinical sensitivity and specificity</w:t>
      </w:r>
    </w:p>
    <w:p w14:paraId="605630C9" w14:textId="346D144C" w:rsidR="00782F16" w:rsidRDefault="0096615A" w:rsidP="00177E65">
      <w:pPr>
        <w:pStyle w:val="ListBullet2"/>
        <w:numPr>
          <w:ilvl w:val="0"/>
          <w:numId w:val="33"/>
        </w:numPr>
        <w:tabs>
          <w:tab w:val="clear" w:pos="643"/>
          <w:tab w:val="num" w:pos="360"/>
        </w:tabs>
        <w:spacing w:after="240"/>
        <w:ind w:left="357" w:hanging="357"/>
        <w:rPr>
          <w:sz w:val="22"/>
          <w:szCs w:val="22"/>
        </w:rPr>
      </w:pPr>
      <w:r w:rsidRPr="007F53B9">
        <w:rPr>
          <w:sz w:val="22"/>
          <w:szCs w:val="22"/>
        </w:rPr>
        <w:t>Positive and negative predictive values</w:t>
      </w:r>
    </w:p>
    <w:p w14:paraId="57B07A8E" w14:textId="7F297C25" w:rsidR="00AE2EAD" w:rsidRPr="00370E4F" w:rsidRDefault="00AE2EAD" w:rsidP="00177E65">
      <w:pPr>
        <w:pStyle w:val="ListBullet2"/>
        <w:numPr>
          <w:ilvl w:val="0"/>
          <w:numId w:val="33"/>
        </w:numPr>
        <w:tabs>
          <w:tab w:val="clear" w:pos="643"/>
          <w:tab w:val="num" w:pos="360"/>
        </w:tabs>
        <w:spacing w:after="240"/>
        <w:ind w:left="357" w:hanging="357"/>
        <w:rPr>
          <w:sz w:val="22"/>
          <w:szCs w:val="22"/>
        </w:rPr>
      </w:pPr>
      <w:r>
        <w:rPr>
          <w:sz w:val="22"/>
          <w:szCs w:val="22"/>
        </w:rPr>
        <w:t>Prognostic value</w:t>
      </w:r>
    </w:p>
    <w:p w14:paraId="659A6C87" w14:textId="77777777" w:rsidR="003E0382" w:rsidRPr="007F53B9" w:rsidRDefault="002A66BD" w:rsidP="00D21490">
      <w:pPr>
        <w:spacing w:after="160"/>
      </w:pPr>
      <w:r w:rsidRPr="007F53B9">
        <w:rPr>
          <w:i/>
          <w:u w:val="single"/>
        </w:rPr>
        <w:t>Health</w:t>
      </w:r>
      <w:r w:rsidR="00752491" w:rsidRPr="007F53B9">
        <w:rPr>
          <w:i/>
          <w:u w:val="single"/>
        </w:rPr>
        <w:t>care</w:t>
      </w:r>
      <w:r w:rsidRPr="007F53B9">
        <w:rPr>
          <w:i/>
          <w:u w:val="single"/>
        </w:rPr>
        <w:t xml:space="preserve"> system</w:t>
      </w:r>
    </w:p>
    <w:p w14:paraId="70426B41" w14:textId="77777777" w:rsidR="00FF099F" w:rsidRPr="007F53B9" w:rsidRDefault="00FF099F" w:rsidP="00D21490">
      <w:pPr>
        <w:spacing w:after="160"/>
      </w:pPr>
      <w:r w:rsidRPr="007F53B9">
        <w:t xml:space="preserve">The availability of genome </w:t>
      </w:r>
      <w:r w:rsidR="00344CB2">
        <w:t>microarray</w:t>
      </w:r>
      <w:r w:rsidRPr="007F53B9">
        <w:t xml:space="preserve">s for patients with </w:t>
      </w:r>
      <w:r w:rsidR="00681998">
        <w:t>CLL and MM</w:t>
      </w:r>
      <w:r w:rsidRPr="007F53B9">
        <w:t xml:space="preserve"> whose pathological and biopsy results meets the defined histological criteria will have implications for the Australian health care system. </w:t>
      </w:r>
    </w:p>
    <w:p w14:paraId="3F199240" w14:textId="11545ABC" w:rsidR="00AE6AC0" w:rsidRPr="007F53B9" w:rsidRDefault="00FF099F" w:rsidP="00F2384F">
      <w:pPr>
        <w:spacing w:after="160"/>
      </w:pPr>
      <w:r w:rsidRPr="007F53B9">
        <w:t xml:space="preserve">Repeated pathology request forms will not be required for </w:t>
      </w:r>
      <w:r w:rsidR="00344CB2">
        <w:t>microarray</w:t>
      </w:r>
      <w:r w:rsidRPr="007F53B9">
        <w:t xml:space="preserve">s as one </w:t>
      </w:r>
      <w:r w:rsidR="000D01BA">
        <w:t xml:space="preserve">BMAT </w:t>
      </w:r>
      <w:r w:rsidRPr="007F53B9">
        <w:t xml:space="preserve">should be sufficient. </w:t>
      </w:r>
      <w:r w:rsidR="00344CB2">
        <w:t>Microarray</w:t>
      </w:r>
      <w:r w:rsidRPr="007F53B9">
        <w:t xml:space="preserve"> testing is to be used in addition to FISH analysis, where no additional biopsies need to be conducted.</w:t>
      </w:r>
      <w:r w:rsidR="00F2384F">
        <w:t xml:space="preserve"> However,</w:t>
      </w:r>
      <w:r w:rsidR="000240B5" w:rsidRPr="007F53B9">
        <w:t xml:space="preserve"> </w:t>
      </w:r>
      <w:r w:rsidR="00F2384F">
        <w:t>it is</w:t>
      </w:r>
      <w:r w:rsidR="002B6030" w:rsidRPr="007F53B9">
        <w:t xml:space="preserve"> possible for repeated biopsies to occur as the amount of material retrieved may be insufficient for cytogenetic analyses (FISH and </w:t>
      </w:r>
      <w:r w:rsidR="00896658">
        <w:t>genome-wide</w:t>
      </w:r>
      <w:r w:rsidR="002B6030" w:rsidRPr="007F53B9">
        <w:t xml:space="preserve"> </w:t>
      </w:r>
      <w:r w:rsidR="00344CB2">
        <w:t>microarray</w:t>
      </w:r>
      <w:r w:rsidR="002B6030" w:rsidRPr="007F53B9">
        <w:t>s). The associated risks</w:t>
      </w:r>
      <w:r w:rsidR="006879A5" w:rsidRPr="007F53B9">
        <w:t xml:space="preserve"> (although rare)</w:t>
      </w:r>
      <w:r w:rsidR="002B6030" w:rsidRPr="007F53B9">
        <w:t xml:space="preserve"> and costs of repeated biopsies can be a concern not only for the patient</w:t>
      </w:r>
      <w:r w:rsidR="00397AD7" w:rsidRPr="007F53B9">
        <w:fldChar w:fldCharType="begin"/>
      </w:r>
      <w:r w:rsidR="00537FBA">
        <w:instrText xml:space="preserve"> ADDIN EN.CITE &lt;EndNote&gt;&lt;Cite&gt;&lt;Author&gt;Clinic&lt;/Author&gt;&lt;Year&gt;2018&lt;/Year&gt;&lt;RecNum&gt;7&lt;/RecNum&gt;&lt;DisplayText&gt;&lt;style face="superscript"&gt;30&lt;/style&gt;&lt;/DisplayText&gt;&lt;record&gt;&lt;rec-number&gt;7&lt;/rec-number&gt;&lt;foreign-keys&gt;&lt;key app="EN" db-id="vepewp0vsd9e2pea20s5svf89az5we2t9d5v" timestamp="1529548643"&gt;7&lt;/key&gt;&lt;/foreign-keys&gt;&lt;ref-type name="Web Page"&gt;12&lt;/ref-type&gt;&lt;contributors&gt;&lt;authors&gt;&lt;author&gt;Mayo Clinic&lt;/author&gt;&lt;/authors&gt;&lt;/contributors&gt;&lt;titles&gt;&lt;title&gt;Bone marrow biopsy and aspiration&lt;/title&gt;&lt;/titles&gt;&lt;number&gt;18 June 2018&lt;/number&gt;&lt;dates&gt;&lt;year&gt;2018&lt;/year&gt;&lt;/dates&gt;&lt;urls&gt;&lt;related-urls&gt;&lt;url&gt;https://www.mayoclinic.org/tests-procedures/bone-marrow-biopsy/about/pac-20393117 &lt;/url&gt;&lt;/related-urls&gt;&lt;/urls&gt;&lt;/record&gt;&lt;/Cite&gt;&lt;/EndNote&gt;</w:instrText>
      </w:r>
      <w:r w:rsidR="00397AD7" w:rsidRPr="007F53B9">
        <w:fldChar w:fldCharType="separate"/>
      </w:r>
      <w:r w:rsidR="00537FBA" w:rsidRPr="00537FBA">
        <w:rPr>
          <w:noProof/>
          <w:vertAlign w:val="superscript"/>
        </w:rPr>
        <w:t>30</w:t>
      </w:r>
      <w:r w:rsidR="00397AD7" w:rsidRPr="007F53B9">
        <w:fldChar w:fldCharType="end"/>
      </w:r>
      <w:r w:rsidR="000F3213" w:rsidRPr="007F53B9">
        <w:t xml:space="preserve"> </w:t>
      </w:r>
      <w:r w:rsidR="002B6030" w:rsidRPr="007F53B9">
        <w:t>but also for the health system in terms of additional costs and associated health complications</w:t>
      </w:r>
      <w:r w:rsidR="006879A5" w:rsidRPr="007F53B9">
        <w:t>.</w:t>
      </w:r>
    </w:p>
    <w:p w14:paraId="530C81FB" w14:textId="77777777" w:rsidR="007402A4" w:rsidRDefault="006879A5" w:rsidP="00D21490">
      <w:pPr>
        <w:spacing w:after="160"/>
      </w:pPr>
      <w:r w:rsidRPr="007F53B9">
        <w:t xml:space="preserve">The proposed </w:t>
      </w:r>
      <w:r w:rsidR="00896658">
        <w:t>genome-wide</w:t>
      </w:r>
      <w:r w:rsidRPr="007F53B9">
        <w:t xml:space="preserve"> </w:t>
      </w:r>
      <w:r w:rsidR="00344CB2">
        <w:t>microarray</w:t>
      </w:r>
      <w:r w:rsidRPr="007F53B9">
        <w:t xml:space="preserve"> is able to provide cytogenetic abnormality results in addition to FISH, in approximately the same amount of time (</w:t>
      </w:r>
      <w:r w:rsidR="008E5D22">
        <w:t>two</w:t>
      </w:r>
      <w:r w:rsidRPr="007F53B9">
        <w:t xml:space="preserve"> days), rather than the 18 </w:t>
      </w:r>
      <w:r w:rsidR="00E2724E">
        <w:t xml:space="preserve">working </w:t>
      </w:r>
      <w:r w:rsidRPr="007F53B9">
        <w:t>days required for karyotyping results</w:t>
      </w:r>
      <w:r w:rsidR="00FB040A">
        <w:fldChar w:fldCharType="begin"/>
      </w:r>
      <w:r w:rsidR="00D80804">
        <w:instrText xml:space="preserve"> ADDIN EN.CITE &lt;EndNote&gt;&lt;Cite&gt;&lt;Author&gt;Sonic Genetics&lt;/Author&gt;&lt;Year&gt;2017&lt;/Year&gt;&lt;RecNum&gt;44&lt;/RecNum&gt;&lt;DisplayText&gt;&lt;style face="superscript"&gt;25&lt;/style&gt;&lt;/DisplayText&gt;&lt;record&gt;&lt;rec-number&gt;44&lt;/rec-number&gt;&lt;foreign-keys&gt;&lt;key app="EN" db-id="vepewp0vsd9e2pea20s5svf89az5we2t9d5v" timestamp="1529897065"&gt;44&lt;/key&gt;&lt;/foreign-keys&gt;&lt;ref-type name="Web Page"&gt;12&lt;/ref-type&gt;&lt;contributors&gt;&lt;authors&gt;&lt;author&gt;Sonic Genetics,&lt;/author&gt;&lt;/authors&gt;&lt;/contributors&gt;&lt;titles&gt;&lt;title&gt;Karyotype(blood)&lt;/title&gt;&lt;/titles&gt;&lt;number&gt;19 June 2018&lt;/number&gt;&lt;dates&gt;&lt;year&gt;2017&lt;/year&gt;&lt;/dates&gt;&lt;urls&gt;&lt;related-urls&gt;&lt;url&gt;https://www.sonicgenetics.com.au/tests/karyotype-blood/&lt;/url&gt;&lt;/related-urls&gt;&lt;/urls&gt;&lt;/record&gt;&lt;/Cite&gt;&lt;/EndNote&gt;</w:instrText>
      </w:r>
      <w:r w:rsidR="00FB040A">
        <w:fldChar w:fldCharType="separate"/>
      </w:r>
      <w:r w:rsidR="00D80804" w:rsidRPr="00D80804">
        <w:rPr>
          <w:noProof/>
          <w:vertAlign w:val="superscript"/>
        </w:rPr>
        <w:t>25</w:t>
      </w:r>
      <w:r w:rsidR="00FB040A">
        <w:fldChar w:fldCharType="end"/>
      </w:r>
      <w:r w:rsidR="00FD1FCD">
        <w:t>.</w:t>
      </w:r>
      <w:r w:rsidRPr="007F53B9">
        <w:t xml:space="preserve"> </w:t>
      </w:r>
      <w:r w:rsidR="00FD1FCD">
        <w:t>T</w:t>
      </w:r>
      <w:r w:rsidRPr="007F53B9">
        <w:t>his would lead to a quicker determination of whether a patient has high or low risk disease, thereby impacting patient prognosis</w:t>
      </w:r>
      <w:r w:rsidR="004315E1">
        <w:t xml:space="preserve"> and treatment</w:t>
      </w:r>
      <w:r w:rsidRPr="007F53B9">
        <w:t xml:space="preserve">. Moreover, the applicant believes the uptake of </w:t>
      </w:r>
      <w:r w:rsidR="003F32A7">
        <w:t xml:space="preserve">genome-wide </w:t>
      </w:r>
      <w:r w:rsidR="00344CB2">
        <w:t>microarray</w:t>
      </w:r>
      <w:r w:rsidR="003F32A7">
        <w:t xml:space="preserve"> testing </w:t>
      </w:r>
      <w:r w:rsidR="00681998">
        <w:t xml:space="preserve">will lead to the decreased use of </w:t>
      </w:r>
      <w:r w:rsidR="003F32A7">
        <w:t xml:space="preserve">karyotyping and will likely be used </w:t>
      </w:r>
      <w:r w:rsidR="004315E1">
        <w:t>with</w:t>
      </w:r>
      <w:r w:rsidR="003F32A7">
        <w:t xml:space="preserve"> FISH</w:t>
      </w:r>
      <w:r w:rsidR="00681998">
        <w:t>.</w:t>
      </w:r>
    </w:p>
    <w:p w14:paraId="21E36722" w14:textId="77777777" w:rsidR="00FF099F" w:rsidRDefault="00344CB2" w:rsidP="00D21490">
      <w:pPr>
        <w:spacing w:after="160"/>
      </w:pPr>
      <w:r>
        <w:t>Microarray</w:t>
      </w:r>
      <w:r w:rsidR="00ED7C4F" w:rsidRPr="007F53B9">
        <w:t xml:space="preserve">s will see more use when newer medications for </w:t>
      </w:r>
      <w:r w:rsidR="00FD1FCD">
        <w:t>MM</w:t>
      </w:r>
      <w:r w:rsidR="00ED7C4F" w:rsidRPr="007F53B9">
        <w:t xml:space="preserve"> targeting specific cytogenetic abnormalities are listed on the PBS. Currently, it provides prognostic information </w:t>
      </w:r>
      <w:r w:rsidR="003F32A7">
        <w:t>for a patient with MM</w:t>
      </w:r>
      <w:r w:rsidR="00ED7C4F" w:rsidRPr="007F53B9">
        <w:t>.</w:t>
      </w:r>
      <w:r w:rsidR="003F32A7">
        <w:t xml:space="preserve"> Whereas, in CLL it can cause the shift of patients on chemotherapy treatment to targeted immunotherapies which will incur additional costs to the PBS.</w:t>
      </w:r>
      <w:r w:rsidR="00ED7C4F" w:rsidRPr="007F53B9">
        <w:t xml:space="preserve"> </w:t>
      </w:r>
      <w:r w:rsidR="002F6608" w:rsidRPr="007F53B9">
        <w:t xml:space="preserve"> </w:t>
      </w:r>
    </w:p>
    <w:p w14:paraId="2BF83AE0" w14:textId="77777777" w:rsidR="007F5D6B" w:rsidRDefault="003F32A7" w:rsidP="007F5D6B">
      <w:pPr>
        <w:pStyle w:val="ListParagraph"/>
        <w:spacing w:after="160"/>
        <w:ind w:left="0"/>
      </w:pPr>
      <w:r>
        <w:t>The improved allocation to chemotherapy regimens will result in lower resultant costs of care such as hospitalisations and specialist visits, however the overall impact on the government health budget is expected to be positive.</w:t>
      </w:r>
    </w:p>
    <w:p w14:paraId="6CF76DB4" w14:textId="15FB2E2E" w:rsidR="00376700" w:rsidRPr="007F53B9" w:rsidRDefault="00376700" w:rsidP="00D21490">
      <w:pPr>
        <w:spacing w:before="120" w:after="160" w:line="240" w:lineRule="auto"/>
        <w:rPr>
          <w:i/>
        </w:rPr>
      </w:pPr>
      <w:r w:rsidRPr="007F53B9">
        <w:rPr>
          <w:i/>
        </w:rPr>
        <w:t>Healthcare resource</w:t>
      </w:r>
      <w:r w:rsidR="00413360">
        <w:rPr>
          <w:i/>
        </w:rPr>
        <w:t>s</w:t>
      </w:r>
      <w:r w:rsidRPr="007F53B9">
        <w:rPr>
          <w:i/>
        </w:rPr>
        <w:t>:</w:t>
      </w:r>
    </w:p>
    <w:p w14:paraId="6B38736C" w14:textId="77777777" w:rsidR="00376700" w:rsidRPr="007F53B9" w:rsidRDefault="00376700"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Number of chemotherapy treatment sessions</w:t>
      </w:r>
    </w:p>
    <w:p w14:paraId="6FB0D8C3" w14:textId="7481BE3E" w:rsidR="00376700" w:rsidRDefault="00376700"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Hospitalisation (same day and overnight) associated with delivery of chemotherapy treatment sessions</w:t>
      </w:r>
    </w:p>
    <w:p w14:paraId="6E78ABA5" w14:textId="306C3AFF" w:rsidR="003F32A7" w:rsidRPr="003F32A7" w:rsidRDefault="003F32A7"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 xml:space="preserve">Hospitalisation (same day and overnight) associated with delivery of </w:t>
      </w:r>
      <w:r>
        <w:rPr>
          <w:sz w:val="22"/>
          <w:szCs w:val="22"/>
        </w:rPr>
        <w:t>immunotherapy</w:t>
      </w:r>
      <w:r w:rsidRPr="007F53B9">
        <w:rPr>
          <w:sz w:val="22"/>
          <w:szCs w:val="22"/>
        </w:rPr>
        <w:t xml:space="preserve"> treatment sessions</w:t>
      </w:r>
    </w:p>
    <w:p w14:paraId="265DCE0E" w14:textId="77777777" w:rsidR="00376700" w:rsidRPr="007F53B9" w:rsidRDefault="00376700"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Hospitalisation/treatment associated with chemotherapy/immunotherapy therapy side-effects</w:t>
      </w:r>
    </w:p>
    <w:p w14:paraId="77B6C553" w14:textId="77777777" w:rsidR="00376700" w:rsidRPr="007F53B9" w:rsidRDefault="00376700"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Monitoring of patients while on therapy and months afterwards, including liver and renal function tests</w:t>
      </w:r>
    </w:p>
    <w:p w14:paraId="39BD03FA" w14:textId="77777777" w:rsidR="00376700" w:rsidRPr="007F53B9" w:rsidRDefault="00376700"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Specialist visits</w:t>
      </w:r>
    </w:p>
    <w:p w14:paraId="234E6D5B" w14:textId="77777777" w:rsidR="00376700" w:rsidRPr="007F53B9" w:rsidRDefault="00376700"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lastRenderedPageBreak/>
        <w:t>Requirements for subsequent therapy</w:t>
      </w:r>
    </w:p>
    <w:p w14:paraId="12C6063E" w14:textId="77777777" w:rsidR="00376700" w:rsidRPr="007F53B9" w:rsidRDefault="00376700"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Cost</w:t>
      </w:r>
      <w:r w:rsidR="00347AC2">
        <w:rPr>
          <w:sz w:val="22"/>
          <w:szCs w:val="22"/>
        </w:rPr>
        <w:t>s</w:t>
      </w:r>
      <w:r w:rsidRPr="007F53B9">
        <w:rPr>
          <w:sz w:val="22"/>
          <w:szCs w:val="22"/>
        </w:rPr>
        <w:t xml:space="preserve"> of </w:t>
      </w:r>
      <w:r w:rsidR="003F32A7">
        <w:rPr>
          <w:sz w:val="22"/>
          <w:szCs w:val="22"/>
        </w:rPr>
        <w:t xml:space="preserve">genome-wide </w:t>
      </w:r>
      <w:r w:rsidR="00344CB2">
        <w:rPr>
          <w:sz w:val="22"/>
          <w:szCs w:val="22"/>
        </w:rPr>
        <w:t>microarray</w:t>
      </w:r>
    </w:p>
    <w:p w14:paraId="51EA2541" w14:textId="77777777" w:rsidR="007F3C7B" w:rsidRPr="007F53B9" w:rsidRDefault="00347AC2" w:rsidP="00D21490">
      <w:pPr>
        <w:pStyle w:val="ListBullet2"/>
        <w:numPr>
          <w:ilvl w:val="0"/>
          <w:numId w:val="33"/>
        </w:numPr>
        <w:tabs>
          <w:tab w:val="clear" w:pos="643"/>
          <w:tab w:val="num" w:pos="360"/>
        </w:tabs>
        <w:spacing w:after="160"/>
        <w:ind w:left="357" w:hanging="357"/>
        <w:rPr>
          <w:sz w:val="22"/>
          <w:szCs w:val="22"/>
        </w:rPr>
      </w:pPr>
      <w:r>
        <w:rPr>
          <w:sz w:val="22"/>
          <w:szCs w:val="22"/>
        </w:rPr>
        <w:t>Costs</w:t>
      </w:r>
      <w:r w:rsidR="007F3C7B" w:rsidRPr="007F53B9">
        <w:rPr>
          <w:sz w:val="22"/>
          <w:szCs w:val="22"/>
        </w:rPr>
        <w:t xml:space="preserve"> of conventional karyotyping</w:t>
      </w:r>
    </w:p>
    <w:p w14:paraId="1EA41950" w14:textId="77777777" w:rsidR="00376700" w:rsidRPr="007F53B9" w:rsidRDefault="00376700"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Cost of surgery, chemotherapy, radiotherapy, immunotherapy</w:t>
      </w:r>
    </w:p>
    <w:p w14:paraId="186BDEB8" w14:textId="77777777" w:rsidR="00376700" w:rsidRPr="007F53B9" w:rsidRDefault="00376700" w:rsidP="00D21490">
      <w:pPr>
        <w:pStyle w:val="ListBullet2"/>
        <w:numPr>
          <w:ilvl w:val="0"/>
          <w:numId w:val="33"/>
        </w:numPr>
        <w:tabs>
          <w:tab w:val="clear" w:pos="643"/>
          <w:tab w:val="num" w:pos="360"/>
        </w:tabs>
        <w:spacing w:after="160"/>
        <w:ind w:left="357" w:hanging="357"/>
        <w:rPr>
          <w:sz w:val="22"/>
          <w:szCs w:val="22"/>
        </w:rPr>
      </w:pPr>
      <w:r w:rsidRPr="007F53B9">
        <w:rPr>
          <w:sz w:val="22"/>
          <w:szCs w:val="22"/>
        </w:rPr>
        <w:t>Palliative care costs</w:t>
      </w:r>
    </w:p>
    <w:p w14:paraId="63AA837D" w14:textId="06C4D9E4" w:rsidR="00F039A7" w:rsidRDefault="001C173E" w:rsidP="006066CD">
      <w:pPr>
        <w:pStyle w:val="ListBullet2"/>
        <w:numPr>
          <w:ilvl w:val="0"/>
          <w:numId w:val="33"/>
        </w:numPr>
        <w:tabs>
          <w:tab w:val="clear" w:pos="643"/>
          <w:tab w:val="num" w:pos="360"/>
        </w:tabs>
        <w:spacing w:after="0"/>
        <w:ind w:left="357" w:hanging="357"/>
        <w:rPr>
          <w:sz w:val="22"/>
          <w:szCs w:val="22"/>
        </w:rPr>
      </w:pPr>
      <w:r>
        <w:rPr>
          <w:sz w:val="22"/>
          <w:szCs w:val="22"/>
        </w:rPr>
        <w:t>Reduction in repeat testing</w:t>
      </w:r>
    </w:p>
    <w:p w14:paraId="48E7BFF7" w14:textId="519404DB" w:rsidR="00413360" w:rsidRDefault="00413360" w:rsidP="00413360">
      <w:pPr>
        <w:pStyle w:val="ListBullet2"/>
        <w:spacing w:after="0"/>
        <w:ind w:left="357"/>
        <w:rPr>
          <w:sz w:val="22"/>
          <w:szCs w:val="22"/>
        </w:rPr>
      </w:pPr>
    </w:p>
    <w:p w14:paraId="41E325F5" w14:textId="5A381C19" w:rsidR="007B2AD1" w:rsidRPr="007B2AD1" w:rsidRDefault="007B2AD1" w:rsidP="00663712">
      <w:pPr>
        <w:spacing w:after="160" w:line="240" w:lineRule="auto"/>
        <w:rPr>
          <w:i/>
        </w:rPr>
      </w:pPr>
      <w:r w:rsidRPr="007B2AD1">
        <w:rPr>
          <w:i/>
        </w:rPr>
        <w:t>Cost-effectiveness:</w:t>
      </w:r>
    </w:p>
    <w:p w14:paraId="359AC43F" w14:textId="6BAF7628" w:rsidR="007B2AD1" w:rsidRDefault="008270FD" w:rsidP="007B2AD1">
      <w:pPr>
        <w:pStyle w:val="ListBullet2"/>
        <w:numPr>
          <w:ilvl w:val="0"/>
          <w:numId w:val="43"/>
        </w:numPr>
        <w:spacing w:after="0"/>
        <w:rPr>
          <w:sz w:val="22"/>
          <w:szCs w:val="22"/>
        </w:rPr>
      </w:pPr>
      <w:r>
        <w:rPr>
          <w:sz w:val="22"/>
          <w:szCs w:val="22"/>
        </w:rPr>
        <w:t>Cost per quality-adjusted life year</w:t>
      </w:r>
    </w:p>
    <w:p w14:paraId="5EB09EBA" w14:textId="77777777" w:rsidR="007B2AD1" w:rsidRDefault="007B2AD1" w:rsidP="00413360">
      <w:pPr>
        <w:pStyle w:val="ListBullet2"/>
        <w:spacing w:after="0"/>
        <w:ind w:left="357"/>
        <w:rPr>
          <w:sz w:val="22"/>
          <w:szCs w:val="22"/>
        </w:rPr>
      </w:pPr>
    </w:p>
    <w:p w14:paraId="1F832B81" w14:textId="1F96007B" w:rsidR="00B42711" w:rsidRDefault="00B42711" w:rsidP="00663712">
      <w:pPr>
        <w:spacing w:after="160" w:line="240" w:lineRule="auto"/>
        <w:rPr>
          <w:i/>
        </w:rPr>
      </w:pPr>
      <w:r w:rsidRPr="00413360">
        <w:rPr>
          <w:i/>
        </w:rPr>
        <w:t>Total Australian Government healthcare costs</w:t>
      </w:r>
      <w:r w:rsidR="00413360">
        <w:rPr>
          <w:i/>
        </w:rPr>
        <w:t>:</w:t>
      </w:r>
    </w:p>
    <w:p w14:paraId="589D3B2F" w14:textId="237C9519" w:rsidR="00413360" w:rsidRPr="00413360" w:rsidRDefault="00413360" w:rsidP="00413360">
      <w:pPr>
        <w:pStyle w:val="ListBullet2"/>
        <w:numPr>
          <w:ilvl w:val="0"/>
          <w:numId w:val="42"/>
        </w:numPr>
        <w:spacing w:after="160"/>
        <w:rPr>
          <w:rFonts w:ascii="Calibri" w:eastAsia="Calibri" w:hAnsi="Calibri" w:cs="Times New Roman"/>
          <w:i/>
          <w:sz w:val="22"/>
          <w:szCs w:val="22"/>
        </w:rPr>
      </w:pPr>
      <w:r>
        <w:rPr>
          <w:rFonts w:ascii="Calibri" w:eastAsia="Calibri" w:hAnsi="Calibri" w:cs="Times New Roman"/>
          <w:sz w:val="22"/>
          <w:szCs w:val="22"/>
        </w:rPr>
        <w:t>Cost of genome-wide micro-array cost partially offset by reduction in other tests</w:t>
      </w:r>
    </w:p>
    <w:p w14:paraId="7D709BCC" w14:textId="403AD08F" w:rsidR="00413360" w:rsidRPr="007B2AD1" w:rsidRDefault="00413360" w:rsidP="00413360">
      <w:pPr>
        <w:pStyle w:val="ListBullet2"/>
        <w:numPr>
          <w:ilvl w:val="0"/>
          <w:numId w:val="42"/>
        </w:numPr>
        <w:spacing w:after="160"/>
        <w:rPr>
          <w:rFonts w:ascii="Calibri" w:eastAsia="Calibri" w:hAnsi="Calibri" w:cs="Times New Roman"/>
          <w:sz w:val="22"/>
          <w:szCs w:val="22"/>
        </w:rPr>
      </w:pPr>
      <w:r w:rsidRPr="007B2AD1">
        <w:rPr>
          <w:rFonts w:ascii="Calibri" w:eastAsia="Calibri" w:hAnsi="Calibri" w:cs="Times New Roman"/>
          <w:sz w:val="22"/>
          <w:szCs w:val="22"/>
        </w:rPr>
        <w:t>Change in use of, and cost of, cancer treatments</w:t>
      </w:r>
    </w:p>
    <w:p w14:paraId="607D6837" w14:textId="77777777" w:rsidR="00896845" w:rsidRPr="007F53B9" w:rsidRDefault="00896845" w:rsidP="006066CD">
      <w:pPr>
        <w:pStyle w:val="Heading2"/>
        <w:spacing w:after="240" w:line="240" w:lineRule="auto"/>
        <w:jc w:val="both"/>
        <w:rPr>
          <w:color w:val="548DD4"/>
        </w:rPr>
      </w:pPr>
      <w:r w:rsidRPr="007F53B9">
        <w:rPr>
          <w:color w:val="548DD4"/>
        </w:rPr>
        <w:t>Current clinical management algorithm</w:t>
      </w:r>
      <w:r w:rsidR="002B3338" w:rsidRPr="007F53B9">
        <w:rPr>
          <w:color w:val="548DD4"/>
        </w:rPr>
        <w:t xml:space="preserve"> for identified population</w:t>
      </w:r>
    </w:p>
    <w:p w14:paraId="4613F6D3" w14:textId="77777777" w:rsidR="007F5D6B" w:rsidRPr="00A775FD" w:rsidRDefault="007F5D6B" w:rsidP="007F5D6B">
      <w:pPr>
        <w:rPr>
          <w:u w:val="single"/>
        </w:rPr>
      </w:pPr>
      <w:r w:rsidRPr="00A775FD">
        <w:rPr>
          <w:u w:val="single"/>
        </w:rPr>
        <w:t>Chronic lymphocytic leukaemia (CLL)</w:t>
      </w:r>
    </w:p>
    <w:p w14:paraId="06F0C543" w14:textId="77777777" w:rsidR="000819A7" w:rsidRPr="00781D1A" w:rsidRDefault="000819A7" w:rsidP="00D21490">
      <w:pPr>
        <w:spacing w:after="160"/>
      </w:pPr>
      <w:r w:rsidRPr="00781D1A">
        <w:t>For CLL, a patient’s disease is most likely first detected in a routine blood test. The patient will then be referred to a haematologist for a complete blood count, bone marrow aspiration, cytogenetics and other testing. In the current environment, cytogenetic testing is performed using karyotyping and FISH. Based on the result of these tests, the patient is stratified into risk categories, which will determine treatment.</w:t>
      </w:r>
    </w:p>
    <w:p w14:paraId="5DCC4F30" w14:textId="582055B3" w:rsidR="00E84E6C" w:rsidRPr="00781D1A" w:rsidRDefault="00550D28" w:rsidP="00D21490">
      <w:pPr>
        <w:spacing w:after="160"/>
      </w:pPr>
      <w:r>
        <w:t xml:space="preserve">All patients, regardless of risk category, can be tested for genetic abnormalities; this will be at the discretion of the clinician. </w:t>
      </w:r>
      <w:r w:rsidR="000819A7" w:rsidRPr="00781D1A">
        <w:t>Patients with early stage or inactive disease are monitored for the progression of their disease and receive regular blood tests to determine if their disease has become active.</w:t>
      </w:r>
      <w:r w:rsidR="00BD5CCE">
        <w:t xml:space="preserve"> For</w:t>
      </w:r>
      <w:r w:rsidR="000819A7" w:rsidRPr="00781D1A">
        <w:t xml:space="preserve"> </w:t>
      </w:r>
      <w:r w:rsidR="00BD5CCE">
        <w:t>t</w:t>
      </w:r>
      <w:r w:rsidR="000819A7" w:rsidRPr="00781D1A">
        <w:t xml:space="preserve">hose with active or advanced stage </w:t>
      </w:r>
      <w:r w:rsidR="006066CD" w:rsidRPr="00781D1A">
        <w:t>disease</w:t>
      </w:r>
      <w:r w:rsidR="006066CD">
        <w:t>,</w:t>
      </w:r>
      <w:r w:rsidR="006066CD" w:rsidRPr="00781D1A">
        <w:t xml:space="preserve"> del</w:t>
      </w:r>
      <w:r w:rsidR="000819A7" w:rsidRPr="00781D1A">
        <w:t xml:space="preserve"> 17p</w:t>
      </w:r>
      <w:r w:rsidR="00BD5CCE">
        <w:t xml:space="preserve"> status</w:t>
      </w:r>
      <w:r w:rsidR="000819A7" w:rsidRPr="00781D1A">
        <w:t xml:space="preserve"> and fitness</w:t>
      </w:r>
      <w:r w:rsidR="00BD5CCE">
        <w:t xml:space="preserve"> levels are used</w:t>
      </w:r>
      <w:r w:rsidR="000819A7" w:rsidRPr="00781D1A">
        <w:t xml:space="preserve"> to determine</w:t>
      </w:r>
      <w:r w:rsidR="00BD5CCE">
        <w:t xml:space="preserve"> suitability of</w:t>
      </w:r>
      <w:r w:rsidR="000819A7" w:rsidRPr="00781D1A">
        <w:t xml:space="preserve"> treatment with chemotherapy agents such as fludarabine or chlorambucil, immunotherapy agents such as rituximab or ibrutinib</w:t>
      </w:r>
      <w:r w:rsidR="00BD5CCE">
        <w:t>,</w:t>
      </w:r>
      <w:r w:rsidR="000819A7" w:rsidRPr="00781D1A">
        <w:t xml:space="preserve"> or allogenic haematopoietic stem cell transplant</w:t>
      </w:r>
      <w:r w:rsidR="000819A7">
        <w:t>.</w:t>
      </w:r>
    </w:p>
    <w:p w14:paraId="0206D8F5" w14:textId="0EC3D508" w:rsidR="000819A7" w:rsidRPr="00781D1A" w:rsidRDefault="007F5D6B" w:rsidP="00D21490">
      <w:pPr>
        <w:spacing w:after="160"/>
        <w:rPr>
          <w:u w:val="single"/>
        </w:rPr>
      </w:pPr>
      <w:r>
        <w:rPr>
          <w:u w:val="single"/>
        </w:rPr>
        <w:t>Multiple Myeloma</w:t>
      </w:r>
    </w:p>
    <w:p w14:paraId="5BBDCD6C" w14:textId="4B015C77" w:rsidR="00550D28" w:rsidRDefault="00550D28" w:rsidP="00D21490">
      <w:pPr>
        <w:spacing w:after="160"/>
      </w:pPr>
      <w:r w:rsidRPr="007F53B9">
        <w:t>Under the current clinical management pathway (</w:t>
      </w:r>
      <w:r w:rsidRPr="007F53B9">
        <w:fldChar w:fldCharType="begin"/>
      </w:r>
      <w:r w:rsidRPr="007F53B9">
        <w:instrText xml:space="preserve"> REF _Ref517251026 \h  \* MERGEFORMAT </w:instrText>
      </w:r>
      <w:r w:rsidRPr="007F53B9">
        <w:fldChar w:fldCharType="separate"/>
      </w:r>
      <w:r w:rsidR="004E352B" w:rsidRPr="007F53B9">
        <w:t xml:space="preserve">Figure </w:t>
      </w:r>
      <w:r w:rsidR="004E352B">
        <w:rPr>
          <w:noProof/>
        </w:rPr>
        <w:t>1</w:t>
      </w:r>
      <w:r w:rsidRPr="007F53B9">
        <w:fldChar w:fldCharType="end"/>
      </w:r>
      <w:r w:rsidRPr="007F53B9">
        <w:t xml:space="preserve">), a patient’s pathology/urine/bone marrow sample is tested once (assuming the patient has symptomatic </w:t>
      </w:r>
      <w:r w:rsidR="00B42711">
        <w:t>MM</w:t>
      </w:r>
      <w:r w:rsidRPr="007F53B9">
        <w:t xml:space="preserve">) before a specialist can determine the most appropriate course of treatment. Should a patient have symptomatic </w:t>
      </w:r>
      <w:r w:rsidR="00B42711">
        <w:t>MM</w:t>
      </w:r>
      <w:r w:rsidRPr="007F53B9">
        <w:t>, for younger patients (under 65 years of age) or fit patient</w:t>
      </w:r>
      <w:r>
        <w:t>s</w:t>
      </w:r>
      <w:r w:rsidRPr="007F53B9">
        <w:t xml:space="preserve"> under 70 years of age in good clinical condition, an ASCT with high-dose therapy (HDT) is </w:t>
      </w:r>
      <w:r>
        <w:t>recommended</w:t>
      </w:r>
      <w:r w:rsidRPr="007F53B9">
        <w:t>. However, not all patients suffice these criteria and are initiated on induction therapy.</w:t>
      </w:r>
    </w:p>
    <w:p w14:paraId="1B7E9EB3" w14:textId="77777777" w:rsidR="00550D28" w:rsidRDefault="00550D28" w:rsidP="00D21490">
      <w:pPr>
        <w:spacing w:after="160"/>
      </w:pPr>
      <w:r w:rsidRPr="007F53B9">
        <w:rPr>
          <w:lang w:eastAsia="ja-JP"/>
        </w:rPr>
        <w:t>Although rare, repeat testing will be highly variable and possibly undertaken in cases of early relapse/refractoriness which may occur in younger patients (under 65-70 years).</w:t>
      </w:r>
    </w:p>
    <w:p w14:paraId="639B0A2C" w14:textId="054D0631" w:rsidR="005F7A63" w:rsidRPr="007F53B9" w:rsidRDefault="00F135C8" w:rsidP="00D21490">
      <w:pPr>
        <w:spacing w:after="160"/>
        <w:rPr>
          <w:lang w:eastAsia="ja-JP"/>
        </w:rPr>
      </w:pPr>
      <w:r w:rsidRPr="007F53B9">
        <w:t xml:space="preserve">As part of the </w:t>
      </w:r>
      <w:r w:rsidR="00D478DA" w:rsidRPr="00D478DA">
        <w:t xml:space="preserve">Revised International Staging System </w:t>
      </w:r>
      <w:r w:rsidR="00D478DA">
        <w:t>(</w:t>
      </w:r>
      <w:r w:rsidRPr="007F53B9">
        <w:t>R-ISS</w:t>
      </w:r>
      <w:r w:rsidR="00D478DA">
        <w:t>)</w:t>
      </w:r>
      <w:r w:rsidRPr="007F53B9">
        <w:t xml:space="preserve"> criteria</w:t>
      </w:r>
      <w:r w:rsidR="00D478DA">
        <w:t xml:space="preserve"> (which is a </w:t>
      </w:r>
      <w:r w:rsidR="00D478DA" w:rsidRPr="00D478DA">
        <w:t>prognostic staging system</w:t>
      </w:r>
      <w:r w:rsidR="00D478DA">
        <w:t xml:space="preserve"> for MM)</w:t>
      </w:r>
      <w:r w:rsidRPr="007F53B9">
        <w:t xml:space="preserve">, in addition to conventional karyotyping, FISH is also incorporated to determine whether the patient </w:t>
      </w:r>
      <w:r w:rsidR="00FF5262">
        <w:t>has</w:t>
      </w:r>
      <w:r w:rsidRPr="007F53B9">
        <w:t xml:space="preserve"> high risk </w:t>
      </w:r>
      <w:r w:rsidR="00D478DA">
        <w:t>MM</w:t>
      </w:r>
      <w:r w:rsidRPr="007F53B9">
        <w:t xml:space="preserve">, thus leading to a poorer prognosis. </w:t>
      </w:r>
    </w:p>
    <w:p w14:paraId="4DE22F52" w14:textId="42D271A5" w:rsidR="000819A7" w:rsidRDefault="005F7A63" w:rsidP="00D21490">
      <w:pPr>
        <w:spacing w:after="160"/>
        <w:rPr>
          <w:color w:val="FF0000"/>
          <w:u w:val="dotted"/>
        </w:rPr>
      </w:pPr>
      <w:r w:rsidRPr="007F53B9">
        <w:lastRenderedPageBreak/>
        <w:t>ESMO 2017 guidelines</w:t>
      </w:r>
      <w:r w:rsidR="00696CB6" w:rsidRPr="007F53B9">
        <w:fldChar w:fldCharType="begin"/>
      </w:r>
      <w:r w:rsidR="00D80804">
        <w:instrText xml:space="preserve"> ADDIN EN.CITE &lt;EndNote&gt;&lt;Cite&gt;&lt;Author&gt;Moreau&lt;/Author&gt;&lt;Year&gt;2017&lt;/Year&gt;&lt;RecNum&gt;25&lt;/RecNum&gt;&lt;DisplayText&gt;&lt;style face="superscript"&gt;29&lt;/style&gt;&lt;/DisplayText&gt;&lt;record&gt;&lt;rec-number&gt;25&lt;/rec-number&gt;&lt;foreign-keys&gt;&lt;key app="EN" db-id="vepewp0vsd9e2pea20s5svf89az5we2t9d5v" timestamp="1529548644"&gt;25&lt;/key&gt;&lt;/foreign-keys&gt;&lt;ref-type name="Journal Article"&gt;17&lt;/ref-type&gt;&lt;contributors&gt;&lt;authors&gt;&lt;author&gt;Moreau, P.&lt;/author&gt;&lt;author&gt;San Miguel, J.&lt;/author&gt;&lt;author&gt;Sonneveld, P.&lt;/author&gt;&lt;author&gt;Mateos, M. V.&lt;/author&gt;&lt;author&gt;Zamagni, E.&lt;/author&gt;&lt;author&gt;Avet-Loiseau, H.&lt;/author&gt;&lt;author&gt;Hajek, R.&lt;/author&gt;&lt;author&gt;Dimopoulos, M. A.&lt;/author&gt;&lt;author&gt;Ludwig, H.&lt;/author&gt;&lt;author&gt;Einsele, H.&lt;/author&gt;&lt;author&gt;Zweegman, S.&lt;/author&gt;&lt;author&gt;Facon, T.&lt;/author&gt;&lt;author&gt;Cavo, M.&lt;/author&gt;&lt;author&gt;Terpos, E.&lt;/author&gt;&lt;author&gt;Goldschmidt, H.&lt;/author&gt;&lt;author&gt;Attal, M.&lt;/author&gt;&lt;author&gt;Buske, C.&lt;/author&gt;&lt;author&gt;on behalf of the, Esmo Guidelines Committee&lt;/author&gt;&lt;/authors&gt;&lt;/contributors&gt;&lt;titles&gt;&lt;title&gt;Multiple myeloma: ESMO Clinical Practice Guidelines for diagnosis, treatment and follow-up†&lt;/title&gt;&lt;secondary-title&gt;Annals of Oncology&lt;/secondary-title&gt;&lt;/titles&gt;&lt;periodical&gt;&lt;full-title&gt;Annals of Oncology&lt;/full-title&gt;&lt;/periodical&gt;&lt;pages&gt;iv52-iv61&lt;/pages&gt;&lt;volume&gt;28&lt;/volume&gt;&lt;number&gt;suppl_4&lt;/number&gt;&lt;dates&gt;&lt;year&gt;2017&lt;/year&gt;&lt;/dates&gt;&lt;isbn&gt;0923-7534&lt;/isbn&gt;&lt;urls&gt;&lt;related-urls&gt;&lt;url&gt;http://dx.doi.org/10.1093/annonc/mdx096&lt;/url&gt;&lt;/related-urls&gt;&lt;/urls&gt;&lt;electronic-resource-num&gt;10.1093/annonc/mdx096&lt;/electronic-resource-num&gt;&lt;/record&gt;&lt;/Cite&gt;&lt;/EndNote&gt;</w:instrText>
      </w:r>
      <w:r w:rsidR="00696CB6" w:rsidRPr="007F53B9">
        <w:fldChar w:fldCharType="separate"/>
      </w:r>
      <w:r w:rsidR="00D80804" w:rsidRPr="00D80804">
        <w:rPr>
          <w:noProof/>
          <w:vertAlign w:val="superscript"/>
        </w:rPr>
        <w:t>29</w:t>
      </w:r>
      <w:r w:rsidR="00696CB6" w:rsidRPr="007F53B9">
        <w:fldChar w:fldCharType="end"/>
      </w:r>
      <w:r w:rsidRPr="007F53B9">
        <w:t xml:space="preserve"> state that clinical trials for high-risk smouldering </w:t>
      </w:r>
      <w:r w:rsidR="00D478DA">
        <w:t>MM</w:t>
      </w:r>
      <w:r w:rsidR="00D478DA" w:rsidRPr="007F53B9">
        <w:t xml:space="preserve"> </w:t>
      </w:r>
      <w:r w:rsidRPr="007F53B9">
        <w:t xml:space="preserve">patients are strongly encouraged. </w:t>
      </w:r>
      <w:r w:rsidR="00F039A7" w:rsidRPr="007F53B9">
        <w:t>C</w:t>
      </w:r>
      <w:r w:rsidRPr="007F53B9">
        <w:t>ytogenetic abnormalities such as t(4;14) or del</w:t>
      </w:r>
      <w:r w:rsidR="0090131D">
        <w:t xml:space="preserve"> </w:t>
      </w:r>
      <w:r w:rsidRPr="007F53B9">
        <w:t>17p or 1q gain</w:t>
      </w:r>
      <w:r w:rsidR="00B95643">
        <w:t xml:space="preserve"> are</w:t>
      </w:r>
      <w:r w:rsidRPr="007F53B9">
        <w:t xml:space="preserve"> </w:t>
      </w:r>
      <w:r w:rsidR="00F039A7" w:rsidRPr="007F53B9">
        <w:t>suffic</w:t>
      </w:r>
      <w:r w:rsidR="00B95643">
        <w:t>ient to</w:t>
      </w:r>
      <w:r w:rsidR="00F039A7" w:rsidRPr="007F53B9">
        <w:t xml:space="preserve"> defin</w:t>
      </w:r>
      <w:r w:rsidR="00B95643">
        <w:t>e</w:t>
      </w:r>
      <w:r w:rsidR="00F039A7" w:rsidRPr="007F53B9">
        <w:t xml:space="preserve"> a high risk smouldering </w:t>
      </w:r>
      <w:r w:rsidR="00D478DA">
        <w:t xml:space="preserve">MM </w:t>
      </w:r>
      <w:r w:rsidR="00F039A7" w:rsidRPr="007F53B9">
        <w:t>patient</w:t>
      </w:r>
      <w:r w:rsidR="00397AD7" w:rsidRPr="007F53B9">
        <w:fldChar w:fldCharType="begin"/>
      </w:r>
      <w:r w:rsidR="00537FBA">
        <w:instrText xml:space="preserve"> ADDIN EN.CITE &lt;EndNote&gt;&lt;Cite&gt;&lt;Author&gt;Rajkumar&lt;/Author&gt;&lt;Year&gt;2014&lt;/Year&gt;&lt;RecNum&gt;32&lt;/RecNum&gt;&lt;DisplayText&gt;&lt;style face="superscript"&gt;31&lt;/style&gt;&lt;/DisplayText&gt;&lt;record&gt;&lt;rec-number&gt;32&lt;/rec-number&gt;&lt;foreign-keys&gt;&lt;key app="EN" db-id="vepewp0vsd9e2pea20s5svf89az5we2t9d5v" timestamp="1529550240"&gt;32&lt;/key&gt;&lt;/foreign-keys&gt;&lt;ref-type name="Journal Article"&gt;17&lt;/ref-type&gt;&lt;contributors&gt;&lt;authors&gt;&lt;author&gt;Rajkumar, S Vincent&lt;/author&gt;&lt;author&gt;Dimopoulos, Meletios A&lt;/author&gt;&lt;author&gt;Palumbo, Antonio&lt;/author&gt;&lt;author&gt;Blade, Joan&lt;/author&gt;&lt;author&gt;Merlini, Giampaolo&lt;/author&gt;&lt;author&gt;Mateos, María-Victoria&lt;/author&gt;&lt;author&gt;Kumar, Shaji&lt;/author&gt;&lt;author&gt;Hillengass, Jens&lt;/author&gt;&lt;author&gt;Kastritis, Efstathios&lt;/author&gt;&lt;author&gt;Richardson, Paul&lt;/author&gt;&lt;/authors&gt;&lt;/contributors&gt;&lt;titles&gt;&lt;title&gt;International Myeloma Working Group updated criteria for the diagnosis of multiple myeloma&lt;/title&gt;&lt;secondary-title&gt;The lancet oncology&lt;/secondary-title&gt;&lt;/titles&gt;&lt;periodical&gt;&lt;full-title&gt;The lancet oncology&lt;/full-title&gt;&lt;/periodical&gt;&lt;pages&gt;e538-e548&lt;/pages&gt;&lt;volume&gt;15&lt;/volume&gt;&lt;number&gt;12&lt;/number&gt;&lt;dates&gt;&lt;year&gt;2014&lt;/year&gt;&lt;/dates&gt;&lt;isbn&gt;1470-2045&lt;/isbn&gt;&lt;urls&gt;&lt;/urls&gt;&lt;/record&gt;&lt;/Cite&gt;&lt;/EndNote&gt;</w:instrText>
      </w:r>
      <w:r w:rsidR="00397AD7" w:rsidRPr="007F53B9">
        <w:fldChar w:fldCharType="separate"/>
      </w:r>
      <w:r w:rsidR="00537FBA" w:rsidRPr="00537FBA">
        <w:rPr>
          <w:noProof/>
          <w:vertAlign w:val="superscript"/>
        </w:rPr>
        <w:t>31</w:t>
      </w:r>
      <w:r w:rsidR="00397AD7" w:rsidRPr="007F53B9">
        <w:fldChar w:fldCharType="end"/>
      </w:r>
      <w:r w:rsidR="000819A7">
        <w:t>.</w:t>
      </w:r>
    </w:p>
    <w:p w14:paraId="793E47DC" w14:textId="77777777" w:rsidR="000819A7" w:rsidRPr="007F53B9" w:rsidRDefault="000819A7" w:rsidP="00E364F7">
      <w:pPr>
        <w:rPr>
          <w:color w:val="FF0000"/>
          <w:u w:val="dotted"/>
        </w:rPr>
        <w:sectPr w:rsidR="000819A7" w:rsidRPr="007F53B9">
          <w:headerReference w:type="even" r:id="rId9"/>
          <w:footerReference w:type="default" r:id="rId10"/>
          <w:pgSz w:w="11906" w:h="16838"/>
          <w:pgMar w:top="1440" w:right="1440" w:bottom="1440" w:left="1440" w:header="708" w:footer="708" w:gutter="0"/>
          <w:cols w:space="708"/>
          <w:docGrid w:linePitch="360"/>
        </w:sectPr>
      </w:pPr>
    </w:p>
    <w:p w14:paraId="6557B26A" w14:textId="24F40D7F" w:rsidR="009A0E87" w:rsidRDefault="009A0E87" w:rsidP="009A0E87">
      <w:pPr>
        <w:pStyle w:val="Caption"/>
        <w:rPr>
          <w:lang w:val="en-AU"/>
        </w:rPr>
      </w:pPr>
      <w:bookmarkStart w:id="14" w:name="_Ref517251026"/>
      <w:r w:rsidRPr="007F53B9">
        <w:rPr>
          <w:lang w:val="en-AU"/>
        </w:rPr>
        <w:lastRenderedPageBreak/>
        <w:t xml:space="preserve">Figure </w:t>
      </w:r>
      <w:r w:rsidRPr="007F53B9">
        <w:rPr>
          <w:lang w:val="en-AU"/>
        </w:rPr>
        <w:fldChar w:fldCharType="begin"/>
      </w:r>
      <w:r w:rsidRPr="007F53B9">
        <w:rPr>
          <w:lang w:val="en-AU"/>
        </w:rPr>
        <w:instrText xml:space="preserve"> SEQ Figure \* ARABIC </w:instrText>
      </w:r>
      <w:r w:rsidRPr="007F53B9">
        <w:rPr>
          <w:lang w:val="en-AU"/>
        </w:rPr>
        <w:fldChar w:fldCharType="separate"/>
      </w:r>
      <w:r w:rsidR="004E352B">
        <w:rPr>
          <w:noProof/>
          <w:lang w:val="en-AU"/>
        </w:rPr>
        <w:t>1</w:t>
      </w:r>
      <w:r w:rsidRPr="007F53B9">
        <w:rPr>
          <w:lang w:val="en-AU"/>
        </w:rPr>
        <w:fldChar w:fldCharType="end"/>
      </w:r>
      <w:bookmarkEnd w:id="14"/>
      <w:r w:rsidRPr="007F53B9">
        <w:rPr>
          <w:lang w:val="en-AU"/>
        </w:rPr>
        <w:tab/>
        <w:t>Current clinical management algorithm</w:t>
      </w:r>
    </w:p>
    <w:p w14:paraId="21A5790F" w14:textId="2D6C68DB" w:rsidR="00947CC9" w:rsidRPr="00947CC9" w:rsidRDefault="002C5FB0" w:rsidP="00492F9C">
      <w:pPr>
        <w:spacing w:after="0" w:line="240" w:lineRule="auto"/>
      </w:pPr>
      <w:r>
        <w:rPr>
          <w:noProof/>
          <w:lang w:eastAsia="en-AU"/>
        </w:rPr>
        <w:drawing>
          <wp:inline distT="0" distB="0" distL="0" distR="0" wp14:anchorId="16D84814" wp14:editId="2ED4C5A3">
            <wp:extent cx="8858250" cy="4057650"/>
            <wp:effectExtent l="19050" t="19050" r="19050" b="19050"/>
            <wp:docPr id="3" name="Picture 3" descr="Figure 1 - Current clinical management algorithm" title="Figure 1 -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0" cy="4057650"/>
                    </a:xfrm>
                    <a:prstGeom prst="rect">
                      <a:avLst/>
                    </a:prstGeom>
                    <a:noFill/>
                    <a:ln>
                      <a:solidFill>
                        <a:schemeClr val="tx1"/>
                      </a:solidFill>
                    </a:ln>
                  </pic:spPr>
                </pic:pic>
              </a:graphicData>
            </a:graphic>
          </wp:inline>
        </w:drawing>
      </w:r>
    </w:p>
    <w:p w14:paraId="58552361" w14:textId="77777777" w:rsidR="009A0E87" w:rsidRPr="007F53B9" w:rsidRDefault="009A0E87" w:rsidP="009A0E87">
      <w:pPr>
        <w:pStyle w:val="NormalWeb"/>
        <w:spacing w:before="0" w:beforeAutospacing="0" w:after="0" w:afterAutospacing="0"/>
      </w:pPr>
      <w:r w:rsidRPr="007F53B9">
        <w:rPr>
          <w:rFonts w:asciiTheme="minorHAnsi" w:hAnsi="Calibri" w:cstheme="minorBidi"/>
          <w:color w:val="000000" w:themeColor="text1"/>
          <w:kern w:val="24"/>
          <w:sz w:val="16"/>
          <w:szCs w:val="16"/>
        </w:rPr>
        <w:t>Source: Adapted from Myeloma Australia 2017 and European Society of Medical Oncology (ESMO) 2017 guidelines</w:t>
      </w:r>
    </w:p>
    <w:p w14:paraId="553B2E28" w14:textId="543992C3" w:rsidR="007F53B9" w:rsidRPr="007F53B9" w:rsidRDefault="007F53B9" w:rsidP="007F53B9">
      <w:pPr>
        <w:pStyle w:val="Caption"/>
        <w:ind w:left="0" w:firstLine="0"/>
        <w:rPr>
          <w:rFonts w:asciiTheme="minorHAnsi" w:eastAsiaTheme="minorEastAsia" w:cstheme="minorBidi"/>
          <w:b w:val="0"/>
          <w:color w:val="000000" w:themeColor="text1"/>
          <w:kern w:val="24"/>
          <w:sz w:val="16"/>
          <w:szCs w:val="16"/>
          <w:lang w:val="en-AU" w:eastAsia="en-AU"/>
        </w:rPr>
      </w:pPr>
      <w:r w:rsidRPr="007F53B9">
        <w:rPr>
          <w:rFonts w:asciiTheme="minorHAnsi" w:eastAsiaTheme="minorEastAsia" w:cstheme="minorBidi"/>
          <w:b w:val="0"/>
          <w:color w:val="000000" w:themeColor="text1"/>
          <w:kern w:val="24"/>
          <w:sz w:val="16"/>
          <w:szCs w:val="16"/>
          <w:lang w:val="en-AU" w:eastAsia="en-AU"/>
        </w:rPr>
        <w:t xml:space="preserve">Abbreviations: AlloHSCT; allogenic haematopoietic stem cell transplant; ASCT, autologous stem cell transplantation; BCR, B-cell receptor; Clb; chlorambucil; CLL, chronic lymphocytic </w:t>
      </w:r>
      <w:r w:rsidR="008A05B2" w:rsidRPr="007F53B9">
        <w:rPr>
          <w:rFonts w:asciiTheme="minorHAnsi" w:eastAsiaTheme="minorEastAsia" w:cstheme="minorBidi"/>
          <w:b w:val="0"/>
          <w:color w:val="000000" w:themeColor="text1"/>
          <w:kern w:val="24"/>
          <w:sz w:val="16"/>
          <w:szCs w:val="16"/>
          <w:lang w:val="en-AU" w:eastAsia="en-AU"/>
        </w:rPr>
        <w:t>leukaemia</w:t>
      </w:r>
      <w:r w:rsidRPr="007F53B9">
        <w:rPr>
          <w:rFonts w:asciiTheme="minorHAnsi" w:eastAsiaTheme="minorEastAsia" w:cstheme="minorBidi"/>
          <w:b w:val="0"/>
          <w:color w:val="000000" w:themeColor="text1"/>
          <w:kern w:val="24"/>
          <w:sz w:val="16"/>
          <w:szCs w:val="16"/>
          <w:lang w:val="en-AU" w:eastAsia="en-AU"/>
        </w:rPr>
        <w:t xml:space="preserve">; CTD, cyclophosphamide + thalidomide + dexamethasone; FISH, Fluorescence in situ </w:t>
      </w:r>
      <w:r w:rsidR="00A31321" w:rsidRPr="007F53B9">
        <w:rPr>
          <w:rFonts w:asciiTheme="minorHAnsi" w:eastAsiaTheme="minorEastAsia" w:cstheme="minorBidi"/>
          <w:b w:val="0"/>
          <w:color w:val="000000" w:themeColor="text1"/>
          <w:kern w:val="24"/>
          <w:sz w:val="16"/>
          <w:szCs w:val="16"/>
          <w:lang w:val="en-AU" w:eastAsia="en-AU"/>
        </w:rPr>
        <w:t>Hybridisation</w:t>
      </w:r>
      <w:r w:rsidRPr="007F53B9">
        <w:rPr>
          <w:rFonts w:asciiTheme="minorHAnsi" w:eastAsiaTheme="minorEastAsia" w:cstheme="minorBidi"/>
          <w:b w:val="0"/>
          <w:color w:val="000000" w:themeColor="text1"/>
          <w:kern w:val="24"/>
          <w:sz w:val="16"/>
          <w:szCs w:val="16"/>
          <w:lang w:val="en-AU" w:eastAsia="en-AU"/>
        </w:rPr>
        <w:t>; IMiDs; immunomodulatory imide drug; LVD, lenalidomide, bortezomib, dexamethasone; MGUS, monoclonal gammopathy of uncertain significance; MM, multiple myeloma; MPT, melphalan + prednisone + thalidomide; PAD, bortezomib, doxorubicin, dexamethasone; PI; proteasome inhibitor; VCD; bortezomib + cyclophosphamide + dexamethasone; VMP, bortezomib + melphalan + prednisone; VTD, bortezomib + thalidomide + dexamethasone</w:t>
      </w:r>
    </w:p>
    <w:p w14:paraId="5A66A047" w14:textId="77777777" w:rsidR="004F6DAD" w:rsidRPr="007F53B9" w:rsidRDefault="004F6DAD" w:rsidP="009A0E87">
      <w:pPr>
        <w:pStyle w:val="Caption"/>
        <w:rPr>
          <w:lang w:val="en-AU"/>
        </w:rPr>
        <w:sectPr w:rsidR="004F6DAD" w:rsidRPr="007F53B9" w:rsidSect="0084618C">
          <w:pgSz w:w="16838" w:h="11906" w:orient="landscape"/>
          <w:pgMar w:top="1440" w:right="1440" w:bottom="1440" w:left="1440" w:header="709" w:footer="709" w:gutter="0"/>
          <w:cols w:space="708"/>
          <w:docGrid w:linePitch="360"/>
        </w:sectPr>
      </w:pPr>
    </w:p>
    <w:p w14:paraId="2E1FA547" w14:textId="77777777" w:rsidR="00621AD7" w:rsidRPr="007F53B9" w:rsidRDefault="00621AD7" w:rsidP="00621AD7">
      <w:pPr>
        <w:pStyle w:val="Heading2"/>
        <w:spacing w:line="240" w:lineRule="auto"/>
        <w:jc w:val="both"/>
        <w:rPr>
          <w:color w:val="548DD4"/>
        </w:rPr>
      </w:pPr>
      <w:r w:rsidRPr="007F53B9">
        <w:rPr>
          <w:color w:val="548DD4"/>
        </w:rPr>
        <w:lastRenderedPageBreak/>
        <w:t>Proposed clinical management algorithm for identified population</w:t>
      </w:r>
    </w:p>
    <w:p w14:paraId="0F145456" w14:textId="05C26D36" w:rsidR="004F6DAD" w:rsidRDefault="004F6DAD" w:rsidP="00D21490">
      <w:pPr>
        <w:spacing w:after="160"/>
      </w:pPr>
      <w:r w:rsidRPr="007F53B9">
        <w:t xml:space="preserve">The proposed clinical management algorithm for </w:t>
      </w:r>
      <w:r w:rsidR="000819A7">
        <w:t>CLL and MM</w:t>
      </w:r>
      <w:r w:rsidR="007C150A" w:rsidRPr="007F53B9">
        <w:t xml:space="preserve"> </w:t>
      </w:r>
      <w:r w:rsidRPr="007F53B9">
        <w:t xml:space="preserve">is presented in </w:t>
      </w:r>
      <w:r w:rsidRPr="007F53B9">
        <w:fldChar w:fldCharType="begin"/>
      </w:r>
      <w:r w:rsidRPr="007F53B9">
        <w:instrText xml:space="preserve"> REF _Ref517251208 \h  \* MERGEFORMAT </w:instrText>
      </w:r>
      <w:r w:rsidRPr="007F53B9">
        <w:fldChar w:fldCharType="separate"/>
      </w:r>
      <w:r w:rsidR="004E352B" w:rsidRPr="007F53B9">
        <w:t xml:space="preserve">Figure </w:t>
      </w:r>
      <w:r w:rsidR="004E352B">
        <w:rPr>
          <w:noProof/>
        </w:rPr>
        <w:t>2</w:t>
      </w:r>
      <w:r w:rsidRPr="007F53B9">
        <w:fldChar w:fldCharType="end"/>
      </w:r>
      <w:r w:rsidRPr="007F53B9">
        <w:t>.</w:t>
      </w:r>
      <w:r w:rsidR="005B3F76" w:rsidRPr="007F53B9">
        <w:t xml:space="preserve"> </w:t>
      </w:r>
      <w:r w:rsidR="00896658">
        <w:t>Genome-wide</w:t>
      </w:r>
      <w:r w:rsidR="005B3F76" w:rsidRPr="007F53B9">
        <w:t xml:space="preserve"> </w:t>
      </w:r>
      <w:r w:rsidR="00344CB2">
        <w:t>microarray</w:t>
      </w:r>
      <w:r w:rsidR="005B3F76" w:rsidRPr="007F53B9">
        <w:t xml:space="preserve"> testing would be required in addition to bone marrow aspirate and/or haematological investigations but without further healthcare resources for obtaining the tumour sample (i.e. on the same specimen).</w:t>
      </w:r>
    </w:p>
    <w:p w14:paraId="446C2BC9" w14:textId="77777777" w:rsidR="00D51D36" w:rsidRDefault="00D51D36" w:rsidP="00D21490">
      <w:pPr>
        <w:spacing w:after="160"/>
        <w:rPr>
          <w:lang w:eastAsia="ja-JP"/>
        </w:rPr>
      </w:pPr>
      <w:r>
        <w:rPr>
          <w:lang w:eastAsia="ja-JP"/>
        </w:rPr>
        <w:t>In CLL, genome-wide microarray will replace FISH testing. This is the clinical experience in South Australia, which has transitioned to the genome-wide microarray for CLL and no longer performs FISH analysis.</w:t>
      </w:r>
    </w:p>
    <w:p w14:paraId="4BA7F7FB" w14:textId="03104340" w:rsidR="00550797" w:rsidRDefault="00D51D36" w:rsidP="00D21490">
      <w:pPr>
        <w:spacing w:after="160"/>
        <w:rPr>
          <w:lang w:eastAsia="ja-JP"/>
        </w:rPr>
      </w:pPr>
      <w:r>
        <w:rPr>
          <w:lang w:eastAsia="ja-JP"/>
        </w:rPr>
        <w:t xml:space="preserve">In MM, genome-wide microarray will be used alongside FISH. FISH is still required to detect cryptic translocations, which are not necessarily detected by microarray. </w:t>
      </w:r>
      <w:r w:rsidR="00D2532A">
        <w:rPr>
          <w:lang w:eastAsia="ja-JP"/>
        </w:rPr>
        <w:t>The reason that FISH is still required in MM, but not in CLL is because in CLL,</w:t>
      </w:r>
      <w:r w:rsidR="00550797">
        <w:rPr>
          <w:lang w:eastAsia="ja-JP"/>
        </w:rPr>
        <w:t xml:space="preserve"> the most significant</w:t>
      </w:r>
      <w:r w:rsidR="00D2532A">
        <w:rPr>
          <w:lang w:eastAsia="ja-JP"/>
        </w:rPr>
        <w:t xml:space="preserve"> </w:t>
      </w:r>
      <w:r w:rsidR="00550797">
        <w:rPr>
          <w:lang w:eastAsia="ja-JP"/>
        </w:rPr>
        <w:t>mutations are</w:t>
      </w:r>
      <w:r w:rsidR="00CC0730">
        <w:rPr>
          <w:lang w:eastAsia="ja-JP"/>
        </w:rPr>
        <w:t xml:space="preserve"> not</w:t>
      </w:r>
      <w:r w:rsidR="00550797">
        <w:rPr>
          <w:lang w:eastAsia="ja-JP"/>
        </w:rPr>
        <w:t xml:space="preserve"> translocations, whereas in MM several translocations are significant.</w:t>
      </w:r>
    </w:p>
    <w:p w14:paraId="58F34FF3" w14:textId="2F8B446C" w:rsidR="00145278" w:rsidRDefault="00550797" w:rsidP="00D21490">
      <w:pPr>
        <w:spacing w:after="160"/>
        <w:rPr>
          <w:lang w:eastAsia="ja-JP"/>
        </w:rPr>
      </w:pPr>
      <w:r>
        <w:rPr>
          <w:lang w:eastAsia="ja-JP"/>
        </w:rPr>
        <w:t>A</w:t>
      </w:r>
      <w:r w:rsidR="00DA0AEE" w:rsidRPr="007F53B9">
        <w:rPr>
          <w:lang w:eastAsia="ja-JP"/>
        </w:rPr>
        <w:t xml:space="preserve">lthough rare, repeat testing will be highly variable and possibly undertaken in cases of early relapse/refractoriness which may occur in younger patients (under 65-70 years). </w:t>
      </w:r>
    </w:p>
    <w:p w14:paraId="19F41BEB" w14:textId="31E44C0F" w:rsidR="000819A7" w:rsidRDefault="00145278" w:rsidP="00D21490">
      <w:pPr>
        <w:spacing w:after="160"/>
        <w:rPr>
          <w:lang w:eastAsia="ja-JP"/>
        </w:rPr>
      </w:pPr>
      <w:r>
        <w:rPr>
          <w:lang w:eastAsia="ja-JP"/>
        </w:rPr>
        <w:t>It is important to note that</w:t>
      </w:r>
      <w:r w:rsidR="00CC0730">
        <w:rPr>
          <w:lang w:eastAsia="ja-JP"/>
        </w:rPr>
        <w:t xml:space="preserve"> when</w:t>
      </w:r>
      <w:r>
        <w:rPr>
          <w:lang w:eastAsia="ja-JP"/>
        </w:rPr>
        <w:t xml:space="preserve"> FISH would be used alongside genome-wide microarray</w:t>
      </w:r>
      <w:r w:rsidR="00692348">
        <w:rPr>
          <w:lang w:eastAsia="ja-JP"/>
        </w:rPr>
        <w:t xml:space="preserve"> before the commencement of any treatment</w:t>
      </w:r>
      <w:r w:rsidR="00CC0730">
        <w:rPr>
          <w:lang w:eastAsia="ja-JP"/>
        </w:rPr>
        <w:t>, it is</w:t>
      </w:r>
      <w:r>
        <w:rPr>
          <w:lang w:eastAsia="ja-JP"/>
        </w:rPr>
        <w:t xml:space="preserve"> not funded under the MBS. FISH testing is funded under MBS item number 73343, but only for patients with relapsed or refractory CLL. Therefore the use of FISH testing for patients not meeting the</w:t>
      </w:r>
      <w:r w:rsidR="00EC09C9">
        <w:rPr>
          <w:lang w:eastAsia="ja-JP"/>
        </w:rPr>
        <w:t>se requirements in the proposed clinical management algorithm</w:t>
      </w:r>
      <w:r>
        <w:rPr>
          <w:lang w:eastAsia="ja-JP"/>
        </w:rPr>
        <w:t xml:space="preserve"> is privately funded.</w:t>
      </w:r>
    </w:p>
    <w:p w14:paraId="44DFD472" w14:textId="77777777" w:rsidR="005B3F76" w:rsidRPr="007F53B9" w:rsidRDefault="005B3F76" w:rsidP="00D21490">
      <w:pPr>
        <w:spacing w:after="160"/>
        <w:rPr>
          <w:lang w:eastAsia="ja-JP"/>
        </w:rPr>
      </w:pPr>
      <w:r w:rsidRPr="007F53B9">
        <w:rPr>
          <w:lang w:eastAsia="ja-JP"/>
        </w:rPr>
        <w:t xml:space="preserve">As new targeted therapies become available, more cytogenetic abnormalities can be tested for with </w:t>
      </w:r>
      <w:r w:rsidR="00344CB2">
        <w:rPr>
          <w:lang w:eastAsia="ja-JP"/>
        </w:rPr>
        <w:t>microarray</w:t>
      </w:r>
      <w:r w:rsidRPr="007F53B9">
        <w:rPr>
          <w:lang w:eastAsia="ja-JP"/>
        </w:rPr>
        <w:t xml:space="preserve">s for all </w:t>
      </w:r>
      <w:r w:rsidR="000819A7">
        <w:rPr>
          <w:lang w:eastAsia="ja-JP"/>
        </w:rPr>
        <w:t>CLL and MM</w:t>
      </w:r>
      <w:r w:rsidR="000819A7" w:rsidRPr="007F53B9">
        <w:rPr>
          <w:lang w:eastAsia="ja-JP"/>
        </w:rPr>
        <w:t xml:space="preserve"> </w:t>
      </w:r>
      <w:r w:rsidRPr="007F53B9">
        <w:rPr>
          <w:lang w:eastAsia="ja-JP"/>
        </w:rPr>
        <w:t>patients,</w:t>
      </w:r>
      <w:r w:rsidR="002427DC">
        <w:rPr>
          <w:lang w:eastAsia="ja-JP"/>
        </w:rPr>
        <w:t xml:space="preserve"> especially</w:t>
      </w:r>
      <w:r w:rsidRPr="007F53B9">
        <w:rPr>
          <w:lang w:eastAsia="ja-JP"/>
        </w:rPr>
        <w:t xml:space="preserve"> with a new MBS item description to be provided for testing.</w:t>
      </w:r>
      <w:r w:rsidR="00DA0AEE">
        <w:rPr>
          <w:lang w:eastAsia="ja-JP"/>
        </w:rPr>
        <w:t xml:space="preserve"> Consequently, this may influence the course of treatment for CLL and MM.</w:t>
      </w:r>
    </w:p>
    <w:p w14:paraId="59E5FD98" w14:textId="464D6640" w:rsidR="000819A7" w:rsidRPr="00781D1A" w:rsidRDefault="000819A7" w:rsidP="00D21490">
      <w:pPr>
        <w:spacing w:after="160"/>
      </w:pPr>
      <w:r>
        <w:rPr>
          <w:rFonts w:eastAsiaTheme="minorHAnsi"/>
        </w:rPr>
        <w:t xml:space="preserve">For patients with CLL, the inclusion of genome-wide </w:t>
      </w:r>
      <w:r w:rsidR="00344CB2">
        <w:rPr>
          <w:rFonts w:eastAsiaTheme="minorHAnsi"/>
        </w:rPr>
        <w:t>microarray</w:t>
      </w:r>
      <w:r>
        <w:rPr>
          <w:rFonts w:eastAsiaTheme="minorHAnsi"/>
        </w:rPr>
        <w:t xml:space="preserve"> testing may enable more accurate determination of del 17p status</w:t>
      </w:r>
      <w:r w:rsidR="002427DC">
        <w:rPr>
          <w:rFonts w:eastAsiaTheme="minorHAnsi"/>
        </w:rPr>
        <w:t>, which will</w:t>
      </w:r>
      <w:r>
        <w:rPr>
          <w:rFonts w:eastAsiaTheme="minorHAnsi"/>
        </w:rPr>
        <w:t xml:space="preserve"> allow patients to be directed to the most effective current therapies.</w:t>
      </w:r>
      <w:r>
        <w:t xml:space="preserve"> </w:t>
      </w:r>
      <w:r w:rsidR="00891203">
        <w:t>In MM,</w:t>
      </w:r>
      <w:r>
        <w:t xml:space="preserve"> </w:t>
      </w:r>
      <w:r w:rsidR="007C150A" w:rsidRPr="007F53B9">
        <w:rPr>
          <w:lang w:eastAsia="ja-JP"/>
        </w:rPr>
        <w:t xml:space="preserve">current clinical practice supports findings by the </w:t>
      </w:r>
      <w:r w:rsidR="00891203">
        <w:rPr>
          <w:lang w:eastAsia="ja-JP"/>
        </w:rPr>
        <w:t>International Melanoma Working Group</w:t>
      </w:r>
      <w:r w:rsidR="007C150A" w:rsidRPr="007F53B9">
        <w:rPr>
          <w:lang w:eastAsia="ja-JP"/>
        </w:rPr>
        <w:t xml:space="preserve"> regarding </w:t>
      </w:r>
      <w:r w:rsidR="00891203">
        <w:rPr>
          <w:lang w:eastAsia="ja-JP"/>
        </w:rPr>
        <w:t xml:space="preserve">cytogenetic testing of high-risk </w:t>
      </w:r>
      <w:r w:rsidR="007C150A" w:rsidRPr="007F53B9">
        <w:rPr>
          <w:lang w:eastAsia="ja-JP"/>
        </w:rPr>
        <w:t>patients</w:t>
      </w:r>
      <w:r w:rsidR="00255387" w:rsidRPr="007F53B9">
        <w:rPr>
          <w:lang w:eastAsia="ja-JP"/>
        </w:rPr>
        <w:fldChar w:fldCharType="begin"/>
      </w:r>
      <w:r w:rsidR="00D21490">
        <w:rPr>
          <w:lang w:eastAsia="ja-JP"/>
        </w:rPr>
        <w:instrText xml:space="preserve"> ADDIN EN.CITE &lt;EndNote&gt;&lt;Cite&gt;&lt;Author&gt;Sonneveld&lt;/Author&gt;&lt;Year&gt;2016&lt;/Year&gt;&lt;RecNum&gt;29&lt;/RecNum&gt;&lt;DisplayText&gt;&lt;style face="superscript"&gt;11&lt;/style&gt;&lt;/DisplayText&gt;&lt;record&gt;&lt;rec-number&gt;29&lt;/rec-number&gt;&lt;foreign-keys&gt;&lt;key app="EN" db-id="vepewp0vsd9e2pea20s5svf89az5we2t9d5v" timestamp="1529548644"&gt;29&lt;/key&gt;&lt;/foreign-keys&gt;&lt;ref-type name="Journal Article"&gt;17&lt;/ref-type&gt;&lt;contributors&gt;&lt;authors&gt;&lt;author&gt;Sonneveld, Pieter&lt;/author&gt;&lt;author&gt;Avet-Loiseau, Hervé&lt;/author&gt;&lt;author&gt;Lonial, Sagar&lt;/author&gt;&lt;author&gt;Usmani, Saad&lt;/author&gt;&lt;author&gt;Siegel, David&lt;/author&gt;&lt;author&gt;Anderson, Kenneth C&lt;/author&gt;&lt;author&gt;Chng, Wee-Joo&lt;/author&gt;&lt;author&gt;Moreau, Philippe&lt;/author&gt;&lt;author&gt;Attal, Michel&lt;/author&gt;&lt;author&gt;Kyle, Robert A&lt;/author&gt;&lt;/authors&gt;&lt;/contributors&gt;&lt;titles&gt;&lt;title&gt;Treatment of multiple myeloma with high-risk cytogenetics: a consensus of the International Myeloma Working Group&lt;/title&gt;&lt;secondary-title&gt;Blood&lt;/secondary-title&gt;&lt;/titles&gt;&lt;periodical&gt;&lt;full-title&gt;Blood&lt;/full-title&gt;&lt;/periodical&gt;&lt;pages&gt;2955-2962&lt;/pages&gt;&lt;volume&gt;127&lt;/volume&gt;&lt;number&gt;24&lt;/number&gt;&lt;dates&gt;&lt;year&gt;2016&lt;/year&gt;&lt;/dates&gt;&lt;isbn&gt;0006-4971&lt;/isbn&gt;&lt;urls&gt;&lt;/urls&gt;&lt;/record&gt;&lt;/Cite&gt;&lt;/EndNote&gt;</w:instrText>
      </w:r>
      <w:r w:rsidR="00255387" w:rsidRPr="007F53B9">
        <w:rPr>
          <w:lang w:eastAsia="ja-JP"/>
        </w:rPr>
        <w:fldChar w:fldCharType="separate"/>
      </w:r>
      <w:r w:rsidR="00D21490" w:rsidRPr="00D21490">
        <w:rPr>
          <w:noProof/>
          <w:vertAlign w:val="superscript"/>
          <w:lang w:eastAsia="ja-JP"/>
        </w:rPr>
        <w:t>11</w:t>
      </w:r>
      <w:r w:rsidR="00255387" w:rsidRPr="007F53B9">
        <w:rPr>
          <w:lang w:eastAsia="ja-JP"/>
        </w:rPr>
        <w:fldChar w:fldCharType="end"/>
      </w:r>
      <w:r w:rsidR="00DA0AEE">
        <w:rPr>
          <w:lang w:eastAsia="ja-JP"/>
        </w:rPr>
        <w:t>.</w:t>
      </w:r>
      <w:r w:rsidR="00255387" w:rsidRPr="007F53B9">
        <w:rPr>
          <w:lang w:eastAsia="ja-JP"/>
        </w:rPr>
        <w:t xml:space="preserve"> </w:t>
      </w:r>
      <w:r w:rsidR="007C150A" w:rsidRPr="007F53B9">
        <w:rPr>
          <w:lang w:eastAsia="ja-JP"/>
        </w:rPr>
        <w:t xml:space="preserve">Subsequently, </w:t>
      </w:r>
      <w:r w:rsidR="00891203">
        <w:rPr>
          <w:lang w:eastAsia="ja-JP"/>
        </w:rPr>
        <w:t>genomic testing</w:t>
      </w:r>
      <w:r w:rsidR="007C150A" w:rsidRPr="007F53B9">
        <w:rPr>
          <w:rFonts w:eastAsiaTheme="minorHAnsi"/>
        </w:rPr>
        <w:t xml:space="preserve"> may segregate patients with standard or high-risk disease</w:t>
      </w:r>
      <w:r w:rsidR="00255387" w:rsidRPr="007F53B9">
        <w:rPr>
          <w:rFonts w:eastAsiaTheme="minorHAnsi"/>
        </w:rPr>
        <w:fldChar w:fldCharType="begin"/>
      </w:r>
      <w:r w:rsidR="00D80804">
        <w:rPr>
          <w:rFonts w:eastAsiaTheme="minorHAnsi"/>
        </w:rPr>
        <w:instrText xml:space="preserve"> ADDIN EN.CITE &lt;EndNote&gt;&lt;Cite&gt;&lt;Author&gt;Moreau&lt;/Author&gt;&lt;Year&gt;2017&lt;/Year&gt;&lt;RecNum&gt;25&lt;/RecNum&gt;&lt;DisplayText&gt;&lt;style face="superscript"&gt;29&lt;/style&gt;&lt;/DisplayText&gt;&lt;record&gt;&lt;rec-number&gt;25&lt;/rec-number&gt;&lt;foreign-keys&gt;&lt;key app="EN" db-id="vepewp0vsd9e2pea20s5svf89az5we2t9d5v" timestamp="1529548644"&gt;25&lt;/key&gt;&lt;/foreign-keys&gt;&lt;ref-type name="Journal Article"&gt;17&lt;/ref-type&gt;&lt;contributors&gt;&lt;authors&gt;&lt;author&gt;Moreau, P.&lt;/author&gt;&lt;author&gt;San Miguel, J.&lt;/author&gt;&lt;author&gt;Sonneveld, P.&lt;/author&gt;&lt;author&gt;Mateos, M. V.&lt;/author&gt;&lt;author&gt;Zamagni, E.&lt;/author&gt;&lt;author&gt;Avet-Loiseau, H.&lt;/author&gt;&lt;author&gt;Hajek, R.&lt;/author&gt;&lt;author&gt;Dimopoulos, M. A.&lt;/author&gt;&lt;author&gt;Ludwig, H.&lt;/author&gt;&lt;author&gt;Einsele, H.&lt;/author&gt;&lt;author&gt;Zweegman, S.&lt;/author&gt;&lt;author&gt;Facon, T.&lt;/author&gt;&lt;author&gt;Cavo, M.&lt;/author&gt;&lt;author&gt;Terpos, E.&lt;/author&gt;&lt;author&gt;Goldschmidt, H.&lt;/author&gt;&lt;author&gt;Attal, M.&lt;/author&gt;&lt;author&gt;Buske, C.&lt;/author&gt;&lt;author&gt;on behalf of the, Esmo Guidelines Committee&lt;/author&gt;&lt;/authors&gt;&lt;/contributors&gt;&lt;titles&gt;&lt;title&gt;Multiple myeloma: ESMO Clinical Practice Guidelines for diagnosis, treatment and follow-up†&lt;/title&gt;&lt;secondary-title&gt;Annals of Oncology&lt;/secondary-title&gt;&lt;/titles&gt;&lt;periodical&gt;&lt;full-title&gt;Annals of Oncology&lt;/full-title&gt;&lt;/periodical&gt;&lt;pages&gt;iv52-iv61&lt;/pages&gt;&lt;volume&gt;28&lt;/volume&gt;&lt;number&gt;suppl_4&lt;/number&gt;&lt;dates&gt;&lt;year&gt;2017&lt;/year&gt;&lt;/dates&gt;&lt;isbn&gt;0923-7534&lt;/isbn&gt;&lt;urls&gt;&lt;related-urls&gt;&lt;url&gt;http://dx.doi.org/10.1093/annonc/mdx096&lt;/url&gt;&lt;/related-urls&gt;&lt;/urls&gt;&lt;electronic-resource-num&gt;10.1093/annonc/mdx096&lt;/electronic-resource-num&gt;&lt;/record&gt;&lt;/Cite&gt;&lt;/EndNote&gt;</w:instrText>
      </w:r>
      <w:r w:rsidR="00255387" w:rsidRPr="007F53B9">
        <w:rPr>
          <w:rFonts w:eastAsiaTheme="minorHAnsi"/>
        </w:rPr>
        <w:fldChar w:fldCharType="separate"/>
      </w:r>
      <w:r w:rsidR="00D80804" w:rsidRPr="00D80804">
        <w:rPr>
          <w:rFonts w:eastAsiaTheme="minorHAnsi"/>
          <w:noProof/>
          <w:vertAlign w:val="superscript"/>
        </w:rPr>
        <w:t>29</w:t>
      </w:r>
      <w:r w:rsidR="00255387" w:rsidRPr="007F53B9">
        <w:rPr>
          <w:rFonts w:eastAsiaTheme="minorHAnsi"/>
        </w:rPr>
        <w:fldChar w:fldCharType="end"/>
      </w:r>
      <w:r w:rsidR="00DA0AEE">
        <w:rPr>
          <w:rFonts w:eastAsiaTheme="minorHAnsi"/>
        </w:rPr>
        <w:t>,</w:t>
      </w:r>
      <w:r w:rsidR="00255387" w:rsidRPr="007F53B9">
        <w:rPr>
          <w:rFonts w:eastAsiaTheme="minorHAnsi"/>
        </w:rPr>
        <w:t xml:space="preserve"> </w:t>
      </w:r>
      <w:r w:rsidR="007C150A" w:rsidRPr="007F53B9">
        <w:rPr>
          <w:rFonts w:eastAsiaTheme="minorHAnsi"/>
        </w:rPr>
        <w:t>but the impact of profiling patients is yet to be seen in clinical guidelines.</w:t>
      </w:r>
      <w:r w:rsidR="005367B4">
        <w:rPr>
          <w:rFonts w:eastAsiaTheme="minorHAnsi"/>
        </w:rPr>
        <w:t xml:space="preserve"> </w:t>
      </w:r>
      <w:r w:rsidR="0065350B">
        <w:rPr>
          <w:rFonts w:eastAsiaTheme="minorHAnsi"/>
        </w:rPr>
        <w:t xml:space="preserve">It is possible that treatments which target certain mutations </w:t>
      </w:r>
      <w:r w:rsidR="00AA39B7">
        <w:rPr>
          <w:rFonts w:eastAsiaTheme="minorHAnsi"/>
        </w:rPr>
        <w:t>will be developed in the future, however at the present time</w:t>
      </w:r>
      <w:r w:rsidR="0065350B">
        <w:rPr>
          <w:rFonts w:eastAsiaTheme="minorHAnsi"/>
        </w:rPr>
        <w:t xml:space="preserve"> genome-wide microarray test results will not alter the treatment pathway for patients with MM.</w:t>
      </w:r>
    </w:p>
    <w:p w14:paraId="673E8470" w14:textId="77777777" w:rsidR="000819A7" w:rsidRDefault="000819A7">
      <w:pPr>
        <w:rPr>
          <w:rFonts w:eastAsiaTheme="minorHAnsi"/>
        </w:rPr>
      </w:pPr>
    </w:p>
    <w:p w14:paraId="646B9CD2" w14:textId="77777777" w:rsidR="004F6DAD" w:rsidRPr="007F53B9" w:rsidRDefault="004F6DAD" w:rsidP="00781D1A">
      <w:pPr>
        <w:sectPr w:rsidR="004F6DAD" w:rsidRPr="007F53B9" w:rsidSect="004F6DAD">
          <w:pgSz w:w="11906" w:h="16838"/>
          <w:pgMar w:top="1440" w:right="1440" w:bottom="1440" w:left="1440" w:header="709" w:footer="709" w:gutter="0"/>
          <w:cols w:space="708"/>
          <w:docGrid w:linePitch="360"/>
        </w:sectPr>
      </w:pPr>
    </w:p>
    <w:p w14:paraId="0F6BFFDB" w14:textId="470A3B27" w:rsidR="009A0E87" w:rsidRDefault="009A0E87" w:rsidP="009A0E87">
      <w:pPr>
        <w:pStyle w:val="Caption"/>
        <w:rPr>
          <w:lang w:val="en-AU"/>
        </w:rPr>
      </w:pPr>
      <w:bookmarkStart w:id="15" w:name="_Ref517251208"/>
      <w:r w:rsidRPr="007F53B9">
        <w:rPr>
          <w:lang w:val="en-AU"/>
        </w:rPr>
        <w:lastRenderedPageBreak/>
        <w:t xml:space="preserve">Figure </w:t>
      </w:r>
      <w:r w:rsidRPr="007F53B9">
        <w:rPr>
          <w:lang w:val="en-AU"/>
        </w:rPr>
        <w:fldChar w:fldCharType="begin"/>
      </w:r>
      <w:r w:rsidRPr="007F53B9">
        <w:rPr>
          <w:lang w:val="en-AU"/>
        </w:rPr>
        <w:instrText xml:space="preserve"> SEQ Figure \* ARABIC </w:instrText>
      </w:r>
      <w:r w:rsidRPr="007F53B9">
        <w:rPr>
          <w:lang w:val="en-AU"/>
        </w:rPr>
        <w:fldChar w:fldCharType="separate"/>
      </w:r>
      <w:r w:rsidR="004E352B">
        <w:rPr>
          <w:noProof/>
          <w:lang w:val="en-AU"/>
        </w:rPr>
        <w:t>2</w:t>
      </w:r>
      <w:r w:rsidRPr="007F53B9">
        <w:rPr>
          <w:lang w:val="en-AU"/>
        </w:rPr>
        <w:fldChar w:fldCharType="end"/>
      </w:r>
      <w:bookmarkEnd w:id="15"/>
      <w:r w:rsidRPr="007F53B9">
        <w:rPr>
          <w:lang w:val="en-AU"/>
        </w:rPr>
        <w:tab/>
        <w:t>Proposed clinical management algorithm</w:t>
      </w:r>
    </w:p>
    <w:p w14:paraId="2247385A" w14:textId="4D59601B" w:rsidR="002C3548" w:rsidRPr="00947CC9" w:rsidRDefault="002C5FB0" w:rsidP="00947CC9">
      <w:pPr>
        <w:pStyle w:val="Caption"/>
        <w:rPr>
          <w:lang w:val="en-AU"/>
        </w:rPr>
      </w:pPr>
      <w:r>
        <w:rPr>
          <w:noProof/>
          <w:lang w:val="en-AU" w:eastAsia="en-AU"/>
        </w:rPr>
        <w:drawing>
          <wp:inline distT="0" distB="0" distL="0" distR="0" wp14:anchorId="2DA6153F" wp14:editId="7FD83AE1">
            <wp:extent cx="8858250" cy="4152900"/>
            <wp:effectExtent l="19050" t="19050" r="19050" b="19050"/>
            <wp:docPr id="5" name="Picture 5" descr="Figure 2 - Proposed clinical management algorithm" title="Figure 2 -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0" cy="4152900"/>
                    </a:xfrm>
                    <a:prstGeom prst="rect">
                      <a:avLst/>
                    </a:prstGeom>
                    <a:noFill/>
                    <a:ln>
                      <a:solidFill>
                        <a:schemeClr val="tx1"/>
                      </a:solidFill>
                    </a:ln>
                  </pic:spPr>
                </pic:pic>
              </a:graphicData>
            </a:graphic>
          </wp:inline>
        </w:drawing>
      </w:r>
    </w:p>
    <w:p w14:paraId="542FF545" w14:textId="77777777" w:rsidR="009A0E87" w:rsidRPr="007F53B9" w:rsidRDefault="009A0E87" w:rsidP="009A0E87">
      <w:pPr>
        <w:pStyle w:val="NormalWeb"/>
        <w:spacing w:before="0" w:beforeAutospacing="0" w:after="0" w:afterAutospacing="0"/>
      </w:pPr>
      <w:r w:rsidRPr="007F53B9">
        <w:rPr>
          <w:rFonts w:asciiTheme="minorHAnsi" w:hAnsi="Calibri" w:cstheme="minorBidi"/>
          <w:color w:val="000000" w:themeColor="text1"/>
          <w:kern w:val="24"/>
          <w:sz w:val="16"/>
          <w:szCs w:val="16"/>
        </w:rPr>
        <w:t>Source: Adapted from Myeloma Australia 2017 and European Society of Medical Oncology (ESMO) 2017 guidelines</w:t>
      </w:r>
    </w:p>
    <w:p w14:paraId="4EE12EE8" w14:textId="4904C647" w:rsidR="00265404" w:rsidRPr="007F53B9" w:rsidRDefault="00265404" w:rsidP="00265404">
      <w:pPr>
        <w:pStyle w:val="Caption"/>
        <w:ind w:left="0" w:firstLine="0"/>
        <w:rPr>
          <w:rFonts w:asciiTheme="minorHAnsi" w:eastAsiaTheme="minorEastAsia" w:cstheme="minorBidi"/>
          <w:b w:val="0"/>
          <w:color w:val="000000" w:themeColor="text1"/>
          <w:kern w:val="24"/>
          <w:sz w:val="16"/>
          <w:szCs w:val="16"/>
          <w:lang w:val="en-AU" w:eastAsia="en-AU"/>
        </w:rPr>
      </w:pPr>
      <w:r w:rsidRPr="007F53B9">
        <w:rPr>
          <w:rFonts w:asciiTheme="minorHAnsi" w:eastAsiaTheme="minorEastAsia" w:cstheme="minorBidi"/>
          <w:b w:val="0"/>
          <w:color w:val="000000" w:themeColor="text1"/>
          <w:kern w:val="24"/>
          <w:sz w:val="16"/>
          <w:szCs w:val="16"/>
          <w:lang w:val="en-AU" w:eastAsia="en-AU"/>
        </w:rPr>
        <w:t xml:space="preserve">Abbreviations: AlloHSCT; allogenic haematopoietic stem cell transplant; ASCT, autologous stem cell transplantation; BCR, B-cell receptor; Clb; chlorambucil; CLL, chronic lymphocytic </w:t>
      </w:r>
      <w:r w:rsidR="008A05B2" w:rsidRPr="007F53B9">
        <w:rPr>
          <w:rFonts w:asciiTheme="minorHAnsi" w:eastAsiaTheme="minorEastAsia" w:cstheme="minorBidi"/>
          <w:b w:val="0"/>
          <w:color w:val="000000" w:themeColor="text1"/>
          <w:kern w:val="24"/>
          <w:sz w:val="16"/>
          <w:szCs w:val="16"/>
          <w:lang w:val="en-AU" w:eastAsia="en-AU"/>
        </w:rPr>
        <w:t>leukaemia</w:t>
      </w:r>
      <w:r w:rsidRPr="007F53B9">
        <w:rPr>
          <w:rFonts w:asciiTheme="minorHAnsi" w:eastAsiaTheme="minorEastAsia" w:cstheme="minorBidi"/>
          <w:b w:val="0"/>
          <w:color w:val="000000" w:themeColor="text1"/>
          <w:kern w:val="24"/>
          <w:sz w:val="16"/>
          <w:szCs w:val="16"/>
          <w:lang w:val="en-AU" w:eastAsia="en-AU"/>
        </w:rPr>
        <w:t xml:space="preserve">; CTD, cyclophosphamide + thalidomide + dexamethasone; FISH, Fluorescence in situ </w:t>
      </w:r>
      <w:r w:rsidR="00A31321" w:rsidRPr="007F53B9">
        <w:rPr>
          <w:rFonts w:asciiTheme="minorHAnsi" w:eastAsiaTheme="minorEastAsia" w:cstheme="minorBidi"/>
          <w:b w:val="0"/>
          <w:color w:val="000000" w:themeColor="text1"/>
          <w:kern w:val="24"/>
          <w:sz w:val="16"/>
          <w:szCs w:val="16"/>
          <w:lang w:val="en-AU" w:eastAsia="en-AU"/>
        </w:rPr>
        <w:t>Hybridisation</w:t>
      </w:r>
      <w:r w:rsidRPr="007F53B9">
        <w:rPr>
          <w:rFonts w:asciiTheme="minorHAnsi" w:eastAsiaTheme="minorEastAsia" w:cstheme="minorBidi"/>
          <w:b w:val="0"/>
          <w:color w:val="000000" w:themeColor="text1"/>
          <w:kern w:val="24"/>
          <w:sz w:val="16"/>
          <w:szCs w:val="16"/>
          <w:lang w:val="en-AU" w:eastAsia="en-AU"/>
        </w:rPr>
        <w:t>; IMiDs; immunomodulatory imide drug; LVD, lenalidomide, bortezomib, dexamethasone; MGUS, monoclonal gammopathy of uncertain significance; MM, multiple myeloma; MPT, melphalan + prednisone + thalidomide; PAD, bortezomib, doxorubicin, dexamethasone; PI; proteasome inhibitor; VCD; bortezomib + cyclophosphamide + dexamethasone; VMP, bortezomib + melphalan + prednisone; VTD, bortezomib + thalidomide + dexamethasone</w:t>
      </w:r>
    </w:p>
    <w:p w14:paraId="2FD16821" w14:textId="77777777" w:rsidR="009A0E87" w:rsidRPr="007F53B9" w:rsidRDefault="009A0E87" w:rsidP="00621AD7">
      <w:pPr>
        <w:pStyle w:val="NormalWeb"/>
        <w:spacing w:before="0" w:beforeAutospacing="0" w:after="0" w:afterAutospacing="0"/>
        <w:sectPr w:rsidR="009A0E87" w:rsidRPr="007F53B9" w:rsidSect="0084618C">
          <w:pgSz w:w="16838" w:h="11906" w:orient="landscape"/>
          <w:pgMar w:top="1440" w:right="1440" w:bottom="1440" w:left="1440" w:header="709" w:footer="709" w:gutter="0"/>
          <w:cols w:space="708"/>
          <w:docGrid w:linePitch="360"/>
        </w:sectPr>
      </w:pPr>
    </w:p>
    <w:p w14:paraId="0F947868" w14:textId="77777777" w:rsidR="00E968F6" w:rsidRPr="007F53B9" w:rsidRDefault="003E0382" w:rsidP="00E968F6">
      <w:pPr>
        <w:pStyle w:val="Heading2"/>
        <w:spacing w:line="240" w:lineRule="auto"/>
        <w:jc w:val="both"/>
        <w:rPr>
          <w:color w:val="548DD4"/>
        </w:rPr>
      </w:pPr>
      <w:r w:rsidRPr="007F53B9">
        <w:rPr>
          <w:color w:val="548DD4"/>
        </w:rPr>
        <w:lastRenderedPageBreak/>
        <w:t xml:space="preserve">Proposed </w:t>
      </w:r>
      <w:r w:rsidR="002B226C" w:rsidRPr="007F53B9">
        <w:rPr>
          <w:color w:val="548DD4"/>
        </w:rPr>
        <w:t xml:space="preserve">economic </w:t>
      </w:r>
      <w:r w:rsidR="009E5295" w:rsidRPr="007F53B9">
        <w:rPr>
          <w:color w:val="548DD4"/>
        </w:rPr>
        <w:t>evaluation</w:t>
      </w:r>
    </w:p>
    <w:p w14:paraId="4DDBED05" w14:textId="77777777" w:rsidR="007F3C7B" w:rsidRPr="007F53B9" w:rsidRDefault="007F3C7B" w:rsidP="00780D6E">
      <w:pPr>
        <w:spacing w:after="160"/>
      </w:pPr>
      <w:r w:rsidRPr="007F53B9">
        <w:t xml:space="preserve">The clinical claim is that </w:t>
      </w:r>
      <w:r w:rsidR="00896658">
        <w:t>genome-wide</w:t>
      </w:r>
      <w:r w:rsidRPr="007F53B9">
        <w:t xml:space="preserve"> </w:t>
      </w:r>
      <w:r w:rsidR="00344CB2">
        <w:t>microarray</w:t>
      </w:r>
      <w:r w:rsidRPr="007F53B9">
        <w:t>, in addition to FISH analysis provided to patients diagnosed with</w:t>
      </w:r>
      <w:r w:rsidR="004816AD">
        <w:t xml:space="preserve"> CLL and</w:t>
      </w:r>
      <w:r w:rsidRPr="007F53B9">
        <w:t xml:space="preserve"> </w:t>
      </w:r>
      <w:r w:rsidR="004816AD">
        <w:t>MM</w:t>
      </w:r>
      <w:r w:rsidRPr="007F53B9">
        <w:t xml:space="preserve"> is non-inferior in terms of safety </w:t>
      </w:r>
      <w:r w:rsidR="00DC23CE">
        <w:t xml:space="preserve">yet </w:t>
      </w:r>
      <w:r w:rsidR="00273051">
        <w:t>superior</w:t>
      </w:r>
      <w:r w:rsidR="00DC23CE">
        <w:t xml:space="preserve"> in terms of</w:t>
      </w:r>
      <w:r w:rsidRPr="007F53B9">
        <w:t xml:space="preserve"> c</w:t>
      </w:r>
      <w:r w:rsidR="00DC23CE">
        <w:t>omparative</w:t>
      </w:r>
      <w:r w:rsidRPr="007F53B9">
        <w:t xml:space="preserve"> effectiveness to FISH analysis and conventional karyotyping</w:t>
      </w:r>
      <w:r w:rsidR="00F800D5">
        <w:t xml:space="preserve"> fo</w:t>
      </w:r>
      <w:r w:rsidR="003848CC">
        <w:t>r the detection of genetic abnormalities</w:t>
      </w:r>
      <w:r w:rsidRPr="007F53B9">
        <w:t>.</w:t>
      </w:r>
      <w:r w:rsidR="00B7392E">
        <w:t xml:space="preserve"> This is because</w:t>
      </w:r>
      <w:r w:rsidR="00DC23CE">
        <w:t xml:space="preserve"> </w:t>
      </w:r>
      <w:r w:rsidR="00896658">
        <w:t>genome-wide</w:t>
      </w:r>
      <w:r w:rsidR="00DC23CE">
        <w:t xml:space="preserve"> </w:t>
      </w:r>
      <w:r w:rsidR="00344CB2">
        <w:t>microarray</w:t>
      </w:r>
      <w:r w:rsidR="00DC23CE">
        <w:t>s are able to detect more CNVs than conventional karyotyping</w:t>
      </w:r>
      <w:r w:rsidR="00B7392E">
        <w:t xml:space="preserve"> and may have better accuracy in detecting some important CNVs</w:t>
      </w:r>
      <w:r w:rsidR="00DC23CE">
        <w:t xml:space="preserve">. </w:t>
      </w:r>
    </w:p>
    <w:p w14:paraId="0920BE59" w14:textId="77777777" w:rsidR="007F3C7B" w:rsidRPr="007F53B9" w:rsidRDefault="007F3C7B" w:rsidP="00780D6E">
      <w:pPr>
        <w:spacing w:after="160"/>
      </w:pPr>
      <w:r w:rsidRPr="007F53B9">
        <w:t xml:space="preserve">According to the </w:t>
      </w:r>
      <w:r w:rsidRPr="007F53B9">
        <w:rPr>
          <w:i/>
        </w:rPr>
        <w:t>Technical Guidelines for preparing assessment reports for the Medical Services Advisory Committee: Investigative,</w:t>
      </w:r>
      <w:r w:rsidRPr="007F53B9">
        <w:t xml:space="preserve"> the required economic analysis is therefore a</w:t>
      </w:r>
      <w:r w:rsidR="00896658">
        <w:t xml:space="preserve"> cost utility analysis for CLL and a </w:t>
      </w:r>
      <w:r w:rsidRPr="007F53B9">
        <w:t>cost</w:t>
      </w:r>
      <w:r w:rsidR="000D7CC1" w:rsidRPr="007F53B9">
        <w:t xml:space="preserve"> </w:t>
      </w:r>
      <w:r w:rsidR="004816AD">
        <w:t>effectiveness</w:t>
      </w:r>
      <w:r w:rsidR="004816AD" w:rsidRPr="007F53B9">
        <w:t xml:space="preserve"> </w:t>
      </w:r>
      <w:r w:rsidR="000D7CC1" w:rsidRPr="007F53B9">
        <w:t>analysis</w:t>
      </w:r>
      <w:r w:rsidR="00896658">
        <w:t xml:space="preserve"> for MM</w:t>
      </w:r>
      <w:r w:rsidR="000D7CC1" w:rsidRPr="007F53B9">
        <w:t xml:space="preserve">. </w:t>
      </w:r>
    </w:p>
    <w:p w14:paraId="48331487" w14:textId="0F95E8AE" w:rsidR="00896658" w:rsidRPr="00896658" w:rsidRDefault="00782F16" w:rsidP="00780D6E">
      <w:pPr>
        <w:spacing w:after="160"/>
        <w:rPr>
          <w:u w:val="single"/>
        </w:rPr>
      </w:pPr>
      <w:r>
        <w:rPr>
          <w:u w:val="single"/>
        </w:rPr>
        <w:t>Chronic Lymphocytic Leukaemia</w:t>
      </w:r>
    </w:p>
    <w:p w14:paraId="6AA761B9" w14:textId="77777777" w:rsidR="00AE116C" w:rsidRDefault="00AE116C" w:rsidP="00780D6E">
      <w:pPr>
        <w:spacing w:after="160"/>
      </w:pPr>
      <w:r>
        <w:t xml:space="preserve">The use of genome-wide </w:t>
      </w:r>
      <w:r w:rsidR="00344CB2">
        <w:t>microarray</w:t>
      </w:r>
      <w:r>
        <w:t xml:space="preserve"> in testing CLL patients is to detect deletions of the short arm of chromosome 17</w:t>
      </w:r>
      <w:r w:rsidR="00DC11C1">
        <w:t xml:space="preserve"> (i.e. del 17p)</w:t>
      </w:r>
      <w:r>
        <w:t xml:space="preserve">, thereby allowing patients access to the most effective treatments. The benefits of increased life-years gained and improved health-related quality-of-life will be realised due to the improved accuracy of genome-wide </w:t>
      </w:r>
      <w:r w:rsidR="00344CB2">
        <w:t>microarray</w:t>
      </w:r>
      <w:r>
        <w:t xml:space="preserve"> in detecting del 17p, compared to karyotyping.</w:t>
      </w:r>
    </w:p>
    <w:p w14:paraId="325CD884" w14:textId="3291DC68" w:rsidR="00AE116C" w:rsidRDefault="00AE116C" w:rsidP="00780D6E">
      <w:pPr>
        <w:spacing w:after="160"/>
      </w:pPr>
      <w:r>
        <w:t xml:space="preserve">A diagram of the proposed economic evaluation is presented </w:t>
      </w:r>
      <w:r w:rsidR="00DC11C1">
        <w:t xml:space="preserve">in </w:t>
      </w:r>
      <w:r w:rsidR="00896658">
        <w:fldChar w:fldCharType="begin"/>
      </w:r>
      <w:r w:rsidR="00896658">
        <w:instrText xml:space="preserve"> REF _Ref517692310 \h </w:instrText>
      </w:r>
      <w:r w:rsidR="00896658">
        <w:fldChar w:fldCharType="separate"/>
      </w:r>
      <w:r w:rsidR="004E352B" w:rsidRPr="007F53B9">
        <w:t xml:space="preserve">Figure </w:t>
      </w:r>
      <w:r w:rsidR="004E352B">
        <w:rPr>
          <w:noProof/>
        </w:rPr>
        <w:t>3</w:t>
      </w:r>
      <w:r w:rsidR="00896658">
        <w:fldChar w:fldCharType="end"/>
      </w:r>
      <w:r>
        <w:t>.</w:t>
      </w:r>
    </w:p>
    <w:p w14:paraId="2EEAFF6B" w14:textId="7814BF58" w:rsidR="00896658" w:rsidRPr="007F53B9" w:rsidRDefault="00896658" w:rsidP="00896658">
      <w:pPr>
        <w:pStyle w:val="Caption"/>
        <w:rPr>
          <w:lang w:val="en-AU"/>
        </w:rPr>
      </w:pPr>
      <w:bookmarkStart w:id="16" w:name="_Ref517692310"/>
      <w:r w:rsidRPr="007F53B9">
        <w:rPr>
          <w:lang w:val="en-AU"/>
        </w:rPr>
        <w:t xml:space="preserve">Figure </w:t>
      </w:r>
      <w:r w:rsidRPr="007F53B9">
        <w:rPr>
          <w:lang w:val="en-AU"/>
        </w:rPr>
        <w:fldChar w:fldCharType="begin"/>
      </w:r>
      <w:r w:rsidRPr="007F53B9">
        <w:rPr>
          <w:lang w:val="en-AU"/>
        </w:rPr>
        <w:instrText xml:space="preserve"> SEQ Figure \* ARABIC </w:instrText>
      </w:r>
      <w:r w:rsidRPr="007F53B9">
        <w:rPr>
          <w:lang w:val="en-AU"/>
        </w:rPr>
        <w:fldChar w:fldCharType="separate"/>
      </w:r>
      <w:r w:rsidR="004E352B">
        <w:rPr>
          <w:noProof/>
          <w:lang w:val="en-AU"/>
        </w:rPr>
        <w:t>3</w:t>
      </w:r>
      <w:r w:rsidRPr="007F53B9">
        <w:rPr>
          <w:lang w:val="en-AU"/>
        </w:rPr>
        <w:fldChar w:fldCharType="end"/>
      </w:r>
      <w:bookmarkEnd w:id="16"/>
      <w:r w:rsidRPr="007F53B9">
        <w:rPr>
          <w:lang w:val="en-AU"/>
        </w:rPr>
        <w:tab/>
        <w:t>Basic structure of the economic evaluation</w:t>
      </w:r>
      <w:r>
        <w:rPr>
          <w:lang w:val="en-AU"/>
        </w:rPr>
        <w:t xml:space="preserve"> for CLL</w:t>
      </w:r>
    </w:p>
    <w:p w14:paraId="08557FF2" w14:textId="77777777" w:rsidR="00AE116C" w:rsidRDefault="00524E2E" w:rsidP="00896658">
      <w:pPr>
        <w:spacing w:after="0"/>
      </w:pPr>
      <w:r>
        <w:rPr>
          <w:noProof/>
          <w:lang w:eastAsia="en-AU"/>
        </w:rPr>
        <w:drawing>
          <wp:inline distT="0" distB="0" distL="0" distR="0" wp14:anchorId="1F94364F" wp14:editId="2B53C60D">
            <wp:extent cx="5724525" cy="2857500"/>
            <wp:effectExtent l="19050" t="19050" r="28575" b="19050"/>
            <wp:docPr id="9" name="Picture 9" descr="Figure 3 - Basic structure of the economic evaluation for CLL" title="Figure 3 - Basic structure of the economic evaluation for C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857500"/>
                    </a:xfrm>
                    <a:prstGeom prst="rect">
                      <a:avLst/>
                    </a:prstGeom>
                    <a:noFill/>
                    <a:ln>
                      <a:solidFill>
                        <a:schemeClr val="tx1"/>
                      </a:solidFill>
                    </a:ln>
                  </pic:spPr>
                </pic:pic>
              </a:graphicData>
            </a:graphic>
          </wp:inline>
        </w:drawing>
      </w:r>
    </w:p>
    <w:p w14:paraId="531A12BF" w14:textId="77777777" w:rsidR="00AE116C" w:rsidRDefault="00896658" w:rsidP="00896658">
      <w:pPr>
        <w:spacing w:after="0"/>
        <w:rPr>
          <w:rFonts w:asciiTheme="minorHAnsi" w:hAnsiTheme="minorHAnsi" w:cstheme="minorHAnsi"/>
          <w:sz w:val="18"/>
          <w:szCs w:val="18"/>
        </w:rPr>
      </w:pPr>
      <w:r w:rsidRPr="007F53B9">
        <w:rPr>
          <w:rFonts w:asciiTheme="minorHAnsi" w:hAnsiTheme="minorHAnsi" w:cstheme="minorHAnsi"/>
          <w:sz w:val="18"/>
          <w:szCs w:val="18"/>
        </w:rPr>
        <w:t xml:space="preserve">Abbreviations: </w:t>
      </w:r>
      <w:r>
        <w:rPr>
          <w:rFonts w:asciiTheme="minorHAnsi" w:hAnsiTheme="minorHAnsi" w:cstheme="minorHAnsi"/>
          <w:sz w:val="18"/>
          <w:szCs w:val="18"/>
        </w:rPr>
        <w:t xml:space="preserve">CLL; chronic lymphocytic leukaemia; del, deletion; </w:t>
      </w:r>
      <w:r w:rsidRPr="007F53B9">
        <w:rPr>
          <w:rFonts w:asciiTheme="minorHAnsi" w:hAnsiTheme="minorHAnsi" w:cstheme="minorHAnsi"/>
          <w:sz w:val="18"/>
          <w:szCs w:val="18"/>
        </w:rPr>
        <w:t>FISH, fluorescence in situ hybridisation</w:t>
      </w:r>
      <w:r>
        <w:rPr>
          <w:rFonts w:asciiTheme="minorHAnsi" w:hAnsiTheme="minorHAnsi" w:cstheme="minorHAnsi"/>
          <w:sz w:val="18"/>
          <w:szCs w:val="18"/>
        </w:rPr>
        <w:t>; QALY, quality adjusted life year</w:t>
      </w:r>
    </w:p>
    <w:p w14:paraId="59717D61" w14:textId="4F90DCCC" w:rsidR="005B7F69" w:rsidRPr="00781D1A" w:rsidRDefault="00782F16" w:rsidP="00334ACB">
      <w:pPr>
        <w:spacing w:before="120" w:after="160"/>
        <w:rPr>
          <w:u w:val="single"/>
        </w:rPr>
      </w:pPr>
      <w:r>
        <w:rPr>
          <w:u w:val="single"/>
        </w:rPr>
        <w:t>Multiple Myeloma</w:t>
      </w:r>
    </w:p>
    <w:p w14:paraId="71E3C542" w14:textId="77777777" w:rsidR="00AE767B" w:rsidRDefault="008659DE" w:rsidP="00780D6E">
      <w:pPr>
        <w:spacing w:after="160"/>
      </w:pPr>
      <w:r>
        <w:t>T</w:t>
      </w:r>
      <w:r w:rsidRPr="007F53B9">
        <w:t xml:space="preserve">he basic structure of the </w:t>
      </w:r>
      <w:r>
        <w:t>inclusion</w:t>
      </w:r>
      <w:r w:rsidRPr="007F53B9">
        <w:t xml:space="preserve"> of </w:t>
      </w:r>
      <w:r>
        <w:t>genome-wide</w:t>
      </w:r>
      <w:r w:rsidRPr="007F53B9">
        <w:t xml:space="preserve"> </w:t>
      </w:r>
      <w:r w:rsidR="00344CB2">
        <w:t>microarray</w:t>
      </w:r>
      <w:r w:rsidRPr="007F53B9">
        <w:t xml:space="preserve"> </w:t>
      </w:r>
      <w:r>
        <w:t xml:space="preserve">is </w:t>
      </w:r>
      <w:r w:rsidRPr="007F53B9">
        <w:t xml:space="preserve">based on the service listing requested. </w:t>
      </w:r>
      <w:r w:rsidR="000D7CC1" w:rsidRPr="007F53B9">
        <w:t xml:space="preserve">For the economic evaluation, changes in the use of conventional karyotyping </w:t>
      </w:r>
      <w:r w:rsidR="005B7F69">
        <w:t>will</w:t>
      </w:r>
      <w:r w:rsidR="000D7CC1" w:rsidRPr="007F53B9">
        <w:t xml:space="preserve"> be measured </w:t>
      </w:r>
      <w:r w:rsidR="005B7F69">
        <w:t>alongside</w:t>
      </w:r>
      <w:r w:rsidR="000D7CC1" w:rsidRPr="007F53B9">
        <w:t xml:space="preserve"> </w:t>
      </w:r>
      <w:r w:rsidR="00E46D9A" w:rsidRPr="007F53B9">
        <w:t>the uptake of genome</w:t>
      </w:r>
      <w:r w:rsidR="00896658">
        <w:t>-</w:t>
      </w:r>
      <w:r w:rsidR="00E46D9A" w:rsidRPr="007F53B9">
        <w:t xml:space="preserve">wide </w:t>
      </w:r>
      <w:r w:rsidR="00344CB2">
        <w:t>microarray</w:t>
      </w:r>
      <w:r w:rsidR="00E46D9A" w:rsidRPr="007F53B9">
        <w:t>s</w:t>
      </w:r>
      <w:r w:rsidR="000D7CC1" w:rsidRPr="007F53B9">
        <w:t>.</w:t>
      </w:r>
      <w:r w:rsidR="008E5136">
        <w:t xml:space="preserve"> </w:t>
      </w:r>
    </w:p>
    <w:p w14:paraId="4A1358B5" w14:textId="7BCE420F" w:rsidR="009F391B" w:rsidRDefault="00AE767B" w:rsidP="00780D6E">
      <w:pPr>
        <w:spacing w:after="160"/>
      </w:pPr>
      <w:r>
        <w:t>The proposed economic evaluation does not include any difference in treatment</w:t>
      </w:r>
      <w:r w:rsidR="00EA1997">
        <w:t xml:space="preserve"> pathways because the mutations detected by genome-wide </w:t>
      </w:r>
      <w:r w:rsidR="00344CB2">
        <w:t>microarray</w:t>
      </w:r>
      <w:r w:rsidR="00EA1997">
        <w:t xml:space="preserve">s currently </w:t>
      </w:r>
      <w:r w:rsidR="00323644">
        <w:t>have no selective treatments</w:t>
      </w:r>
      <w:r w:rsidR="001C173E">
        <w:t>, even though arrays provide prognostic significance</w:t>
      </w:r>
      <w:r w:rsidR="00EA1997">
        <w:t xml:space="preserve">. Therefore, the funding of genome-wide </w:t>
      </w:r>
      <w:r w:rsidR="00344CB2">
        <w:t>microarray</w:t>
      </w:r>
      <w:r w:rsidR="00EA1997">
        <w:t xml:space="preserve"> </w:t>
      </w:r>
      <w:r w:rsidR="00EA1997">
        <w:lastRenderedPageBreak/>
        <w:t>testing to the MM population should be seen as an effort to accommodate future developments in treatments of MM, rather than yielding immediate benefits.</w:t>
      </w:r>
    </w:p>
    <w:p w14:paraId="633EE89A" w14:textId="40BA3DDE" w:rsidR="008659DE" w:rsidRPr="007F53B9" w:rsidRDefault="008659DE" w:rsidP="00780D6E">
      <w:pPr>
        <w:spacing w:after="160"/>
      </w:pPr>
      <w:r>
        <w:t xml:space="preserve">A diagram of the proposed economic evaluation is presented </w:t>
      </w:r>
      <w:r w:rsidR="00DC11C1">
        <w:t xml:space="preserve">in </w:t>
      </w:r>
      <w:r w:rsidRPr="007F53B9">
        <w:fldChar w:fldCharType="begin"/>
      </w:r>
      <w:r w:rsidRPr="007F53B9">
        <w:instrText xml:space="preserve"> REF _Ref517269708 \h  \* MERGEFORMAT </w:instrText>
      </w:r>
      <w:r w:rsidRPr="007F53B9">
        <w:fldChar w:fldCharType="separate"/>
      </w:r>
      <w:r w:rsidR="004E352B" w:rsidRPr="007F53B9">
        <w:t xml:space="preserve">Figure </w:t>
      </w:r>
      <w:r w:rsidR="004E352B">
        <w:rPr>
          <w:noProof/>
        </w:rPr>
        <w:t>4</w:t>
      </w:r>
      <w:r w:rsidRPr="007F53B9">
        <w:fldChar w:fldCharType="end"/>
      </w:r>
      <w:r>
        <w:t>.</w:t>
      </w:r>
    </w:p>
    <w:p w14:paraId="7F6E3568" w14:textId="205B9072" w:rsidR="00C24563" w:rsidRPr="007F53B9" w:rsidRDefault="00C24563" w:rsidP="00C24563">
      <w:pPr>
        <w:pStyle w:val="Caption"/>
        <w:rPr>
          <w:lang w:val="en-AU"/>
        </w:rPr>
      </w:pPr>
      <w:bookmarkStart w:id="17" w:name="_Ref517269708"/>
      <w:r w:rsidRPr="007F53B9">
        <w:rPr>
          <w:lang w:val="en-AU"/>
        </w:rPr>
        <w:t xml:space="preserve">Figure </w:t>
      </w:r>
      <w:r w:rsidRPr="007F53B9">
        <w:rPr>
          <w:lang w:val="en-AU"/>
        </w:rPr>
        <w:fldChar w:fldCharType="begin"/>
      </w:r>
      <w:r w:rsidRPr="007F53B9">
        <w:rPr>
          <w:lang w:val="en-AU"/>
        </w:rPr>
        <w:instrText xml:space="preserve"> SEQ Figure \* ARABIC </w:instrText>
      </w:r>
      <w:r w:rsidRPr="007F53B9">
        <w:rPr>
          <w:lang w:val="en-AU"/>
        </w:rPr>
        <w:fldChar w:fldCharType="separate"/>
      </w:r>
      <w:r w:rsidR="004E352B">
        <w:rPr>
          <w:noProof/>
          <w:lang w:val="en-AU"/>
        </w:rPr>
        <w:t>4</w:t>
      </w:r>
      <w:r w:rsidRPr="007F53B9">
        <w:rPr>
          <w:lang w:val="en-AU"/>
        </w:rPr>
        <w:fldChar w:fldCharType="end"/>
      </w:r>
      <w:bookmarkEnd w:id="17"/>
      <w:r w:rsidRPr="007F53B9">
        <w:rPr>
          <w:lang w:val="en-AU"/>
        </w:rPr>
        <w:tab/>
      </w:r>
      <w:bookmarkStart w:id="18" w:name="_Hlk519159841"/>
      <w:r w:rsidRPr="007F53B9">
        <w:rPr>
          <w:lang w:val="en-AU"/>
        </w:rPr>
        <w:t>Basic structure of the economic evaluation</w:t>
      </w:r>
      <w:bookmarkEnd w:id="18"/>
      <w:r w:rsidR="006066CD">
        <w:rPr>
          <w:lang w:val="en-AU"/>
        </w:rPr>
        <w:t xml:space="preserve"> for MM</w:t>
      </w:r>
    </w:p>
    <w:p w14:paraId="4203D257" w14:textId="77777777" w:rsidR="000B4268" w:rsidRPr="007F53B9" w:rsidRDefault="00524E2E" w:rsidP="00C24563">
      <w:pPr>
        <w:spacing w:after="0"/>
      </w:pPr>
      <w:r>
        <w:rPr>
          <w:noProof/>
          <w:lang w:eastAsia="en-AU"/>
        </w:rPr>
        <w:drawing>
          <wp:inline distT="0" distB="0" distL="0" distR="0" wp14:anchorId="1B035D83" wp14:editId="2B4375D4">
            <wp:extent cx="5438775" cy="3225320"/>
            <wp:effectExtent l="19050" t="19050" r="9525" b="13335"/>
            <wp:docPr id="10" name="Picture 10" descr="Figure 4 - Basic structure of the economic evaluation for MM" title="Figure 4 - Basic structure of the economic evaluation for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1809" cy="3233049"/>
                    </a:xfrm>
                    <a:prstGeom prst="rect">
                      <a:avLst/>
                    </a:prstGeom>
                    <a:noFill/>
                    <a:ln>
                      <a:solidFill>
                        <a:schemeClr val="tx1"/>
                      </a:solidFill>
                    </a:ln>
                  </pic:spPr>
                </pic:pic>
              </a:graphicData>
            </a:graphic>
          </wp:inline>
        </w:drawing>
      </w:r>
    </w:p>
    <w:p w14:paraId="27A91B50" w14:textId="77777777" w:rsidR="00C24563" w:rsidRPr="007F53B9" w:rsidRDefault="00C24563" w:rsidP="00C24563">
      <w:pPr>
        <w:spacing w:after="0"/>
        <w:rPr>
          <w:rFonts w:asciiTheme="minorHAnsi" w:hAnsiTheme="minorHAnsi" w:cstheme="minorHAnsi"/>
          <w:sz w:val="18"/>
          <w:szCs w:val="18"/>
        </w:rPr>
      </w:pPr>
      <w:r w:rsidRPr="007F53B9">
        <w:rPr>
          <w:rFonts w:asciiTheme="minorHAnsi" w:hAnsiTheme="minorHAnsi" w:cstheme="minorHAnsi"/>
          <w:sz w:val="18"/>
          <w:szCs w:val="18"/>
        </w:rPr>
        <w:t xml:space="preserve">Abbreviations: </w:t>
      </w:r>
      <w:r w:rsidR="006F0EB3">
        <w:rPr>
          <w:rFonts w:asciiTheme="minorHAnsi" w:hAnsiTheme="minorHAnsi" w:cstheme="minorHAnsi"/>
          <w:sz w:val="18"/>
          <w:szCs w:val="18"/>
        </w:rPr>
        <w:t xml:space="preserve">CLL; chronic lymphocytic leukaemia; </w:t>
      </w:r>
      <w:r w:rsidRPr="007F53B9">
        <w:rPr>
          <w:rFonts w:asciiTheme="minorHAnsi" w:hAnsiTheme="minorHAnsi" w:cstheme="minorHAnsi"/>
          <w:sz w:val="18"/>
          <w:szCs w:val="18"/>
        </w:rPr>
        <w:t>FISH, fluorescence in situ hybridisation</w:t>
      </w:r>
      <w:r w:rsidR="006F0EB3">
        <w:rPr>
          <w:rFonts w:asciiTheme="minorHAnsi" w:hAnsiTheme="minorHAnsi" w:cstheme="minorHAnsi"/>
          <w:sz w:val="18"/>
          <w:szCs w:val="18"/>
        </w:rPr>
        <w:t>; MM, multiple myeloma</w:t>
      </w:r>
    </w:p>
    <w:p w14:paraId="33E59E40" w14:textId="77777777" w:rsidR="00752491" w:rsidRPr="007F53B9" w:rsidRDefault="00752491" w:rsidP="00752491">
      <w:pPr>
        <w:pStyle w:val="Heading2"/>
        <w:spacing w:line="240" w:lineRule="auto"/>
        <w:jc w:val="both"/>
        <w:rPr>
          <w:color w:val="548DD4"/>
        </w:rPr>
      </w:pPr>
      <w:r w:rsidRPr="007F53B9">
        <w:rPr>
          <w:color w:val="548DD4"/>
        </w:rPr>
        <w:t>Proposed item descriptor</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7F53B9" w14:paraId="6AB64403" w14:textId="77777777" w:rsidTr="009A163E">
        <w:trPr>
          <w:cantSplit/>
          <w:tblHeader/>
        </w:trPr>
        <w:tc>
          <w:tcPr>
            <w:tcW w:w="9016" w:type="dxa"/>
          </w:tcPr>
          <w:p w14:paraId="0AF4C1AA" w14:textId="77777777" w:rsidR="008C3E5E" w:rsidRPr="007F53B9" w:rsidRDefault="008C3E5E" w:rsidP="008C3E5E">
            <w:pPr>
              <w:jc w:val="right"/>
            </w:pPr>
            <w:r w:rsidRPr="007F53B9">
              <w:t xml:space="preserve">Category </w:t>
            </w:r>
            <w:r w:rsidR="00C24563" w:rsidRPr="007F53B9">
              <w:t>6 (</w:t>
            </w:r>
            <w:r w:rsidR="00D76F25" w:rsidRPr="007F53B9">
              <w:t>Pathology Services) – Group P7 Genetics</w:t>
            </w:r>
          </w:p>
        </w:tc>
      </w:tr>
      <w:tr w:rsidR="008C3E5E" w:rsidRPr="007F53B9" w14:paraId="376DD3FD" w14:textId="77777777" w:rsidTr="009A163E">
        <w:trPr>
          <w:cantSplit/>
          <w:tblHeader/>
        </w:trPr>
        <w:tc>
          <w:tcPr>
            <w:tcW w:w="9016" w:type="dxa"/>
          </w:tcPr>
          <w:p w14:paraId="6D5C1C33" w14:textId="77777777" w:rsidR="00D76F25" w:rsidRPr="007F53B9" w:rsidRDefault="00D76F25" w:rsidP="00E364F7">
            <w:pPr>
              <w:rPr>
                <w:rFonts w:asciiTheme="minorHAnsi" w:hAnsiTheme="minorHAnsi" w:cstheme="minorHAnsi"/>
              </w:rPr>
            </w:pPr>
            <w:r w:rsidRPr="007F53B9">
              <w:rPr>
                <w:rFonts w:asciiTheme="minorHAnsi" w:hAnsiTheme="minorHAnsi" w:cstheme="minorHAnsi"/>
              </w:rPr>
              <w:t>Item number: XXXXX</w:t>
            </w:r>
          </w:p>
          <w:p w14:paraId="01B2CD10" w14:textId="77777777" w:rsidR="00D76F25" w:rsidRPr="007F53B9" w:rsidRDefault="00D76F25" w:rsidP="00E364F7">
            <w:pPr>
              <w:rPr>
                <w:rFonts w:asciiTheme="minorHAnsi" w:hAnsiTheme="minorHAnsi" w:cstheme="minorHAnsi"/>
              </w:rPr>
            </w:pPr>
          </w:p>
          <w:p w14:paraId="43718E18" w14:textId="77777777" w:rsidR="008C3E5E" w:rsidRPr="007F53B9" w:rsidRDefault="00D76F25" w:rsidP="00E364F7">
            <w:pPr>
              <w:rPr>
                <w:rFonts w:asciiTheme="minorHAnsi" w:hAnsiTheme="minorHAnsi" w:cstheme="minorHAnsi"/>
              </w:rPr>
            </w:pPr>
            <w:r w:rsidRPr="007F53B9">
              <w:rPr>
                <w:rFonts w:asciiTheme="minorHAnsi" w:hAnsiTheme="minorHAnsi" w:cstheme="minorHAnsi"/>
              </w:rPr>
              <w:t xml:space="preserve">Analysis of chromosomes by genome-wide </w:t>
            </w:r>
            <w:r w:rsidR="00344CB2">
              <w:rPr>
                <w:rFonts w:asciiTheme="minorHAnsi" w:hAnsiTheme="minorHAnsi" w:cstheme="minorHAnsi"/>
              </w:rPr>
              <w:t>microarray</w:t>
            </w:r>
            <w:r w:rsidRPr="007F53B9">
              <w:rPr>
                <w:rFonts w:asciiTheme="minorHAnsi" w:hAnsiTheme="minorHAnsi" w:cstheme="minorHAnsi"/>
              </w:rPr>
              <w:t xml:space="preserve"> in diagnostic studies of a patient</w:t>
            </w:r>
            <w:r w:rsidR="008659DE">
              <w:rPr>
                <w:rFonts w:asciiTheme="minorHAnsi" w:hAnsiTheme="minorHAnsi" w:cstheme="minorHAnsi"/>
              </w:rPr>
              <w:t xml:space="preserve"> with</w:t>
            </w:r>
            <w:r w:rsidRPr="007F53B9">
              <w:rPr>
                <w:rFonts w:asciiTheme="minorHAnsi" w:hAnsiTheme="minorHAnsi" w:cstheme="minorHAnsi"/>
              </w:rPr>
              <w:t xml:space="preserve"> chronic lymphocytic leukaemia or multiple myeloma (including a service in item 73290, if performed)</w:t>
            </w:r>
            <w:r w:rsidR="008659DE">
              <w:rPr>
                <w:rFonts w:asciiTheme="minorHAnsi" w:hAnsiTheme="minorHAnsi" w:cstheme="minorHAnsi"/>
              </w:rPr>
              <w:t xml:space="preserve"> - 1</w:t>
            </w:r>
            <w:r w:rsidRPr="007F53B9">
              <w:rPr>
                <w:rFonts w:asciiTheme="minorHAnsi" w:hAnsiTheme="minorHAnsi" w:cstheme="minorHAnsi"/>
              </w:rPr>
              <w:t xml:space="preserve"> or more tests</w:t>
            </w:r>
            <w:r w:rsidR="008659DE">
              <w:rPr>
                <w:rFonts w:asciiTheme="minorHAnsi" w:hAnsiTheme="minorHAnsi" w:cstheme="minorHAnsi"/>
              </w:rPr>
              <w:t>,</w:t>
            </w:r>
          </w:p>
          <w:p w14:paraId="7664F9CC" w14:textId="77777777" w:rsidR="008C3E5E" w:rsidRPr="007F53B9" w:rsidRDefault="008C3E5E" w:rsidP="00E364F7">
            <w:pPr>
              <w:rPr>
                <w:rFonts w:asciiTheme="minorHAnsi" w:hAnsiTheme="minorHAnsi" w:cstheme="minorHAnsi"/>
              </w:rPr>
            </w:pPr>
          </w:p>
          <w:p w14:paraId="1ACFF81B" w14:textId="252BF65A" w:rsidR="008C3E5E" w:rsidRPr="007F53B9" w:rsidRDefault="008C3E5E">
            <w:pPr>
              <w:rPr>
                <w:rFonts w:asciiTheme="minorHAnsi" w:hAnsiTheme="minorHAnsi" w:cstheme="minorHAnsi"/>
              </w:rPr>
            </w:pPr>
            <w:r w:rsidRPr="007F53B9">
              <w:rPr>
                <w:rFonts w:asciiTheme="minorHAnsi" w:hAnsiTheme="minorHAnsi" w:cstheme="minorHAnsi"/>
                <w:b/>
              </w:rPr>
              <w:t>Fee:</w:t>
            </w:r>
            <w:r w:rsidRPr="007F53B9">
              <w:rPr>
                <w:rFonts w:asciiTheme="minorHAnsi" w:hAnsiTheme="minorHAnsi" w:cstheme="minorHAnsi"/>
              </w:rPr>
              <w:t xml:space="preserve"> $</w:t>
            </w:r>
            <w:r w:rsidR="00D76F25" w:rsidRPr="007F53B9">
              <w:rPr>
                <w:rFonts w:asciiTheme="minorHAnsi" w:hAnsiTheme="minorHAnsi" w:cstheme="minorHAnsi"/>
              </w:rPr>
              <w:t>589.90</w:t>
            </w:r>
            <w:r w:rsidR="005F4EC6" w:rsidRPr="007F53B9">
              <w:rPr>
                <w:rFonts w:asciiTheme="minorHAnsi" w:hAnsiTheme="minorHAnsi" w:cstheme="minorHAnsi"/>
              </w:rPr>
              <w:t xml:space="preserve"> </w:t>
            </w:r>
            <w:r w:rsidR="005E61CA" w:rsidRPr="007F53B9">
              <w:rPr>
                <w:rFonts w:asciiTheme="minorHAnsi" w:hAnsiTheme="minorHAnsi" w:cstheme="minorHAnsi"/>
                <w:b/>
                <w:bCs/>
                <w:color w:val="222222"/>
                <w:shd w:val="clear" w:color="auto" w:fill="FBFBFB"/>
              </w:rPr>
              <w:t>Benefit:</w:t>
            </w:r>
            <w:r w:rsidR="009078F5">
              <w:rPr>
                <w:rFonts w:asciiTheme="minorHAnsi" w:hAnsiTheme="minorHAnsi" w:cstheme="minorHAnsi"/>
                <w:b/>
                <w:bCs/>
                <w:color w:val="222222"/>
                <w:shd w:val="clear" w:color="auto" w:fill="FBFBFB"/>
              </w:rPr>
              <w:t xml:space="preserve"> </w:t>
            </w:r>
            <w:r w:rsidR="008659DE" w:rsidRPr="00CD2342">
              <w:t>75% = $442.45 85% = $508.20</w:t>
            </w:r>
          </w:p>
        </w:tc>
      </w:tr>
    </w:tbl>
    <w:p w14:paraId="0B6A62E3" w14:textId="77777777" w:rsidR="00023339" w:rsidRPr="007F53B9" w:rsidRDefault="00023339" w:rsidP="00780D6E">
      <w:pPr>
        <w:spacing w:before="160" w:after="160"/>
      </w:pPr>
      <w:r w:rsidRPr="007F53B9">
        <w:t xml:space="preserve">The fee proposed by the applicant includes the cost of the </w:t>
      </w:r>
      <w:r w:rsidR="00344CB2">
        <w:t>microarray</w:t>
      </w:r>
      <w:r w:rsidRPr="007F53B9">
        <w:t xml:space="preserve">, testing, sequencing and labour (medical and </w:t>
      </w:r>
      <w:r w:rsidR="002A03D1" w:rsidRPr="007F53B9">
        <w:t>scientific</w:t>
      </w:r>
      <w:r w:rsidRPr="007F53B9">
        <w:t>) and bioinformatics for interpretation</w:t>
      </w:r>
      <w:r w:rsidR="002A03D1" w:rsidRPr="007F53B9">
        <w:t xml:space="preserve"> (as required for MBS service item 73292)</w:t>
      </w:r>
      <w:r w:rsidRPr="007F53B9">
        <w:t>. It also includes the development, validation, maintenance, quality control and overhead costs from the laboratories providing the clinical testing.</w:t>
      </w:r>
    </w:p>
    <w:p w14:paraId="0B604701" w14:textId="6BDDA2C9" w:rsidR="002A03D1" w:rsidRDefault="002A03D1" w:rsidP="00780D6E">
      <w:pPr>
        <w:spacing w:after="160"/>
      </w:pPr>
      <w:r w:rsidRPr="007F53B9">
        <w:t xml:space="preserve">Several array technologies are available for </w:t>
      </w:r>
      <w:r w:rsidR="00896658">
        <w:t>genome-wide</w:t>
      </w:r>
      <w:r w:rsidRPr="007F53B9">
        <w:t xml:space="preserve"> </w:t>
      </w:r>
      <w:r w:rsidR="00344CB2">
        <w:t>microarray</w:t>
      </w:r>
      <w:r w:rsidRPr="007F53B9">
        <w:t xml:space="preserve"> and all require single use consumables such as chips. This application does not endorse any one specific commercial product/brand of consumables.</w:t>
      </w:r>
    </w:p>
    <w:p w14:paraId="0203668E" w14:textId="0E60BFFB" w:rsidR="00454CE3" w:rsidRDefault="002708E2" w:rsidP="00492F9C">
      <w:pPr>
        <w:spacing w:after="160"/>
        <w:rPr>
          <w:rFonts w:eastAsia="MS Gothic"/>
          <w:b/>
          <w:bCs/>
          <w:i/>
          <w:color w:val="548DD4"/>
          <w:szCs w:val="26"/>
          <w:u w:val="single"/>
        </w:rPr>
      </w:pPr>
      <w:r>
        <w:t xml:space="preserve">The language used in the item descriptor is intentionally method-agnostic, allowing for multiple types of technology </w:t>
      </w:r>
      <w:r w:rsidR="00142339">
        <w:t>to be employed</w:t>
      </w:r>
      <w:r>
        <w:t xml:space="preserve">. </w:t>
      </w:r>
      <w:r w:rsidR="00142339">
        <w:t>Based on</w:t>
      </w:r>
      <w:r w:rsidR="00C94271">
        <w:t xml:space="preserve"> correspondence with the Department of Health,</w:t>
      </w:r>
      <w:r w:rsidR="00367307">
        <w:t xml:space="preserve"> the</w:t>
      </w:r>
      <w:r w:rsidR="007854AA">
        <w:t xml:space="preserve"> methods</w:t>
      </w:r>
      <w:r w:rsidR="00367307">
        <w:t xml:space="preserve"> available</w:t>
      </w:r>
      <w:r w:rsidR="007854AA">
        <w:t xml:space="preserve"> under the proposed item</w:t>
      </w:r>
      <w:r w:rsidR="00367307">
        <w:t xml:space="preserve"> </w:t>
      </w:r>
      <w:r w:rsidR="007A7549">
        <w:t>are limited to</w:t>
      </w:r>
      <w:r w:rsidR="00367307">
        <w:t xml:space="preserve"> medium complexity processes</w:t>
      </w:r>
      <w:r w:rsidR="007854AA">
        <w:t xml:space="preserve">. </w:t>
      </w:r>
      <w:r w:rsidR="00C94271">
        <w:t xml:space="preserve">Therefore high complexity processes such as massively parallel sequencing and next generation sequencing are beyond the scope of this </w:t>
      </w:r>
      <w:r w:rsidR="00FF67E5">
        <w:t>application</w:t>
      </w:r>
      <w:r w:rsidR="00142339">
        <w:t>.</w:t>
      </w:r>
    </w:p>
    <w:p w14:paraId="5781FC19" w14:textId="77777777" w:rsidR="008E0D60" w:rsidRPr="007F53B9" w:rsidRDefault="00D0546F" w:rsidP="0065562A">
      <w:pPr>
        <w:pStyle w:val="Heading2"/>
        <w:rPr>
          <w:color w:val="548DD4"/>
        </w:rPr>
      </w:pPr>
      <w:r w:rsidRPr="007F53B9">
        <w:rPr>
          <w:color w:val="548DD4"/>
        </w:rPr>
        <w:lastRenderedPageBreak/>
        <w:t>References</w:t>
      </w:r>
    </w:p>
    <w:p w14:paraId="01DE0CB4" w14:textId="77777777" w:rsidR="00537FBA" w:rsidRPr="00537FBA" w:rsidRDefault="008E0D60" w:rsidP="00537FBA">
      <w:pPr>
        <w:pStyle w:val="EndNoteBibliography"/>
        <w:spacing w:after="0"/>
        <w:ind w:left="720" w:hanging="720"/>
      </w:pPr>
      <w:r w:rsidRPr="007F53B9">
        <w:rPr>
          <w:rFonts w:asciiTheme="minorHAnsi" w:eastAsiaTheme="minorHAnsi" w:hAnsiTheme="minorHAnsi" w:cstheme="minorHAnsi"/>
          <w:lang w:val="en-AU"/>
        </w:rPr>
        <w:fldChar w:fldCharType="begin"/>
      </w:r>
      <w:r w:rsidRPr="007F53B9">
        <w:rPr>
          <w:rFonts w:asciiTheme="minorHAnsi" w:eastAsiaTheme="minorHAnsi" w:hAnsiTheme="minorHAnsi" w:cstheme="minorHAnsi"/>
          <w:lang w:val="en-AU"/>
        </w:rPr>
        <w:instrText xml:space="preserve"> ADDIN EN.REFLIST </w:instrText>
      </w:r>
      <w:r w:rsidRPr="007F53B9">
        <w:rPr>
          <w:rFonts w:asciiTheme="minorHAnsi" w:eastAsiaTheme="minorHAnsi" w:hAnsiTheme="minorHAnsi" w:cstheme="minorHAnsi"/>
          <w:lang w:val="en-AU"/>
        </w:rPr>
        <w:fldChar w:fldCharType="separate"/>
      </w:r>
      <w:r w:rsidR="00537FBA" w:rsidRPr="00537FBA">
        <w:t>1.</w:t>
      </w:r>
      <w:r w:rsidR="00537FBA" w:rsidRPr="00537FBA">
        <w:tab/>
        <w:t xml:space="preserve">Leukaemia Foundation, </w:t>
      </w:r>
      <w:r w:rsidR="00537FBA" w:rsidRPr="00537FBA">
        <w:rPr>
          <w:i/>
        </w:rPr>
        <w:t>Chronic lymphocytic leukaemia (CLL)</w:t>
      </w:r>
      <w:r w:rsidR="00537FBA" w:rsidRPr="00537FBA">
        <w:t xml:space="preserve">, in </w:t>
      </w:r>
      <w:r w:rsidR="00537FBA" w:rsidRPr="00537FBA">
        <w:rPr>
          <w:i/>
        </w:rPr>
        <w:t>What is chronic lymphocytic leukaemia?</w:t>
      </w:r>
      <w:r w:rsidR="00537FBA" w:rsidRPr="00537FBA">
        <w:t xml:space="preserve"> Accessed 30 May 2018.</w:t>
      </w:r>
    </w:p>
    <w:p w14:paraId="33C39BCF" w14:textId="77777777" w:rsidR="00537FBA" w:rsidRPr="00537FBA" w:rsidRDefault="00537FBA" w:rsidP="00537FBA">
      <w:pPr>
        <w:pStyle w:val="EndNoteBibliography"/>
        <w:spacing w:after="0"/>
        <w:ind w:left="720" w:hanging="720"/>
      </w:pPr>
      <w:r w:rsidRPr="00537FBA">
        <w:t>2.</w:t>
      </w:r>
      <w:r w:rsidRPr="00537FBA">
        <w:tab/>
        <w:t xml:space="preserve">Australian Institute of Health and Welfare AIHW, </w:t>
      </w:r>
      <w:r w:rsidRPr="00537FBA">
        <w:rPr>
          <w:i/>
        </w:rPr>
        <w:t>Cancer in Australia 2017</w:t>
      </w:r>
      <w:r w:rsidRPr="00537FBA">
        <w:t>. 2017. p. Canberra: AIHW.</w:t>
      </w:r>
    </w:p>
    <w:p w14:paraId="67980A51" w14:textId="77777777" w:rsidR="00537FBA" w:rsidRPr="00537FBA" w:rsidRDefault="00537FBA" w:rsidP="00537FBA">
      <w:pPr>
        <w:pStyle w:val="EndNoteBibliography"/>
        <w:spacing w:after="0"/>
        <w:ind w:left="720" w:hanging="720"/>
      </w:pPr>
      <w:r w:rsidRPr="00537FBA">
        <w:t>3.</w:t>
      </w:r>
      <w:r w:rsidRPr="00537FBA">
        <w:tab/>
        <w:t xml:space="preserve">Eichhorst, B., et al., </w:t>
      </w:r>
      <w:r w:rsidRPr="00537FBA">
        <w:rPr>
          <w:i/>
        </w:rPr>
        <w:t>Chronic lymphocytic leukaemia: ESMO Clinical Practice Guidelines for diagnosis, treatment and follow-up.</w:t>
      </w:r>
      <w:r w:rsidRPr="00537FBA">
        <w:t xml:space="preserve"> Annals of Oncology, 2015. </w:t>
      </w:r>
      <w:r w:rsidRPr="00537FBA">
        <w:rPr>
          <w:b/>
        </w:rPr>
        <w:t>26</w:t>
      </w:r>
      <w:r w:rsidRPr="00537FBA">
        <w:t>(suppl_5): p. v78-v84.</w:t>
      </w:r>
    </w:p>
    <w:p w14:paraId="7E47F3A0" w14:textId="2141BC4D" w:rsidR="00537FBA" w:rsidRPr="00537FBA" w:rsidRDefault="00537FBA" w:rsidP="00537FBA">
      <w:pPr>
        <w:pStyle w:val="EndNoteBibliography"/>
        <w:spacing w:after="0"/>
        <w:ind w:left="720" w:hanging="720"/>
      </w:pPr>
      <w:r w:rsidRPr="00537FBA">
        <w:t>4.</w:t>
      </w:r>
      <w:r w:rsidRPr="00537FBA">
        <w:tab/>
        <w:t xml:space="preserve">Cancer Council NSW. </w:t>
      </w:r>
      <w:r w:rsidRPr="00537FBA">
        <w:rPr>
          <w:i/>
        </w:rPr>
        <w:t>Chronic lymphocytic leukaemia (CLL)</w:t>
      </w:r>
      <w:r w:rsidRPr="00537FBA">
        <w:t xml:space="preserve">. Who gets CLL? Accessed 30 May 2018; Available from: </w:t>
      </w:r>
      <w:hyperlink r:id="rId15" w:history="1">
        <w:r w:rsidRPr="00537FBA">
          <w:rPr>
            <w:rStyle w:val="Hyperlink"/>
            <w:rFonts w:cs="Calibri"/>
          </w:rPr>
          <w:t>https://www.cancercouncil.com.au/chronic-lymphocytic-leukaemia/</w:t>
        </w:r>
      </w:hyperlink>
      <w:r w:rsidRPr="00537FBA">
        <w:t>.</w:t>
      </w:r>
    </w:p>
    <w:p w14:paraId="0712FF0F" w14:textId="77777777" w:rsidR="00537FBA" w:rsidRPr="00537FBA" w:rsidRDefault="00537FBA" w:rsidP="00537FBA">
      <w:pPr>
        <w:pStyle w:val="EndNoteBibliography"/>
        <w:spacing w:after="0"/>
        <w:ind w:left="720" w:hanging="720"/>
      </w:pPr>
      <w:r w:rsidRPr="00537FBA">
        <w:t>5.</w:t>
      </w:r>
      <w:r w:rsidRPr="00537FBA">
        <w:tab/>
        <w:t xml:space="preserve">Puiggros, A., G. Blanco, and B. Espinet, </w:t>
      </w:r>
      <w:r w:rsidRPr="00537FBA">
        <w:rPr>
          <w:i/>
        </w:rPr>
        <w:t>Genetic abnormalities in chronic lymphocytic leukemia: where we are and where we go.</w:t>
      </w:r>
      <w:r w:rsidRPr="00537FBA">
        <w:t xml:space="preserve"> BioMed research international, 2014. </w:t>
      </w:r>
      <w:r w:rsidRPr="00537FBA">
        <w:rPr>
          <w:b/>
        </w:rPr>
        <w:t>2014</w:t>
      </w:r>
      <w:r w:rsidRPr="00537FBA">
        <w:t>.</w:t>
      </w:r>
    </w:p>
    <w:p w14:paraId="29412244" w14:textId="6105CB84" w:rsidR="00537FBA" w:rsidRPr="00537FBA" w:rsidRDefault="00537FBA" w:rsidP="00537FBA">
      <w:pPr>
        <w:pStyle w:val="EndNoteBibliography"/>
        <w:spacing w:after="0"/>
        <w:ind w:left="720" w:hanging="720"/>
      </w:pPr>
      <w:r w:rsidRPr="00537FBA">
        <w:t>6.</w:t>
      </w:r>
      <w:r w:rsidRPr="00537FBA">
        <w:tab/>
        <w:t xml:space="preserve">Leukaemia Foundation. </w:t>
      </w:r>
      <w:r w:rsidRPr="00537FBA">
        <w:rPr>
          <w:i/>
        </w:rPr>
        <w:t>What is Myeloma?</w:t>
      </w:r>
      <w:r w:rsidRPr="00537FBA">
        <w:t xml:space="preserve">  12 June 2018]; Available from: </w:t>
      </w:r>
      <w:hyperlink r:id="rId16" w:history="1">
        <w:r w:rsidRPr="00537FBA">
          <w:rPr>
            <w:rStyle w:val="Hyperlink"/>
            <w:rFonts w:cs="Calibri"/>
          </w:rPr>
          <w:t>https://www.leukaemia.org.au/disease-information/myeloma/</w:t>
        </w:r>
      </w:hyperlink>
      <w:r w:rsidRPr="00537FBA">
        <w:t>.</w:t>
      </w:r>
    </w:p>
    <w:p w14:paraId="36185BDB" w14:textId="77777777" w:rsidR="00537FBA" w:rsidRPr="00537FBA" w:rsidRDefault="00537FBA" w:rsidP="00537FBA">
      <w:pPr>
        <w:pStyle w:val="EndNoteBibliography"/>
        <w:spacing w:after="0"/>
        <w:ind w:left="720" w:hanging="720"/>
      </w:pPr>
      <w:r w:rsidRPr="00537FBA">
        <w:t>7.</w:t>
      </w:r>
      <w:r w:rsidRPr="00537FBA">
        <w:tab/>
        <w:t xml:space="preserve">Kjeldsen, E., </w:t>
      </w:r>
      <w:r w:rsidRPr="00537FBA">
        <w:rPr>
          <w:i/>
        </w:rPr>
        <w:t>Identification of prognostically relevant chromosomal abnormalities in routine diagnostics of multiple myeloma using genomic profiling.</w:t>
      </w:r>
      <w:r w:rsidRPr="00537FBA">
        <w:t xml:space="preserve"> Cancer Genomics-Proteomics, 2016. </w:t>
      </w:r>
      <w:r w:rsidRPr="00537FBA">
        <w:rPr>
          <w:b/>
        </w:rPr>
        <w:t>13</w:t>
      </w:r>
      <w:r w:rsidRPr="00537FBA">
        <w:t>(2): p. 91-127.</w:t>
      </w:r>
    </w:p>
    <w:p w14:paraId="18307196" w14:textId="77777777" w:rsidR="00537FBA" w:rsidRPr="00537FBA" w:rsidRDefault="00537FBA" w:rsidP="00537FBA">
      <w:pPr>
        <w:pStyle w:val="EndNoteBibliography"/>
        <w:spacing w:after="0"/>
        <w:ind w:left="720" w:hanging="720"/>
      </w:pPr>
      <w:r w:rsidRPr="00537FBA">
        <w:t>8.</w:t>
      </w:r>
      <w:r w:rsidRPr="00537FBA">
        <w:tab/>
        <w:t xml:space="preserve">Cancer Council, </w:t>
      </w:r>
      <w:r w:rsidRPr="00537FBA">
        <w:rPr>
          <w:i/>
        </w:rPr>
        <w:t>Understanding Myeloma.</w:t>
      </w:r>
      <w:r w:rsidRPr="00537FBA">
        <w:t xml:space="preserve"> 2014.</w:t>
      </w:r>
    </w:p>
    <w:p w14:paraId="439545CE" w14:textId="77777777" w:rsidR="00537FBA" w:rsidRPr="00537FBA" w:rsidRDefault="00537FBA" w:rsidP="00537FBA">
      <w:pPr>
        <w:pStyle w:val="EndNoteBibliography"/>
        <w:spacing w:after="0"/>
        <w:ind w:left="720" w:hanging="720"/>
      </w:pPr>
      <w:r w:rsidRPr="00537FBA">
        <w:t>9.</w:t>
      </w:r>
      <w:r w:rsidRPr="00537FBA">
        <w:tab/>
        <w:t xml:space="preserve">Australia, M., </w:t>
      </w:r>
      <w:r w:rsidRPr="00537FBA">
        <w:rPr>
          <w:i/>
        </w:rPr>
        <w:t>Clinical Practice Guideline MULTIPLE MYELOMA</w:t>
      </w:r>
      <w:r w:rsidRPr="00537FBA">
        <w:t>. 2017.</w:t>
      </w:r>
    </w:p>
    <w:p w14:paraId="30843030" w14:textId="77777777" w:rsidR="00537FBA" w:rsidRPr="00537FBA" w:rsidRDefault="00537FBA" w:rsidP="00537FBA">
      <w:pPr>
        <w:pStyle w:val="EndNoteBibliography"/>
        <w:spacing w:after="0"/>
        <w:ind w:left="720" w:hanging="720"/>
      </w:pPr>
      <w:r w:rsidRPr="00537FBA">
        <w:t>10.</w:t>
      </w:r>
      <w:r w:rsidRPr="00537FBA">
        <w:tab/>
        <w:t xml:space="preserve">Haematology Society of Australia and New Zealand (HSANZ) Nurses Group, </w:t>
      </w:r>
      <w:r w:rsidRPr="00537FBA">
        <w:rPr>
          <w:i/>
        </w:rPr>
        <w:t>TESTS AND INVESTIGATIONS FOR MULTIPLE MYELOMA A guide for patients and caregivers</w:t>
      </w:r>
      <w:r w:rsidRPr="00537FBA">
        <w:t>. 2017.</w:t>
      </w:r>
    </w:p>
    <w:p w14:paraId="1BBD44FE" w14:textId="77777777" w:rsidR="00537FBA" w:rsidRPr="00537FBA" w:rsidRDefault="00537FBA" w:rsidP="00537FBA">
      <w:pPr>
        <w:pStyle w:val="EndNoteBibliography"/>
        <w:spacing w:after="0"/>
        <w:ind w:left="720" w:hanging="720"/>
      </w:pPr>
      <w:r w:rsidRPr="00537FBA">
        <w:t>11.</w:t>
      </w:r>
      <w:r w:rsidRPr="00537FBA">
        <w:tab/>
        <w:t xml:space="preserve">Sonneveld, P., et al., </w:t>
      </w:r>
      <w:r w:rsidRPr="00537FBA">
        <w:rPr>
          <w:i/>
        </w:rPr>
        <w:t>Treatment of multiple myeloma with high-risk cytogenetics: a consensus of the International Myeloma Working Group.</w:t>
      </w:r>
      <w:r w:rsidRPr="00537FBA">
        <w:t xml:space="preserve"> Blood, 2016. </w:t>
      </w:r>
      <w:r w:rsidRPr="00537FBA">
        <w:rPr>
          <w:b/>
        </w:rPr>
        <w:t>127</w:t>
      </w:r>
      <w:r w:rsidRPr="00537FBA">
        <w:t>(24): p. 2955-2962.</w:t>
      </w:r>
    </w:p>
    <w:p w14:paraId="44AE2EAC" w14:textId="77777777" w:rsidR="00537FBA" w:rsidRPr="00537FBA" w:rsidRDefault="00537FBA" w:rsidP="00537FBA">
      <w:pPr>
        <w:pStyle w:val="EndNoteBibliography"/>
        <w:spacing w:after="0"/>
        <w:ind w:left="720" w:hanging="720"/>
      </w:pPr>
      <w:r w:rsidRPr="00537FBA">
        <w:t>12.</w:t>
      </w:r>
      <w:r w:rsidRPr="00537FBA">
        <w:tab/>
        <w:t xml:space="preserve">Kalff, A. and A. Spencer, </w:t>
      </w:r>
      <w:r w:rsidRPr="00537FBA">
        <w:rPr>
          <w:i/>
        </w:rPr>
        <w:t>The t (4; 14) translocation and FGFR3 overexpression in multiple myeloma: prognostic implications and current clinical strategies.</w:t>
      </w:r>
      <w:r w:rsidRPr="00537FBA">
        <w:t xml:space="preserve"> Blood cancer journal, 2012. </w:t>
      </w:r>
      <w:r w:rsidRPr="00537FBA">
        <w:rPr>
          <w:b/>
        </w:rPr>
        <w:t>2</w:t>
      </w:r>
      <w:r w:rsidRPr="00537FBA">
        <w:t>(9): p. e89.</w:t>
      </w:r>
    </w:p>
    <w:p w14:paraId="3DE8B826" w14:textId="77777777" w:rsidR="00537FBA" w:rsidRPr="00537FBA" w:rsidRDefault="00537FBA" w:rsidP="00537FBA">
      <w:pPr>
        <w:pStyle w:val="EndNoteBibliography"/>
        <w:spacing w:after="0"/>
        <w:ind w:left="720" w:hanging="720"/>
      </w:pPr>
      <w:r w:rsidRPr="00537FBA">
        <w:t>13.</w:t>
      </w:r>
      <w:r w:rsidRPr="00537FBA">
        <w:tab/>
        <w:t xml:space="preserve">Kumar, S., et al., </w:t>
      </w:r>
      <w:r w:rsidRPr="00537FBA">
        <w:rPr>
          <w:i/>
        </w:rPr>
        <w:t>Trisomies in multiple myeloma: impact on survival in patients with high-risk cytogenetics.</w:t>
      </w:r>
      <w:r w:rsidRPr="00537FBA">
        <w:t xml:space="preserve"> Blood, 2012. </w:t>
      </w:r>
      <w:r w:rsidRPr="00537FBA">
        <w:rPr>
          <w:b/>
        </w:rPr>
        <w:t>119</w:t>
      </w:r>
      <w:r w:rsidRPr="00537FBA">
        <w:t>(9): p. 2100-2105.</w:t>
      </w:r>
    </w:p>
    <w:p w14:paraId="27B0D6ED" w14:textId="77777777" w:rsidR="00537FBA" w:rsidRPr="00537FBA" w:rsidRDefault="00537FBA" w:rsidP="00537FBA">
      <w:pPr>
        <w:pStyle w:val="EndNoteBibliography"/>
        <w:spacing w:after="0"/>
        <w:ind w:left="720" w:hanging="720"/>
      </w:pPr>
      <w:r w:rsidRPr="00537FBA">
        <w:t>14.</w:t>
      </w:r>
      <w:r w:rsidRPr="00537FBA">
        <w:tab/>
        <w:t xml:space="preserve">Hallek, M., </w:t>
      </w:r>
      <w:r w:rsidRPr="00537FBA">
        <w:rPr>
          <w:i/>
        </w:rPr>
        <w:t>Chronic lymphocytic leukemia: 2017 update on diagnosis, risk stratification, and treatment.</w:t>
      </w:r>
      <w:r w:rsidRPr="00537FBA">
        <w:t xml:space="preserve"> American journal of hematology, 2017. </w:t>
      </w:r>
      <w:r w:rsidRPr="00537FBA">
        <w:rPr>
          <w:b/>
        </w:rPr>
        <w:t>92</w:t>
      </w:r>
      <w:r w:rsidRPr="00537FBA">
        <w:t>(9): p. 946-965.</w:t>
      </w:r>
    </w:p>
    <w:p w14:paraId="0B74F737" w14:textId="77777777" w:rsidR="00537FBA" w:rsidRPr="00537FBA" w:rsidRDefault="00537FBA" w:rsidP="00537FBA">
      <w:pPr>
        <w:pStyle w:val="EndNoteBibliography"/>
        <w:spacing w:after="0"/>
        <w:ind w:left="720" w:hanging="720"/>
      </w:pPr>
      <w:r w:rsidRPr="00537FBA">
        <w:t>15.</w:t>
      </w:r>
      <w:r w:rsidRPr="00537FBA">
        <w:tab/>
        <w:t xml:space="preserve">Kim, M., et al., </w:t>
      </w:r>
      <w:r w:rsidRPr="00537FBA">
        <w:rPr>
          <w:i/>
        </w:rPr>
        <w:t>Copy number variations could predict the outcome of bortezomib plus melphalan and prednisone for initial treatment of multiple myeloma.</w:t>
      </w:r>
      <w:r w:rsidRPr="00537FBA">
        <w:t xml:space="preserve"> Genes, Chromosomes and Cancer, 2015. </w:t>
      </w:r>
      <w:r w:rsidRPr="00537FBA">
        <w:rPr>
          <w:b/>
        </w:rPr>
        <w:t>54</w:t>
      </w:r>
      <w:r w:rsidRPr="00537FBA">
        <w:t>(1): p. 20-27.</w:t>
      </w:r>
    </w:p>
    <w:p w14:paraId="2F9EE27B" w14:textId="77777777" w:rsidR="00537FBA" w:rsidRPr="00537FBA" w:rsidRDefault="00537FBA" w:rsidP="00537FBA">
      <w:pPr>
        <w:pStyle w:val="EndNoteBibliography"/>
        <w:spacing w:after="0"/>
        <w:ind w:left="720" w:hanging="720"/>
      </w:pPr>
      <w:r w:rsidRPr="00537FBA">
        <w:t>16.</w:t>
      </w:r>
      <w:r w:rsidRPr="00537FBA">
        <w:tab/>
        <w:t xml:space="preserve">Theisen, A., </w:t>
      </w:r>
      <w:r w:rsidRPr="00537FBA">
        <w:rPr>
          <w:i/>
        </w:rPr>
        <w:t>Microarray-based comparative genomic hybridization (aCGH).</w:t>
      </w:r>
      <w:r w:rsidRPr="00537FBA">
        <w:t xml:space="preserve"> Nature Education, 2008. </w:t>
      </w:r>
      <w:r w:rsidRPr="00537FBA">
        <w:rPr>
          <w:b/>
        </w:rPr>
        <w:t>1</w:t>
      </w:r>
      <w:r w:rsidRPr="00537FBA">
        <w:t>(1): p. 45.</w:t>
      </w:r>
    </w:p>
    <w:p w14:paraId="71F9E8DB" w14:textId="0BE9C046" w:rsidR="00537FBA" w:rsidRPr="00537FBA" w:rsidRDefault="00537FBA" w:rsidP="00537FBA">
      <w:pPr>
        <w:pStyle w:val="EndNoteBibliography"/>
        <w:spacing w:after="0"/>
        <w:ind w:left="720" w:hanging="720"/>
      </w:pPr>
      <w:r w:rsidRPr="00537FBA">
        <w:t>17.</w:t>
      </w:r>
      <w:r w:rsidRPr="00537FBA">
        <w:tab/>
        <w:t xml:space="preserve">Institute, N.H.G.R. </w:t>
      </w:r>
      <w:r w:rsidRPr="00537FBA">
        <w:rPr>
          <w:i/>
        </w:rPr>
        <w:t>Genome-Wide Association Studies</w:t>
      </w:r>
      <w:r w:rsidRPr="00537FBA">
        <w:t xml:space="preserve">. Genome-Wide Association Studies Accessed 12 June Fact Sheets:[Available from: </w:t>
      </w:r>
      <w:hyperlink r:id="rId17" w:history="1">
        <w:r w:rsidRPr="00537FBA">
          <w:rPr>
            <w:rStyle w:val="Hyperlink"/>
            <w:rFonts w:cs="Calibri"/>
          </w:rPr>
          <w:t>https://www.genome.gov/20019523/</w:t>
        </w:r>
      </w:hyperlink>
      <w:r w:rsidRPr="00537FBA">
        <w:t>.</w:t>
      </w:r>
    </w:p>
    <w:p w14:paraId="5C544B2C" w14:textId="28756A5C" w:rsidR="00537FBA" w:rsidRPr="00537FBA" w:rsidRDefault="00537FBA" w:rsidP="00537FBA">
      <w:pPr>
        <w:pStyle w:val="EndNoteBibliography"/>
        <w:spacing w:after="0"/>
        <w:ind w:left="720" w:hanging="720"/>
      </w:pPr>
      <w:r w:rsidRPr="00537FBA">
        <w:t>18.</w:t>
      </w:r>
      <w:r w:rsidRPr="00537FBA">
        <w:tab/>
        <w:t xml:space="preserve">Australian Law Reform Comisssion (ALRC). </w:t>
      </w:r>
      <w:r w:rsidRPr="00537FBA">
        <w:rPr>
          <w:i/>
        </w:rPr>
        <w:t>10. Genetic Testing</w:t>
      </w:r>
      <w:r w:rsidRPr="00537FBA">
        <w:t xml:space="preserve">.  12 July 2018]; Available from: </w:t>
      </w:r>
      <w:hyperlink r:id="rId18" w:history="1">
        <w:r w:rsidRPr="00537FBA">
          <w:rPr>
            <w:rStyle w:val="Hyperlink"/>
            <w:rFonts w:cs="Calibri"/>
          </w:rPr>
          <w:t>https://www.alrc.gov.au/publications/10-genetic-testing/access-genetic-testing</w:t>
        </w:r>
      </w:hyperlink>
      <w:r w:rsidRPr="00537FBA">
        <w:t>.</w:t>
      </w:r>
    </w:p>
    <w:p w14:paraId="156B8C77" w14:textId="77777777" w:rsidR="00537FBA" w:rsidRPr="00537FBA" w:rsidRDefault="00537FBA" w:rsidP="00537FBA">
      <w:pPr>
        <w:pStyle w:val="EndNoteBibliography"/>
        <w:spacing w:after="0"/>
        <w:ind w:left="720" w:hanging="720"/>
      </w:pPr>
      <w:r w:rsidRPr="00537FBA">
        <w:t>19.</w:t>
      </w:r>
      <w:r w:rsidRPr="00537FBA">
        <w:tab/>
        <w:t xml:space="preserve">O’MALLEY, D.P., et al., </w:t>
      </w:r>
      <w:r w:rsidRPr="00537FBA">
        <w:rPr>
          <w:i/>
        </w:rPr>
        <w:t>Comparison of array comparative genomic hybridization (aCGH) to FISH and cytogenetics in prognostic evaluation of chronic lymphocytic leukemia.</w:t>
      </w:r>
      <w:r w:rsidRPr="00537FBA">
        <w:t xml:space="preserve"> International Journal of Laboratory Hematology, 2011. </w:t>
      </w:r>
      <w:r w:rsidRPr="00537FBA">
        <w:rPr>
          <w:b/>
        </w:rPr>
        <w:t>33</w:t>
      </w:r>
      <w:r w:rsidRPr="00537FBA">
        <w:t>(3): p. 238-244.</w:t>
      </w:r>
    </w:p>
    <w:p w14:paraId="680151D9" w14:textId="77777777" w:rsidR="00537FBA" w:rsidRPr="00537FBA" w:rsidRDefault="00537FBA" w:rsidP="00537FBA">
      <w:pPr>
        <w:pStyle w:val="EndNoteBibliography"/>
        <w:spacing w:after="0"/>
        <w:ind w:left="720" w:hanging="720"/>
      </w:pPr>
      <w:r w:rsidRPr="00537FBA">
        <w:t>20.</w:t>
      </w:r>
      <w:r w:rsidRPr="00537FBA">
        <w:tab/>
        <w:t xml:space="preserve">Stevens-Kroef, M.J., et al., </w:t>
      </w:r>
      <w:r w:rsidRPr="00537FBA">
        <w:rPr>
          <w:i/>
        </w:rPr>
        <w:t>Identification of prognostic relevant chromosomal abnormalities in chronic lymphocytic leukemia using microarray-based genomic profiling.</w:t>
      </w:r>
      <w:r w:rsidRPr="00537FBA">
        <w:t xml:space="preserve"> Molecular cytogenetics, 2014. </w:t>
      </w:r>
      <w:r w:rsidRPr="00537FBA">
        <w:rPr>
          <w:b/>
        </w:rPr>
        <w:t>7</w:t>
      </w:r>
      <w:r w:rsidRPr="00537FBA">
        <w:t>(1): p. 3.</w:t>
      </w:r>
    </w:p>
    <w:p w14:paraId="41E8E281" w14:textId="77777777" w:rsidR="00537FBA" w:rsidRPr="00537FBA" w:rsidRDefault="00537FBA" w:rsidP="00537FBA">
      <w:pPr>
        <w:pStyle w:val="EndNoteBibliography"/>
        <w:spacing w:after="0"/>
        <w:ind w:left="720" w:hanging="720"/>
      </w:pPr>
      <w:r w:rsidRPr="00537FBA">
        <w:t>21.</w:t>
      </w:r>
      <w:r w:rsidRPr="00537FBA">
        <w:tab/>
        <w:t xml:space="preserve">Salaverria, I., et al., </w:t>
      </w:r>
      <w:r w:rsidRPr="00537FBA">
        <w:rPr>
          <w:i/>
        </w:rPr>
        <w:t>Detection of chromothripsis‐like patterns with a custom array platform for chronic lymphocytic leukemia.</w:t>
      </w:r>
      <w:r w:rsidRPr="00537FBA">
        <w:t xml:space="preserve"> Genes, Chromosomes &amp; Cancer, 2015. </w:t>
      </w:r>
      <w:r w:rsidRPr="00537FBA">
        <w:rPr>
          <w:b/>
        </w:rPr>
        <w:t>54</w:t>
      </w:r>
      <w:r w:rsidRPr="00537FBA">
        <w:t>(11): p. 668-680.</w:t>
      </w:r>
    </w:p>
    <w:p w14:paraId="19DAAEF7" w14:textId="77777777" w:rsidR="00537FBA" w:rsidRPr="00537FBA" w:rsidRDefault="00537FBA" w:rsidP="00537FBA">
      <w:pPr>
        <w:pStyle w:val="EndNoteBibliography"/>
        <w:spacing w:after="0"/>
        <w:ind w:left="720" w:hanging="720"/>
      </w:pPr>
      <w:r w:rsidRPr="00537FBA">
        <w:t>22.</w:t>
      </w:r>
      <w:r w:rsidRPr="00537FBA">
        <w:tab/>
        <w:t xml:space="preserve">Agnelli, L., et al., </w:t>
      </w:r>
      <w:r w:rsidRPr="00537FBA">
        <w:rPr>
          <w:i/>
        </w:rPr>
        <w:t>A SNP microarray and FISH‐based procedure to detect allelic imbalances in multiple myeloma: An integrated genomics approach reveals a wide gene dosage effect.</w:t>
      </w:r>
      <w:r w:rsidRPr="00537FBA">
        <w:t xml:space="preserve"> Genes, Chromosomes and Cancer, 2009. </w:t>
      </w:r>
      <w:r w:rsidRPr="00537FBA">
        <w:rPr>
          <w:b/>
        </w:rPr>
        <w:t>48</w:t>
      </w:r>
      <w:r w:rsidRPr="00537FBA">
        <w:t>(7): p. 603-614.</w:t>
      </w:r>
    </w:p>
    <w:p w14:paraId="70A482D5" w14:textId="223299EB" w:rsidR="00537FBA" w:rsidRPr="00537FBA" w:rsidRDefault="00537FBA" w:rsidP="00537FBA">
      <w:pPr>
        <w:pStyle w:val="EndNoteBibliography"/>
        <w:spacing w:after="0"/>
        <w:ind w:left="720" w:hanging="720"/>
      </w:pPr>
      <w:r w:rsidRPr="00537FBA">
        <w:lastRenderedPageBreak/>
        <w:t>23.</w:t>
      </w:r>
      <w:r w:rsidRPr="00537FBA">
        <w:tab/>
        <w:t xml:space="preserve">Lab tests online. </w:t>
      </w:r>
      <w:r w:rsidRPr="00537FBA">
        <w:rPr>
          <w:i/>
        </w:rPr>
        <w:t>Chromosome Analysis (Karyotyping)</w:t>
      </w:r>
      <w:r w:rsidRPr="00537FBA">
        <w:t xml:space="preserve">. Accessed 25 May 2018; Available from: </w:t>
      </w:r>
      <w:hyperlink r:id="rId19" w:history="1">
        <w:r w:rsidRPr="00537FBA">
          <w:rPr>
            <w:rStyle w:val="Hyperlink"/>
            <w:rFonts w:cs="Calibri"/>
          </w:rPr>
          <w:t>https://www.labtestsonline.org.au/learning/test-index/chromosome-analysis-karyotyping</w:t>
        </w:r>
      </w:hyperlink>
      <w:r w:rsidRPr="00537FBA">
        <w:t>. .</w:t>
      </w:r>
    </w:p>
    <w:p w14:paraId="1EE25F80" w14:textId="77777777" w:rsidR="00537FBA" w:rsidRPr="00537FBA" w:rsidRDefault="00537FBA" w:rsidP="00537FBA">
      <w:pPr>
        <w:pStyle w:val="EndNoteBibliography"/>
        <w:spacing w:after="0"/>
        <w:ind w:left="720" w:hanging="720"/>
      </w:pPr>
      <w:r w:rsidRPr="00537FBA">
        <w:t>24.</w:t>
      </w:r>
      <w:r w:rsidRPr="00537FBA">
        <w:tab/>
        <w:t xml:space="preserve">Stevens‐Kroef, M.J., et al., </w:t>
      </w:r>
      <w:r w:rsidRPr="00537FBA">
        <w:rPr>
          <w:i/>
        </w:rPr>
        <w:t>Genomic array as compared to karyotyping in myelodysplastic syndromes in a prospective clinical trial.</w:t>
      </w:r>
      <w:r w:rsidRPr="00537FBA">
        <w:t xml:space="preserve"> Genes, Chromosomes and Cancer, 2017. </w:t>
      </w:r>
      <w:r w:rsidRPr="00537FBA">
        <w:rPr>
          <w:b/>
        </w:rPr>
        <w:t>56</w:t>
      </w:r>
      <w:r w:rsidRPr="00537FBA">
        <w:t>(7): p. 524-534.</w:t>
      </w:r>
    </w:p>
    <w:p w14:paraId="3333307C" w14:textId="3B43C969" w:rsidR="00537FBA" w:rsidRPr="00537FBA" w:rsidRDefault="00537FBA" w:rsidP="00537FBA">
      <w:pPr>
        <w:pStyle w:val="EndNoteBibliography"/>
        <w:spacing w:after="0"/>
        <w:ind w:left="720" w:hanging="720"/>
      </w:pPr>
      <w:r w:rsidRPr="00537FBA">
        <w:t>25.</w:t>
      </w:r>
      <w:r w:rsidRPr="00537FBA">
        <w:tab/>
        <w:t xml:space="preserve">Sonic Genetics. </w:t>
      </w:r>
      <w:r w:rsidRPr="00537FBA">
        <w:rPr>
          <w:i/>
        </w:rPr>
        <w:t>Karyotype(blood)</w:t>
      </w:r>
      <w:r w:rsidRPr="00537FBA">
        <w:t xml:space="preserve">. 2017  19 June 2018]; Available from: </w:t>
      </w:r>
      <w:hyperlink r:id="rId20" w:history="1">
        <w:r w:rsidRPr="00537FBA">
          <w:rPr>
            <w:rStyle w:val="Hyperlink"/>
            <w:rFonts w:cs="Calibri"/>
          </w:rPr>
          <w:t>https://www.sonicgenetics.com.au/tests/karyotype-blood/</w:t>
        </w:r>
      </w:hyperlink>
      <w:r w:rsidRPr="00537FBA">
        <w:t>.</w:t>
      </w:r>
    </w:p>
    <w:p w14:paraId="6A63E09B" w14:textId="66644D56" w:rsidR="00537FBA" w:rsidRPr="00537FBA" w:rsidRDefault="00537FBA" w:rsidP="00537FBA">
      <w:pPr>
        <w:pStyle w:val="EndNoteBibliography"/>
        <w:spacing w:after="0"/>
        <w:ind w:left="720" w:hanging="720"/>
      </w:pPr>
      <w:r w:rsidRPr="00537FBA">
        <w:t>26.</w:t>
      </w:r>
      <w:r w:rsidRPr="00537FBA">
        <w:tab/>
        <w:t xml:space="preserve">Myeloma Crowd. </w:t>
      </w:r>
      <w:r w:rsidRPr="00537FBA">
        <w:rPr>
          <w:i/>
        </w:rPr>
        <w:t>Myeloma 101: FISH testing in Myeloma</w:t>
      </w:r>
      <w:r w:rsidRPr="00537FBA">
        <w:t xml:space="preserve">. 2018; Available from: </w:t>
      </w:r>
      <w:hyperlink r:id="rId21" w:history="1">
        <w:r w:rsidRPr="00537FBA">
          <w:rPr>
            <w:rStyle w:val="Hyperlink"/>
            <w:rFonts w:cs="Calibri"/>
          </w:rPr>
          <w:t>https://myelomacrowd.org/myeloma-101-fish-testing-in-myeloma/</w:t>
        </w:r>
      </w:hyperlink>
      <w:r w:rsidRPr="00537FBA">
        <w:t>.</w:t>
      </w:r>
    </w:p>
    <w:p w14:paraId="50F15CF7" w14:textId="77777777" w:rsidR="00537FBA" w:rsidRPr="00537FBA" w:rsidRDefault="00537FBA" w:rsidP="00537FBA">
      <w:pPr>
        <w:pStyle w:val="EndNoteBibliography"/>
        <w:spacing w:after="0"/>
        <w:ind w:left="720" w:hanging="720"/>
      </w:pPr>
      <w:r w:rsidRPr="00537FBA">
        <w:t>27.</w:t>
      </w:r>
      <w:r w:rsidRPr="00537FBA">
        <w:tab/>
        <w:t xml:space="preserve">Biomnis, E., </w:t>
      </w:r>
      <w:r w:rsidRPr="00537FBA">
        <w:rPr>
          <w:i/>
        </w:rPr>
        <w:t>Constitutional cyto- and molecular genetics: Karyotyping, FISH and CGH array.</w:t>
      </w:r>
      <w:r w:rsidRPr="00537FBA">
        <w:t xml:space="preserve"> 2016.</w:t>
      </w:r>
    </w:p>
    <w:p w14:paraId="77A906B5" w14:textId="77777777" w:rsidR="00537FBA" w:rsidRPr="00537FBA" w:rsidRDefault="00537FBA" w:rsidP="00537FBA">
      <w:pPr>
        <w:pStyle w:val="EndNoteBibliography"/>
        <w:spacing w:after="0"/>
        <w:ind w:left="720" w:hanging="720"/>
      </w:pPr>
      <w:r w:rsidRPr="00537FBA">
        <w:t>28.</w:t>
      </w:r>
      <w:r w:rsidRPr="00537FBA">
        <w:tab/>
        <w:t xml:space="preserve">Hagenkord, J.M., et al., </w:t>
      </w:r>
      <w:r w:rsidRPr="00537FBA">
        <w:rPr>
          <w:i/>
        </w:rPr>
        <w:t>Array-Based Karyotyping for Prognostic Assessment in Chronic Lymphocytic Leukemia: Performance Comparison of Affymetrix 10K2.0, 250K Nsp, and SNP6.0 Arrays.</w:t>
      </w:r>
      <w:r w:rsidRPr="00537FBA">
        <w:t xml:space="preserve"> The Journal of Molecular Diagnostics : JMD, 2010. </w:t>
      </w:r>
      <w:r w:rsidRPr="00537FBA">
        <w:rPr>
          <w:b/>
        </w:rPr>
        <w:t>12</w:t>
      </w:r>
      <w:r w:rsidRPr="00537FBA">
        <w:t>(2): p. 184-196.</w:t>
      </w:r>
    </w:p>
    <w:p w14:paraId="25BEB387" w14:textId="77777777" w:rsidR="00537FBA" w:rsidRPr="00537FBA" w:rsidRDefault="00537FBA" w:rsidP="00537FBA">
      <w:pPr>
        <w:pStyle w:val="EndNoteBibliography"/>
        <w:spacing w:after="0"/>
        <w:ind w:left="720" w:hanging="720"/>
      </w:pPr>
      <w:r w:rsidRPr="00537FBA">
        <w:t>29.</w:t>
      </w:r>
      <w:r w:rsidRPr="00537FBA">
        <w:tab/>
        <w:t xml:space="preserve">Moreau, P., et al., </w:t>
      </w:r>
      <w:r w:rsidRPr="00537FBA">
        <w:rPr>
          <w:i/>
        </w:rPr>
        <w:t>Multiple myeloma: ESMO Clinical Practice Guidelines for diagnosis, treatment and follow-up†.</w:t>
      </w:r>
      <w:r w:rsidRPr="00537FBA">
        <w:t xml:space="preserve"> Annals of Oncology, 2017. </w:t>
      </w:r>
      <w:r w:rsidRPr="00537FBA">
        <w:rPr>
          <w:b/>
        </w:rPr>
        <w:t>28</w:t>
      </w:r>
      <w:r w:rsidRPr="00537FBA">
        <w:t>(suppl_4): p. iv52-iv61.</w:t>
      </w:r>
    </w:p>
    <w:p w14:paraId="3A5D6183" w14:textId="29AF1E46" w:rsidR="00537FBA" w:rsidRPr="00537FBA" w:rsidRDefault="00537FBA" w:rsidP="00537FBA">
      <w:pPr>
        <w:pStyle w:val="EndNoteBibliography"/>
        <w:spacing w:after="0"/>
        <w:ind w:left="720" w:hanging="720"/>
      </w:pPr>
      <w:r w:rsidRPr="00537FBA">
        <w:t>30.</w:t>
      </w:r>
      <w:r w:rsidRPr="00537FBA">
        <w:tab/>
        <w:t xml:space="preserve">Clinic, M. </w:t>
      </w:r>
      <w:r w:rsidRPr="00537FBA">
        <w:rPr>
          <w:i/>
        </w:rPr>
        <w:t>Bone marrow biopsy and aspiration</w:t>
      </w:r>
      <w:r w:rsidRPr="00537FBA">
        <w:t xml:space="preserve">. 2018  18 June 2018]; Available from: </w:t>
      </w:r>
      <w:hyperlink r:id="rId22" w:history="1">
        <w:r w:rsidRPr="00537FBA">
          <w:rPr>
            <w:rStyle w:val="Hyperlink"/>
            <w:rFonts w:cs="Calibri"/>
          </w:rPr>
          <w:t>https://www.mayoclinic.org/tests-procedures/bone-marrow-biopsy/about/pac-20393117</w:t>
        </w:r>
      </w:hyperlink>
      <w:r w:rsidRPr="00537FBA">
        <w:t xml:space="preserve"> </w:t>
      </w:r>
    </w:p>
    <w:p w14:paraId="5DC53B33" w14:textId="77777777" w:rsidR="00537FBA" w:rsidRPr="00537FBA" w:rsidRDefault="00537FBA" w:rsidP="00537FBA">
      <w:pPr>
        <w:pStyle w:val="EndNoteBibliography"/>
        <w:ind w:left="720" w:hanging="720"/>
      </w:pPr>
      <w:r w:rsidRPr="00537FBA">
        <w:t>31.</w:t>
      </w:r>
      <w:r w:rsidRPr="00537FBA">
        <w:tab/>
        <w:t xml:space="preserve">Rajkumar, S.V., et al., </w:t>
      </w:r>
      <w:r w:rsidRPr="00537FBA">
        <w:rPr>
          <w:i/>
        </w:rPr>
        <w:t>International Myeloma Working Group updated criteria for the diagnosis of multiple myeloma.</w:t>
      </w:r>
      <w:r w:rsidRPr="00537FBA">
        <w:t xml:space="preserve"> The lancet oncology, 2014. </w:t>
      </w:r>
      <w:r w:rsidRPr="00537FBA">
        <w:rPr>
          <w:b/>
        </w:rPr>
        <w:t>15</w:t>
      </w:r>
      <w:r w:rsidRPr="00537FBA">
        <w:t>(12): p. e538-e548.</w:t>
      </w:r>
    </w:p>
    <w:p w14:paraId="286DB941" w14:textId="111EC4A3" w:rsidR="009A163E" w:rsidRPr="007F53B9" w:rsidRDefault="008E0D60" w:rsidP="00334ACB">
      <w:pPr>
        <w:pStyle w:val="EndNoteBibliography"/>
        <w:ind w:left="720" w:hanging="720"/>
      </w:pPr>
      <w:r w:rsidRPr="007F53B9">
        <w:fldChar w:fldCharType="end"/>
      </w:r>
    </w:p>
    <w:sectPr w:rsidR="009A163E" w:rsidRPr="007F53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823D" w14:textId="77777777" w:rsidR="00537545" w:rsidRDefault="00537545" w:rsidP="003D699E">
      <w:pPr>
        <w:spacing w:after="0" w:line="240" w:lineRule="auto"/>
      </w:pPr>
      <w:r>
        <w:separator/>
      </w:r>
    </w:p>
  </w:endnote>
  <w:endnote w:type="continuationSeparator" w:id="0">
    <w:p w14:paraId="3C1BAF40" w14:textId="77777777" w:rsidR="00537545" w:rsidRDefault="00537545"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urceSansPro-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06934070"/>
      <w:docPartObj>
        <w:docPartGallery w:val="Page Numbers (Bottom of Page)"/>
        <w:docPartUnique/>
      </w:docPartObj>
    </w:sdtPr>
    <w:sdtEndPr>
      <w:rPr>
        <w:color w:val="808080" w:themeColor="background1" w:themeShade="80"/>
        <w:spacing w:val="60"/>
      </w:rPr>
    </w:sdtEndPr>
    <w:sdtContent>
      <w:p w14:paraId="195DD2A1" w14:textId="018051BD" w:rsidR="00537545" w:rsidRDefault="00537545"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E352B" w:rsidRPr="004E352B">
          <w:rPr>
            <w:b/>
            <w:bCs/>
            <w:noProof/>
            <w:sz w:val="18"/>
            <w:szCs w:val="18"/>
          </w:rPr>
          <w:t>19</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492F9C">
          <w:rPr>
            <w:color w:val="808080" w:themeColor="background1" w:themeShade="80"/>
            <w:spacing w:val="60"/>
            <w:sz w:val="18"/>
            <w:szCs w:val="18"/>
          </w:rPr>
          <w:t>Ratified PICO Confirmation – February 2019</w:t>
        </w:r>
      </w:p>
      <w:p w14:paraId="3F663797" w14:textId="77777777" w:rsidR="00537545" w:rsidRPr="006D25F7" w:rsidRDefault="00537545" w:rsidP="006D25F7">
        <w:pPr>
          <w:pStyle w:val="Footer"/>
          <w:pBdr>
            <w:top w:val="single" w:sz="4" w:space="1" w:color="D9D9D9" w:themeColor="background1" w:themeShade="D9"/>
          </w:pBdr>
          <w:rPr>
            <w:b/>
            <w:bCs/>
            <w:sz w:val="18"/>
            <w:szCs w:val="18"/>
          </w:rPr>
        </w:pPr>
        <w:r>
          <w:rPr>
            <w:color w:val="808080" w:themeColor="background1" w:themeShade="80"/>
            <w:spacing w:val="60"/>
            <w:sz w:val="18"/>
            <w:szCs w:val="18"/>
          </w:rPr>
          <w:tab/>
          <w:t>Application 1544:  Genome-wide microarray for haematological malignancies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0A303" w14:textId="77777777" w:rsidR="00537545" w:rsidRDefault="00537545" w:rsidP="003D699E">
      <w:pPr>
        <w:spacing w:after="0" w:line="240" w:lineRule="auto"/>
      </w:pPr>
      <w:r>
        <w:separator/>
      </w:r>
    </w:p>
  </w:footnote>
  <w:footnote w:type="continuationSeparator" w:id="0">
    <w:p w14:paraId="06021111" w14:textId="77777777" w:rsidR="00537545" w:rsidRDefault="00537545" w:rsidP="003D699E">
      <w:pPr>
        <w:spacing w:after="0" w:line="240" w:lineRule="auto"/>
      </w:pPr>
      <w:r>
        <w:continuationSeparator/>
      </w:r>
    </w:p>
  </w:footnote>
  <w:footnote w:id="1">
    <w:p w14:paraId="29E9964E" w14:textId="77777777" w:rsidR="00537545" w:rsidRPr="00A332F2" w:rsidRDefault="00537545" w:rsidP="0096615A">
      <w:pPr>
        <w:pStyle w:val="FootnoteText"/>
        <w:rPr>
          <w:lang w:val="en-US"/>
        </w:rPr>
      </w:pPr>
      <w:r w:rsidRPr="00597897">
        <w:rPr>
          <w:rStyle w:val="FootnoteReference"/>
          <w:sz w:val="16"/>
          <w:szCs w:val="16"/>
        </w:rPr>
        <w:footnoteRef/>
      </w:r>
      <w:r w:rsidRPr="00597897">
        <w:rPr>
          <w:sz w:val="16"/>
          <w:szCs w:val="16"/>
        </w:rPr>
        <w:t xml:space="preserve"> Clinical validity: measures the test’s ability to predict the presence or absence of disease, that is, the sensitivity, specificity and positive and negative predictive values, in this case, to accurately predict the risk of distant recurrence.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71BE5" w14:textId="77777777" w:rsidR="00537545" w:rsidRDefault="00537545">
    <w:pPr>
      <w:pStyle w:val="Header"/>
    </w:pPr>
    <w:r>
      <w:rPr>
        <w:noProof/>
        <w:lang w:eastAsia="en-AU"/>
      </w:rPr>
      <mc:AlternateContent>
        <mc:Choice Requires="wps">
          <w:drawing>
            <wp:anchor distT="0" distB="0" distL="114300" distR="114300" simplePos="0" relativeHeight="251657728" behindDoc="1" locked="0" layoutInCell="0" allowOverlap="1" wp14:anchorId="091CEEC6" wp14:editId="3600DE8C">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A4E5CD" w14:textId="77777777" w:rsidR="00537545" w:rsidRDefault="00537545" w:rsidP="00646B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1CEEC6"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59A4E5CD" w14:textId="77777777" w:rsidR="00537545" w:rsidRDefault="00537545" w:rsidP="00646B3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D302CB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F60FD"/>
    <w:multiLevelType w:val="hybridMultilevel"/>
    <w:tmpl w:val="0C4AC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004F8A"/>
    <w:multiLevelType w:val="hybridMultilevel"/>
    <w:tmpl w:val="EDB85D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05CBB"/>
    <w:multiLevelType w:val="hybridMultilevel"/>
    <w:tmpl w:val="9B8CC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675754"/>
    <w:multiLevelType w:val="hybridMultilevel"/>
    <w:tmpl w:val="19C04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EE93E27"/>
    <w:multiLevelType w:val="hybridMultilevel"/>
    <w:tmpl w:val="53FC5D28"/>
    <w:lvl w:ilvl="0" w:tplc="0C09000F">
      <w:start w:val="1"/>
      <w:numFmt w:val="decimal"/>
      <w:lvlText w:val="%1."/>
      <w:lvlJc w:val="left"/>
      <w:pPr>
        <w:ind w:left="765" w:hanging="360"/>
      </w:p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1106511F"/>
    <w:multiLevelType w:val="hybridMultilevel"/>
    <w:tmpl w:val="9F1ED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A5228F"/>
    <w:multiLevelType w:val="hybridMultilevel"/>
    <w:tmpl w:val="1E261B2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9C3AF5"/>
    <w:multiLevelType w:val="hybridMultilevel"/>
    <w:tmpl w:val="84FE6B92"/>
    <w:lvl w:ilvl="0" w:tplc="37C293AE">
      <w:start w:val="1"/>
      <w:numFmt w:val="decimal"/>
      <w:lvlText w:val="%1."/>
      <w:lvlJc w:val="left"/>
      <w:pPr>
        <w:ind w:left="765" w:hanging="360"/>
      </w:pPr>
      <w:rPr>
        <w:rFonts w:ascii="Calibri" w:eastAsia="Calibri" w:hAnsi="Calibri" w:cs="Times New Roman"/>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B028F2"/>
    <w:multiLevelType w:val="hybridMultilevel"/>
    <w:tmpl w:val="000418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F414E1"/>
    <w:multiLevelType w:val="hybridMultilevel"/>
    <w:tmpl w:val="6A941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9C1B71"/>
    <w:multiLevelType w:val="hybridMultilevel"/>
    <w:tmpl w:val="EDBE1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7061FE"/>
    <w:multiLevelType w:val="hybridMultilevel"/>
    <w:tmpl w:val="1C8A3B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26E027A2"/>
    <w:multiLevelType w:val="hybridMultilevel"/>
    <w:tmpl w:val="58E6E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6708EA"/>
    <w:multiLevelType w:val="hybridMultilevel"/>
    <w:tmpl w:val="47D2B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976B4E"/>
    <w:multiLevelType w:val="hybridMultilevel"/>
    <w:tmpl w:val="AFCE03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1506AD"/>
    <w:multiLevelType w:val="hybridMultilevel"/>
    <w:tmpl w:val="AA9A7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547FF0"/>
    <w:multiLevelType w:val="hybridMultilevel"/>
    <w:tmpl w:val="C72E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544B20"/>
    <w:multiLevelType w:val="hybridMultilevel"/>
    <w:tmpl w:val="84FE6B92"/>
    <w:lvl w:ilvl="0" w:tplc="37C293AE">
      <w:start w:val="1"/>
      <w:numFmt w:val="decimal"/>
      <w:lvlText w:val="%1."/>
      <w:lvlJc w:val="left"/>
      <w:pPr>
        <w:ind w:left="765" w:hanging="360"/>
      </w:pPr>
      <w:rPr>
        <w:rFonts w:ascii="Calibri" w:eastAsia="Calibri" w:hAnsi="Calibri" w:cs="Times New Roman"/>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425C7A9C"/>
    <w:multiLevelType w:val="hybridMultilevel"/>
    <w:tmpl w:val="0D0A7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913C70"/>
    <w:multiLevelType w:val="hybridMultilevel"/>
    <w:tmpl w:val="84FE6B92"/>
    <w:lvl w:ilvl="0" w:tplc="37C293AE">
      <w:start w:val="1"/>
      <w:numFmt w:val="decimal"/>
      <w:lvlText w:val="%1."/>
      <w:lvlJc w:val="left"/>
      <w:pPr>
        <w:ind w:left="765" w:hanging="360"/>
      </w:pPr>
      <w:rPr>
        <w:rFonts w:ascii="Calibri" w:eastAsia="Calibri" w:hAnsi="Calibri" w:cs="Times New Roman"/>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48A825A0"/>
    <w:multiLevelType w:val="hybridMultilevel"/>
    <w:tmpl w:val="5022B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4A99254C"/>
    <w:multiLevelType w:val="hybridMultilevel"/>
    <w:tmpl w:val="FECEE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B86A0E"/>
    <w:multiLevelType w:val="hybridMultilevel"/>
    <w:tmpl w:val="501A52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9F00DEA"/>
    <w:multiLevelType w:val="hybridMultilevel"/>
    <w:tmpl w:val="A04E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5C3207"/>
    <w:multiLevelType w:val="hybridMultilevel"/>
    <w:tmpl w:val="8E6C6846"/>
    <w:lvl w:ilvl="0" w:tplc="0C09000F">
      <w:start w:val="1"/>
      <w:numFmt w:val="decimal"/>
      <w:lvlText w:val="%1."/>
      <w:lvlJc w:val="left"/>
      <w:pPr>
        <w:ind w:left="720" w:hanging="360"/>
      </w:pPr>
      <w:rPr>
        <w:rFonts w:hint="default"/>
        <w:b w:val="0"/>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A23843"/>
    <w:multiLevelType w:val="hybridMultilevel"/>
    <w:tmpl w:val="299C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0A6914"/>
    <w:multiLevelType w:val="hybridMultilevel"/>
    <w:tmpl w:val="C7326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E16B55"/>
    <w:multiLevelType w:val="hybridMultilevel"/>
    <w:tmpl w:val="CBEE2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744B2E37"/>
    <w:multiLevelType w:val="hybridMultilevel"/>
    <w:tmpl w:val="8002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DF1FDA"/>
    <w:multiLevelType w:val="hybridMultilevel"/>
    <w:tmpl w:val="3AA09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C69F0"/>
    <w:multiLevelType w:val="hybridMultilevel"/>
    <w:tmpl w:val="EFC4D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5E6EB3"/>
    <w:multiLevelType w:val="hybridMultilevel"/>
    <w:tmpl w:val="98B02B2A"/>
    <w:lvl w:ilvl="0" w:tplc="0C09000F">
      <w:start w:val="1"/>
      <w:numFmt w:val="decimal"/>
      <w:lvlText w:val="%1."/>
      <w:lvlJc w:val="left"/>
      <w:pPr>
        <w:ind w:left="720" w:hanging="360"/>
      </w:pPr>
      <w:rPr>
        <w:rFonts w:hint="default"/>
        <w:b w:val="0"/>
        <w:i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9959CF"/>
    <w:multiLevelType w:val="hybridMultilevel"/>
    <w:tmpl w:val="48648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2"/>
  </w:num>
  <w:num w:numId="4">
    <w:abstractNumId w:val="35"/>
  </w:num>
  <w:num w:numId="5">
    <w:abstractNumId w:val="37"/>
  </w:num>
  <w:num w:numId="6">
    <w:abstractNumId w:val="26"/>
  </w:num>
  <w:num w:numId="7">
    <w:abstractNumId w:val="7"/>
  </w:num>
  <w:num w:numId="8">
    <w:abstractNumId w:val="5"/>
  </w:num>
  <w:num w:numId="9">
    <w:abstractNumId w:val="28"/>
  </w:num>
  <w:num w:numId="10">
    <w:abstractNumId w:val="11"/>
  </w:num>
  <w:num w:numId="11">
    <w:abstractNumId w:val="31"/>
  </w:num>
  <w:num w:numId="12">
    <w:abstractNumId w:val="38"/>
  </w:num>
  <w:num w:numId="13">
    <w:abstractNumId w:val="33"/>
  </w:num>
  <w:num w:numId="14">
    <w:abstractNumId w:val="21"/>
  </w:num>
  <w:num w:numId="15">
    <w:abstractNumId w:val="34"/>
  </w:num>
  <w:num w:numId="16">
    <w:abstractNumId w:val="13"/>
  </w:num>
  <w:num w:numId="17">
    <w:abstractNumId w:val="32"/>
  </w:num>
  <w:num w:numId="18">
    <w:abstractNumId w:val="41"/>
  </w:num>
  <w:num w:numId="19">
    <w:abstractNumId w:val="19"/>
  </w:num>
  <w:num w:numId="20">
    <w:abstractNumId w:val="2"/>
  </w:num>
  <w:num w:numId="21">
    <w:abstractNumId w:val="22"/>
  </w:num>
  <w:num w:numId="22">
    <w:abstractNumId w:val="8"/>
  </w:num>
  <w:num w:numId="23">
    <w:abstractNumId w:val="30"/>
  </w:num>
  <w:num w:numId="24">
    <w:abstractNumId w:val="39"/>
  </w:num>
  <w:num w:numId="25">
    <w:abstractNumId w:val="40"/>
  </w:num>
  <w:num w:numId="26">
    <w:abstractNumId w:val="42"/>
  </w:num>
  <w:num w:numId="27">
    <w:abstractNumId w:val="18"/>
  </w:num>
  <w:num w:numId="28">
    <w:abstractNumId w:val="25"/>
  </w:num>
  <w:num w:numId="29">
    <w:abstractNumId w:val="27"/>
  </w:num>
  <w:num w:numId="30">
    <w:abstractNumId w:val="36"/>
  </w:num>
  <w:num w:numId="31">
    <w:abstractNumId w:val="1"/>
  </w:num>
  <w:num w:numId="32">
    <w:abstractNumId w:val="16"/>
  </w:num>
  <w:num w:numId="33">
    <w:abstractNumId w:val="0"/>
  </w:num>
  <w:num w:numId="34">
    <w:abstractNumId w:val="20"/>
  </w:num>
  <w:num w:numId="35">
    <w:abstractNumId w:val="10"/>
  </w:num>
  <w:num w:numId="36">
    <w:abstractNumId w:val="3"/>
  </w:num>
  <w:num w:numId="37">
    <w:abstractNumId w:val="23"/>
  </w:num>
  <w:num w:numId="38">
    <w:abstractNumId w:val="15"/>
  </w:num>
  <w:num w:numId="39">
    <w:abstractNumId w:val="17"/>
  </w:num>
  <w:num w:numId="40">
    <w:abstractNumId w:val="24"/>
  </w:num>
  <w:num w:numId="41">
    <w:abstractNumId w:val="9"/>
  </w:num>
  <w:num w:numId="42">
    <w:abstractNumId w:val="1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epewp0vsd9e2pea20s5svf89az5we2t9d5v&quot;&gt;1544 MM PICO Copy&lt;record-ids&gt;&lt;item&gt;3&lt;/item&gt;&lt;item&gt;4&lt;/item&gt;&lt;item&gt;6&lt;/item&gt;&lt;item&gt;7&lt;/item&gt;&lt;item&gt;10&lt;/item&gt;&lt;item&gt;11&lt;/item&gt;&lt;item&gt;12&lt;/item&gt;&lt;item&gt;13&lt;/item&gt;&lt;item&gt;15&lt;/item&gt;&lt;item&gt;18&lt;/item&gt;&lt;item&gt;19&lt;/item&gt;&lt;item&gt;20&lt;/item&gt;&lt;item&gt;21&lt;/item&gt;&lt;item&gt;25&lt;/item&gt;&lt;item&gt;29&lt;/item&gt;&lt;item&gt;32&lt;/item&gt;&lt;item&gt;34&lt;/item&gt;&lt;item&gt;35&lt;/item&gt;&lt;item&gt;36&lt;/item&gt;&lt;item&gt;37&lt;/item&gt;&lt;item&gt;38&lt;/item&gt;&lt;item&gt;44&lt;/item&gt;&lt;item&gt;49&lt;/item&gt;&lt;item&gt;53&lt;/item&gt;&lt;item&gt;64&lt;/item&gt;&lt;item&gt;77&lt;/item&gt;&lt;item&gt;78&lt;/item&gt;&lt;/record-ids&gt;&lt;/item&gt;&lt;/Libraries&gt;"/>
  </w:docVars>
  <w:rsids>
    <w:rsidRoot w:val="0044715D"/>
    <w:rsid w:val="00002118"/>
    <w:rsid w:val="00004548"/>
    <w:rsid w:val="00011BAE"/>
    <w:rsid w:val="00014375"/>
    <w:rsid w:val="00021B70"/>
    <w:rsid w:val="00023339"/>
    <w:rsid w:val="000240B5"/>
    <w:rsid w:val="00025A23"/>
    <w:rsid w:val="0003068E"/>
    <w:rsid w:val="00032F32"/>
    <w:rsid w:val="00033DF4"/>
    <w:rsid w:val="0004074F"/>
    <w:rsid w:val="000428D1"/>
    <w:rsid w:val="00044D02"/>
    <w:rsid w:val="00052E3F"/>
    <w:rsid w:val="00055301"/>
    <w:rsid w:val="000564A8"/>
    <w:rsid w:val="00057693"/>
    <w:rsid w:val="00063AC8"/>
    <w:rsid w:val="00074B87"/>
    <w:rsid w:val="000819A7"/>
    <w:rsid w:val="000825DE"/>
    <w:rsid w:val="00084576"/>
    <w:rsid w:val="0008710A"/>
    <w:rsid w:val="00091E32"/>
    <w:rsid w:val="000A0FBA"/>
    <w:rsid w:val="000A3F98"/>
    <w:rsid w:val="000B2622"/>
    <w:rsid w:val="000B4268"/>
    <w:rsid w:val="000B519A"/>
    <w:rsid w:val="000B520D"/>
    <w:rsid w:val="000C1D7F"/>
    <w:rsid w:val="000C47A3"/>
    <w:rsid w:val="000D01BA"/>
    <w:rsid w:val="000D4B41"/>
    <w:rsid w:val="000D7CC1"/>
    <w:rsid w:val="000E0BC0"/>
    <w:rsid w:val="000E19A9"/>
    <w:rsid w:val="000E5477"/>
    <w:rsid w:val="000E7E5C"/>
    <w:rsid w:val="000F0855"/>
    <w:rsid w:val="000F3213"/>
    <w:rsid w:val="000F56AB"/>
    <w:rsid w:val="000F792E"/>
    <w:rsid w:val="001021BC"/>
    <w:rsid w:val="00107506"/>
    <w:rsid w:val="001122E2"/>
    <w:rsid w:val="0011581E"/>
    <w:rsid w:val="001219AE"/>
    <w:rsid w:val="001241F4"/>
    <w:rsid w:val="00134625"/>
    <w:rsid w:val="00142339"/>
    <w:rsid w:val="00143907"/>
    <w:rsid w:val="00144930"/>
    <w:rsid w:val="00145278"/>
    <w:rsid w:val="001455EC"/>
    <w:rsid w:val="0015109E"/>
    <w:rsid w:val="00177166"/>
    <w:rsid w:val="00177E65"/>
    <w:rsid w:val="00184DD9"/>
    <w:rsid w:val="00185A78"/>
    <w:rsid w:val="00186406"/>
    <w:rsid w:val="00191E53"/>
    <w:rsid w:val="001937E3"/>
    <w:rsid w:val="00197879"/>
    <w:rsid w:val="001A0DEF"/>
    <w:rsid w:val="001B350A"/>
    <w:rsid w:val="001B4E7F"/>
    <w:rsid w:val="001B7E3D"/>
    <w:rsid w:val="001C173E"/>
    <w:rsid w:val="001C6A31"/>
    <w:rsid w:val="001D06AD"/>
    <w:rsid w:val="001D7120"/>
    <w:rsid w:val="001E14F5"/>
    <w:rsid w:val="001E18B1"/>
    <w:rsid w:val="001E30A9"/>
    <w:rsid w:val="001F1E1C"/>
    <w:rsid w:val="001F2A5C"/>
    <w:rsid w:val="001F5D2C"/>
    <w:rsid w:val="002144D6"/>
    <w:rsid w:val="00214F56"/>
    <w:rsid w:val="00220DF6"/>
    <w:rsid w:val="00232320"/>
    <w:rsid w:val="00235D42"/>
    <w:rsid w:val="00237408"/>
    <w:rsid w:val="002427DC"/>
    <w:rsid w:val="00243523"/>
    <w:rsid w:val="00243B43"/>
    <w:rsid w:val="00244EBC"/>
    <w:rsid w:val="00251B3B"/>
    <w:rsid w:val="0025293F"/>
    <w:rsid w:val="00255387"/>
    <w:rsid w:val="00262424"/>
    <w:rsid w:val="00265404"/>
    <w:rsid w:val="00265DB8"/>
    <w:rsid w:val="00267ACD"/>
    <w:rsid w:val="002708E2"/>
    <w:rsid w:val="0027263D"/>
    <w:rsid w:val="00273051"/>
    <w:rsid w:val="00275E1E"/>
    <w:rsid w:val="00276CAC"/>
    <w:rsid w:val="002777DE"/>
    <w:rsid w:val="00282B7B"/>
    <w:rsid w:val="00284C8E"/>
    <w:rsid w:val="00285135"/>
    <w:rsid w:val="0028637D"/>
    <w:rsid w:val="00292DE9"/>
    <w:rsid w:val="002A02E4"/>
    <w:rsid w:val="002A03CE"/>
    <w:rsid w:val="002A03D1"/>
    <w:rsid w:val="002A2B0D"/>
    <w:rsid w:val="002A33CF"/>
    <w:rsid w:val="002A4909"/>
    <w:rsid w:val="002A66BD"/>
    <w:rsid w:val="002A6733"/>
    <w:rsid w:val="002B226C"/>
    <w:rsid w:val="002B2CFA"/>
    <w:rsid w:val="002B3338"/>
    <w:rsid w:val="002B6030"/>
    <w:rsid w:val="002C006B"/>
    <w:rsid w:val="002C3548"/>
    <w:rsid w:val="002C3DBA"/>
    <w:rsid w:val="002C4BB6"/>
    <w:rsid w:val="002C5989"/>
    <w:rsid w:val="002C5FB0"/>
    <w:rsid w:val="002C77F9"/>
    <w:rsid w:val="002D2B29"/>
    <w:rsid w:val="002D7D20"/>
    <w:rsid w:val="002F6608"/>
    <w:rsid w:val="00302231"/>
    <w:rsid w:val="00303C94"/>
    <w:rsid w:val="003057B0"/>
    <w:rsid w:val="00306D8A"/>
    <w:rsid w:val="0030769F"/>
    <w:rsid w:val="00310AD4"/>
    <w:rsid w:val="00316590"/>
    <w:rsid w:val="00320D31"/>
    <w:rsid w:val="00323644"/>
    <w:rsid w:val="00333CE7"/>
    <w:rsid w:val="00334975"/>
    <w:rsid w:val="00334ACB"/>
    <w:rsid w:val="00335E41"/>
    <w:rsid w:val="0033681D"/>
    <w:rsid w:val="003373B1"/>
    <w:rsid w:val="00337AC4"/>
    <w:rsid w:val="003432D4"/>
    <w:rsid w:val="00344CB2"/>
    <w:rsid w:val="003453C5"/>
    <w:rsid w:val="00345F64"/>
    <w:rsid w:val="003472BC"/>
    <w:rsid w:val="00347AC2"/>
    <w:rsid w:val="003524C3"/>
    <w:rsid w:val="00356E77"/>
    <w:rsid w:val="00357ECA"/>
    <w:rsid w:val="00362776"/>
    <w:rsid w:val="00367307"/>
    <w:rsid w:val="00370E4F"/>
    <w:rsid w:val="00376700"/>
    <w:rsid w:val="00381E50"/>
    <w:rsid w:val="00382875"/>
    <w:rsid w:val="003848CC"/>
    <w:rsid w:val="00390F1C"/>
    <w:rsid w:val="0039167E"/>
    <w:rsid w:val="003918D0"/>
    <w:rsid w:val="00396BFF"/>
    <w:rsid w:val="00397AD7"/>
    <w:rsid w:val="003A13F0"/>
    <w:rsid w:val="003A4D20"/>
    <w:rsid w:val="003B0436"/>
    <w:rsid w:val="003B0821"/>
    <w:rsid w:val="003B221F"/>
    <w:rsid w:val="003B5256"/>
    <w:rsid w:val="003C0BC2"/>
    <w:rsid w:val="003D4531"/>
    <w:rsid w:val="003D699E"/>
    <w:rsid w:val="003E0382"/>
    <w:rsid w:val="003E1B81"/>
    <w:rsid w:val="003E6B51"/>
    <w:rsid w:val="003F32A7"/>
    <w:rsid w:val="0040380D"/>
    <w:rsid w:val="00410F36"/>
    <w:rsid w:val="00411511"/>
    <w:rsid w:val="00412132"/>
    <w:rsid w:val="00413360"/>
    <w:rsid w:val="00416F1C"/>
    <w:rsid w:val="00421E8D"/>
    <w:rsid w:val="0042483F"/>
    <w:rsid w:val="00425723"/>
    <w:rsid w:val="00426602"/>
    <w:rsid w:val="00427C09"/>
    <w:rsid w:val="004315E1"/>
    <w:rsid w:val="00440228"/>
    <w:rsid w:val="0044715D"/>
    <w:rsid w:val="0045446C"/>
    <w:rsid w:val="004546B5"/>
    <w:rsid w:val="00454CE3"/>
    <w:rsid w:val="004567D4"/>
    <w:rsid w:val="0047681C"/>
    <w:rsid w:val="00481120"/>
    <w:rsid w:val="004816AD"/>
    <w:rsid w:val="0048258B"/>
    <w:rsid w:val="00485271"/>
    <w:rsid w:val="004924B3"/>
    <w:rsid w:val="00492F9C"/>
    <w:rsid w:val="00494D99"/>
    <w:rsid w:val="0049636E"/>
    <w:rsid w:val="00496F2D"/>
    <w:rsid w:val="004A187C"/>
    <w:rsid w:val="004A215C"/>
    <w:rsid w:val="004B25B8"/>
    <w:rsid w:val="004B3472"/>
    <w:rsid w:val="004C1FA9"/>
    <w:rsid w:val="004D1D41"/>
    <w:rsid w:val="004D60EA"/>
    <w:rsid w:val="004E352B"/>
    <w:rsid w:val="004E5A7F"/>
    <w:rsid w:val="004F051A"/>
    <w:rsid w:val="004F6DAD"/>
    <w:rsid w:val="00502497"/>
    <w:rsid w:val="00513F3F"/>
    <w:rsid w:val="00521519"/>
    <w:rsid w:val="005232B9"/>
    <w:rsid w:val="00524E2E"/>
    <w:rsid w:val="00533AD6"/>
    <w:rsid w:val="005367B4"/>
    <w:rsid w:val="00537545"/>
    <w:rsid w:val="00537FBA"/>
    <w:rsid w:val="00543A25"/>
    <w:rsid w:val="00546936"/>
    <w:rsid w:val="00550797"/>
    <w:rsid w:val="00550D28"/>
    <w:rsid w:val="00551355"/>
    <w:rsid w:val="0055176D"/>
    <w:rsid w:val="00563BC5"/>
    <w:rsid w:val="005640CC"/>
    <w:rsid w:val="00566AA4"/>
    <w:rsid w:val="0057065F"/>
    <w:rsid w:val="00571ACC"/>
    <w:rsid w:val="00575DCC"/>
    <w:rsid w:val="005804F5"/>
    <w:rsid w:val="0059099C"/>
    <w:rsid w:val="00592CD3"/>
    <w:rsid w:val="00597897"/>
    <w:rsid w:val="005A1FAA"/>
    <w:rsid w:val="005A78DD"/>
    <w:rsid w:val="005B2337"/>
    <w:rsid w:val="005B3981"/>
    <w:rsid w:val="005B3F76"/>
    <w:rsid w:val="005B54CA"/>
    <w:rsid w:val="005B7F69"/>
    <w:rsid w:val="005C0266"/>
    <w:rsid w:val="005C7B58"/>
    <w:rsid w:val="005D1ECA"/>
    <w:rsid w:val="005D6426"/>
    <w:rsid w:val="005E35A3"/>
    <w:rsid w:val="005E3C1B"/>
    <w:rsid w:val="005E5FFE"/>
    <w:rsid w:val="005E61CA"/>
    <w:rsid w:val="005F02F9"/>
    <w:rsid w:val="005F23BE"/>
    <w:rsid w:val="005F4D2F"/>
    <w:rsid w:val="005F4EC6"/>
    <w:rsid w:val="005F7A63"/>
    <w:rsid w:val="00603E1E"/>
    <w:rsid w:val="00604723"/>
    <w:rsid w:val="006050F3"/>
    <w:rsid w:val="00606247"/>
    <w:rsid w:val="006066CD"/>
    <w:rsid w:val="006076FB"/>
    <w:rsid w:val="0061322A"/>
    <w:rsid w:val="006138C1"/>
    <w:rsid w:val="00621AD7"/>
    <w:rsid w:val="006249D8"/>
    <w:rsid w:val="00627B5C"/>
    <w:rsid w:val="00635106"/>
    <w:rsid w:val="0064057A"/>
    <w:rsid w:val="00640B0D"/>
    <w:rsid w:val="006434A0"/>
    <w:rsid w:val="00644920"/>
    <w:rsid w:val="00646B39"/>
    <w:rsid w:val="00650E68"/>
    <w:rsid w:val="0065350B"/>
    <w:rsid w:val="0065507B"/>
    <w:rsid w:val="00655327"/>
    <w:rsid w:val="0065562A"/>
    <w:rsid w:val="00657135"/>
    <w:rsid w:val="00663712"/>
    <w:rsid w:val="00663C22"/>
    <w:rsid w:val="00673074"/>
    <w:rsid w:val="00675E78"/>
    <w:rsid w:val="00681998"/>
    <w:rsid w:val="00683FBC"/>
    <w:rsid w:val="006873AC"/>
    <w:rsid w:val="006879A5"/>
    <w:rsid w:val="006904EF"/>
    <w:rsid w:val="00692348"/>
    <w:rsid w:val="00694C0A"/>
    <w:rsid w:val="00696CB6"/>
    <w:rsid w:val="006A2658"/>
    <w:rsid w:val="006A3C45"/>
    <w:rsid w:val="006B0877"/>
    <w:rsid w:val="006B20F4"/>
    <w:rsid w:val="006B5E08"/>
    <w:rsid w:val="006B6164"/>
    <w:rsid w:val="006B6204"/>
    <w:rsid w:val="006B66B7"/>
    <w:rsid w:val="006B6A56"/>
    <w:rsid w:val="006B73C1"/>
    <w:rsid w:val="006C3BC0"/>
    <w:rsid w:val="006C58D7"/>
    <w:rsid w:val="006D1643"/>
    <w:rsid w:val="006D16CB"/>
    <w:rsid w:val="006D25F7"/>
    <w:rsid w:val="006D29CA"/>
    <w:rsid w:val="006D3A66"/>
    <w:rsid w:val="006D4089"/>
    <w:rsid w:val="006E3751"/>
    <w:rsid w:val="006F0EB3"/>
    <w:rsid w:val="006F1DEB"/>
    <w:rsid w:val="006F38D8"/>
    <w:rsid w:val="006F43CD"/>
    <w:rsid w:val="006F79AD"/>
    <w:rsid w:val="00701B16"/>
    <w:rsid w:val="0070262E"/>
    <w:rsid w:val="0071046C"/>
    <w:rsid w:val="00716B22"/>
    <w:rsid w:val="007177E0"/>
    <w:rsid w:val="007222E6"/>
    <w:rsid w:val="00734F81"/>
    <w:rsid w:val="00736C98"/>
    <w:rsid w:val="0073757B"/>
    <w:rsid w:val="007377D6"/>
    <w:rsid w:val="007402A4"/>
    <w:rsid w:val="007440A2"/>
    <w:rsid w:val="00745FE2"/>
    <w:rsid w:val="00751006"/>
    <w:rsid w:val="00752491"/>
    <w:rsid w:val="007602BD"/>
    <w:rsid w:val="007604C3"/>
    <w:rsid w:val="0076227E"/>
    <w:rsid w:val="00762D7F"/>
    <w:rsid w:val="00763724"/>
    <w:rsid w:val="00767337"/>
    <w:rsid w:val="00780D6E"/>
    <w:rsid w:val="00781D1A"/>
    <w:rsid w:val="00782F16"/>
    <w:rsid w:val="007849CF"/>
    <w:rsid w:val="007854AA"/>
    <w:rsid w:val="007A7549"/>
    <w:rsid w:val="007A77E8"/>
    <w:rsid w:val="007B2AD1"/>
    <w:rsid w:val="007B77AB"/>
    <w:rsid w:val="007C150A"/>
    <w:rsid w:val="007C1985"/>
    <w:rsid w:val="007C6468"/>
    <w:rsid w:val="007D5E7C"/>
    <w:rsid w:val="007E1D5C"/>
    <w:rsid w:val="007E7E23"/>
    <w:rsid w:val="007F2F4E"/>
    <w:rsid w:val="007F3C7B"/>
    <w:rsid w:val="007F415A"/>
    <w:rsid w:val="007F4ADE"/>
    <w:rsid w:val="007F4E20"/>
    <w:rsid w:val="007F53B9"/>
    <w:rsid w:val="007F5D6B"/>
    <w:rsid w:val="007F609D"/>
    <w:rsid w:val="0080436D"/>
    <w:rsid w:val="0080457C"/>
    <w:rsid w:val="00807260"/>
    <w:rsid w:val="008146DE"/>
    <w:rsid w:val="0082056E"/>
    <w:rsid w:val="008270FD"/>
    <w:rsid w:val="00830BB1"/>
    <w:rsid w:val="00830C05"/>
    <w:rsid w:val="00831CA9"/>
    <w:rsid w:val="00834D34"/>
    <w:rsid w:val="008416C3"/>
    <w:rsid w:val="008425D2"/>
    <w:rsid w:val="008459D5"/>
    <w:rsid w:val="0084618C"/>
    <w:rsid w:val="008473AE"/>
    <w:rsid w:val="00850770"/>
    <w:rsid w:val="00851CB0"/>
    <w:rsid w:val="008659DE"/>
    <w:rsid w:val="00870120"/>
    <w:rsid w:val="00870245"/>
    <w:rsid w:val="008706D6"/>
    <w:rsid w:val="00871C86"/>
    <w:rsid w:val="00874BA7"/>
    <w:rsid w:val="008757BF"/>
    <w:rsid w:val="00891203"/>
    <w:rsid w:val="0089183F"/>
    <w:rsid w:val="00891B10"/>
    <w:rsid w:val="00891FF9"/>
    <w:rsid w:val="00892706"/>
    <w:rsid w:val="00895BCC"/>
    <w:rsid w:val="00896658"/>
    <w:rsid w:val="00896845"/>
    <w:rsid w:val="008A0111"/>
    <w:rsid w:val="008A05B2"/>
    <w:rsid w:val="008A3FA6"/>
    <w:rsid w:val="008A5A4E"/>
    <w:rsid w:val="008B593C"/>
    <w:rsid w:val="008B5C0A"/>
    <w:rsid w:val="008C3E5E"/>
    <w:rsid w:val="008D1A61"/>
    <w:rsid w:val="008D2CB8"/>
    <w:rsid w:val="008D3564"/>
    <w:rsid w:val="008E0D60"/>
    <w:rsid w:val="008E5136"/>
    <w:rsid w:val="008E5D22"/>
    <w:rsid w:val="008F158D"/>
    <w:rsid w:val="008F3876"/>
    <w:rsid w:val="008F6082"/>
    <w:rsid w:val="00900EEE"/>
    <w:rsid w:val="0090131D"/>
    <w:rsid w:val="00906A69"/>
    <w:rsid w:val="00907330"/>
    <w:rsid w:val="009078F5"/>
    <w:rsid w:val="00907D9C"/>
    <w:rsid w:val="00915AAE"/>
    <w:rsid w:val="00916344"/>
    <w:rsid w:val="009212E5"/>
    <w:rsid w:val="009434AA"/>
    <w:rsid w:val="00946773"/>
    <w:rsid w:val="00947CC9"/>
    <w:rsid w:val="00947E04"/>
    <w:rsid w:val="00953ED7"/>
    <w:rsid w:val="00962FFA"/>
    <w:rsid w:val="0096615A"/>
    <w:rsid w:val="009805A2"/>
    <w:rsid w:val="00981CEA"/>
    <w:rsid w:val="0099726D"/>
    <w:rsid w:val="009A0E87"/>
    <w:rsid w:val="009A1415"/>
    <w:rsid w:val="009A163E"/>
    <w:rsid w:val="009A582D"/>
    <w:rsid w:val="009B0365"/>
    <w:rsid w:val="009B1E67"/>
    <w:rsid w:val="009B3361"/>
    <w:rsid w:val="009B4E36"/>
    <w:rsid w:val="009C1B41"/>
    <w:rsid w:val="009C3879"/>
    <w:rsid w:val="009C4E2E"/>
    <w:rsid w:val="009C5B62"/>
    <w:rsid w:val="009C5F00"/>
    <w:rsid w:val="009C744C"/>
    <w:rsid w:val="009D0407"/>
    <w:rsid w:val="009D2111"/>
    <w:rsid w:val="009D5FC5"/>
    <w:rsid w:val="009D6757"/>
    <w:rsid w:val="009D7E3C"/>
    <w:rsid w:val="009E5295"/>
    <w:rsid w:val="009E6865"/>
    <w:rsid w:val="009F19B5"/>
    <w:rsid w:val="009F391B"/>
    <w:rsid w:val="00A12029"/>
    <w:rsid w:val="00A12DEC"/>
    <w:rsid w:val="00A20014"/>
    <w:rsid w:val="00A20246"/>
    <w:rsid w:val="00A31321"/>
    <w:rsid w:val="00A4237C"/>
    <w:rsid w:val="00A42401"/>
    <w:rsid w:val="00A42A98"/>
    <w:rsid w:val="00A601AC"/>
    <w:rsid w:val="00A60664"/>
    <w:rsid w:val="00A619BC"/>
    <w:rsid w:val="00A73FFC"/>
    <w:rsid w:val="00A775FD"/>
    <w:rsid w:val="00A77E61"/>
    <w:rsid w:val="00A8010E"/>
    <w:rsid w:val="00A84A56"/>
    <w:rsid w:val="00A90C62"/>
    <w:rsid w:val="00A911CB"/>
    <w:rsid w:val="00A921F8"/>
    <w:rsid w:val="00A94BDB"/>
    <w:rsid w:val="00A95935"/>
    <w:rsid w:val="00AA39B7"/>
    <w:rsid w:val="00AA4AF7"/>
    <w:rsid w:val="00AB1F47"/>
    <w:rsid w:val="00AB2C91"/>
    <w:rsid w:val="00AB4A0A"/>
    <w:rsid w:val="00AB4ACA"/>
    <w:rsid w:val="00AC0670"/>
    <w:rsid w:val="00AC0CD1"/>
    <w:rsid w:val="00AC2C75"/>
    <w:rsid w:val="00AC4E9C"/>
    <w:rsid w:val="00AD13E9"/>
    <w:rsid w:val="00AD2905"/>
    <w:rsid w:val="00AD49CB"/>
    <w:rsid w:val="00AD5443"/>
    <w:rsid w:val="00AE116C"/>
    <w:rsid w:val="00AE2EAD"/>
    <w:rsid w:val="00AE6AC0"/>
    <w:rsid w:val="00AE7136"/>
    <w:rsid w:val="00AE767B"/>
    <w:rsid w:val="00AE7B88"/>
    <w:rsid w:val="00AF16E3"/>
    <w:rsid w:val="00B00064"/>
    <w:rsid w:val="00B020D9"/>
    <w:rsid w:val="00B071AB"/>
    <w:rsid w:val="00B136A6"/>
    <w:rsid w:val="00B13BEA"/>
    <w:rsid w:val="00B20490"/>
    <w:rsid w:val="00B252F5"/>
    <w:rsid w:val="00B314F0"/>
    <w:rsid w:val="00B33103"/>
    <w:rsid w:val="00B41EC2"/>
    <w:rsid w:val="00B42711"/>
    <w:rsid w:val="00B433FA"/>
    <w:rsid w:val="00B437E5"/>
    <w:rsid w:val="00B45971"/>
    <w:rsid w:val="00B46A0A"/>
    <w:rsid w:val="00B55E0B"/>
    <w:rsid w:val="00B607A6"/>
    <w:rsid w:val="00B61477"/>
    <w:rsid w:val="00B615EE"/>
    <w:rsid w:val="00B62444"/>
    <w:rsid w:val="00B6455C"/>
    <w:rsid w:val="00B651B5"/>
    <w:rsid w:val="00B65937"/>
    <w:rsid w:val="00B70DAB"/>
    <w:rsid w:val="00B71784"/>
    <w:rsid w:val="00B71F0E"/>
    <w:rsid w:val="00B7392E"/>
    <w:rsid w:val="00B74B4D"/>
    <w:rsid w:val="00B82BEA"/>
    <w:rsid w:val="00B83C0D"/>
    <w:rsid w:val="00B85D39"/>
    <w:rsid w:val="00B87B27"/>
    <w:rsid w:val="00B95643"/>
    <w:rsid w:val="00BA0CDA"/>
    <w:rsid w:val="00BA63AA"/>
    <w:rsid w:val="00BB3B55"/>
    <w:rsid w:val="00BC694C"/>
    <w:rsid w:val="00BC76DD"/>
    <w:rsid w:val="00BD0599"/>
    <w:rsid w:val="00BD2E70"/>
    <w:rsid w:val="00BD2F2C"/>
    <w:rsid w:val="00BD5CCE"/>
    <w:rsid w:val="00BE0A1B"/>
    <w:rsid w:val="00BE6E5B"/>
    <w:rsid w:val="00BF4C75"/>
    <w:rsid w:val="00C0205B"/>
    <w:rsid w:val="00C05E06"/>
    <w:rsid w:val="00C11612"/>
    <w:rsid w:val="00C11E5A"/>
    <w:rsid w:val="00C12439"/>
    <w:rsid w:val="00C140E5"/>
    <w:rsid w:val="00C14CA7"/>
    <w:rsid w:val="00C16EA4"/>
    <w:rsid w:val="00C201DA"/>
    <w:rsid w:val="00C2047A"/>
    <w:rsid w:val="00C21937"/>
    <w:rsid w:val="00C24563"/>
    <w:rsid w:val="00C33153"/>
    <w:rsid w:val="00C34CB1"/>
    <w:rsid w:val="00C4203A"/>
    <w:rsid w:val="00C43445"/>
    <w:rsid w:val="00C504CD"/>
    <w:rsid w:val="00C53F56"/>
    <w:rsid w:val="00C57FA6"/>
    <w:rsid w:val="00C61965"/>
    <w:rsid w:val="00C634D5"/>
    <w:rsid w:val="00C63A94"/>
    <w:rsid w:val="00C66B76"/>
    <w:rsid w:val="00C706B2"/>
    <w:rsid w:val="00C72A59"/>
    <w:rsid w:val="00C76640"/>
    <w:rsid w:val="00C852E8"/>
    <w:rsid w:val="00C862C2"/>
    <w:rsid w:val="00C94271"/>
    <w:rsid w:val="00C9630A"/>
    <w:rsid w:val="00C96971"/>
    <w:rsid w:val="00CA3E2F"/>
    <w:rsid w:val="00CA3FCA"/>
    <w:rsid w:val="00CA57EB"/>
    <w:rsid w:val="00CA6C8A"/>
    <w:rsid w:val="00CB6C65"/>
    <w:rsid w:val="00CC0730"/>
    <w:rsid w:val="00CC47C5"/>
    <w:rsid w:val="00CC60B0"/>
    <w:rsid w:val="00CD4CB9"/>
    <w:rsid w:val="00CF38AC"/>
    <w:rsid w:val="00CF7B0E"/>
    <w:rsid w:val="00D00A0E"/>
    <w:rsid w:val="00D02FDD"/>
    <w:rsid w:val="00D0546F"/>
    <w:rsid w:val="00D12609"/>
    <w:rsid w:val="00D12C92"/>
    <w:rsid w:val="00D21490"/>
    <w:rsid w:val="00D22B95"/>
    <w:rsid w:val="00D2532A"/>
    <w:rsid w:val="00D26848"/>
    <w:rsid w:val="00D27AFF"/>
    <w:rsid w:val="00D40CA3"/>
    <w:rsid w:val="00D42D0B"/>
    <w:rsid w:val="00D458B8"/>
    <w:rsid w:val="00D45C63"/>
    <w:rsid w:val="00D46C89"/>
    <w:rsid w:val="00D478DA"/>
    <w:rsid w:val="00D5172B"/>
    <w:rsid w:val="00D51D36"/>
    <w:rsid w:val="00D62C1B"/>
    <w:rsid w:val="00D64755"/>
    <w:rsid w:val="00D64A29"/>
    <w:rsid w:val="00D728C7"/>
    <w:rsid w:val="00D7300D"/>
    <w:rsid w:val="00D73713"/>
    <w:rsid w:val="00D76F25"/>
    <w:rsid w:val="00D80804"/>
    <w:rsid w:val="00D83E15"/>
    <w:rsid w:val="00D8682C"/>
    <w:rsid w:val="00D874BA"/>
    <w:rsid w:val="00D932FC"/>
    <w:rsid w:val="00D9441D"/>
    <w:rsid w:val="00D94C0B"/>
    <w:rsid w:val="00D9614E"/>
    <w:rsid w:val="00D9712D"/>
    <w:rsid w:val="00DA0AEE"/>
    <w:rsid w:val="00DA0DC2"/>
    <w:rsid w:val="00DA10A1"/>
    <w:rsid w:val="00DA35CC"/>
    <w:rsid w:val="00DA7DCB"/>
    <w:rsid w:val="00DB26B3"/>
    <w:rsid w:val="00DB3635"/>
    <w:rsid w:val="00DB3CD9"/>
    <w:rsid w:val="00DB6F88"/>
    <w:rsid w:val="00DC11C1"/>
    <w:rsid w:val="00DC195F"/>
    <w:rsid w:val="00DC23CE"/>
    <w:rsid w:val="00DD0BDF"/>
    <w:rsid w:val="00DD1DA6"/>
    <w:rsid w:val="00DD456A"/>
    <w:rsid w:val="00DD4F6C"/>
    <w:rsid w:val="00DD505E"/>
    <w:rsid w:val="00DD5AD5"/>
    <w:rsid w:val="00DE06ED"/>
    <w:rsid w:val="00DE3D6C"/>
    <w:rsid w:val="00DE7839"/>
    <w:rsid w:val="00DF7E92"/>
    <w:rsid w:val="00E01300"/>
    <w:rsid w:val="00E028F9"/>
    <w:rsid w:val="00E0420A"/>
    <w:rsid w:val="00E06CF8"/>
    <w:rsid w:val="00E14280"/>
    <w:rsid w:val="00E21977"/>
    <w:rsid w:val="00E22597"/>
    <w:rsid w:val="00E249B5"/>
    <w:rsid w:val="00E2724E"/>
    <w:rsid w:val="00E326ED"/>
    <w:rsid w:val="00E34159"/>
    <w:rsid w:val="00E364F7"/>
    <w:rsid w:val="00E37354"/>
    <w:rsid w:val="00E4251A"/>
    <w:rsid w:val="00E43E61"/>
    <w:rsid w:val="00E46171"/>
    <w:rsid w:val="00E46B27"/>
    <w:rsid w:val="00E46C0B"/>
    <w:rsid w:val="00E46D9A"/>
    <w:rsid w:val="00E50ED3"/>
    <w:rsid w:val="00E55FCC"/>
    <w:rsid w:val="00E7635F"/>
    <w:rsid w:val="00E77F5A"/>
    <w:rsid w:val="00E82F2F"/>
    <w:rsid w:val="00E83C39"/>
    <w:rsid w:val="00E83EA4"/>
    <w:rsid w:val="00E84E6C"/>
    <w:rsid w:val="00E87C6E"/>
    <w:rsid w:val="00E91AC5"/>
    <w:rsid w:val="00E96327"/>
    <w:rsid w:val="00E968F6"/>
    <w:rsid w:val="00E970BE"/>
    <w:rsid w:val="00E97837"/>
    <w:rsid w:val="00EA1997"/>
    <w:rsid w:val="00EB18B6"/>
    <w:rsid w:val="00EB27FC"/>
    <w:rsid w:val="00EB781E"/>
    <w:rsid w:val="00EC09C9"/>
    <w:rsid w:val="00EC3D8A"/>
    <w:rsid w:val="00EC55C0"/>
    <w:rsid w:val="00ED1D91"/>
    <w:rsid w:val="00ED3E3D"/>
    <w:rsid w:val="00ED7C4F"/>
    <w:rsid w:val="00EE274B"/>
    <w:rsid w:val="00EE7A1F"/>
    <w:rsid w:val="00EF23C7"/>
    <w:rsid w:val="00EF3B0B"/>
    <w:rsid w:val="00EF3E77"/>
    <w:rsid w:val="00EF5475"/>
    <w:rsid w:val="00EF5B39"/>
    <w:rsid w:val="00EF6479"/>
    <w:rsid w:val="00F0186F"/>
    <w:rsid w:val="00F039A7"/>
    <w:rsid w:val="00F06C72"/>
    <w:rsid w:val="00F10857"/>
    <w:rsid w:val="00F12E59"/>
    <w:rsid w:val="00F135C8"/>
    <w:rsid w:val="00F2384F"/>
    <w:rsid w:val="00F253CF"/>
    <w:rsid w:val="00F31D76"/>
    <w:rsid w:val="00F32E0F"/>
    <w:rsid w:val="00F332BC"/>
    <w:rsid w:val="00F349D1"/>
    <w:rsid w:val="00F37FE8"/>
    <w:rsid w:val="00F40CC9"/>
    <w:rsid w:val="00F42BE5"/>
    <w:rsid w:val="00F4622B"/>
    <w:rsid w:val="00F54707"/>
    <w:rsid w:val="00F554EA"/>
    <w:rsid w:val="00F63DD9"/>
    <w:rsid w:val="00F644FE"/>
    <w:rsid w:val="00F64E40"/>
    <w:rsid w:val="00F66C65"/>
    <w:rsid w:val="00F67D54"/>
    <w:rsid w:val="00F705C2"/>
    <w:rsid w:val="00F71A1F"/>
    <w:rsid w:val="00F74C44"/>
    <w:rsid w:val="00F800D5"/>
    <w:rsid w:val="00F85E40"/>
    <w:rsid w:val="00F87A15"/>
    <w:rsid w:val="00F87D94"/>
    <w:rsid w:val="00F91458"/>
    <w:rsid w:val="00F93721"/>
    <w:rsid w:val="00F95114"/>
    <w:rsid w:val="00F97A65"/>
    <w:rsid w:val="00FA522E"/>
    <w:rsid w:val="00FB040A"/>
    <w:rsid w:val="00FB67E5"/>
    <w:rsid w:val="00FC1B9B"/>
    <w:rsid w:val="00FC1EC0"/>
    <w:rsid w:val="00FC3F20"/>
    <w:rsid w:val="00FC752E"/>
    <w:rsid w:val="00FD1FCD"/>
    <w:rsid w:val="00FD3516"/>
    <w:rsid w:val="00FD5CE7"/>
    <w:rsid w:val="00FD7FA4"/>
    <w:rsid w:val="00FE48A0"/>
    <w:rsid w:val="00FE7FE1"/>
    <w:rsid w:val="00FF099F"/>
    <w:rsid w:val="00FF51ED"/>
    <w:rsid w:val="00FF5262"/>
    <w:rsid w:val="00FF5347"/>
    <w:rsid w:val="00FF5886"/>
    <w:rsid w:val="00FF6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7F5734"/>
  <w15:docId w15:val="{AFAD0882-0844-482B-A6D8-5F91FDA9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67E"/>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unhideWhenUsed/>
    <w:rsid w:val="00646B39"/>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UnresolvedMention1">
    <w:name w:val="Unresolved Mention1"/>
    <w:basedOn w:val="DefaultParagraphFont"/>
    <w:uiPriority w:val="99"/>
    <w:semiHidden/>
    <w:unhideWhenUsed/>
    <w:rsid w:val="00025A23"/>
    <w:rPr>
      <w:color w:val="808080"/>
      <w:shd w:val="clear" w:color="auto" w:fill="E6E6E6"/>
    </w:rPr>
  </w:style>
  <w:style w:type="paragraph" w:customStyle="1" w:styleId="EndNoteBibliographyTitle">
    <w:name w:val="EndNote Bibliography Title"/>
    <w:basedOn w:val="Normal"/>
    <w:link w:val="EndNoteBibliographyTitleChar"/>
    <w:rsid w:val="001E14F5"/>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1E14F5"/>
    <w:rPr>
      <w:rFonts w:ascii="Calibri" w:eastAsia="Calibri" w:hAnsi="Calibri" w:cs="Calibri"/>
      <w:noProof/>
      <w:sz w:val="22"/>
      <w:lang w:val="en-US"/>
    </w:rPr>
  </w:style>
  <w:style w:type="paragraph" w:customStyle="1" w:styleId="EndNoteBibliography">
    <w:name w:val="EndNote Bibliography"/>
    <w:basedOn w:val="Normal"/>
    <w:link w:val="EndNoteBibliographyChar"/>
    <w:rsid w:val="001E14F5"/>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1E14F5"/>
    <w:rPr>
      <w:rFonts w:ascii="Calibri" w:eastAsia="Calibri" w:hAnsi="Calibri" w:cs="Calibri"/>
      <w:noProof/>
      <w:sz w:val="22"/>
      <w:lang w:val="en-US"/>
    </w:rPr>
  </w:style>
  <w:style w:type="table" w:styleId="GridTable1Light">
    <w:name w:val="Grid Table 1 Light"/>
    <w:basedOn w:val="TableNormal"/>
    <w:uiPriority w:val="46"/>
    <w:rsid w:val="00F97A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ighwire-cite-authors">
    <w:name w:val="highwire-cite-authors"/>
    <w:basedOn w:val="DefaultParagraphFont"/>
    <w:rsid w:val="00CA57EB"/>
  </w:style>
  <w:style w:type="character" w:customStyle="1" w:styleId="nlm-surname">
    <w:name w:val="nlm-surname"/>
    <w:basedOn w:val="DefaultParagraphFont"/>
    <w:rsid w:val="00CA57EB"/>
  </w:style>
  <w:style w:type="character" w:customStyle="1" w:styleId="highwire-cite-year">
    <w:name w:val="highwire-cite-year"/>
    <w:basedOn w:val="DefaultParagraphFont"/>
    <w:rsid w:val="00CA57EB"/>
  </w:style>
  <w:style w:type="character" w:customStyle="1" w:styleId="highwire-cite-title">
    <w:name w:val="highwire-cite-title"/>
    <w:basedOn w:val="DefaultParagraphFont"/>
    <w:rsid w:val="00CA57EB"/>
  </w:style>
  <w:style w:type="character" w:customStyle="1" w:styleId="highwire-cite-journal">
    <w:name w:val="highwire-cite-journal"/>
    <w:basedOn w:val="DefaultParagraphFont"/>
    <w:rsid w:val="00CA57EB"/>
  </w:style>
  <w:style w:type="character" w:customStyle="1" w:styleId="highwire-cite-volume-issue">
    <w:name w:val="highwire-cite-volume-issue"/>
    <w:basedOn w:val="DefaultParagraphFont"/>
    <w:rsid w:val="00CA57EB"/>
  </w:style>
  <w:style w:type="character" w:customStyle="1" w:styleId="highwire-cite-pages">
    <w:name w:val="highwire-cite-pages"/>
    <w:basedOn w:val="DefaultParagraphFont"/>
    <w:rsid w:val="00CA57EB"/>
  </w:style>
  <w:style w:type="character" w:customStyle="1" w:styleId="highwire-cite-doi">
    <w:name w:val="highwire-cite-doi"/>
    <w:basedOn w:val="DefaultParagraphFont"/>
    <w:rsid w:val="00CA57EB"/>
  </w:style>
  <w:style w:type="character" w:styleId="HTMLCite">
    <w:name w:val="HTML Cite"/>
    <w:basedOn w:val="DefaultParagraphFont"/>
    <w:uiPriority w:val="99"/>
    <w:semiHidden/>
    <w:unhideWhenUsed/>
    <w:rsid w:val="00410F36"/>
    <w:rPr>
      <w:i/>
      <w:iCs/>
    </w:rPr>
  </w:style>
  <w:style w:type="character" w:customStyle="1" w:styleId="topic-highlight">
    <w:name w:val="topic-highlight"/>
    <w:basedOn w:val="DefaultParagraphFont"/>
    <w:rsid w:val="00BD2E70"/>
  </w:style>
  <w:style w:type="character" w:customStyle="1" w:styleId="anchor-text">
    <w:name w:val="anchor-text"/>
    <w:basedOn w:val="DefaultParagraphFont"/>
    <w:rsid w:val="00BD2E70"/>
  </w:style>
  <w:style w:type="paragraph" w:styleId="FootnoteText">
    <w:name w:val="footnote text"/>
    <w:basedOn w:val="Normal"/>
    <w:link w:val="FootnoteTextChar"/>
    <w:uiPriority w:val="99"/>
    <w:unhideWhenUsed/>
    <w:rsid w:val="0096615A"/>
    <w:pPr>
      <w:spacing w:after="0" w:line="240" w:lineRule="auto"/>
    </w:pPr>
    <w:rPr>
      <w:rFonts w:asciiTheme="minorHAnsi" w:hAnsiTheme="minorHAnsi" w:cstheme="minorHAnsi"/>
      <w:sz w:val="20"/>
      <w:szCs w:val="20"/>
    </w:rPr>
  </w:style>
  <w:style w:type="character" w:customStyle="1" w:styleId="FootnoteTextChar">
    <w:name w:val="Footnote Text Char"/>
    <w:basedOn w:val="DefaultParagraphFont"/>
    <w:link w:val="FootnoteText"/>
    <w:uiPriority w:val="99"/>
    <w:rsid w:val="0096615A"/>
    <w:rPr>
      <w:rFonts w:asciiTheme="minorHAnsi" w:eastAsia="Calibri" w:hAnsiTheme="minorHAnsi" w:cstheme="minorHAnsi"/>
      <w:sz w:val="20"/>
      <w:szCs w:val="20"/>
    </w:rPr>
  </w:style>
  <w:style w:type="character" w:styleId="FootnoteReference">
    <w:name w:val="footnote reference"/>
    <w:basedOn w:val="DefaultParagraphFont"/>
    <w:uiPriority w:val="99"/>
    <w:semiHidden/>
    <w:unhideWhenUsed/>
    <w:rsid w:val="0096615A"/>
    <w:rPr>
      <w:vertAlign w:val="superscript"/>
    </w:rPr>
  </w:style>
  <w:style w:type="paragraph" w:styleId="ListBullet2">
    <w:name w:val="List Bullet 2"/>
    <w:basedOn w:val="Normal"/>
    <w:uiPriority w:val="99"/>
    <w:unhideWhenUsed/>
    <w:rsid w:val="0096615A"/>
    <w:pPr>
      <w:contextualSpacing/>
    </w:pPr>
    <w:rPr>
      <w:rFonts w:asciiTheme="minorHAnsi" w:eastAsiaTheme="minorHAnsi" w:hAnsiTheme="minorHAnsi" w:cstheme="minorBidi"/>
      <w:sz w:val="20"/>
      <w:szCs w:val="24"/>
    </w:rPr>
  </w:style>
  <w:style w:type="character" w:customStyle="1" w:styleId="highlight">
    <w:name w:val="highlight"/>
    <w:basedOn w:val="DefaultParagraphFont"/>
    <w:rsid w:val="006C3BC0"/>
  </w:style>
  <w:style w:type="character" w:styleId="Emphasis">
    <w:name w:val="Emphasis"/>
    <w:basedOn w:val="DefaultParagraphFont"/>
    <w:uiPriority w:val="20"/>
    <w:qFormat/>
    <w:rsid w:val="00546936"/>
    <w:rPr>
      <w:i/>
      <w:iCs/>
    </w:rPr>
  </w:style>
  <w:style w:type="paragraph" w:styleId="Revision">
    <w:name w:val="Revision"/>
    <w:hidden/>
    <w:uiPriority w:val="99"/>
    <w:semiHidden/>
    <w:rsid w:val="0061322A"/>
    <w:pPr>
      <w:spacing w:after="0" w:line="240" w:lineRule="auto"/>
    </w:pPr>
    <w:rPr>
      <w:rFonts w:ascii="Calibri" w:eastAsia="Calibri" w:hAnsi="Calibri" w:cs="Times New Roman"/>
      <w:sz w:val="22"/>
    </w:rPr>
  </w:style>
  <w:style w:type="character" w:customStyle="1" w:styleId="UnresolvedMention">
    <w:name w:val="Unresolved Mention"/>
    <w:basedOn w:val="DefaultParagraphFont"/>
    <w:uiPriority w:val="99"/>
    <w:semiHidden/>
    <w:unhideWhenUsed/>
    <w:rsid w:val="00537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8000">
      <w:bodyDiv w:val="1"/>
      <w:marLeft w:val="0"/>
      <w:marRight w:val="0"/>
      <w:marTop w:val="0"/>
      <w:marBottom w:val="0"/>
      <w:divBdr>
        <w:top w:val="none" w:sz="0" w:space="0" w:color="auto"/>
        <w:left w:val="none" w:sz="0" w:space="0" w:color="auto"/>
        <w:bottom w:val="none" w:sz="0" w:space="0" w:color="auto"/>
        <w:right w:val="none" w:sz="0" w:space="0" w:color="auto"/>
      </w:divBdr>
    </w:div>
    <w:div w:id="301157030">
      <w:bodyDiv w:val="1"/>
      <w:marLeft w:val="0"/>
      <w:marRight w:val="0"/>
      <w:marTop w:val="0"/>
      <w:marBottom w:val="0"/>
      <w:divBdr>
        <w:top w:val="none" w:sz="0" w:space="0" w:color="auto"/>
        <w:left w:val="none" w:sz="0" w:space="0" w:color="auto"/>
        <w:bottom w:val="none" w:sz="0" w:space="0" w:color="auto"/>
        <w:right w:val="none" w:sz="0" w:space="0" w:color="auto"/>
      </w:divBdr>
    </w:div>
    <w:div w:id="328486654">
      <w:bodyDiv w:val="1"/>
      <w:marLeft w:val="0"/>
      <w:marRight w:val="0"/>
      <w:marTop w:val="0"/>
      <w:marBottom w:val="0"/>
      <w:divBdr>
        <w:top w:val="none" w:sz="0" w:space="0" w:color="auto"/>
        <w:left w:val="none" w:sz="0" w:space="0" w:color="auto"/>
        <w:bottom w:val="none" w:sz="0" w:space="0" w:color="auto"/>
        <w:right w:val="none" w:sz="0" w:space="0" w:color="auto"/>
      </w:divBdr>
    </w:div>
    <w:div w:id="401374695">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966816292">
      <w:bodyDiv w:val="1"/>
      <w:marLeft w:val="0"/>
      <w:marRight w:val="0"/>
      <w:marTop w:val="0"/>
      <w:marBottom w:val="0"/>
      <w:divBdr>
        <w:top w:val="none" w:sz="0" w:space="0" w:color="auto"/>
        <w:left w:val="none" w:sz="0" w:space="0" w:color="auto"/>
        <w:bottom w:val="none" w:sz="0" w:space="0" w:color="auto"/>
        <w:right w:val="none" w:sz="0" w:space="0" w:color="auto"/>
      </w:divBdr>
    </w:div>
    <w:div w:id="992366008">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535927388">
      <w:bodyDiv w:val="1"/>
      <w:marLeft w:val="0"/>
      <w:marRight w:val="0"/>
      <w:marTop w:val="0"/>
      <w:marBottom w:val="0"/>
      <w:divBdr>
        <w:top w:val="none" w:sz="0" w:space="0" w:color="auto"/>
        <w:left w:val="none" w:sz="0" w:space="0" w:color="auto"/>
        <w:bottom w:val="none" w:sz="0" w:space="0" w:color="auto"/>
        <w:right w:val="none" w:sz="0" w:space="0" w:color="auto"/>
      </w:divBdr>
    </w:div>
    <w:div w:id="1599943341">
      <w:bodyDiv w:val="1"/>
      <w:marLeft w:val="0"/>
      <w:marRight w:val="0"/>
      <w:marTop w:val="0"/>
      <w:marBottom w:val="0"/>
      <w:divBdr>
        <w:top w:val="none" w:sz="0" w:space="0" w:color="auto"/>
        <w:left w:val="none" w:sz="0" w:space="0" w:color="auto"/>
        <w:bottom w:val="none" w:sz="0" w:space="0" w:color="auto"/>
        <w:right w:val="none" w:sz="0" w:space="0" w:color="auto"/>
      </w:divBdr>
    </w:div>
    <w:div w:id="18755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alrc.gov.au/publications/10-genetic-testing/access-genetic-testing" TargetMode="External"/><Relationship Id="rId3" Type="http://schemas.openxmlformats.org/officeDocument/2006/relationships/styles" Target="styles.xml"/><Relationship Id="rId21" Type="http://schemas.openxmlformats.org/officeDocument/2006/relationships/hyperlink" Target="https://myelomacrowd.org/myeloma-101-fish-testing-in-myeloma/"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enome.gov/20019523/" TargetMode="External"/><Relationship Id="rId2" Type="http://schemas.openxmlformats.org/officeDocument/2006/relationships/numbering" Target="numbering.xml"/><Relationship Id="rId16" Type="http://schemas.openxmlformats.org/officeDocument/2006/relationships/hyperlink" Target="https://www.leukaemia.org.au/disease-information/myeloma/" TargetMode="External"/><Relationship Id="rId20" Type="http://schemas.openxmlformats.org/officeDocument/2006/relationships/hyperlink" Target="https://www.sonicgenetics.com.au/tests/karyotype-blo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ncercouncil.com.au/chronic-lymphocytic-leukaemia/"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abtestsonline.org.au/learning/test-index/chromosome-analysis-karyotyp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s://www.mayoclinic.org/tests-procedures/bone-marrow-biopsy/about/pac-20393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512B-8618-40BB-AE97-70E3522A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12130</Words>
  <Characters>69143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Ball;Rob Zabara;Shari Stathis</dc:creator>
  <cp:lastModifiedBy>CRYER, Paula</cp:lastModifiedBy>
  <cp:revision>3</cp:revision>
  <cp:lastPrinted>2019-03-20T22:16:00Z</cp:lastPrinted>
  <dcterms:created xsi:type="dcterms:W3CDTF">2019-03-20T22:15:00Z</dcterms:created>
  <dcterms:modified xsi:type="dcterms:W3CDTF">2019-03-20T22:17:00Z</dcterms:modified>
</cp:coreProperties>
</file>