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C8AA4" w14:textId="77777777" w:rsidR="00D960B0" w:rsidRPr="00D960B0" w:rsidRDefault="00E706AC" w:rsidP="00B411FE">
      <w:pPr>
        <w:jc w:val="center"/>
        <w:rPr>
          <w:rFonts w:ascii="Arial" w:hAnsi="Arial" w:cs="Arial"/>
          <w:b/>
          <w:i/>
          <w:szCs w:val="24"/>
        </w:rPr>
      </w:pPr>
      <w:r>
        <w:rPr>
          <w:rFonts w:ascii="Arial" w:hAnsi="Arial" w:cs="Arial"/>
          <w:b/>
          <w:noProof/>
          <w:color w:val="000080"/>
          <w:sz w:val="28"/>
          <w:szCs w:val="28"/>
        </w:rPr>
        <w:drawing>
          <wp:inline distT="0" distB="0" distL="0" distR="0" wp14:anchorId="4CD11371" wp14:editId="0BE3BF8E">
            <wp:extent cx="2627630" cy="1078865"/>
            <wp:effectExtent l="0" t="0" r="1270" b="6985"/>
            <wp:docPr id="4" name="Picture 4"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247E53C" w14:textId="69E5E3AE" w:rsidR="00E936DA" w:rsidRPr="00B02E35" w:rsidRDefault="00E936DA" w:rsidP="00B411FE">
      <w:pPr>
        <w:jc w:val="center"/>
        <w:rPr>
          <w:rFonts w:ascii="Arial" w:hAnsi="Arial" w:cs="Arial"/>
          <w:b/>
          <w:color w:val="000000" w:themeColor="text1"/>
          <w:sz w:val="28"/>
          <w:szCs w:val="28"/>
        </w:rPr>
      </w:pPr>
    </w:p>
    <w:p w14:paraId="4FA3BFAF" w14:textId="77777777" w:rsidR="00E706AC" w:rsidRDefault="00E706AC" w:rsidP="00E706AC">
      <w:pPr>
        <w:pStyle w:val="Subtitle"/>
        <w:rPr>
          <w:rFonts w:eastAsiaTheme="majorEastAsia"/>
          <w:i w:val="0"/>
          <w:sz w:val="36"/>
          <w:szCs w:val="36"/>
          <w:lang w:eastAsia="en-US"/>
        </w:rPr>
      </w:pPr>
      <w:r w:rsidRPr="005F6A3D">
        <w:rPr>
          <w:rFonts w:eastAsiaTheme="majorEastAsia"/>
          <w:i w:val="0"/>
          <w:sz w:val="36"/>
          <w:szCs w:val="36"/>
          <w:lang w:eastAsia="en-US"/>
        </w:rPr>
        <w:t xml:space="preserve">Public Summary Document </w:t>
      </w:r>
    </w:p>
    <w:p w14:paraId="5CD743DD" w14:textId="76E11156" w:rsidR="0050188B" w:rsidRPr="006431C1" w:rsidRDefault="002C0A0A" w:rsidP="006431C1">
      <w:pPr>
        <w:pStyle w:val="Subtitle"/>
      </w:pPr>
      <w:r w:rsidRPr="006431C1">
        <w:t>Application No. 1614.1 – Magnetic resonance-guided focused ultrasound for the treatment of medically refractory essential tremor</w:t>
      </w:r>
    </w:p>
    <w:p w14:paraId="1F456B50" w14:textId="3648371C" w:rsidR="006B241A" w:rsidRPr="00F312A7" w:rsidRDefault="00065623" w:rsidP="00A436C5">
      <w:pPr>
        <w:tabs>
          <w:tab w:val="left" w:pos="3686"/>
        </w:tabs>
        <w:spacing w:before="240"/>
        <w:rPr>
          <w:rFonts w:ascii="Arial" w:hAnsi="Arial" w:cs="Arial"/>
          <w:b/>
          <w:sz w:val="22"/>
          <w:szCs w:val="22"/>
        </w:rPr>
      </w:pPr>
      <w:r w:rsidRPr="00F312A7">
        <w:rPr>
          <w:rFonts w:ascii="Arial" w:hAnsi="Arial" w:cs="Arial"/>
          <w:b/>
          <w:sz w:val="22"/>
          <w:szCs w:val="22"/>
        </w:rPr>
        <w:t>Applicant:</w:t>
      </w:r>
      <w:r w:rsidR="0065529B" w:rsidRPr="00F312A7">
        <w:rPr>
          <w:rFonts w:ascii="Arial" w:hAnsi="Arial" w:cs="Arial"/>
          <w:b/>
          <w:sz w:val="22"/>
          <w:szCs w:val="22"/>
        </w:rPr>
        <w:t xml:space="preserve"> </w:t>
      </w:r>
      <w:r w:rsidR="006431C1" w:rsidRPr="00F312A7">
        <w:rPr>
          <w:rFonts w:ascii="Arial" w:hAnsi="Arial" w:cs="Arial"/>
          <w:b/>
          <w:sz w:val="22"/>
          <w:szCs w:val="22"/>
        </w:rPr>
        <w:tab/>
      </w:r>
      <w:proofErr w:type="spellStart"/>
      <w:r w:rsidR="004C392A" w:rsidRPr="00F312A7">
        <w:rPr>
          <w:rFonts w:ascii="Arial" w:hAnsi="Arial" w:cs="Arial"/>
          <w:b/>
          <w:sz w:val="22"/>
          <w:szCs w:val="22"/>
        </w:rPr>
        <w:t>Insightec</w:t>
      </w:r>
      <w:proofErr w:type="spellEnd"/>
    </w:p>
    <w:p w14:paraId="5DDE635B" w14:textId="50B4B0CA" w:rsidR="00D118AD" w:rsidRPr="00F312A7" w:rsidRDefault="00676C49" w:rsidP="00A436C5">
      <w:pPr>
        <w:tabs>
          <w:tab w:val="left" w:pos="3686"/>
        </w:tabs>
        <w:spacing w:before="240"/>
        <w:rPr>
          <w:rFonts w:ascii="Arial" w:hAnsi="Arial" w:cs="Arial"/>
          <w:b/>
          <w:sz w:val="22"/>
          <w:szCs w:val="22"/>
        </w:rPr>
      </w:pPr>
      <w:r w:rsidRPr="00F312A7">
        <w:rPr>
          <w:rFonts w:ascii="Arial" w:hAnsi="Arial" w:cs="Arial"/>
          <w:b/>
          <w:sz w:val="22"/>
          <w:szCs w:val="22"/>
        </w:rPr>
        <w:t xml:space="preserve">Date of </w:t>
      </w:r>
      <w:r w:rsidR="00957845">
        <w:rPr>
          <w:rFonts w:ascii="Arial" w:hAnsi="Arial" w:cs="Arial"/>
          <w:b/>
          <w:sz w:val="22"/>
          <w:szCs w:val="22"/>
        </w:rPr>
        <w:t>MSAC</w:t>
      </w:r>
      <w:r w:rsidRPr="00F312A7">
        <w:rPr>
          <w:rFonts w:ascii="Arial" w:hAnsi="Arial" w:cs="Arial"/>
          <w:b/>
          <w:sz w:val="22"/>
          <w:szCs w:val="22"/>
        </w:rPr>
        <w:t xml:space="preserve"> </w:t>
      </w:r>
      <w:r w:rsidR="00065623" w:rsidRPr="00F312A7">
        <w:rPr>
          <w:rFonts w:ascii="Arial" w:hAnsi="Arial" w:cs="Arial"/>
          <w:b/>
          <w:sz w:val="22"/>
          <w:szCs w:val="22"/>
        </w:rPr>
        <w:t>consideration:</w:t>
      </w:r>
      <w:r w:rsidR="004C392A" w:rsidRPr="00F312A7">
        <w:rPr>
          <w:rFonts w:ascii="Arial" w:hAnsi="Arial" w:cs="Arial"/>
          <w:b/>
          <w:sz w:val="22"/>
          <w:szCs w:val="22"/>
        </w:rPr>
        <w:t xml:space="preserve"> </w:t>
      </w:r>
      <w:r w:rsidR="006431C1" w:rsidRPr="00F312A7">
        <w:rPr>
          <w:rFonts w:ascii="Arial" w:hAnsi="Arial" w:cs="Arial"/>
          <w:b/>
          <w:sz w:val="22"/>
          <w:szCs w:val="22"/>
        </w:rPr>
        <w:tab/>
      </w:r>
      <w:r w:rsidR="007F04F2" w:rsidRPr="00A513B1">
        <w:rPr>
          <w:rFonts w:ascii="Arial" w:hAnsi="Arial" w:cs="Arial"/>
          <w:b/>
          <w:sz w:val="22"/>
          <w:szCs w:val="22"/>
        </w:rPr>
        <w:t>31 March – 1 April 2022</w:t>
      </w:r>
    </w:p>
    <w:p w14:paraId="608A48B3" w14:textId="5063F8F6" w:rsidR="00576ED3" w:rsidRPr="0089471B" w:rsidRDefault="00065623" w:rsidP="00EA5B5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89471B">
        <w:rPr>
          <w:rFonts w:ascii="Franklin Gothic Medium" w:eastAsia="SimSun" w:hAnsi="Franklin Gothic Medium" w:cs="Times New Roman"/>
          <w:b w:val="0"/>
          <w:bCs w:val="0"/>
          <w:color w:val="000000"/>
          <w:sz w:val="32"/>
          <w:szCs w:val="26"/>
          <w:lang w:eastAsia="en-US"/>
        </w:rPr>
        <w:t>Purpose of application</w:t>
      </w:r>
    </w:p>
    <w:p w14:paraId="35F27792" w14:textId="2DEFFF6E" w:rsidR="004C392A" w:rsidRPr="00E706AC" w:rsidRDefault="003C11C4" w:rsidP="004C392A">
      <w:pPr>
        <w:tabs>
          <w:tab w:val="left" w:pos="720"/>
          <w:tab w:val="left" w:pos="1140"/>
        </w:tabs>
        <w:rPr>
          <w:rFonts w:ascii="Franklin Gothic Book" w:hAnsi="Franklin Gothic Book"/>
          <w:sz w:val="22"/>
          <w:szCs w:val="22"/>
        </w:rPr>
      </w:pPr>
      <w:r w:rsidRPr="00E706AC">
        <w:rPr>
          <w:rFonts w:ascii="Franklin Gothic Book" w:hAnsi="Franklin Gothic Book"/>
          <w:sz w:val="22"/>
          <w:szCs w:val="22"/>
        </w:rPr>
        <w:t>A r</w:t>
      </w:r>
      <w:r w:rsidR="004C392A" w:rsidRPr="00E706AC">
        <w:rPr>
          <w:rFonts w:ascii="Franklin Gothic Book" w:hAnsi="Franklin Gothic Book"/>
          <w:sz w:val="22"/>
          <w:szCs w:val="22"/>
        </w:rPr>
        <w:t xml:space="preserve">esubmission requesting </w:t>
      </w:r>
      <w:r w:rsidR="00FC1A4D" w:rsidRPr="0088629E">
        <w:rPr>
          <w:rFonts w:ascii="Franklin Gothic Book" w:hAnsi="Franklin Gothic Book"/>
          <w:sz w:val="22"/>
          <w:szCs w:val="22"/>
        </w:rPr>
        <w:t xml:space="preserve">Medicare Benefits Schedule </w:t>
      </w:r>
      <w:r w:rsidR="00FC1A4D">
        <w:rPr>
          <w:rFonts w:ascii="Franklin Gothic Book" w:hAnsi="Franklin Gothic Book"/>
          <w:sz w:val="22"/>
          <w:szCs w:val="22"/>
        </w:rPr>
        <w:t>(</w:t>
      </w:r>
      <w:r w:rsidR="004C392A" w:rsidRPr="00E706AC">
        <w:rPr>
          <w:rFonts w:ascii="Franklin Gothic Book" w:hAnsi="Franklin Gothic Book"/>
          <w:sz w:val="22"/>
          <w:szCs w:val="22"/>
        </w:rPr>
        <w:t>MBS</w:t>
      </w:r>
      <w:r w:rsidR="00FC1A4D">
        <w:rPr>
          <w:rFonts w:ascii="Franklin Gothic Book" w:hAnsi="Franklin Gothic Book"/>
          <w:sz w:val="22"/>
          <w:szCs w:val="22"/>
        </w:rPr>
        <w:t>)</w:t>
      </w:r>
      <w:r w:rsidR="004C392A" w:rsidRPr="00E706AC">
        <w:rPr>
          <w:rFonts w:ascii="Franklin Gothic Book" w:hAnsi="Franklin Gothic Book"/>
          <w:sz w:val="22"/>
          <w:szCs w:val="22"/>
        </w:rPr>
        <w:t xml:space="preserve"> listing of </w:t>
      </w:r>
      <w:r w:rsidRPr="00E706AC">
        <w:rPr>
          <w:rFonts w:ascii="Franklin Gothic Book" w:hAnsi="Franklin Gothic Book"/>
          <w:sz w:val="22"/>
          <w:szCs w:val="22"/>
        </w:rPr>
        <w:t>m</w:t>
      </w:r>
      <w:r w:rsidR="004C392A" w:rsidRPr="00E706AC">
        <w:rPr>
          <w:rFonts w:ascii="Franklin Gothic Book" w:hAnsi="Franklin Gothic Book"/>
          <w:sz w:val="22"/>
          <w:szCs w:val="22"/>
        </w:rPr>
        <w:t xml:space="preserve">agnetic </w:t>
      </w:r>
      <w:r w:rsidRPr="00E706AC">
        <w:rPr>
          <w:rFonts w:ascii="Franklin Gothic Book" w:hAnsi="Franklin Gothic Book"/>
          <w:sz w:val="22"/>
          <w:szCs w:val="22"/>
        </w:rPr>
        <w:t>r</w:t>
      </w:r>
      <w:r w:rsidR="004C392A" w:rsidRPr="00E706AC">
        <w:rPr>
          <w:rFonts w:ascii="Franklin Gothic Book" w:hAnsi="Franklin Gothic Book"/>
          <w:sz w:val="22"/>
          <w:szCs w:val="22"/>
        </w:rPr>
        <w:t xml:space="preserve">esonance-guided </w:t>
      </w:r>
      <w:r w:rsidRPr="00E706AC">
        <w:rPr>
          <w:rFonts w:ascii="Franklin Gothic Book" w:hAnsi="Franklin Gothic Book"/>
          <w:sz w:val="22"/>
          <w:szCs w:val="22"/>
        </w:rPr>
        <w:t>f</w:t>
      </w:r>
      <w:r w:rsidR="004C392A" w:rsidRPr="00E706AC">
        <w:rPr>
          <w:rFonts w:ascii="Franklin Gothic Book" w:hAnsi="Franklin Gothic Book"/>
          <w:sz w:val="22"/>
          <w:szCs w:val="22"/>
        </w:rPr>
        <w:t xml:space="preserve">ocused </w:t>
      </w:r>
      <w:r w:rsidRPr="00E706AC">
        <w:rPr>
          <w:rFonts w:ascii="Franklin Gothic Book" w:hAnsi="Franklin Gothic Book"/>
          <w:sz w:val="22"/>
          <w:szCs w:val="22"/>
        </w:rPr>
        <w:t>u</w:t>
      </w:r>
      <w:r w:rsidR="004C392A" w:rsidRPr="00E706AC">
        <w:rPr>
          <w:rFonts w:ascii="Franklin Gothic Book" w:hAnsi="Franklin Gothic Book"/>
          <w:sz w:val="22"/>
          <w:szCs w:val="22"/>
        </w:rPr>
        <w:t>ltrasound (</w:t>
      </w:r>
      <w:proofErr w:type="spellStart"/>
      <w:r w:rsidR="004C392A" w:rsidRPr="00E706AC">
        <w:rPr>
          <w:rFonts w:ascii="Franklin Gothic Book" w:hAnsi="Franklin Gothic Book"/>
          <w:sz w:val="22"/>
          <w:szCs w:val="22"/>
        </w:rPr>
        <w:t>MRgFUS</w:t>
      </w:r>
      <w:proofErr w:type="spellEnd"/>
      <w:r w:rsidR="004C392A" w:rsidRPr="00E706AC">
        <w:rPr>
          <w:rFonts w:ascii="Franklin Gothic Book" w:hAnsi="Franklin Gothic Book"/>
          <w:sz w:val="22"/>
          <w:szCs w:val="22"/>
        </w:rPr>
        <w:t>) for the treatment of</w:t>
      </w:r>
      <w:r w:rsidRPr="00E706AC">
        <w:rPr>
          <w:rFonts w:ascii="Franklin Gothic Book" w:hAnsi="Franklin Gothic Book"/>
          <w:sz w:val="22"/>
          <w:szCs w:val="22"/>
        </w:rPr>
        <w:t xml:space="preserve"> medically refractory</w:t>
      </w:r>
      <w:r w:rsidR="004C392A" w:rsidRPr="00E706AC">
        <w:rPr>
          <w:rFonts w:ascii="Franklin Gothic Book" w:hAnsi="Franklin Gothic Book"/>
          <w:sz w:val="22"/>
          <w:szCs w:val="22"/>
        </w:rPr>
        <w:t xml:space="preserve"> essential tremor (ET) was received from </w:t>
      </w:r>
      <w:proofErr w:type="spellStart"/>
      <w:r w:rsidR="004C392A" w:rsidRPr="00E706AC">
        <w:rPr>
          <w:rFonts w:ascii="Franklin Gothic Book" w:hAnsi="Franklin Gothic Book"/>
          <w:sz w:val="22"/>
          <w:szCs w:val="22"/>
        </w:rPr>
        <w:t>Insightec</w:t>
      </w:r>
      <w:proofErr w:type="spellEnd"/>
      <w:r w:rsidR="004C392A" w:rsidRPr="00E706AC">
        <w:rPr>
          <w:rFonts w:ascii="Franklin Gothic Book" w:hAnsi="Franklin Gothic Book"/>
          <w:sz w:val="22"/>
          <w:szCs w:val="22"/>
        </w:rPr>
        <w:t xml:space="preserve"> by the Department of Health.</w:t>
      </w:r>
    </w:p>
    <w:p w14:paraId="3FEC3AC7" w14:textId="16D6317B" w:rsidR="00EA5B5B" w:rsidRPr="00EA5B5B" w:rsidRDefault="00EA5B5B" w:rsidP="00EA5B5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EA5B5B">
        <w:rPr>
          <w:rFonts w:ascii="Franklin Gothic Medium" w:eastAsia="SimSun" w:hAnsi="Franklin Gothic Medium" w:cs="Times New Roman"/>
          <w:b w:val="0"/>
          <w:bCs w:val="0"/>
          <w:color w:val="000000"/>
          <w:sz w:val="32"/>
          <w:szCs w:val="26"/>
          <w:lang w:eastAsia="en-US"/>
        </w:rPr>
        <w:t>MSAC’s advice to the Minister</w:t>
      </w:r>
    </w:p>
    <w:p w14:paraId="1724ACAA" w14:textId="3DE51539" w:rsidR="00FC1A4D" w:rsidRDefault="0088629E" w:rsidP="00EA5B5B">
      <w:pPr>
        <w:pStyle w:val="5Bodytext"/>
        <w:rPr>
          <w:rFonts w:ascii="Franklin Gothic Book" w:hAnsi="Franklin Gothic Book"/>
          <w:sz w:val="22"/>
          <w:szCs w:val="22"/>
        </w:rPr>
      </w:pPr>
      <w:r w:rsidRPr="0088629E">
        <w:rPr>
          <w:rFonts w:ascii="Franklin Gothic Book" w:hAnsi="Franklin Gothic Book"/>
          <w:sz w:val="22"/>
          <w:szCs w:val="22"/>
        </w:rPr>
        <w:t xml:space="preserve">After considering the strength of the available evidence in relation to comparative safety, clinical </w:t>
      </w:r>
      <w:proofErr w:type="gramStart"/>
      <w:r w:rsidRPr="0088629E">
        <w:rPr>
          <w:rFonts w:ascii="Franklin Gothic Book" w:hAnsi="Franklin Gothic Book"/>
          <w:sz w:val="22"/>
          <w:szCs w:val="22"/>
        </w:rPr>
        <w:t>effectiveness</w:t>
      </w:r>
      <w:proofErr w:type="gramEnd"/>
      <w:r w:rsidRPr="0088629E">
        <w:rPr>
          <w:rFonts w:ascii="Franklin Gothic Book" w:hAnsi="Franklin Gothic Book"/>
          <w:sz w:val="22"/>
          <w:szCs w:val="22"/>
        </w:rPr>
        <w:t xml:space="preserve"> and cost-effectiveness, MSAC supported the creation of new MBS items for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for the treatment for medically refractory </w:t>
      </w:r>
      <w:r w:rsidR="00FC1A4D">
        <w:rPr>
          <w:rFonts w:ascii="Franklin Gothic Book" w:hAnsi="Franklin Gothic Book"/>
          <w:sz w:val="22"/>
          <w:szCs w:val="22"/>
        </w:rPr>
        <w:t>ET</w:t>
      </w:r>
      <w:r w:rsidRPr="0088629E">
        <w:rPr>
          <w:rFonts w:ascii="Franklin Gothic Book" w:hAnsi="Franklin Gothic Book"/>
          <w:sz w:val="22"/>
          <w:szCs w:val="22"/>
        </w:rPr>
        <w:t xml:space="preserve">. MSAC noted limitations in the clinical evidence but accepted that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meets an unmet need, had a different but acceptable safety </w:t>
      </w:r>
      <w:proofErr w:type="gramStart"/>
      <w:r w:rsidRPr="0088629E">
        <w:rPr>
          <w:rFonts w:ascii="Franklin Gothic Book" w:hAnsi="Franklin Gothic Book"/>
          <w:sz w:val="22"/>
          <w:szCs w:val="22"/>
        </w:rPr>
        <w:t>profile</w:t>
      </w:r>
      <w:proofErr w:type="gramEnd"/>
      <w:r w:rsidR="00C92EAE">
        <w:rPr>
          <w:rFonts w:ascii="Franklin Gothic Book" w:hAnsi="Franklin Gothic Book"/>
          <w:sz w:val="22"/>
          <w:szCs w:val="22"/>
        </w:rPr>
        <w:t xml:space="preserve"> </w:t>
      </w:r>
      <w:r w:rsidR="00406152">
        <w:rPr>
          <w:rFonts w:ascii="Franklin Gothic Book" w:hAnsi="Franklin Gothic Book"/>
          <w:sz w:val="22"/>
          <w:szCs w:val="22"/>
        </w:rPr>
        <w:t>and</w:t>
      </w:r>
      <w:r w:rsidRPr="0088629E">
        <w:rPr>
          <w:rFonts w:ascii="Franklin Gothic Book" w:hAnsi="Franklin Gothic Book"/>
          <w:sz w:val="22"/>
          <w:szCs w:val="22"/>
        </w:rPr>
        <w:t xml:space="preserve"> had non-inferior effectiveness and acceptable cost-effectiveness</w:t>
      </w:r>
      <w:r w:rsidR="006348B8">
        <w:rPr>
          <w:rFonts w:ascii="Franklin Gothic Book" w:hAnsi="Franklin Gothic Book"/>
          <w:sz w:val="22"/>
          <w:szCs w:val="22"/>
        </w:rPr>
        <w:t xml:space="preserve"> </w:t>
      </w:r>
      <w:r w:rsidRPr="0088629E">
        <w:rPr>
          <w:rFonts w:ascii="Franklin Gothic Book" w:hAnsi="Franklin Gothic Book"/>
          <w:sz w:val="22"/>
          <w:szCs w:val="22"/>
        </w:rPr>
        <w:t>compared with MBS-funded deep brain stimulation</w:t>
      </w:r>
      <w:r w:rsidR="006348B8">
        <w:rPr>
          <w:rFonts w:ascii="Franklin Gothic Book" w:hAnsi="Franklin Gothic Book"/>
          <w:sz w:val="22"/>
          <w:szCs w:val="22"/>
        </w:rPr>
        <w:t xml:space="preserve"> (DBS)</w:t>
      </w:r>
      <w:r w:rsidRPr="0088629E">
        <w:rPr>
          <w:rFonts w:ascii="Franklin Gothic Book" w:hAnsi="Franklin Gothic Book"/>
          <w:sz w:val="22"/>
          <w:szCs w:val="22"/>
        </w:rPr>
        <w:t>. MSAC advised its support was provided only if a suitable set of item descriptors and fees can be agreed upon.</w:t>
      </w:r>
    </w:p>
    <w:p w14:paraId="6497CC71" w14:textId="7453AF26" w:rsidR="00EA5B5B" w:rsidRPr="0088629E" w:rsidRDefault="0088629E" w:rsidP="00EA5B5B">
      <w:pPr>
        <w:pStyle w:val="5Bodytext"/>
        <w:rPr>
          <w:rFonts w:ascii="Franklin Gothic Book" w:hAnsi="Franklin Gothic Book"/>
          <w:sz w:val="22"/>
          <w:szCs w:val="22"/>
        </w:rPr>
      </w:pPr>
      <w:bookmarkStart w:id="0" w:name="_Hlk102724780"/>
      <w:r w:rsidRPr="00D261EA">
        <w:rPr>
          <w:rFonts w:ascii="Franklin Gothic Book" w:hAnsi="Franklin Gothic Book"/>
          <w:sz w:val="22"/>
          <w:szCs w:val="22"/>
        </w:rPr>
        <w:t xml:space="preserve">MSAC </w:t>
      </w:r>
      <w:r w:rsidR="00097590">
        <w:rPr>
          <w:rFonts w:ascii="Franklin Gothic Book" w:hAnsi="Franklin Gothic Book"/>
          <w:sz w:val="22"/>
          <w:szCs w:val="22"/>
        </w:rPr>
        <w:t>was concerned there may be high out of pocket costs to consumers as</w:t>
      </w:r>
      <w:r w:rsidR="00097590" w:rsidRPr="00097590">
        <w:rPr>
          <w:rFonts w:ascii="Franklin Gothic Book" w:hAnsi="Franklin Gothic Book"/>
          <w:sz w:val="22"/>
          <w:szCs w:val="22"/>
        </w:rPr>
        <w:t xml:space="preserve"> it was unclear whether the cost of certain </w:t>
      </w:r>
      <w:r w:rsidR="00097590">
        <w:rPr>
          <w:rFonts w:ascii="Franklin Gothic Book" w:hAnsi="Franklin Gothic Book"/>
          <w:sz w:val="22"/>
          <w:szCs w:val="22"/>
        </w:rPr>
        <w:t xml:space="preserve">device </w:t>
      </w:r>
      <w:r w:rsidR="00097590" w:rsidRPr="00097590">
        <w:rPr>
          <w:rFonts w:ascii="Franklin Gothic Book" w:hAnsi="Franklin Gothic Book"/>
          <w:sz w:val="22"/>
          <w:szCs w:val="22"/>
        </w:rPr>
        <w:t>consumables used with</w:t>
      </w:r>
      <w:r w:rsidR="00097590">
        <w:rPr>
          <w:rFonts w:ascii="Franklin Gothic Book" w:hAnsi="Franklin Gothic Book"/>
          <w:sz w:val="22"/>
          <w:szCs w:val="22"/>
        </w:rPr>
        <w:t xml:space="preserve"> the</w:t>
      </w:r>
      <w:r w:rsidR="00097590" w:rsidRPr="00097590">
        <w:rPr>
          <w:rFonts w:ascii="Franklin Gothic Book" w:hAnsi="Franklin Gothic Book"/>
          <w:sz w:val="22"/>
          <w:szCs w:val="22"/>
        </w:rPr>
        <w:t xml:space="preserve"> </w:t>
      </w:r>
      <w:r w:rsidR="00097590">
        <w:rPr>
          <w:rFonts w:ascii="Franklin Gothic Book" w:hAnsi="Franklin Gothic Book"/>
          <w:sz w:val="22"/>
          <w:szCs w:val="22"/>
        </w:rPr>
        <w:t>procedure</w:t>
      </w:r>
      <w:r w:rsidR="00097590" w:rsidRPr="00097590">
        <w:rPr>
          <w:rFonts w:ascii="Franklin Gothic Book" w:hAnsi="Franklin Gothic Book"/>
          <w:sz w:val="22"/>
          <w:szCs w:val="22"/>
        </w:rPr>
        <w:t xml:space="preserve"> could be covered by the Prostheses List.</w:t>
      </w:r>
    </w:p>
    <w:tbl>
      <w:tblPr>
        <w:tblStyle w:val="TableGrid"/>
        <w:tblW w:w="0" w:type="auto"/>
        <w:tblLook w:val="04A0" w:firstRow="1" w:lastRow="0" w:firstColumn="1" w:lastColumn="0" w:noHBand="0" w:noVBand="1"/>
        <w:tblDescription w:val="Consumer summary of MSAC consideration"/>
      </w:tblPr>
      <w:tblGrid>
        <w:gridCol w:w="9016"/>
      </w:tblGrid>
      <w:tr w:rsidR="00EA5B5B" w:rsidRPr="00EA5B5B" w14:paraId="4662D431" w14:textId="77777777" w:rsidTr="009F591F">
        <w:trPr>
          <w:tblHeader/>
        </w:trPr>
        <w:tc>
          <w:tcPr>
            <w:tcW w:w="9016" w:type="dxa"/>
          </w:tcPr>
          <w:bookmarkEnd w:id="0"/>
          <w:p w14:paraId="05B686ED" w14:textId="77777777" w:rsidR="00EA5B5B" w:rsidRPr="0088629E" w:rsidRDefault="00EA5B5B" w:rsidP="00EA5B5B">
            <w:pPr>
              <w:keepNext/>
              <w:keepLines/>
              <w:tabs>
                <w:tab w:val="left" w:pos="851"/>
              </w:tabs>
              <w:spacing w:before="120" w:after="120"/>
              <w:outlineLvl w:val="2"/>
              <w:rPr>
                <w:rFonts w:ascii="Franklin Gothic Book" w:eastAsia="Calibri" w:hAnsi="Franklin Gothic Book"/>
                <w:b/>
                <w:bCs/>
                <w:iCs/>
                <w:szCs w:val="22"/>
                <w:lang w:eastAsia="en-US"/>
              </w:rPr>
            </w:pPr>
            <w:r w:rsidRPr="0088629E">
              <w:rPr>
                <w:rFonts w:ascii="Franklin Gothic Medium" w:eastAsia="SimSun" w:hAnsi="Franklin Gothic Medium"/>
                <w:b/>
                <w:bCs/>
                <w:szCs w:val="22"/>
                <w:lang w:eastAsia="en-US"/>
              </w:rPr>
              <w:t>Consumer summary</w:t>
            </w:r>
          </w:p>
        </w:tc>
      </w:tr>
      <w:tr w:rsidR="00EA5B5B" w:rsidRPr="00EA5B5B" w14:paraId="238CB31B" w14:textId="77777777" w:rsidTr="009F591F">
        <w:tc>
          <w:tcPr>
            <w:tcW w:w="9016" w:type="dxa"/>
          </w:tcPr>
          <w:p w14:paraId="0440C1E8" w14:textId="77777777" w:rsidR="0088629E" w:rsidRPr="0088629E" w:rsidRDefault="0088629E" w:rsidP="0088629E">
            <w:pPr>
              <w:autoSpaceDE w:val="0"/>
              <w:autoSpaceDN w:val="0"/>
              <w:adjustRightInd w:val="0"/>
              <w:spacing w:after="240"/>
              <w:rPr>
                <w:rFonts w:ascii="Franklin Gothic Book" w:eastAsia="Calibri" w:hAnsi="Franklin Gothic Book"/>
                <w:iCs/>
                <w:szCs w:val="22"/>
                <w:lang w:eastAsia="en-US"/>
              </w:rPr>
            </w:pPr>
            <w:r w:rsidRPr="0088629E">
              <w:rPr>
                <w:rFonts w:ascii="Franklin Gothic Book" w:eastAsia="Calibri" w:hAnsi="Franklin Gothic Book"/>
                <w:iCs/>
                <w:szCs w:val="22"/>
                <w:lang w:eastAsia="en-US"/>
              </w:rPr>
              <w:t xml:space="preserve">MSAC noted that this application from </w:t>
            </w:r>
            <w:proofErr w:type="spellStart"/>
            <w:r w:rsidRPr="0088629E">
              <w:rPr>
                <w:rFonts w:ascii="Franklin Gothic Book" w:eastAsia="Calibri" w:hAnsi="Franklin Gothic Book"/>
                <w:iCs/>
                <w:szCs w:val="22"/>
                <w:lang w:eastAsia="en-US"/>
              </w:rPr>
              <w:t>Insightec</w:t>
            </w:r>
            <w:proofErr w:type="spellEnd"/>
            <w:r w:rsidRPr="0088629E">
              <w:rPr>
                <w:rFonts w:ascii="Franklin Gothic Book" w:eastAsia="Calibri" w:hAnsi="Franklin Gothic Book"/>
                <w:iCs/>
                <w:szCs w:val="22"/>
                <w:lang w:eastAsia="en-US"/>
              </w:rPr>
              <w:t xml:space="preserve"> Ltd was a resubmission requesting Medicare Benefits Schedule (MBS) listing of magnetic resonance-guided focused ultrasound (</w:t>
            </w:r>
            <w:proofErr w:type="spellStart"/>
            <w:r w:rsidRPr="0088629E">
              <w:rPr>
                <w:rFonts w:ascii="Franklin Gothic Book" w:eastAsia="Calibri" w:hAnsi="Franklin Gothic Book"/>
                <w:iCs/>
                <w:szCs w:val="22"/>
                <w:lang w:eastAsia="en-US"/>
              </w:rPr>
              <w:t>MRgFUS</w:t>
            </w:r>
            <w:proofErr w:type="spellEnd"/>
            <w:r w:rsidRPr="0088629E">
              <w:rPr>
                <w:rFonts w:ascii="Franklin Gothic Book" w:eastAsia="Calibri" w:hAnsi="Franklin Gothic Book"/>
                <w:iCs/>
                <w:szCs w:val="22"/>
                <w:lang w:eastAsia="en-US"/>
              </w:rPr>
              <w:t>) for the treatment of medically refractory essential tremor.</w:t>
            </w:r>
          </w:p>
          <w:p w14:paraId="435B8A1E" w14:textId="6EA90A2C" w:rsidR="0088629E" w:rsidRPr="0088629E" w:rsidRDefault="0088629E" w:rsidP="0088629E">
            <w:pPr>
              <w:autoSpaceDE w:val="0"/>
              <w:autoSpaceDN w:val="0"/>
              <w:adjustRightInd w:val="0"/>
              <w:spacing w:after="240"/>
              <w:rPr>
                <w:rFonts w:ascii="Franklin Gothic Book" w:eastAsia="Calibri" w:hAnsi="Franklin Gothic Book"/>
                <w:iCs/>
                <w:szCs w:val="22"/>
                <w:lang w:eastAsia="en-US"/>
              </w:rPr>
            </w:pPr>
            <w:r w:rsidRPr="0088629E">
              <w:rPr>
                <w:rFonts w:ascii="Franklin Gothic Book" w:eastAsia="Calibri" w:hAnsi="Franklin Gothic Book"/>
                <w:iCs/>
                <w:szCs w:val="22"/>
                <w:lang w:eastAsia="en-US"/>
              </w:rPr>
              <w:t xml:space="preserve">Essential tremor is a chronic, progressive condition that affects the neurological system (the nerves and nervous system). It is characterised by involuntary, rhythmic, back-and-forth tremors, usually of the arms, hands or fingers, that </w:t>
            </w:r>
            <w:r w:rsidR="00406152">
              <w:rPr>
                <w:rFonts w:ascii="Franklin Gothic Book" w:eastAsia="Calibri" w:hAnsi="Franklin Gothic Book"/>
                <w:iCs/>
                <w:szCs w:val="22"/>
                <w:lang w:eastAsia="en-US"/>
              </w:rPr>
              <w:t>does not have an underlying cause</w:t>
            </w:r>
            <w:r w:rsidRPr="0088629E">
              <w:rPr>
                <w:rFonts w:ascii="Franklin Gothic Book" w:eastAsia="Calibri" w:hAnsi="Franklin Gothic Book"/>
                <w:iCs/>
                <w:szCs w:val="22"/>
                <w:lang w:eastAsia="en-US"/>
              </w:rPr>
              <w:t xml:space="preserve"> (</w:t>
            </w:r>
            <w:proofErr w:type="gramStart"/>
            <w:r w:rsidRPr="0088629E">
              <w:rPr>
                <w:rFonts w:ascii="Franklin Gothic Book" w:eastAsia="Calibri" w:hAnsi="Franklin Gothic Book"/>
                <w:iCs/>
                <w:szCs w:val="22"/>
                <w:lang w:eastAsia="en-US"/>
              </w:rPr>
              <w:t>e.g.</w:t>
            </w:r>
            <w:proofErr w:type="gramEnd"/>
            <w:r w:rsidRPr="0088629E">
              <w:rPr>
                <w:rFonts w:ascii="Franklin Gothic Book" w:eastAsia="Calibri" w:hAnsi="Franklin Gothic Book"/>
                <w:iCs/>
                <w:szCs w:val="22"/>
                <w:lang w:eastAsia="en-US"/>
              </w:rPr>
              <w:t xml:space="preserve"> Parkinson’s disease). Severe cases of essential tremor can significantly impact everyday life, affecting a person’s ability to eat, perform household activities and function in the workplace. It can be treated with deep brain stimulation, which is an invasive </w:t>
            </w:r>
            <w:r w:rsidR="00406152">
              <w:rPr>
                <w:rFonts w:ascii="Franklin Gothic Book" w:eastAsia="Calibri" w:hAnsi="Franklin Gothic Book"/>
                <w:iCs/>
                <w:szCs w:val="22"/>
                <w:lang w:eastAsia="en-US"/>
              </w:rPr>
              <w:t xml:space="preserve">operation on the </w:t>
            </w:r>
            <w:r w:rsidRPr="0088629E">
              <w:rPr>
                <w:rFonts w:ascii="Franklin Gothic Book" w:eastAsia="Calibri" w:hAnsi="Franklin Gothic Book"/>
                <w:iCs/>
                <w:szCs w:val="22"/>
                <w:lang w:eastAsia="en-US"/>
              </w:rPr>
              <w:t>brain</w:t>
            </w:r>
            <w:r w:rsidR="00A82106">
              <w:rPr>
                <w:rFonts w:ascii="Franklin Gothic Book" w:eastAsia="Calibri" w:hAnsi="Franklin Gothic Book"/>
                <w:iCs/>
                <w:szCs w:val="22"/>
                <w:lang w:eastAsia="en-US"/>
              </w:rPr>
              <w:t xml:space="preserve"> (</w:t>
            </w:r>
            <w:proofErr w:type="gramStart"/>
            <w:r w:rsidR="00A82106">
              <w:rPr>
                <w:rFonts w:ascii="Franklin Gothic Book" w:eastAsia="Calibri" w:hAnsi="Franklin Gothic Book"/>
                <w:iCs/>
                <w:szCs w:val="22"/>
                <w:lang w:eastAsia="en-US"/>
              </w:rPr>
              <w:t>i.e.</w:t>
            </w:r>
            <w:proofErr w:type="gramEnd"/>
            <w:r w:rsidR="00A82106">
              <w:rPr>
                <w:rFonts w:ascii="Franklin Gothic Book" w:eastAsia="Calibri" w:hAnsi="Franklin Gothic Book"/>
                <w:iCs/>
                <w:szCs w:val="22"/>
                <w:lang w:eastAsia="en-US"/>
              </w:rPr>
              <w:t xml:space="preserve"> a form of surgery)</w:t>
            </w:r>
            <w:r w:rsidRPr="0088629E">
              <w:rPr>
                <w:rFonts w:ascii="Franklin Gothic Book" w:eastAsia="Calibri" w:hAnsi="Franklin Gothic Book"/>
                <w:iCs/>
                <w:szCs w:val="22"/>
                <w:lang w:eastAsia="en-US"/>
              </w:rPr>
              <w:t xml:space="preserve"> but not everyone responds to this treatment. Also, some people </w:t>
            </w:r>
            <w:r w:rsidR="00406152">
              <w:rPr>
                <w:rFonts w:ascii="Franklin Gothic Book" w:eastAsia="Calibri" w:hAnsi="Franklin Gothic Book"/>
                <w:iCs/>
                <w:szCs w:val="22"/>
                <w:lang w:eastAsia="en-US"/>
              </w:rPr>
              <w:t xml:space="preserve">cannot, or </w:t>
            </w:r>
            <w:r w:rsidRPr="0088629E">
              <w:rPr>
                <w:rFonts w:ascii="Franklin Gothic Book" w:eastAsia="Calibri" w:hAnsi="Franklin Gothic Book"/>
                <w:iCs/>
                <w:szCs w:val="22"/>
                <w:lang w:eastAsia="en-US"/>
              </w:rPr>
              <w:t>do not want to undergo brain surgery.</w:t>
            </w:r>
          </w:p>
          <w:p w14:paraId="29CE7A84" w14:textId="65F837F0" w:rsidR="0088629E" w:rsidRPr="0088629E" w:rsidRDefault="0088629E" w:rsidP="0088629E">
            <w:pPr>
              <w:autoSpaceDE w:val="0"/>
              <w:autoSpaceDN w:val="0"/>
              <w:adjustRightInd w:val="0"/>
              <w:spacing w:after="240"/>
              <w:rPr>
                <w:rFonts w:ascii="Franklin Gothic Book" w:eastAsia="Calibri" w:hAnsi="Franklin Gothic Book"/>
                <w:iCs/>
                <w:szCs w:val="22"/>
                <w:lang w:eastAsia="en-US"/>
              </w:rPr>
            </w:pPr>
            <w:proofErr w:type="spellStart"/>
            <w:r w:rsidRPr="0088629E">
              <w:rPr>
                <w:rFonts w:ascii="Franklin Gothic Book" w:eastAsia="Calibri" w:hAnsi="Franklin Gothic Book"/>
                <w:iCs/>
                <w:szCs w:val="22"/>
                <w:lang w:eastAsia="en-US"/>
              </w:rPr>
              <w:lastRenderedPageBreak/>
              <w:t>MRgFUS</w:t>
            </w:r>
            <w:proofErr w:type="spellEnd"/>
            <w:r w:rsidRPr="0088629E">
              <w:rPr>
                <w:rFonts w:ascii="Franklin Gothic Book" w:eastAsia="Calibri" w:hAnsi="Franklin Gothic Book"/>
                <w:iCs/>
                <w:szCs w:val="22"/>
                <w:lang w:eastAsia="en-US"/>
              </w:rPr>
              <w:t xml:space="preserve"> is a non-invasive</w:t>
            </w:r>
            <w:r w:rsidR="00F46C7F">
              <w:rPr>
                <w:rFonts w:ascii="Franklin Gothic Book" w:eastAsia="Calibri" w:hAnsi="Franklin Gothic Book"/>
                <w:iCs/>
                <w:szCs w:val="22"/>
                <w:lang w:eastAsia="en-US"/>
              </w:rPr>
              <w:t xml:space="preserve"> (</w:t>
            </w:r>
            <w:proofErr w:type="gramStart"/>
            <w:r w:rsidR="00F46C7F">
              <w:rPr>
                <w:rFonts w:ascii="Franklin Gothic Book" w:eastAsia="Calibri" w:hAnsi="Franklin Gothic Book"/>
                <w:iCs/>
                <w:szCs w:val="22"/>
                <w:lang w:eastAsia="en-US"/>
              </w:rPr>
              <w:t>i.e.</w:t>
            </w:r>
            <w:proofErr w:type="gramEnd"/>
            <w:r w:rsidR="00F46C7F">
              <w:rPr>
                <w:rFonts w:ascii="Franklin Gothic Book" w:eastAsia="Calibri" w:hAnsi="Franklin Gothic Book"/>
                <w:iCs/>
                <w:szCs w:val="22"/>
                <w:lang w:eastAsia="en-US"/>
              </w:rPr>
              <w:t xml:space="preserve"> non-surgical)</w:t>
            </w:r>
            <w:r w:rsidRPr="0088629E">
              <w:rPr>
                <w:rFonts w:ascii="Franklin Gothic Book" w:eastAsia="Calibri" w:hAnsi="Franklin Gothic Book"/>
                <w:iCs/>
                <w:szCs w:val="22"/>
                <w:lang w:eastAsia="en-US"/>
              </w:rPr>
              <w:t xml:space="preserve">, one-step method to treat essential tremor that has not responded to treatment (i.e. is medically refractory). It combines </w:t>
            </w:r>
            <w:r w:rsidR="00406152" w:rsidRPr="0088629E">
              <w:rPr>
                <w:rFonts w:ascii="Franklin Gothic Book" w:eastAsia="Calibri" w:hAnsi="Franklin Gothic Book"/>
                <w:iCs/>
                <w:szCs w:val="22"/>
                <w:lang w:eastAsia="en-US"/>
              </w:rPr>
              <w:t xml:space="preserve">magnetic resonance imaging (MRI) </w:t>
            </w:r>
            <w:r w:rsidRPr="0088629E">
              <w:rPr>
                <w:rFonts w:ascii="Franklin Gothic Book" w:eastAsia="Calibri" w:hAnsi="Franklin Gothic Book"/>
                <w:iCs/>
                <w:szCs w:val="22"/>
                <w:lang w:eastAsia="en-US"/>
              </w:rPr>
              <w:t>and</w:t>
            </w:r>
            <w:r w:rsidR="00406152">
              <w:rPr>
                <w:rFonts w:ascii="Franklin Gothic Book" w:eastAsia="Calibri" w:hAnsi="Franklin Gothic Book"/>
                <w:iCs/>
                <w:szCs w:val="22"/>
                <w:lang w:eastAsia="en-US"/>
              </w:rPr>
              <w:t xml:space="preserve"> </w:t>
            </w:r>
            <w:r w:rsidR="00406152" w:rsidRPr="0088629E">
              <w:rPr>
                <w:rFonts w:ascii="Franklin Gothic Book" w:eastAsia="Calibri" w:hAnsi="Franklin Gothic Book"/>
                <w:iCs/>
                <w:szCs w:val="22"/>
                <w:lang w:eastAsia="en-US"/>
              </w:rPr>
              <w:t xml:space="preserve">ultrasound pulses </w:t>
            </w:r>
            <w:r w:rsidRPr="0088629E">
              <w:rPr>
                <w:rFonts w:ascii="Franklin Gothic Book" w:eastAsia="Calibri" w:hAnsi="Franklin Gothic Book"/>
                <w:iCs/>
                <w:szCs w:val="22"/>
                <w:lang w:eastAsia="en-US"/>
              </w:rPr>
              <w:t xml:space="preserve">to heat and </w:t>
            </w:r>
            <w:r w:rsidR="00406152">
              <w:rPr>
                <w:rFonts w:ascii="Franklin Gothic Book" w:eastAsia="Calibri" w:hAnsi="Franklin Gothic Book"/>
                <w:iCs/>
                <w:szCs w:val="22"/>
                <w:lang w:eastAsia="en-US"/>
              </w:rPr>
              <w:t xml:space="preserve">only </w:t>
            </w:r>
            <w:r w:rsidRPr="0088629E">
              <w:rPr>
                <w:rFonts w:ascii="Franklin Gothic Book" w:eastAsia="Calibri" w:hAnsi="Franklin Gothic Book"/>
                <w:iCs/>
                <w:szCs w:val="22"/>
                <w:lang w:eastAsia="en-US"/>
              </w:rPr>
              <w:t>destroy a specific area of brain tissue</w:t>
            </w:r>
            <w:r w:rsidR="00406152">
              <w:rPr>
                <w:rFonts w:ascii="Franklin Gothic Book" w:eastAsia="Calibri" w:hAnsi="Franklin Gothic Book"/>
                <w:iCs/>
                <w:szCs w:val="22"/>
                <w:lang w:eastAsia="en-US"/>
              </w:rPr>
              <w:t xml:space="preserve"> that is the source of tremor</w:t>
            </w:r>
            <w:r w:rsidRPr="0088629E">
              <w:rPr>
                <w:rFonts w:ascii="Franklin Gothic Book" w:eastAsia="Calibri" w:hAnsi="Franklin Gothic Book"/>
                <w:iCs/>
                <w:szCs w:val="22"/>
                <w:lang w:eastAsia="en-US"/>
              </w:rPr>
              <w:t xml:space="preserve"> (the </w:t>
            </w:r>
            <w:proofErr w:type="spellStart"/>
            <w:r w:rsidRPr="0088629E">
              <w:rPr>
                <w:rFonts w:ascii="Franklin Gothic Book" w:eastAsia="Calibri" w:hAnsi="Franklin Gothic Book"/>
                <w:iCs/>
                <w:szCs w:val="22"/>
                <w:lang w:eastAsia="en-US"/>
              </w:rPr>
              <w:t>ventralis</w:t>
            </w:r>
            <w:proofErr w:type="spellEnd"/>
            <w:r w:rsidRPr="0088629E">
              <w:rPr>
                <w:rFonts w:ascii="Franklin Gothic Book" w:eastAsia="Calibri" w:hAnsi="Franklin Gothic Book"/>
                <w:iCs/>
                <w:szCs w:val="22"/>
                <w:lang w:eastAsia="en-US"/>
              </w:rPr>
              <w:t xml:space="preserve"> intermediate nucleus of the thalamus). This interrupts the abnormal activity associated with essential tremor.</w:t>
            </w:r>
          </w:p>
          <w:p w14:paraId="713ED6B8" w14:textId="606EB57B" w:rsidR="0088629E" w:rsidRPr="0088629E" w:rsidRDefault="00406152" w:rsidP="0088629E">
            <w:pPr>
              <w:autoSpaceDE w:val="0"/>
              <w:autoSpaceDN w:val="0"/>
              <w:adjustRightInd w:val="0"/>
              <w:spacing w:after="240"/>
              <w:rPr>
                <w:rFonts w:ascii="Franklin Gothic Book" w:eastAsia="Calibri" w:hAnsi="Franklin Gothic Book"/>
                <w:iCs/>
                <w:szCs w:val="22"/>
                <w:lang w:eastAsia="en-US"/>
              </w:rPr>
            </w:pPr>
            <w:r>
              <w:rPr>
                <w:rFonts w:ascii="Franklin Gothic Book" w:eastAsia="Calibri" w:hAnsi="Franklin Gothic Book"/>
                <w:iCs/>
                <w:szCs w:val="22"/>
                <w:lang w:eastAsia="en-US"/>
              </w:rPr>
              <w:t>Despite</w:t>
            </w:r>
            <w:r w:rsidR="003D5F8D">
              <w:rPr>
                <w:rFonts w:ascii="Franklin Gothic Book" w:eastAsia="Calibri" w:hAnsi="Franklin Gothic Book"/>
                <w:iCs/>
                <w:szCs w:val="22"/>
                <w:lang w:eastAsia="en-US"/>
              </w:rPr>
              <w:t xml:space="preserve"> the limitations of existing clinical evidence </w:t>
            </w:r>
            <w:r w:rsidR="00AE6770">
              <w:rPr>
                <w:rFonts w:ascii="Franklin Gothic Book" w:eastAsia="Calibri" w:hAnsi="Franklin Gothic Book"/>
                <w:iCs/>
                <w:szCs w:val="22"/>
                <w:lang w:eastAsia="en-US"/>
              </w:rPr>
              <w:t xml:space="preserve">allowing for direct comparisons between </w:t>
            </w:r>
            <w:proofErr w:type="spellStart"/>
            <w:r w:rsidR="00AE6770">
              <w:rPr>
                <w:rFonts w:ascii="Franklin Gothic Book" w:eastAsia="Calibri" w:hAnsi="Franklin Gothic Book"/>
                <w:iCs/>
                <w:szCs w:val="22"/>
                <w:lang w:eastAsia="en-US"/>
              </w:rPr>
              <w:t>MRgFUS</w:t>
            </w:r>
            <w:proofErr w:type="spellEnd"/>
            <w:r w:rsidR="00AE6770">
              <w:rPr>
                <w:rFonts w:ascii="Franklin Gothic Book" w:eastAsia="Calibri" w:hAnsi="Franklin Gothic Book"/>
                <w:iCs/>
                <w:szCs w:val="22"/>
                <w:lang w:eastAsia="en-US"/>
              </w:rPr>
              <w:t xml:space="preserve"> and deep brain stimulation surgery </w:t>
            </w:r>
            <w:r w:rsidR="003D5F8D">
              <w:rPr>
                <w:rFonts w:ascii="Franklin Gothic Book" w:eastAsia="Calibri" w:hAnsi="Franklin Gothic Book"/>
                <w:iCs/>
                <w:szCs w:val="22"/>
                <w:lang w:eastAsia="en-US"/>
              </w:rPr>
              <w:t xml:space="preserve">on safety and effectiveness, </w:t>
            </w:r>
            <w:r w:rsidR="0088629E" w:rsidRPr="0088629E">
              <w:rPr>
                <w:rFonts w:ascii="Franklin Gothic Book" w:eastAsia="Calibri" w:hAnsi="Franklin Gothic Book"/>
                <w:iCs/>
                <w:szCs w:val="22"/>
                <w:lang w:eastAsia="en-US"/>
              </w:rPr>
              <w:t xml:space="preserve">MSAC recognised that </w:t>
            </w:r>
            <w:proofErr w:type="spellStart"/>
            <w:r w:rsidR="0088629E" w:rsidRPr="0088629E">
              <w:rPr>
                <w:rFonts w:ascii="Franklin Gothic Book" w:eastAsia="Calibri" w:hAnsi="Franklin Gothic Book"/>
                <w:iCs/>
                <w:szCs w:val="22"/>
                <w:lang w:eastAsia="en-US"/>
              </w:rPr>
              <w:t>MRgFUS</w:t>
            </w:r>
            <w:proofErr w:type="spellEnd"/>
            <w:r w:rsidR="0088629E" w:rsidRPr="0088629E">
              <w:rPr>
                <w:rFonts w:ascii="Franklin Gothic Book" w:eastAsia="Calibri" w:hAnsi="Franklin Gothic Book"/>
                <w:iCs/>
                <w:szCs w:val="22"/>
                <w:lang w:eastAsia="en-US"/>
              </w:rPr>
              <w:t xml:space="preserve"> addressed an unmet clinical need, </w:t>
            </w:r>
            <w:r>
              <w:rPr>
                <w:rFonts w:ascii="Franklin Gothic Book" w:eastAsia="Calibri" w:hAnsi="Franklin Gothic Book"/>
                <w:iCs/>
                <w:szCs w:val="22"/>
                <w:lang w:eastAsia="en-US"/>
              </w:rPr>
              <w:t xml:space="preserve">as it </w:t>
            </w:r>
            <w:r w:rsidR="0088629E" w:rsidRPr="0088629E">
              <w:rPr>
                <w:rFonts w:ascii="Franklin Gothic Book" w:eastAsia="Calibri" w:hAnsi="Franklin Gothic Book"/>
                <w:iCs/>
                <w:szCs w:val="22"/>
                <w:lang w:eastAsia="en-US"/>
              </w:rPr>
              <w:t>provid</w:t>
            </w:r>
            <w:r>
              <w:rPr>
                <w:rFonts w:ascii="Franklin Gothic Book" w:eastAsia="Calibri" w:hAnsi="Franklin Gothic Book"/>
                <w:iCs/>
                <w:szCs w:val="22"/>
                <w:lang w:eastAsia="en-US"/>
              </w:rPr>
              <w:t>es</w:t>
            </w:r>
            <w:r w:rsidR="0088629E" w:rsidRPr="0088629E">
              <w:rPr>
                <w:rFonts w:ascii="Franklin Gothic Book" w:eastAsia="Calibri" w:hAnsi="Franklin Gothic Book"/>
                <w:iCs/>
                <w:szCs w:val="22"/>
                <w:lang w:eastAsia="en-US"/>
              </w:rPr>
              <w:t xml:space="preserve"> patients with the choice of a procedure that is more effective than best supportive care, but less invasive and just as effective as deep brain stimulation surgery, </w:t>
            </w:r>
            <w:r w:rsidR="008C5E6C">
              <w:rPr>
                <w:rFonts w:ascii="Franklin Gothic Book" w:eastAsia="Calibri" w:hAnsi="Franklin Gothic Book"/>
                <w:iCs/>
                <w:szCs w:val="22"/>
                <w:lang w:eastAsia="en-US"/>
              </w:rPr>
              <w:t xml:space="preserve">but </w:t>
            </w:r>
            <w:r w:rsidR="0088629E" w:rsidRPr="0088629E">
              <w:rPr>
                <w:rFonts w:ascii="Franklin Gothic Book" w:eastAsia="Calibri" w:hAnsi="Franklin Gothic Book"/>
                <w:iCs/>
                <w:szCs w:val="22"/>
                <w:lang w:eastAsia="en-US"/>
              </w:rPr>
              <w:t>with</w:t>
            </w:r>
            <w:r>
              <w:rPr>
                <w:rFonts w:ascii="Franklin Gothic Book" w:eastAsia="Calibri" w:hAnsi="Franklin Gothic Book"/>
                <w:iCs/>
                <w:szCs w:val="22"/>
                <w:lang w:eastAsia="en-US"/>
              </w:rPr>
              <w:t xml:space="preserve"> </w:t>
            </w:r>
            <w:r w:rsidR="008C5E6C">
              <w:rPr>
                <w:rFonts w:ascii="Franklin Gothic Book" w:eastAsia="Calibri" w:hAnsi="Franklin Gothic Book"/>
                <w:iCs/>
                <w:szCs w:val="22"/>
                <w:lang w:eastAsia="en-US"/>
              </w:rPr>
              <w:t xml:space="preserve">a </w:t>
            </w:r>
            <w:r>
              <w:rPr>
                <w:rFonts w:ascii="Franklin Gothic Book" w:eastAsia="Calibri" w:hAnsi="Franklin Gothic Book"/>
                <w:iCs/>
                <w:szCs w:val="22"/>
                <w:lang w:eastAsia="en-US"/>
              </w:rPr>
              <w:t>different</w:t>
            </w:r>
            <w:r w:rsidR="008C5E6C">
              <w:rPr>
                <w:rFonts w:ascii="Franklin Gothic Book" w:eastAsia="Calibri" w:hAnsi="Franklin Gothic Book"/>
                <w:iCs/>
                <w:szCs w:val="22"/>
                <w:lang w:eastAsia="en-US"/>
              </w:rPr>
              <w:t xml:space="preserve"> pattern of</w:t>
            </w:r>
            <w:r w:rsidR="0088629E" w:rsidRPr="0088629E">
              <w:rPr>
                <w:rFonts w:ascii="Franklin Gothic Book" w:eastAsia="Calibri" w:hAnsi="Franklin Gothic Book"/>
                <w:iCs/>
                <w:szCs w:val="22"/>
                <w:lang w:eastAsia="en-US"/>
              </w:rPr>
              <w:t xml:space="preserve"> safety concerns. MSAC also acknowledged that </w:t>
            </w:r>
            <w:proofErr w:type="spellStart"/>
            <w:r w:rsidR="0088629E" w:rsidRPr="0088629E">
              <w:rPr>
                <w:rFonts w:ascii="Franklin Gothic Book" w:eastAsia="Calibri" w:hAnsi="Franklin Gothic Book"/>
                <w:iCs/>
                <w:szCs w:val="22"/>
                <w:lang w:eastAsia="en-US"/>
              </w:rPr>
              <w:t>MRgFUS</w:t>
            </w:r>
            <w:proofErr w:type="spellEnd"/>
            <w:r w:rsidR="0088629E" w:rsidRPr="0088629E">
              <w:rPr>
                <w:rFonts w:ascii="Franklin Gothic Book" w:eastAsia="Calibri" w:hAnsi="Franklin Gothic Book"/>
                <w:iCs/>
                <w:szCs w:val="22"/>
                <w:lang w:eastAsia="en-US"/>
              </w:rPr>
              <w:t xml:space="preserve"> had acceptable cost-effectiveness compared with</w:t>
            </w:r>
            <w:r w:rsidR="003D5F8D">
              <w:rPr>
                <w:rFonts w:ascii="Franklin Gothic Book" w:eastAsia="Calibri" w:hAnsi="Franklin Gothic Book"/>
                <w:iCs/>
                <w:szCs w:val="22"/>
                <w:lang w:eastAsia="en-US"/>
              </w:rPr>
              <w:t xml:space="preserve"> </w:t>
            </w:r>
            <w:r w:rsidR="003D5F8D" w:rsidRPr="0088629E">
              <w:rPr>
                <w:rFonts w:ascii="Franklin Gothic Book" w:eastAsia="Calibri" w:hAnsi="Franklin Gothic Book"/>
                <w:iCs/>
                <w:szCs w:val="22"/>
                <w:lang w:eastAsia="en-US"/>
              </w:rPr>
              <w:t>deep brain stimulation</w:t>
            </w:r>
            <w:r w:rsidR="0088629E" w:rsidRPr="0088629E">
              <w:rPr>
                <w:rFonts w:ascii="Franklin Gothic Book" w:eastAsia="Calibri" w:hAnsi="Franklin Gothic Book"/>
                <w:iCs/>
                <w:szCs w:val="22"/>
                <w:lang w:eastAsia="en-US"/>
              </w:rPr>
              <w:t xml:space="preserve"> surgery.</w:t>
            </w:r>
          </w:p>
          <w:p w14:paraId="7A47B462" w14:textId="4424B797" w:rsidR="0088629E" w:rsidRDefault="0088629E" w:rsidP="0088629E">
            <w:pPr>
              <w:keepNext/>
              <w:keepLines/>
              <w:tabs>
                <w:tab w:val="left" w:pos="851"/>
              </w:tabs>
              <w:spacing w:before="120" w:after="120"/>
              <w:outlineLvl w:val="2"/>
              <w:rPr>
                <w:rFonts w:ascii="Franklin Gothic Book" w:eastAsia="Calibri" w:hAnsi="Franklin Gothic Book"/>
                <w:iCs/>
                <w:szCs w:val="22"/>
                <w:lang w:eastAsia="en-US"/>
              </w:rPr>
            </w:pPr>
            <w:r w:rsidRPr="0088629E">
              <w:rPr>
                <w:rFonts w:ascii="Franklin Gothic Book" w:eastAsia="Calibri" w:hAnsi="Franklin Gothic Book"/>
                <w:iCs/>
                <w:szCs w:val="22"/>
                <w:lang w:eastAsia="en-US"/>
              </w:rPr>
              <w:t>However, MSAC advised that the proposed item descriptors and fees need further refinement and justification before it could be listed. It also questioned who would pay for the high cost of consumables for the procedure</w:t>
            </w:r>
            <w:r w:rsidR="003D5F8D">
              <w:rPr>
                <w:rFonts w:ascii="Franklin Gothic Book" w:eastAsia="Calibri" w:hAnsi="Franklin Gothic Book"/>
                <w:iCs/>
                <w:szCs w:val="22"/>
                <w:lang w:eastAsia="en-US"/>
              </w:rPr>
              <w:t xml:space="preserve"> which comprise a significant </w:t>
            </w:r>
            <w:r w:rsidR="008C5E6C">
              <w:rPr>
                <w:rFonts w:ascii="Franklin Gothic Book" w:eastAsia="Calibri" w:hAnsi="Franklin Gothic Book"/>
                <w:iCs/>
                <w:szCs w:val="22"/>
                <w:lang w:eastAsia="en-US"/>
              </w:rPr>
              <w:t>proportion</w:t>
            </w:r>
            <w:r w:rsidR="003D5F8D">
              <w:rPr>
                <w:rFonts w:ascii="Franklin Gothic Book" w:eastAsia="Calibri" w:hAnsi="Franklin Gothic Book"/>
                <w:iCs/>
                <w:szCs w:val="22"/>
                <w:lang w:eastAsia="en-US"/>
              </w:rPr>
              <w:t xml:space="preserve"> of the procedure’s costs</w:t>
            </w:r>
            <w:r w:rsidR="00A82106">
              <w:rPr>
                <w:rFonts w:ascii="Franklin Gothic Book" w:eastAsia="Calibri" w:hAnsi="Franklin Gothic Book"/>
                <w:iCs/>
                <w:szCs w:val="22"/>
                <w:lang w:eastAsia="en-US"/>
              </w:rPr>
              <w:t xml:space="preserve"> given that these consumables will not attract a Medicare rebate and</w:t>
            </w:r>
            <w:r w:rsidR="00F00BF2">
              <w:rPr>
                <w:rFonts w:ascii="Franklin Gothic Book" w:eastAsia="Calibri" w:hAnsi="Franklin Gothic Book"/>
                <w:iCs/>
                <w:szCs w:val="22"/>
                <w:lang w:eastAsia="en-US"/>
              </w:rPr>
              <w:t xml:space="preserve"> may not attract a private health insurance rebate if they are not covered by the Prostheses List</w:t>
            </w:r>
            <w:r w:rsidRPr="0088629E">
              <w:rPr>
                <w:rFonts w:ascii="Franklin Gothic Book" w:eastAsia="Calibri" w:hAnsi="Franklin Gothic Book"/>
                <w:iCs/>
                <w:szCs w:val="22"/>
                <w:lang w:eastAsia="en-US"/>
              </w:rPr>
              <w:t>.</w:t>
            </w:r>
          </w:p>
          <w:p w14:paraId="54D55DA8" w14:textId="20766D31" w:rsidR="00EA5B5B" w:rsidRPr="0088629E" w:rsidRDefault="00EA5B5B" w:rsidP="0088629E">
            <w:pPr>
              <w:keepNext/>
              <w:keepLines/>
              <w:tabs>
                <w:tab w:val="left" w:pos="851"/>
              </w:tabs>
              <w:spacing w:before="120" w:after="120"/>
              <w:outlineLvl w:val="2"/>
              <w:rPr>
                <w:rFonts w:ascii="Franklin Gothic Medium" w:eastAsia="SimSun" w:hAnsi="Franklin Gothic Medium"/>
                <w:b/>
                <w:bCs/>
                <w:szCs w:val="22"/>
                <w:lang w:eastAsia="en-US"/>
              </w:rPr>
            </w:pPr>
            <w:r w:rsidRPr="0088629E">
              <w:rPr>
                <w:rFonts w:ascii="Franklin Gothic Medium" w:eastAsia="SimSun" w:hAnsi="Franklin Gothic Medium"/>
                <w:b/>
                <w:bCs/>
                <w:szCs w:val="22"/>
                <w:lang w:eastAsia="en-US"/>
              </w:rPr>
              <w:t>MSAC’s advice to the Commonwealth Minister for Health</w:t>
            </w:r>
          </w:p>
          <w:p w14:paraId="1876E06F" w14:textId="51BB1388" w:rsidR="00EA5B5B" w:rsidRPr="00EA5B5B" w:rsidRDefault="0088629E" w:rsidP="00EA5B5B">
            <w:pPr>
              <w:autoSpaceDE w:val="0"/>
              <w:autoSpaceDN w:val="0"/>
              <w:adjustRightInd w:val="0"/>
              <w:spacing w:after="240"/>
              <w:rPr>
                <w:rFonts w:ascii="Franklin Gothic Book" w:eastAsia="Calibri" w:hAnsi="Franklin Gothic Book"/>
                <w:iCs/>
                <w:szCs w:val="22"/>
                <w:lang w:eastAsia="en-US"/>
              </w:rPr>
            </w:pPr>
            <w:r w:rsidRPr="0088629E">
              <w:rPr>
                <w:rFonts w:ascii="Franklin Gothic Book" w:eastAsia="Calibri" w:hAnsi="Franklin Gothic Book"/>
                <w:iCs/>
                <w:szCs w:val="22"/>
                <w:lang w:eastAsia="en-US"/>
              </w:rPr>
              <w:t xml:space="preserve">MSAC supported the creation of new MBS items for </w:t>
            </w:r>
            <w:proofErr w:type="spellStart"/>
            <w:r w:rsidRPr="0088629E">
              <w:rPr>
                <w:rFonts w:ascii="Franklin Gothic Book" w:eastAsia="Calibri" w:hAnsi="Franklin Gothic Book"/>
                <w:iCs/>
                <w:szCs w:val="22"/>
                <w:lang w:eastAsia="en-US"/>
              </w:rPr>
              <w:t>MRgFUS</w:t>
            </w:r>
            <w:proofErr w:type="spellEnd"/>
            <w:r w:rsidRPr="0088629E">
              <w:rPr>
                <w:rFonts w:ascii="Franklin Gothic Book" w:eastAsia="Calibri" w:hAnsi="Franklin Gothic Book"/>
                <w:iCs/>
                <w:szCs w:val="22"/>
                <w:lang w:eastAsia="en-US"/>
              </w:rPr>
              <w:t xml:space="preserve"> for the treatment of medically refractory essential tremor. Noting limitations in the clinical evidence,</w:t>
            </w:r>
            <w:r w:rsidR="0094070F">
              <w:rPr>
                <w:rFonts w:ascii="Franklin Gothic Book" w:eastAsia="Calibri" w:hAnsi="Franklin Gothic Book"/>
                <w:iCs/>
                <w:szCs w:val="22"/>
                <w:lang w:eastAsia="en-US"/>
              </w:rPr>
              <w:t xml:space="preserve"> MSAC accepted that it was unlikely that better evidence would be available in</w:t>
            </w:r>
            <w:r w:rsidR="00FC1A4D">
              <w:rPr>
                <w:rFonts w:ascii="Franklin Gothic Book" w:eastAsia="Calibri" w:hAnsi="Franklin Gothic Book"/>
                <w:iCs/>
                <w:szCs w:val="22"/>
                <w:lang w:eastAsia="en-US"/>
              </w:rPr>
              <w:t xml:space="preserve"> the</w:t>
            </w:r>
            <w:r w:rsidR="0094070F">
              <w:rPr>
                <w:rFonts w:ascii="Franklin Gothic Book" w:eastAsia="Calibri" w:hAnsi="Franklin Gothic Book"/>
                <w:iCs/>
                <w:szCs w:val="22"/>
                <w:lang w:eastAsia="en-US"/>
              </w:rPr>
              <w:t xml:space="preserve"> future and therefore </w:t>
            </w:r>
            <w:r w:rsidRPr="0088629E">
              <w:rPr>
                <w:rFonts w:ascii="Franklin Gothic Book" w:eastAsia="Calibri" w:hAnsi="Franklin Gothic Book"/>
                <w:iCs/>
                <w:szCs w:val="22"/>
                <w:lang w:eastAsia="en-US"/>
              </w:rPr>
              <w:t xml:space="preserve">accepted that </w:t>
            </w:r>
            <w:proofErr w:type="spellStart"/>
            <w:r w:rsidRPr="0088629E">
              <w:rPr>
                <w:rFonts w:ascii="Franklin Gothic Book" w:eastAsia="Calibri" w:hAnsi="Franklin Gothic Book"/>
                <w:iCs/>
                <w:szCs w:val="22"/>
                <w:lang w:eastAsia="en-US"/>
              </w:rPr>
              <w:t>MRgFUS</w:t>
            </w:r>
            <w:proofErr w:type="spellEnd"/>
            <w:r w:rsidRPr="0088629E">
              <w:rPr>
                <w:rFonts w:ascii="Franklin Gothic Book" w:eastAsia="Calibri" w:hAnsi="Franklin Gothic Book"/>
                <w:iCs/>
                <w:szCs w:val="22"/>
                <w:lang w:eastAsia="en-US"/>
              </w:rPr>
              <w:t xml:space="preserve"> addressed an unmet clinical need, and was at least as effective and cost-effective as surgery, with </w:t>
            </w:r>
            <w:r w:rsidR="00AC6AEC">
              <w:rPr>
                <w:rFonts w:ascii="Franklin Gothic Book" w:eastAsia="Calibri" w:hAnsi="Franklin Gothic Book"/>
                <w:iCs/>
                <w:szCs w:val="22"/>
                <w:lang w:eastAsia="en-US"/>
              </w:rPr>
              <w:t xml:space="preserve">an </w:t>
            </w:r>
            <w:r w:rsidR="00AC6AEC" w:rsidRPr="00AC6AEC">
              <w:rPr>
                <w:rFonts w:ascii="Franklin Gothic Book" w:eastAsia="Calibri" w:hAnsi="Franklin Gothic Book"/>
                <w:iCs/>
                <w:szCs w:val="22"/>
                <w:lang w:eastAsia="en-US"/>
              </w:rPr>
              <w:t xml:space="preserve">acceptable safety profile </w:t>
            </w:r>
            <w:proofErr w:type="gramStart"/>
            <w:r w:rsidRPr="0088629E">
              <w:rPr>
                <w:rFonts w:ascii="Franklin Gothic Book" w:eastAsia="Calibri" w:hAnsi="Franklin Gothic Book"/>
                <w:iCs/>
                <w:szCs w:val="22"/>
                <w:lang w:eastAsia="en-US"/>
              </w:rPr>
              <w:t>concerns</w:t>
            </w:r>
            <w:proofErr w:type="gramEnd"/>
            <w:r w:rsidRPr="0088629E">
              <w:rPr>
                <w:rFonts w:ascii="Franklin Gothic Book" w:eastAsia="Calibri" w:hAnsi="Franklin Gothic Book"/>
                <w:iCs/>
                <w:szCs w:val="22"/>
                <w:lang w:eastAsia="en-US"/>
              </w:rPr>
              <w:t>. However, MSAC advised this support was provided only if a suitable set of item descriptors and fees could be agreed on</w:t>
            </w:r>
            <w:r w:rsidR="00FC1A4D">
              <w:rPr>
                <w:rFonts w:ascii="Franklin Gothic Book" w:eastAsia="Calibri" w:hAnsi="Franklin Gothic Book"/>
                <w:iCs/>
                <w:szCs w:val="22"/>
                <w:lang w:eastAsia="en-US"/>
              </w:rPr>
              <w:t xml:space="preserve">, which would need to be </w:t>
            </w:r>
            <w:r w:rsidR="00DE4F05">
              <w:rPr>
                <w:rFonts w:ascii="Franklin Gothic Book" w:eastAsia="Calibri" w:hAnsi="Franklin Gothic Book"/>
                <w:iCs/>
                <w:szCs w:val="22"/>
                <w:lang w:eastAsia="en-US"/>
              </w:rPr>
              <w:t>resolved</w:t>
            </w:r>
            <w:r w:rsidR="00FC1A4D">
              <w:rPr>
                <w:rFonts w:ascii="Franklin Gothic Book" w:eastAsia="Calibri" w:hAnsi="Franklin Gothic Book"/>
                <w:iCs/>
                <w:szCs w:val="22"/>
                <w:lang w:eastAsia="en-US"/>
              </w:rPr>
              <w:t xml:space="preserve"> through the MSAC Executive</w:t>
            </w:r>
            <w:r w:rsidRPr="0088629E">
              <w:rPr>
                <w:rFonts w:ascii="Franklin Gothic Book" w:eastAsia="Calibri" w:hAnsi="Franklin Gothic Book"/>
                <w:iCs/>
                <w:szCs w:val="22"/>
                <w:lang w:eastAsia="en-US"/>
              </w:rPr>
              <w:t xml:space="preserve">. MSAC </w:t>
            </w:r>
            <w:r w:rsidR="00D261EA">
              <w:rPr>
                <w:rFonts w:ascii="Franklin Gothic Book" w:eastAsia="Calibri" w:hAnsi="Franklin Gothic Book"/>
                <w:iCs/>
                <w:szCs w:val="22"/>
                <w:lang w:eastAsia="en-US"/>
              </w:rPr>
              <w:t xml:space="preserve">was concerned </w:t>
            </w:r>
            <w:r w:rsidR="00097590">
              <w:rPr>
                <w:rFonts w:ascii="Franklin Gothic Book" w:eastAsia="Calibri" w:hAnsi="Franklin Gothic Book"/>
                <w:iCs/>
                <w:szCs w:val="22"/>
                <w:lang w:eastAsia="en-US"/>
              </w:rPr>
              <w:t>there may be high</w:t>
            </w:r>
            <w:r w:rsidR="00D261EA">
              <w:rPr>
                <w:rFonts w:ascii="Franklin Gothic Book" w:eastAsia="Calibri" w:hAnsi="Franklin Gothic Book"/>
                <w:iCs/>
                <w:szCs w:val="22"/>
                <w:lang w:eastAsia="en-US"/>
              </w:rPr>
              <w:t xml:space="preserve"> </w:t>
            </w:r>
            <w:r w:rsidR="00613330">
              <w:rPr>
                <w:rFonts w:ascii="Franklin Gothic Book" w:eastAsia="Calibri" w:hAnsi="Franklin Gothic Book"/>
                <w:iCs/>
                <w:szCs w:val="22"/>
                <w:lang w:eastAsia="en-US"/>
              </w:rPr>
              <w:t>out of pocket cost</w:t>
            </w:r>
            <w:r w:rsidR="00097590">
              <w:rPr>
                <w:rFonts w:ascii="Franklin Gothic Book" w:eastAsia="Calibri" w:hAnsi="Franklin Gothic Book"/>
                <w:iCs/>
                <w:szCs w:val="22"/>
                <w:lang w:eastAsia="en-US"/>
              </w:rPr>
              <w:t>s to consumers due to it was</w:t>
            </w:r>
            <w:r w:rsidR="00613330">
              <w:rPr>
                <w:rFonts w:ascii="Franklin Gothic Book" w:eastAsia="Calibri" w:hAnsi="Franklin Gothic Book"/>
                <w:iCs/>
                <w:szCs w:val="22"/>
                <w:lang w:eastAsia="en-US"/>
              </w:rPr>
              <w:t xml:space="preserve"> unclear whether the</w:t>
            </w:r>
            <w:r w:rsidR="00097590">
              <w:rPr>
                <w:rFonts w:ascii="Franklin Gothic Book" w:eastAsia="Calibri" w:hAnsi="Franklin Gothic Book"/>
                <w:iCs/>
                <w:szCs w:val="22"/>
                <w:lang w:eastAsia="en-US"/>
              </w:rPr>
              <w:t xml:space="preserve"> cost of certain </w:t>
            </w:r>
            <w:r w:rsidR="00097590" w:rsidRPr="0088629E">
              <w:rPr>
                <w:rFonts w:ascii="Franklin Gothic Book" w:eastAsia="Calibri" w:hAnsi="Franklin Gothic Book"/>
                <w:iCs/>
                <w:szCs w:val="22"/>
                <w:lang w:eastAsia="en-US"/>
              </w:rPr>
              <w:t xml:space="preserve">consumables used with </w:t>
            </w:r>
            <w:proofErr w:type="spellStart"/>
            <w:r w:rsidR="00097590" w:rsidRPr="0088629E">
              <w:rPr>
                <w:rFonts w:ascii="Franklin Gothic Book" w:eastAsia="Calibri" w:hAnsi="Franklin Gothic Book"/>
                <w:iCs/>
                <w:szCs w:val="22"/>
                <w:lang w:eastAsia="en-US"/>
              </w:rPr>
              <w:t>MRgFUS</w:t>
            </w:r>
            <w:proofErr w:type="spellEnd"/>
            <w:r w:rsidR="00097590" w:rsidDel="00097590">
              <w:rPr>
                <w:rFonts w:ascii="Franklin Gothic Book" w:eastAsia="Calibri" w:hAnsi="Franklin Gothic Book"/>
                <w:iCs/>
                <w:szCs w:val="22"/>
                <w:lang w:eastAsia="en-US"/>
              </w:rPr>
              <w:t xml:space="preserve"> </w:t>
            </w:r>
            <w:r w:rsidR="00613330">
              <w:rPr>
                <w:rFonts w:ascii="Franklin Gothic Book" w:eastAsia="Calibri" w:hAnsi="Franklin Gothic Book"/>
                <w:iCs/>
                <w:szCs w:val="22"/>
                <w:lang w:eastAsia="en-US"/>
              </w:rPr>
              <w:t>could be covered by the Prostheses List</w:t>
            </w:r>
            <w:r w:rsidRPr="0088629E">
              <w:rPr>
                <w:rFonts w:ascii="Franklin Gothic Book" w:eastAsia="Calibri" w:hAnsi="Franklin Gothic Book"/>
                <w:iCs/>
                <w:szCs w:val="22"/>
                <w:lang w:eastAsia="en-US"/>
              </w:rPr>
              <w:t>.</w:t>
            </w:r>
          </w:p>
        </w:tc>
      </w:tr>
    </w:tbl>
    <w:p w14:paraId="1797D1EE" w14:textId="6A1AA8B0" w:rsidR="00EA5B5B" w:rsidRPr="00EA5B5B" w:rsidRDefault="00EA5B5B" w:rsidP="00EA5B5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EA5B5B">
        <w:rPr>
          <w:rFonts w:ascii="Franklin Gothic Medium" w:eastAsia="SimSun" w:hAnsi="Franklin Gothic Medium" w:cs="Times New Roman"/>
          <w:b w:val="0"/>
          <w:bCs w:val="0"/>
          <w:color w:val="000000"/>
          <w:sz w:val="32"/>
          <w:szCs w:val="26"/>
          <w:lang w:eastAsia="en-US"/>
        </w:rPr>
        <w:lastRenderedPageBreak/>
        <w:t>Summary of consideration and rationale for MSAC’s advice</w:t>
      </w:r>
    </w:p>
    <w:p w14:paraId="0CDD9679" w14:textId="0295F13D" w:rsidR="0088629E" w:rsidRDefault="0088629E" w:rsidP="0088629E">
      <w:pPr>
        <w:autoSpaceDE w:val="0"/>
        <w:autoSpaceDN w:val="0"/>
        <w:adjustRightInd w:val="0"/>
        <w:spacing w:after="240"/>
        <w:rPr>
          <w:rFonts w:ascii="Franklin Gothic Book" w:eastAsia="Calibri" w:hAnsi="Franklin Gothic Book"/>
          <w:iCs/>
          <w:sz w:val="22"/>
          <w:szCs w:val="22"/>
          <w:lang w:eastAsia="en-US"/>
        </w:rPr>
      </w:pPr>
      <w:r w:rsidRPr="0088629E">
        <w:rPr>
          <w:rFonts w:ascii="Franklin Gothic Book" w:eastAsia="Calibri" w:hAnsi="Franklin Gothic Book"/>
          <w:iCs/>
          <w:sz w:val="22"/>
          <w:szCs w:val="22"/>
          <w:lang w:eastAsia="en-US"/>
        </w:rPr>
        <w:t xml:space="preserve">MSAC noted this application from </w:t>
      </w:r>
      <w:proofErr w:type="spellStart"/>
      <w:r w:rsidRPr="0088629E">
        <w:rPr>
          <w:rFonts w:ascii="Franklin Gothic Book" w:eastAsia="Calibri" w:hAnsi="Franklin Gothic Book"/>
          <w:iCs/>
          <w:sz w:val="22"/>
          <w:szCs w:val="22"/>
          <w:lang w:eastAsia="en-US"/>
        </w:rPr>
        <w:t>Insightec</w:t>
      </w:r>
      <w:proofErr w:type="spellEnd"/>
      <w:r w:rsidRPr="0088629E">
        <w:rPr>
          <w:rFonts w:ascii="Franklin Gothic Book" w:eastAsia="Calibri" w:hAnsi="Franklin Gothic Book"/>
          <w:iCs/>
          <w:sz w:val="22"/>
          <w:szCs w:val="22"/>
          <w:lang w:eastAsia="en-US"/>
        </w:rPr>
        <w:t xml:space="preserve"> Ltd was a resubmission requesting MBS listing of </w:t>
      </w:r>
      <w:proofErr w:type="spellStart"/>
      <w:r w:rsidRPr="0088629E">
        <w:rPr>
          <w:rFonts w:ascii="Franklin Gothic Book" w:eastAsia="Calibri" w:hAnsi="Franklin Gothic Book"/>
          <w:iCs/>
          <w:sz w:val="22"/>
          <w:szCs w:val="22"/>
          <w:lang w:eastAsia="en-US"/>
        </w:rPr>
        <w:t>MRgFUS</w:t>
      </w:r>
      <w:proofErr w:type="spellEnd"/>
      <w:r w:rsidRPr="0088629E">
        <w:rPr>
          <w:rFonts w:ascii="Franklin Gothic Book" w:eastAsia="Calibri" w:hAnsi="Franklin Gothic Book"/>
          <w:iCs/>
          <w:sz w:val="22"/>
          <w:szCs w:val="22"/>
          <w:lang w:eastAsia="en-US"/>
        </w:rPr>
        <w:t xml:space="preserve"> for the treatment of medically refractory ET.</w:t>
      </w:r>
      <w:r w:rsidR="00F70F43">
        <w:rPr>
          <w:rFonts w:ascii="Franklin Gothic Book" w:eastAsia="Calibri" w:hAnsi="Franklin Gothic Book"/>
          <w:iCs/>
          <w:sz w:val="22"/>
          <w:szCs w:val="22"/>
          <w:lang w:eastAsia="en-US"/>
        </w:rPr>
        <w:t xml:space="preserve"> MSAC recalled </w:t>
      </w:r>
      <w:r w:rsidR="004C6D14">
        <w:rPr>
          <w:rFonts w:ascii="Franklin Gothic Book" w:eastAsia="Calibri" w:hAnsi="Franklin Gothic Book"/>
          <w:iCs/>
          <w:sz w:val="22"/>
          <w:szCs w:val="22"/>
          <w:lang w:eastAsia="en-US"/>
        </w:rPr>
        <w:t xml:space="preserve">that </w:t>
      </w:r>
      <w:r w:rsidR="00F70F43">
        <w:rPr>
          <w:rFonts w:ascii="Franklin Gothic Book" w:eastAsia="Calibri" w:hAnsi="Franklin Gothic Book"/>
          <w:iCs/>
          <w:sz w:val="22"/>
          <w:szCs w:val="22"/>
          <w:lang w:eastAsia="en-US"/>
        </w:rPr>
        <w:t xml:space="preserve">the previous submission considered in April 2019, </w:t>
      </w:r>
      <w:r w:rsidR="00585DE0">
        <w:rPr>
          <w:rFonts w:ascii="Franklin Gothic Book" w:eastAsia="Calibri" w:hAnsi="Franklin Gothic Book"/>
          <w:iCs/>
          <w:sz w:val="22"/>
          <w:szCs w:val="22"/>
          <w:lang w:eastAsia="en-US"/>
        </w:rPr>
        <w:t xml:space="preserve">it accepted that </w:t>
      </w:r>
      <w:r w:rsidR="00585DE0" w:rsidRPr="00585DE0">
        <w:rPr>
          <w:rFonts w:ascii="Franklin Gothic Book" w:eastAsia="Calibri" w:hAnsi="Franklin Gothic Book"/>
          <w:iCs/>
          <w:sz w:val="22"/>
          <w:szCs w:val="22"/>
          <w:lang w:eastAsia="en-US"/>
        </w:rPr>
        <w:t>that there was an unmet clinical need for a non-invasive intervention</w:t>
      </w:r>
      <w:r w:rsidR="00BE7108">
        <w:rPr>
          <w:rFonts w:ascii="Franklin Gothic Book" w:eastAsia="Calibri" w:hAnsi="Franklin Gothic Book"/>
          <w:iCs/>
          <w:sz w:val="22"/>
          <w:szCs w:val="22"/>
          <w:lang w:eastAsia="en-US"/>
        </w:rPr>
        <w:t xml:space="preserve"> (</w:t>
      </w:r>
      <w:proofErr w:type="gramStart"/>
      <w:r w:rsidR="00BE7108">
        <w:rPr>
          <w:rFonts w:ascii="Franklin Gothic Book" w:eastAsia="Calibri" w:hAnsi="Franklin Gothic Book"/>
          <w:iCs/>
          <w:sz w:val="22"/>
          <w:szCs w:val="22"/>
          <w:lang w:eastAsia="en-US"/>
        </w:rPr>
        <w:t>i.e.</w:t>
      </w:r>
      <w:proofErr w:type="gramEnd"/>
      <w:r w:rsidR="00BE7108">
        <w:rPr>
          <w:rFonts w:ascii="Franklin Gothic Book" w:eastAsia="Calibri" w:hAnsi="Franklin Gothic Book"/>
          <w:iCs/>
          <w:sz w:val="22"/>
          <w:szCs w:val="22"/>
          <w:lang w:eastAsia="en-US"/>
        </w:rPr>
        <w:t xml:space="preserve"> a non-surgical intervention)</w:t>
      </w:r>
      <w:r w:rsidR="00585DE0" w:rsidRPr="00585DE0">
        <w:rPr>
          <w:rFonts w:ascii="Franklin Gothic Book" w:eastAsia="Calibri" w:hAnsi="Franklin Gothic Book"/>
          <w:iCs/>
          <w:sz w:val="22"/>
          <w:szCs w:val="22"/>
          <w:lang w:eastAsia="en-US"/>
        </w:rPr>
        <w:t xml:space="preserve"> compared with MBS-funded DB</w:t>
      </w:r>
      <w:r w:rsidR="006348B8">
        <w:rPr>
          <w:rFonts w:ascii="Franklin Gothic Book" w:eastAsia="Calibri" w:hAnsi="Franklin Gothic Book"/>
          <w:iCs/>
          <w:sz w:val="22"/>
          <w:szCs w:val="22"/>
          <w:lang w:eastAsia="en-US"/>
        </w:rPr>
        <w:t>S</w:t>
      </w:r>
      <w:r w:rsidR="00585DE0" w:rsidRPr="00585DE0">
        <w:rPr>
          <w:rFonts w:ascii="Franklin Gothic Book" w:eastAsia="Calibri" w:hAnsi="Franklin Gothic Book"/>
          <w:iCs/>
          <w:sz w:val="22"/>
          <w:szCs w:val="22"/>
          <w:lang w:eastAsia="en-US"/>
        </w:rPr>
        <w:t xml:space="preserve">, but did not support the application because of the evidence for comparative safety (including that adverse events for </w:t>
      </w:r>
      <w:proofErr w:type="spellStart"/>
      <w:r w:rsidR="00585DE0" w:rsidRPr="00585DE0">
        <w:rPr>
          <w:rFonts w:ascii="Franklin Gothic Book" w:eastAsia="Calibri" w:hAnsi="Franklin Gothic Book"/>
          <w:iCs/>
          <w:sz w:val="22"/>
          <w:szCs w:val="22"/>
          <w:lang w:eastAsia="en-US"/>
        </w:rPr>
        <w:t>MRgFUS</w:t>
      </w:r>
      <w:proofErr w:type="spellEnd"/>
      <w:r w:rsidR="00585DE0" w:rsidRPr="00585DE0">
        <w:rPr>
          <w:rFonts w:ascii="Franklin Gothic Book" w:eastAsia="Calibri" w:hAnsi="Franklin Gothic Book"/>
          <w:iCs/>
          <w:sz w:val="22"/>
          <w:szCs w:val="22"/>
          <w:lang w:eastAsia="en-US"/>
        </w:rPr>
        <w:t xml:space="preserve"> were only short-term) was too uncertain and – as a consequence – the economic evaluation was inappropriate. In addition, MSAC also noted issues with the procedural requirements, fee structure and frequency of imaging, and that the role of ipsilateral retreatment and contralateral (non-dominant) treatment was not supported by the current evidence base.</w:t>
      </w:r>
    </w:p>
    <w:p w14:paraId="516E6295" w14:textId="5B40C4CD" w:rsidR="00585DE0" w:rsidRDefault="00585DE0" w:rsidP="0088629E">
      <w:pPr>
        <w:autoSpaceDE w:val="0"/>
        <w:autoSpaceDN w:val="0"/>
        <w:adjustRightInd w:val="0"/>
        <w:spacing w:after="240"/>
        <w:rPr>
          <w:rFonts w:ascii="Franklin Gothic Book" w:eastAsia="Calibri" w:hAnsi="Franklin Gothic Book"/>
          <w:iCs/>
          <w:sz w:val="22"/>
          <w:szCs w:val="22"/>
          <w:lang w:eastAsia="en-US"/>
        </w:rPr>
      </w:pPr>
      <w:r w:rsidRPr="0088629E">
        <w:rPr>
          <w:rFonts w:ascii="Franklin Gothic Book" w:eastAsia="Calibri" w:hAnsi="Franklin Gothic Book"/>
          <w:iCs/>
          <w:sz w:val="22"/>
          <w:szCs w:val="22"/>
          <w:lang w:eastAsia="en-US"/>
        </w:rPr>
        <w:t>MSAC noted the population, comparators and clinical management algorithm were all unchanged in the resubmission</w:t>
      </w:r>
      <w:r>
        <w:rPr>
          <w:rFonts w:ascii="Franklin Gothic Book" w:eastAsia="Calibri" w:hAnsi="Franklin Gothic Book"/>
          <w:iCs/>
          <w:sz w:val="22"/>
          <w:szCs w:val="22"/>
          <w:lang w:eastAsia="en-US"/>
        </w:rPr>
        <w:t xml:space="preserve"> (with DBS as the main comparator and BSC as a secondary comparator)</w:t>
      </w:r>
      <w:r w:rsidRPr="0088629E">
        <w:rPr>
          <w:rFonts w:ascii="Franklin Gothic Book" w:eastAsia="Calibri" w:hAnsi="Franklin Gothic Book"/>
          <w:iCs/>
          <w:sz w:val="22"/>
          <w:szCs w:val="22"/>
          <w:lang w:eastAsia="en-US"/>
        </w:rPr>
        <w:t xml:space="preserve">. MSAC noted retreatment and </w:t>
      </w:r>
      <w:r>
        <w:rPr>
          <w:rFonts w:ascii="Franklin Gothic Book" w:eastAsia="Calibri" w:hAnsi="Franklin Gothic Book"/>
          <w:iCs/>
          <w:sz w:val="22"/>
          <w:szCs w:val="22"/>
          <w:lang w:eastAsia="en-US"/>
        </w:rPr>
        <w:t>contral</w:t>
      </w:r>
      <w:r w:rsidR="0017264F">
        <w:rPr>
          <w:rFonts w:ascii="Franklin Gothic Book" w:eastAsia="Calibri" w:hAnsi="Franklin Gothic Book"/>
          <w:iCs/>
          <w:sz w:val="22"/>
          <w:szCs w:val="22"/>
          <w:lang w:eastAsia="en-US"/>
        </w:rPr>
        <w:t>a</w:t>
      </w:r>
      <w:r>
        <w:rPr>
          <w:rFonts w:ascii="Franklin Gothic Book" w:eastAsia="Calibri" w:hAnsi="Franklin Gothic Book"/>
          <w:iCs/>
          <w:sz w:val="22"/>
          <w:szCs w:val="22"/>
          <w:lang w:eastAsia="en-US"/>
        </w:rPr>
        <w:t>teral</w:t>
      </w:r>
      <w:r w:rsidRPr="0088629E">
        <w:rPr>
          <w:rFonts w:ascii="Franklin Gothic Book" w:eastAsia="Calibri" w:hAnsi="Franklin Gothic Book"/>
          <w:iCs/>
          <w:sz w:val="22"/>
          <w:szCs w:val="22"/>
          <w:lang w:eastAsia="en-US"/>
        </w:rPr>
        <w:t xml:space="preserve"> treatment with </w:t>
      </w:r>
      <w:proofErr w:type="spellStart"/>
      <w:r w:rsidRPr="0088629E">
        <w:rPr>
          <w:rFonts w:ascii="Franklin Gothic Book" w:eastAsia="Calibri" w:hAnsi="Franklin Gothic Book"/>
          <w:iCs/>
          <w:sz w:val="22"/>
          <w:szCs w:val="22"/>
          <w:lang w:eastAsia="en-US"/>
        </w:rPr>
        <w:t>MRgFUS</w:t>
      </w:r>
      <w:proofErr w:type="spellEnd"/>
      <w:r w:rsidRPr="0088629E">
        <w:rPr>
          <w:rFonts w:ascii="Franklin Gothic Book" w:eastAsia="Calibri" w:hAnsi="Franklin Gothic Book"/>
          <w:iCs/>
          <w:sz w:val="22"/>
          <w:szCs w:val="22"/>
          <w:lang w:eastAsia="en-US"/>
        </w:rPr>
        <w:t xml:space="preserve"> were excluded </w:t>
      </w:r>
      <w:r>
        <w:rPr>
          <w:rFonts w:ascii="Franklin Gothic Book" w:eastAsia="Calibri" w:hAnsi="Franklin Gothic Book"/>
          <w:iCs/>
          <w:sz w:val="22"/>
          <w:szCs w:val="22"/>
          <w:lang w:eastAsia="en-US"/>
        </w:rPr>
        <w:t>in</w:t>
      </w:r>
      <w:r w:rsidRPr="0088629E">
        <w:rPr>
          <w:rFonts w:ascii="Franklin Gothic Book" w:eastAsia="Calibri" w:hAnsi="Franklin Gothic Book"/>
          <w:iCs/>
          <w:sz w:val="22"/>
          <w:szCs w:val="22"/>
          <w:lang w:eastAsia="en-US"/>
        </w:rPr>
        <w:t xml:space="preserve"> the </w:t>
      </w:r>
      <w:r>
        <w:rPr>
          <w:rFonts w:ascii="Franklin Gothic Book" w:eastAsia="Calibri" w:hAnsi="Franklin Gothic Book"/>
          <w:iCs/>
          <w:sz w:val="22"/>
          <w:szCs w:val="22"/>
          <w:lang w:eastAsia="en-US"/>
        </w:rPr>
        <w:t>resubmission</w:t>
      </w:r>
      <w:r w:rsidRPr="0088629E">
        <w:rPr>
          <w:rFonts w:ascii="Franklin Gothic Book" w:eastAsia="Calibri" w:hAnsi="Franklin Gothic Book"/>
          <w:iCs/>
          <w:sz w:val="22"/>
          <w:szCs w:val="22"/>
          <w:lang w:eastAsia="en-US"/>
        </w:rPr>
        <w:t xml:space="preserve"> </w:t>
      </w:r>
      <w:r w:rsidRPr="00585DE0">
        <w:rPr>
          <w:rFonts w:ascii="Franklin Gothic Book" w:eastAsia="Calibri" w:hAnsi="Franklin Gothic Book"/>
          <w:iCs/>
          <w:sz w:val="22"/>
          <w:szCs w:val="22"/>
          <w:lang w:eastAsia="en-US"/>
        </w:rPr>
        <w:t>through the inclusion of a once per lifetime limit on the number of treatments per patien</w:t>
      </w:r>
      <w:r w:rsidR="00826D82">
        <w:rPr>
          <w:rFonts w:ascii="Franklin Gothic Book" w:eastAsia="Calibri" w:hAnsi="Franklin Gothic Book"/>
          <w:iCs/>
          <w:sz w:val="22"/>
          <w:szCs w:val="22"/>
          <w:lang w:eastAsia="en-US"/>
        </w:rPr>
        <w:t>t</w:t>
      </w:r>
      <w:r w:rsidRPr="0088629E">
        <w:rPr>
          <w:rFonts w:ascii="Franklin Gothic Book" w:eastAsia="Calibri" w:hAnsi="Franklin Gothic Book"/>
          <w:iCs/>
          <w:sz w:val="22"/>
          <w:szCs w:val="22"/>
          <w:lang w:eastAsia="en-US"/>
        </w:rPr>
        <w:t>.</w:t>
      </w:r>
    </w:p>
    <w:p w14:paraId="01B6625D" w14:textId="5D6260C1" w:rsidR="0088629E" w:rsidRPr="0088629E" w:rsidRDefault="008441EA" w:rsidP="0088629E">
      <w:pPr>
        <w:autoSpaceDE w:val="0"/>
        <w:autoSpaceDN w:val="0"/>
        <w:adjustRightInd w:val="0"/>
        <w:spacing w:after="240"/>
        <w:rPr>
          <w:rFonts w:ascii="Franklin Gothic Book" w:eastAsia="Calibri" w:hAnsi="Franklin Gothic Book"/>
          <w:iCs/>
          <w:sz w:val="22"/>
          <w:szCs w:val="22"/>
          <w:lang w:eastAsia="en-US"/>
        </w:rPr>
      </w:pPr>
      <w:r>
        <w:rPr>
          <w:rFonts w:ascii="Franklin Gothic Book" w:eastAsia="Calibri" w:hAnsi="Franklin Gothic Book"/>
          <w:iCs/>
          <w:sz w:val="22"/>
          <w:szCs w:val="22"/>
          <w:lang w:eastAsia="en-US"/>
        </w:rPr>
        <w:t xml:space="preserve">MSAC noted that consultation feedback for the resubmission was only received from a single consumer, which was strongly supportive of </w:t>
      </w:r>
      <w:r>
        <w:rPr>
          <w:rFonts w:ascii="Franklin Gothic Book" w:hAnsi="Franklin Gothic Book"/>
          <w:sz w:val="22"/>
          <w:szCs w:val="22"/>
        </w:rPr>
        <w:t>the application</w:t>
      </w:r>
      <w:r>
        <w:rPr>
          <w:rFonts w:ascii="Franklin Gothic Book" w:eastAsia="Calibri" w:hAnsi="Franklin Gothic Book"/>
          <w:iCs/>
          <w:sz w:val="22"/>
          <w:szCs w:val="22"/>
          <w:lang w:eastAsia="en-US"/>
        </w:rPr>
        <w:t>. This feedback highlighted the detrimental effects of</w:t>
      </w:r>
      <w:r w:rsidR="0088629E" w:rsidRPr="0088629E">
        <w:rPr>
          <w:rFonts w:ascii="Franklin Gothic Book" w:eastAsia="Calibri" w:hAnsi="Franklin Gothic Book"/>
          <w:iCs/>
          <w:sz w:val="22"/>
          <w:szCs w:val="22"/>
          <w:lang w:eastAsia="en-US"/>
        </w:rPr>
        <w:t xml:space="preserve"> having suffered tremors for</w:t>
      </w:r>
      <w:r>
        <w:rPr>
          <w:rFonts w:ascii="Franklin Gothic Book" w:eastAsia="Calibri" w:hAnsi="Franklin Gothic Book"/>
          <w:iCs/>
          <w:sz w:val="22"/>
          <w:szCs w:val="22"/>
          <w:lang w:eastAsia="en-US"/>
        </w:rPr>
        <w:t xml:space="preserve"> approximately</w:t>
      </w:r>
      <w:r w:rsidR="0088629E" w:rsidRPr="0088629E">
        <w:rPr>
          <w:rFonts w:ascii="Franklin Gothic Book" w:eastAsia="Calibri" w:hAnsi="Franklin Gothic Book"/>
          <w:iCs/>
          <w:sz w:val="22"/>
          <w:szCs w:val="22"/>
          <w:lang w:eastAsia="en-US"/>
        </w:rPr>
        <w:t xml:space="preserve"> 15 years, </w:t>
      </w:r>
      <w:r>
        <w:rPr>
          <w:rFonts w:ascii="Franklin Gothic Book" w:eastAsia="Calibri" w:hAnsi="Franklin Gothic Book"/>
          <w:iCs/>
          <w:sz w:val="22"/>
          <w:szCs w:val="22"/>
          <w:lang w:eastAsia="en-US"/>
        </w:rPr>
        <w:t xml:space="preserve">and that after receiving </w:t>
      </w:r>
      <w:proofErr w:type="spellStart"/>
      <w:r>
        <w:rPr>
          <w:rFonts w:ascii="Franklin Gothic Book" w:eastAsia="Calibri" w:hAnsi="Franklin Gothic Book"/>
          <w:iCs/>
          <w:sz w:val="22"/>
          <w:szCs w:val="22"/>
          <w:lang w:eastAsia="en-US"/>
        </w:rPr>
        <w:t>MRgFUS</w:t>
      </w:r>
      <w:proofErr w:type="spellEnd"/>
      <w:r>
        <w:rPr>
          <w:rFonts w:ascii="Franklin Gothic Book" w:eastAsia="Calibri" w:hAnsi="Franklin Gothic Book"/>
          <w:iCs/>
          <w:sz w:val="22"/>
          <w:szCs w:val="22"/>
          <w:lang w:eastAsia="en-US"/>
        </w:rPr>
        <w:t xml:space="preserve"> </w:t>
      </w:r>
      <w:r w:rsidR="0088629E" w:rsidRPr="0088629E">
        <w:rPr>
          <w:rFonts w:ascii="Franklin Gothic Book" w:eastAsia="Calibri" w:hAnsi="Franklin Gothic Book"/>
          <w:iCs/>
          <w:sz w:val="22"/>
          <w:szCs w:val="22"/>
          <w:lang w:eastAsia="en-US"/>
        </w:rPr>
        <w:t>could return to work</w:t>
      </w:r>
      <w:r w:rsidR="003D468C">
        <w:rPr>
          <w:rFonts w:ascii="Franklin Gothic Book" w:eastAsia="Calibri" w:hAnsi="Franklin Gothic Book"/>
          <w:iCs/>
          <w:sz w:val="22"/>
          <w:szCs w:val="22"/>
          <w:lang w:eastAsia="en-US"/>
        </w:rPr>
        <w:t xml:space="preserve">, had </w:t>
      </w:r>
      <w:r w:rsidR="0054098E">
        <w:rPr>
          <w:rFonts w:ascii="Franklin Gothic Book" w:eastAsia="Calibri" w:hAnsi="Franklin Gothic Book"/>
          <w:iCs/>
          <w:sz w:val="22"/>
          <w:szCs w:val="22"/>
          <w:lang w:eastAsia="en-US"/>
        </w:rPr>
        <w:t xml:space="preserve">much improved selfcare and enjoying social </w:t>
      </w:r>
      <w:r w:rsidR="0054098E">
        <w:rPr>
          <w:rFonts w:ascii="Franklin Gothic Book" w:eastAsia="Calibri" w:hAnsi="Franklin Gothic Book"/>
          <w:iCs/>
          <w:sz w:val="22"/>
          <w:szCs w:val="22"/>
          <w:lang w:eastAsia="en-US"/>
        </w:rPr>
        <w:lastRenderedPageBreak/>
        <w:t>interaction</w:t>
      </w:r>
      <w:r w:rsidR="003D468C">
        <w:rPr>
          <w:rFonts w:ascii="Franklin Gothic Book" w:eastAsia="Calibri" w:hAnsi="Franklin Gothic Book"/>
          <w:iCs/>
          <w:sz w:val="22"/>
          <w:szCs w:val="22"/>
          <w:lang w:eastAsia="en-US"/>
        </w:rPr>
        <w:t xml:space="preserve"> again</w:t>
      </w:r>
      <w:r w:rsidR="0088629E" w:rsidRPr="0088629E">
        <w:rPr>
          <w:rFonts w:ascii="Franklin Gothic Book" w:eastAsia="Calibri" w:hAnsi="Franklin Gothic Book"/>
          <w:iCs/>
          <w:sz w:val="22"/>
          <w:szCs w:val="22"/>
          <w:lang w:eastAsia="en-US"/>
        </w:rPr>
        <w:t xml:space="preserve">– this patient labelled </w:t>
      </w:r>
      <w:proofErr w:type="spellStart"/>
      <w:r w:rsidR="0088629E" w:rsidRPr="0088629E">
        <w:rPr>
          <w:rFonts w:ascii="Franklin Gothic Book" w:eastAsia="Calibri" w:hAnsi="Franklin Gothic Book"/>
          <w:iCs/>
          <w:sz w:val="22"/>
          <w:szCs w:val="22"/>
          <w:lang w:eastAsia="en-US"/>
        </w:rPr>
        <w:t>MRgFUS</w:t>
      </w:r>
      <w:proofErr w:type="spellEnd"/>
      <w:r w:rsidR="0088629E" w:rsidRPr="0088629E">
        <w:rPr>
          <w:rFonts w:ascii="Franklin Gothic Book" w:eastAsia="Calibri" w:hAnsi="Franklin Gothic Book"/>
          <w:iCs/>
          <w:sz w:val="22"/>
          <w:szCs w:val="22"/>
          <w:lang w:eastAsia="en-US"/>
        </w:rPr>
        <w:t xml:space="preserve"> “a medical miracle”. Other benefits included a short recovery</w:t>
      </w:r>
      <w:r w:rsidR="00406152">
        <w:rPr>
          <w:rFonts w:ascii="Franklin Gothic Book" w:eastAsia="Calibri" w:hAnsi="Franklin Gothic Book"/>
          <w:iCs/>
          <w:sz w:val="22"/>
          <w:szCs w:val="22"/>
          <w:lang w:eastAsia="en-US"/>
        </w:rPr>
        <w:t xml:space="preserve"> time</w:t>
      </w:r>
      <w:r w:rsidR="0088629E" w:rsidRPr="0088629E">
        <w:rPr>
          <w:rFonts w:ascii="Franklin Gothic Book" w:eastAsia="Calibri" w:hAnsi="Franklin Gothic Book"/>
          <w:iCs/>
          <w:sz w:val="22"/>
          <w:szCs w:val="22"/>
          <w:lang w:eastAsia="en-US"/>
        </w:rPr>
        <w:t>, no overnight stay in hospital, and reduced medication and associated costs.</w:t>
      </w:r>
    </w:p>
    <w:p w14:paraId="4CE84AF9" w14:textId="3CB399FC" w:rsidR="0088629E" w:rsidRPr="0088629E" w:rsidRDefault="0088629E" w:rsidP="0088629E">
      <w:pPr>
        <w:autoSpaceDE w:val="0"/>
        <w:autoSpaceDN w:val="0"/>
        <w:adjustRightInd w:val="0"/>
        <w:spacing w:after="240"/>
        <w:rPr>
          <w:rFonts w:ascii="Franklin Gothic Book" w:eastAsia="Calibri" w:hAnsi="Franklin Gothic Book"/>
          <w:iCs/>
          <w:sz w:val="22"/>
          <w:szCs w:val="22"/>
          <w:lang w:eastAsia="en-US"/>
        </w:rPr>
      </w:pPr>
      <w:r w:rsidRPr="0088629E">
        <w:rPr>
          <w:rFonts w:ascii="Franklin Gothic Book" w:eastAsia="Calibri" w:hAnsi="Franklin Gothic Book"/>
          <w:iCs/>
          <w:sz w:val="22"/>
          <w:szCs w:val="22"/>
          <w:lang w:eastAsia="en-US"/>
        </w:rPr>
        <w:t xml:space="preserve">MSAC </w:t>
      </w:r>
      <w:r w:rsidR="00592D04">
        <w:rPr>
          <w:rFonts w:ascii="Franklin Gothic Book" w:eastAsia="Calibri" w:hAnsi="Franklin Gothic Book"/>
          <w:iCs/>
          <w:sz w:val="22"/>
          <w:szCs w:val="22"/>
          <w:lang w:eastAsia="en-US"/>
        </w:rPr>
        <w:t xml:space="preserve">recalled </w:t>
      </w:r>
      <w:r w:rsidR="00826D82">
        <w:rPr>
          <w:rFonts w:ascii="Franklin Gothic Book" w:eastAsia="Calibri" w:hAnsi="Franklin Gothic Book"/>
          <w:iCs/>
          <w:sz w:val="22"/>
          <w:szCs w:val="22"/>
          <w:lang w:eastAsia="en-US"/>
        </w:rPr>
        <w:t>that</w:t>
      </w:r>
      <w:r w:rsidR="00592D04">
        <w:rPr>
          <w:rFonts w:ascii="Franklin Gothic Book" w:eastAsia="Calibri" w:hAnsi="Franklin Gothic Book"/>
          <w:iCs/>
          <w:sz w:val="22"/>
          <w:szCs w:val="22"/>
          <w:lang w:eastAsia="en-US"/>
        </w:rPr>
        <w:t xml:space="preserve"> it </w:t>
      </w:r>
      <w:r w:rsidRPr="0088629E">
        <w:rPr>
          <w:rFonts w:ascii="Franklin Gothic Book" w:eastAsia="Calibri" w:hAnsi="Franklin Gothic Book"/>
          <w:iCs/>
          <w:sz w:val="22"/>
          <w:szCs w:val="22"/>
          <w:lang w:eastAsia="en-US"/>
        </w:rPr>
        <w:t xml:space="preserve">had advised that </w:t>
      </w:r>
      <w:r w:rsidR="00592D04">
        <w:rPr>
          <w:rFonts w:ascii="Franklin Gothic Book" w:eastAsia="Calibri" w:hAnsi="Franklin Gothic Book"/>
          <w:iCs/>
          <w:sz w:val="22"/>
          <w:szCs w:val="22"/>
          <w:lang w:eastAsia="en-US"/>
        </w:rPr>
        <w:t xml:space="preserve">the resubmission </w:t>
      </w:r>
      <w:r w:rsidRPr="0088629E">
        <w:rPr>
          <w:rFonts w:ascii="Franklin Gothic Book" w:eastAsia="Calibri" w:hAnsi="Franklin Gothic Book"/>
          <w:iCs/>
          <w:sz w:val="22"/>
          <w:szCs w:val="22"/>
          <w:lang w:eastAsia="en-US"/>
        </w:rPr>
        <w:t xml:space="preserve">should </w:t>
      </w:r>
      <w:r w:rsidR="00592D04">
        <w:rPr>
          <w:rFonts w:ascii="Franklin Gothic Book" w:eastAsia="Calibri" w:hAnsi="Franklin Gothic Book"/>
          <w:iCs/>
          <w:sz w:val="22"/>
          <w:szCs w:val="22"/>
          <w:lang w:eastAsia="en-US"/>
        </w:rPr>
        <w:t>have</w:t>
      </w:r>
      <w:r w:rsidR="00592D04" w:rsidRPr="0088629E">
        <w:rPr>
          <w:rFonts w:ascii="Franklin Gothic Book" w:eastAsia="Calibri" w:hAnsi="Franklin Gothic Book"/>
          <w:iCs/>
          <w:sz w:val="22"/>
          <w:szCs w:val="22"/>
          <w:lang w:eastAsia="en-US"/>
        </w:rPr>
        <w:t xml:space="preserve"> </w:t>
      </w:r>
      <w:r w:rsidRPr="0088629E">
        <w:rPr>
          <w:rFonts w:ascii="Franklin Gothic Book" w:eastAsia="Calibri" w:hAnsi="Franklin Gothic Book"/>
          <w:iCs/>
          <w:sz w:val="22"/>
          <w:szCs w:val="22"/>
          <w:lang w:eastAsia="en-US"/>
        </w:rPr>
        <w:t xml:space="preserve">a packaged item, rather than six separate items within one application (however, MSAC acknowledged that the Department had </w:t>
      </w:r>
      <w:r w:rsidR="00067DD6">
        <w:rPr>
          <w:rFonts w:ascii="Franklin Gothic Book" w:eastAsia="Calibri" w:hAnsi="Franklin Gothic Book"/>
          <w:iCs/>
          <w:sz w:val="22"/>
          <w:szCs w:val="22"/>
          <w:lang w:eastAsia="en-US"/>
        </w:rPr>
        <w:t>sought a breakdown of the services to better define which service would be provided by which speciality</w:t>
      </w:r>
      <w:r w:rsidRPr="0088629E">
        <w:rPr>
          <w:rFonts w:ascii="Franklin Gothic Book" w:eastAsia="Calibri" w:hAnsi="Franklin Gothic Book"/>
          <w:iCs/>
          <w:sz w:val="22"/>
          <w:szCs w:val="22"/>
          <w:lang w:eastAsia="en-US"/>
        </w:rPr>
        <w:t>). MSAC noted that in the resubmission</w:t>
      </w:r>
      <w:r w:rsidR="0054098E">
        <w:rPr>
          <w:rFonts w:ascii="Franklin Gothic Book" w:eastAsia="Calibri" w:hAnsi="Franklin Gothic Book"/>
          <w:iCs/>
          <w:sz w:val="22"/>
          <w:szCs w:val="22"/>
          <w:lang w:eastAsia="en-US"/>
        </w:rPr>
        <w:t xml:space="preserve"> the applicant had removed the item number and fee </w:t>
      </w:r>
      <w:r w:rsidR="00BA2624">
        <w:rPr>
          <w:rFonts w:ascii="Franklin Gothic Book" w:eastAsia="Calibri" w:hAnsi="Franklin Gothic Book"/>
          <w:iCs/>
          <w:sz w:val="22"/>
          <w:szCs w:val="22"/>
          <w:lang w:eastAsia="en-US"/>
        </w:rPr>
        <w:t xml:space="preserve">for </w:t>
      </w:r>
      <w:r w:rsidRPr="0088629E">
        <w:rPr>
          <w:rFonts w:ascii="Franklin Gothic Book" w:eastAsia="Calibri" w:hAnsi="Franklin Gothic Book"/>
          <w:iCs/>
          <w:sz w:val="22"/>
          <w:szCs w:val="22"/>
          <w:lang w:eastAsia="en-US"/>
        </w:rPr>
        <w:t>treatment by a radiologist</w:t>
      </w:r>
      <w:r w:rsidR="0054098E">
        <w:rPr>
          <w:rFonts w:ascii="Franklin Gothic Book" w:eastAsia="Calibri" w:hAnsi="Franklin Gothic Book"/>
          <w:iCs/>
          <w:sz w:val="22"/>
          <w:szCs w:val="22"/>
          <w:lang w:eastAsia="en-US"/>
        </w:rPr>
        <w:t xml:space="preserve"> (</w:t>
      </w:r>
      <w:r w:rsidR="0054098E" w:rsidRPr="0088629E">
        <w:rPr>
          <w:rFonts w:ascii="Franklin Gothic Book" w:eastAsia="Calibri" w:hAnsi="Franklin Gothic Book"/>
          <w:iCs/>
          <w:sz w:val="22"/>
          <w:szCs w:val="22"/>
          <w:lang w:eastAsia="en-US"/>
        </w:rPr>
        <w:t>item 5</w:t>
      </w:r>
      <w:r w:rsidR="0054098E">
        <w:rPr>
          <w:rFonts w:ascii="Franklin Gothic Book" w:eastAsia="Calibri" w:hAnsi="Franklin Gothic Book"/>
          <w:iCs/>
          <w:sz w:val="22"/>
          <w:szCs w:val="22"/>
          <w:lang w:eastAsia="en-US"/>
        </w:rPr>
        <w:t xml:space="preserve"> in the previous submission)</w:t>
      </w:r>
      <w:r w:rsidRPr="0088629E">
        <w:rPr>
          <w:rFonts w:ascii="Franklin Gothic Book" w:eastAsia="Calibri" w:hAnsi="Franklin Gothic Book"/>
          <w:iCs/>
          <w:sz w:val="22"/>
          <w:szCs w:val="22"/>
          <w:lang w:eastAsia="en-US"/>
        </w:rPr>
        <w:t>, but that little else had changed from the previous submission</w:t>
      </w:r>
      <w:r w:rsidR="00826D82">
        <w:rPr>
          <w:rFonts w:ascii="Franklin Gothic Book" w:eastAsia="Calibri" w:hAnsi="Franklin Gothic Book"/>
          <w:iCs/>
          <w:sz w:val="22"/>
          <w:szCs w:val="22"/>
          <w:lang w:eastAsia="en-US"/>
        </w:rPr>
        <w:t xml:space="preserve"> (outside of precluding retreatment and contralateral treatment through </w:t>
      </w:r>
      <w:r w:rsidR="00826D82" w:rsidRPr="00585DE0">
        <w:rPr>
          <w:rFonts w:ascii="Franklin Gothic Book" w:eastAsia="Calibri" w:hAnsi="Franklin Gothic Book"/>
          <w:iCs/>
          <w:sz w:val="22"/>
          <w:szCs w:val="22"/>
          <w:lang w:eastAsia="en-US"/>
        </w:rPr>
        <w:t>the inclusion of a once per lifetime limit on the number of treatments per patien</w:t>
      </w:r>
      <w:r w:rsidR="00826D82">
        <w:rPr>
          <w:rFonts w:ascii="Franklin Gothic Book" w:eastAsia="Calibri" w:hAnsi="Franklin Gothic Book"/>
          <w:iCs/>
          <w:sz w:val="22"/>
          <w:szCs w:val="22"/>
          <w:lang w:eastAsia="en-US"/>
        </w:rPr>
        <w:t>t)</w:t>
      </w:r>
      <w:r w:rsidRPr="0088629E">
        <w:rPr>
          <w:rFonts w:ascii="Franklin Gothic Book" w:eastAsia="Calibri" w:hAnsi="Franklin Gothic Book"/>
          <w:iCs/>
          <w:sz w:val="22"/>
          <w:szCs w:val="22"/>
          <w:lang w:eastAsia="en-US"/>
        </w:rPr>
        <w:t>.</w:t>
      </w:r>
    </w:p>
    <w:p w14:paraId="06910D5A" w14:textId="00333339" w:rsidR="0088629E" w:rsidRPr="0088629E" w:rsidRDefault="0088629E" w:rsidP="0088629E">
      <w:pPr>
        <w:autoSpaceDE w:val="0"/>
        <w:autoSpaceDN w:val="0"/>
        <w:adjustRightInd w:val="0"/>
        <w:spacing w:after="240"/>
        <w:rPr>
          <w:rFonts w:ascii="Franklin Gothic Book" w:eastAsia="Calibri" w:hAnsi="Franklin Gothic Book"/>
          <w:iCs/>
          <w:sz w:val="22"/>
          <w:szCs w:val="22"/>
          <w:lang w:eastAsia="en-US"/>
        </w:rPr>
      </w:pPr>
      <w:r w:rsidRPr="0088629E">
        <w:rPr>
          <w:rFonts w:ascii="Franklin Gothic Book" w:eastAsia="Calibri" w:hAnsi="Franklin Gothic Book"/>
          <w:iCs/>
          <w:sz w:val="22"/>
          <w:szCs w:val="22"/>
          <w:lang w:eastAsia="en-US"/>
        </w:rPr>
        <w:t xml:space="preserve">MSAC </w:t>
      </w:r>
      <w:r w:rsidR="00DE4F05">
        <w:rPr>
          <w:rFonts w:ascii="Franklin Gothic Book" w:eastAsia="Calibri" w:hAnsi="Franklin Gothic Book"/>
          <w:iCs/>
          <w:sz w:val="22"/>
          <w:szCs w:val="22"/>
          <w:lang w:eastAsia="en-US"/>
        </w:rPr>
        <w:t xml:space="preserve">noted the pre-MSAC response which responded to the ESC issues for the item </w:t>
      </w:r>
      <w:proofErr w:type="gramStart"/>
      <w:r w:rsidR="00DE4F05">
        <w:rPr>
          <w:rFonts w:ascii="Franklin Gothic Book" w:eastAsia="Calibri" w:hAnsi="Franklin Gothic Book"/>
          <w:iCs/>
          <w:sz w:val="22"/>
          <w:szCs w:val="22"/>
          <w:lang w:eastAsia="en-US"/>
        </w:rPr>
        <w:t>descriptors,</w:t>
      </w:r>
      <w:r w:rsidR="006C282F">
        <w:rPr>
          <w:rFonts w:ascii="Franklin Gothic Book" w:eastAsia="Calibri" w:hAnsi="Franklin Gothic Book"/>
          <w:iCs/>
          <w:sz w:val="22"/>
          <w:szCs w:val="22"/>
          <w:lang w:eastAsia="en-US"/>
        </w:rPr>
        <w:t xml:space="preserve"> </w:t>
      </w:r>
      <w:r w:rsidR="00DE4F05">
        <w:rPr>
          <w:rFonts w:ascii="Franklin Gothic Book" w:eastAsia="Calibri" w:hAnsi="Franklin Gothic Book"/>
          <w:iCs/>
          <w:sz w:val="22"/>
          <w:szCs w:val="22"/>
          <w:lang w:eastAsia="en-US"/>
        </w:rPr>
        <w:t>but</w:t>
      </w:r>
      <w:proofErr w:type="gramEnd"/>
      <w:r w:rsidR="00DE4F05">
        <w:rPr>
          <w:rFonts w:ascii="Franklin Gothic Book" w:eastAsia="Calibri" w:hAnsi="Franklin Gothic Book"/>
          <w:iCs/>
          <w:sz w:val="22"/>
          <w:szCs w:val="22"/>
          <w:lang w:eastAsia="en-US"/>
        </w:rPr>
        <w:t xml:space="preserve"> considered </w:t>
      </w:r>
      <w:r w:rsidR="00AC4123">
        <w:rPr>
          <w:rFonts w:ascii="Franklin Gothic Book" w:eastAsia="Calibri" w:hAnsi="Franklin Gothic Book"/>
          <w:iCs/>
          <w:sz w:val="22"/>
          <w:szCs w:val="22"/>
          <w:lang w:eastAsia="en-US"/>
        </w:rPr>
        <w:t>that</w:t>
      </w:r>
      <w:r w:rsidR="00BE5C9A">
        <w:rPr>
          <w:rFonts w:ascii="Franklin Gothic Book" w:eastAsia="Calibri" w:hAnsi="Franklin Gothic Book"/>
          <w:iCs/>
          <w:sz w:val="22"/>
          <w:szCs w:val="22"/>
          <w:lang w:eastAsia="en-US"/>
        </w:rPr>
        <w:t xml:space="preserve"> there are several issues that</w:t>
      </w:r>
      <w:r w:rsidR="00AC4123">
        <w:rPr>
          <w:rFonts w:ascii="Franklin Gothic Book" w:eastAsia="Calibri" w:hAnsi="Franklin Gothic Book"/>
          <w:iCs/>
          <w:sz w:val="22"/>
          <w:szCs w:val="22"/>
          <w:lang w:eastAsia="en-US"/>
        </w:rPr>
        <w:t xml:space="preserve"> </w:t>
      </w:r>
      <w:r w:rsidR="003D468C">
        <w:rPr>
          <w:rFonts w:ascii="Franklin Gothic Book" w:eastAsia="Calibri" w:hAnsi="Franklin Gothic Book"/>
          <w:iCs/>
          <w:sz w:val="22"/>
          <w:szCs w:val="22"/>
          <w:lang w:eastAsia="en-US"/>
        </w:rPr>
        <w:t xml:space="preserve">still </w:t>
      </w:r>
      <w:r w:rsidR="00DE4F05">
        <w:rPr>
          <w:rFonts w:ascii="Franklin Gothic Book" w:eastAsia="Calibri" w:hAnsi="Franklin Gothic Book"/>
          <w:iCs/>
          <w:sz w:val="22"/>
          <w:szCs w:val="22"/>
          <w:lang w:eastAsia="en-US"/>
        </w:rPr>
        <w:t>need to be</w:t>
      </w:r>
      <w:r w:rsidR="00AC4123">
        <w:rPr>
          <w:rFonts w:ascii="Franklin Gothic Book" w:eastAsia="Calibri" w:hAnsi="Franklin Gothic Book"/>
          <w:iCs/>
          <w:sz w:val="22"/>
          <w:szCs w:val="22"/>
          <w:lang w:eastAsia="en-US"/>
        </w:rPr>
        <w:t xml:space="preserve"> resolved</w:t>
      </w:r>
      <w:r w:rsidR="00BE5C9A">
        <w:rPr>
          <w:rFonts w:ascii="Franklin Gothic Book" w:eastAsia="Calibri" w:hAnsi="Franklin Gothic Book"/>
          <w:iCs/>
          <w:sz w:val="22"/>
          <w:szCs w:val="22"/>
          <w:lang w:eastAsia="en-US"/>
        </w:rPr>
        <w:t>.</w:t>
      </w:r>
      <w:r w:rsidR="00AC4123">
        <w:rPr>
          <w:rFonts w:ascii="Franklin Gothic Book" w:eastAsia="Calibri" w:hAnsi="Franklin Gothic Book"/>
          <w:iCs/>
          <w:sz w:val="22"/>
          <w:szCs w:val="22"/>
          <w:lang w:eastAsia="en-US"/>
        </w:rPr>
        <w:t xml:space="preserve"> </w:t>
      </w:r>
      <w:r w:rsidR="00330577">
        <w:rPr>
          <w:rFonts w:ascii="Franklin Gothic Book" w:eastAsia="Calibri" w:hAnsi="Franklin Gothic Book"/>
          <w:iCs/>
          <w:sz w:val="22"/>
          <w:szCs w:val="22"/>
          <w:lang w:eastAsia="en-US"/>
        </w:rPr>
        <w:t xml:space="preserve">For </w:t>
      </w:r>
      <w:r w:rsidR="00AC4123" w:rsidRPr="0088629E">
        <w:rPr>
          <w:rFonts w:ascii="Franklin Gothic Book" w:eastAsia="Calibri" w:hAnsi="Franklin Gothic Book"/>
          <w:iCs/>
          <w:sz w:val="22"/>
          <w:szCs w:val="22"/>
          <w:lang w:eastAsia="en-US"/>
        </w:rPr>
        <w:t xml:space="preserve">magnetic resonance imaging </w:t>
      </w:r>
      <w:r w:rsidR="00AC4123">
        <w:rPr>
          <w:rFonts w:ascii="Franklin Gothic Book" w:eastAsia="Calibri" w:hAnsi="Franklin Gothic Book"/>
          <w:iCs/>
          <w:sz w:val="22"/>
          <w:szCs w:val="22"/>
          <w:lang w:eastAsia="en-US"/>
        </w:rPr>
        <w:t>(</w:t>
      </w:r>
      <w:r w:rsidR="00330577">
        <w:rPr>
          <w:rFonts w:ascii="Franklin Gothic Book" w:eastAsia="Calibri" w:hAnsi="Franklin Gothic Book"/>
          <w:iCs/>
          <w:sz w:val="22"/>
          <w:szCs w:val="22"/>
          <w:lang w:eastAsia="en-US"/>
        </w:rPr>
        <w:t>MRI</w:t>
      </w:r>
      <w:r w:rsidR="00AC4123">
        <w:rPr>
          <w:rFonts w:ascii="Franklin Gothic Book" w:eastAsia="Calibri" w:hAnsi="Franklin Gothic Book"/>
          <w:iCs/>
          <w:sz w:val="22"/>
          <w:szCs w:val="22"/>
          <w:lang w:eastAsia="en-US"/>
        </w:rPr>
        <w:t>)</w:t>
      </w:r>
      <w:r w:rsidR="00330577">
        <w:rPr>
          <w:rFonts w:ascii="Franklin Gothic Book" w:eastAsia="Calibri" w:hAnsi="Franklin Gothic Book"/>
          <w:iCs/>
          <w:sz w:val="22"/>
          <w:szCs w:val="22"/>
          <w:lang w:eastAsia="en-US"/>
        </w:rPr>
        <w:t xml:space="preserve"> for pre-surgical suitability</w:t>
      </w:r>
      <w:r w:rsidR="00BE5C9A">
        <w:rPr>
          <w:rFonts w:ascii="Franklin Gothic Book" w:eastAsia="Calibri" w:hAnsi="Franklin Gothic Book"/>
          <w:iCs/>
          <w:sz w:val="22"/>
          <w:szCs w:val="22"/>
          <w:lang w:eastAsia="en-US"/>
        </w:rPr>
        <w:t xml:space="preserve"> assessment</w:t>
      </w:r>
      <w:r w:rsidR="00330577">
        <w:rPr>
          <w:rFonts w:ascii="Franklin Gothic Book" w:eastAsia="Calibri" w:hAnsi="Franklin Gothic Book"/>
          <w:iCs/>
          <w:sz w:val="22"/>
          <w:szCs w:val="22"/>
          <w:lang w:eastAsia="en-US"/>
        </w:rPr>
        <w:t xml:space="preserve">, </w:t>
      </w:r>
      <w:r w:rsidRPr="0088629E">
        <w:rPr>
          <w:rFonts w:ascii="Franklin Gothic Book" w:eastAsia="Calibri" w:hAnsi="Franklin Gothic Book"/>
          <w:iCs/>
          <w:sz w:val="22"/>
          <w:szCs w:val="22"/>
          <w:lang w:eastAsia="en-US"/>
        </w:rPr>
        <w:t xml:space="preserve">MSAC questioned the need for </w:t>
      </w:r>
      <w:r w:rsidR="00330577">
        <w:rPr>
          <w:rFonts w:ascii="Franklin Gothic Book" w:eastAsia="Calibri" w:hAnsi="Franklin Gothic Book"/>
          <w:iCs/>
          <w:sz w:val="22"/>
          <w:szCs w:val="22"/>
          <w:lang w:eastAsia="en-US"/>
        </w:rPr>
        <w:t xml:space="preserve">this item </w:t>
      </w:r>
      <w:r w:rsidR="006D5D55">
        <w:rPr>
          <w:rFonts w:ascii="Franklin Gothic Book" w:eastAsia="Calibri" w:hAnsi="Franklin Gothic Book"/>
          <w:iCs/>
          <w:sz w:val="22"/>
          <w:szCs w:val="22"/>
          <w:lang w:eastAsia="en-US"/>
        </w:rPr>
        <w:t>given that</w:t>
      </w:r>
      <w:r w:rsidR="002856EF">
        <w:rPr>
          <w:rFonts w:ascii="Franklin Gothic Book" w:eastAsia="Calibri" w:hAnsi="Franklin Gothic Book"/>
          <w:iCs/>
          <w:sz w:val="22"/>
          <w:szCs w:val="22"/>
          <w:lang w:eastAsia="en-US"/>
        </w:rPr>
        <w:t xml:space="preserve"> </w:t>
      </w:r>
      <w:r w:rsidRPr="0088629E">
        <w:rPr>
          <w:rFonts w:ascii="Franklin Gothic Book" w:eastAsia="Calibri" w:hAnsi="Franklin Gothic Book"/>
          <w:iCs/>
          <w:sz w:val="22"/>
          <w:szCs w:val="22"/>
          <w:lang w:eastAsia="en-US"/>
        </w:rPr>
        <w:t xml:space="preserve">many patients would have </w:t>
      </w:r>
      <w:r w:rsidR="00330577">
        <w:rPr>
          <w:rFonts w:ascii="Franklin Gothic Book" w:eastAsia="Calibri" w:hAnsi="Franklin Gothic Book"/>
          <w:iCs/>
          <w:sz w:val="22"/>
          <w:szCs w:val="22"/>
          <w:lang w:eastAsia="en-US"/>
        </w:rPr>
        <w:t xml:space="preserve">likely </w:t>
      </w:r>
      <w:r w:rsidRPr="0088629E">
        <w:rPr>
          <w:rFonts w:ascii="Franklin Gothic Book" w:eastAsia="Calibri" w:hAnsi="Franklin Gothic Book"/>
          <w:iCs/>
          <w:sz w:val="22"/>
          <w:szCs w:val="22"/>
          <w:lang w:eastAsia="en-US"/>
        </w:rPr>
        <w:t xml:space="preserve">already had </w:t>
      </w:r>
      <w:r w:rsidR="008C5E6C">
        <w:rPr>
          <w:rFonts w:ascii="Franklin Gothic Book" w:eastAsia="Calibri" w:hAnsi="Franklin Gothic Book"/>
          <w:iCs/>
          <w:sz w:val="22"/>
          <w:szCs w:val="22"/>
          <w:lang w:eastAsia="en-US"/>
        </w:rPr>
        <w:t xml:space="preserve">at least one </w:t>
      </w:r>
      <w:r w:rsidRPr="0088629E">
        <w:rPr>
          <w:rFonts w:ascii="Franklin Gothic Book" w:eastAsia="Calibri" w:hAnsi="Franklin Gothic Book"/>
          <w:iCs/>
          <w:sz w:val="22"/>
          <w:szCs w:val="22"/>
          <w:lang w:eastAsia="en-US"/>
        </w:rPr>
        <w:t xml:space="preserve">MRI </w:t>
      </w:r>
      <w:r w:rsidR="008C5E6C">
        <w:rPr>
          <w:rFonts w:ascii="Franklin Gothic Book" w:eastAsia="Calibri" w:hAnsi="Franklin Gothic Book"/>
          <w:iCs/>
          <w:sz w:val="22"/>
          <w:szCs w:val="22"/>
          <w:lang w:eastAsia="en-US"/>
        </w:rPr>
        <w:t xml:space="preserve">as part of current </w:t>
      </w:r>
      <w:r w:rsidR="00AC4123">
        <w:rPr>
          <w:rFonts w:ascii="Franklin Gothic Book" w:eastAsia="Calibri" w:hAnsi="Franklin Gothic Book"/>
          <w:iCs/>
          <w:sz w:val="22"/>
          <w:szCs w:val="22"/>
          <w:lang w:eastAsia="en-US"/>
        </w:rPr>
        <w:t>standard of care</w:t>
      </w:r>
      <w:r w:rsidR="0023026C">
        <w:rPr>
          <w:rFonts w:ascii="Franklin Gothic Book" w:eastAsia="Calibri" w:hAnsi="Franklin Gothic Book"/>
          <w:iCs/>
          <w:sz w:val="22"/>
          <w:szCs w:val="22"/>
          <w:lang w:eastAsia="en-US"/>
        </w:rPr>
        <w:t>.</w:t>
      </w:r>
      <w:r w:rsidR="00980F82">
        <w:rPr>
          <w:rFonts w:ascii="Franklin Gothic Book" w:eastAsia="Calibri" w:hAnsi="Franklin Gothic Book"/>
          <w:iCs/>
          <w:sz w:val="22"/>
          <w:szCs w:val="22"/>
          <w:lang w:eastAsia="en-US"/>
        </w:rPr>
        <w:t xml:space="preserve"> MSAC queried whether</w:t>
      </w:r>
      <w:r w:rsidR="00330577">
        <w:rPr>
          <w:rFonts w:ascii="Franklin Gothic Book" w:eastAsia="Calibri" w:hAnsi="Franklin Gothic Book"/>
          <w:iCs/>
          <w:sz w:val="22"/>
          <w:szCs w:val="22"/>
          <w:lang w:eastAsia="en-US"/>
        </w:rPr>
        <w:t xml:space="preserve"> these existing MRI images could be used</w:t>
      </w:r>
      <w:r w:rsidR="00AC4123">
        <w:rPr>
          <w:rFonts w:ascii="Franklin Gothic Book" w:eastAsia="Calibri" w:hAnsi="Franklin Gothic Book"/>
          <w:iCs/>
          <w:sz w:val="22"/>
          <w:szCs w:val="22"/>
          <w:lang w:eastAsia="en-US"/>
        </w:rPr>
        <w:t xml:space="preserve"> (if of good quality)</w:t>
      </w:r>
      <w:r w:rsidR="00330577">
        <w:rPr>
          <w:rFonts w:ascii="Franklin Gothic Book" w:eastAsia="Calibri" w:hAnsi="Franklin Gothic Book"/>
          <w:iCs/>
          <w:sz w:val="22"/>
          <w:szCs w:val="22"/>
          <w:lang w:eastAsia="en-US"/>
        </w:rPr>
        <w:t xml:space="preserve"> and also whet</w:t>
      </w:r>
      <w:r w:rsidR="00AC4123">
        <w:rPr>
          <w:rFonts w:ascii="Franklin Gothic Book" w:eastAsia="Calibri" w:hAnsi="Franklin Gothic Book"/>
          <w:iCs/>
          <w:sz w:val="22"/>
          <w:szCs w:val="22"/>
          <w:lang w:eastAsia="en-US"/>
        </w:rPr>
        <w:t>her</w:t>
      </w:r>
      <w:r w:rsidR="00980F82">
        <w:rPr>
          <w:rFonts w:ascii="Franklin Gothic Book" w:eastAsia="Calibri" w:hAnsi="Franklin Gothic Book"/>
          <w:iCs/>
          <w:sz w:val="22"/>
          <w:szCs w:val="22"/>
          <w:lang w:eastAsia="en-US"/>
        </w:rPr>
        <w:t xml:space="preserve"> there should be any requirement on how recent a previous MRI </w:t>
      </w:r>
      <w:r w:rsidR="00330577">
        <w:rPr>
          <w:rFonts w:ascii="Franklin Gothic Book" w:eastAsia="Calibri" w:hAnsi="Franklin Gothic Book"/>
          <w:iCs/>
          <w:sz w:val="22"/>
          <w:szCs w:val="22"/>
          <w:lang w:eastAsia="en-US"/>
        </w:rPr>
        <w:t xml:space="preserve">may </w:t>
      </w:r>
      <w:r w:rsidR="00980F82">
        <w:rPr>
          <w:rFonts w:ascii="Franklin Gothic Book" w:eastAsia="Calibri" w:hAnsi="Franklin Gothic Book"/>
          <w:iCs/>
          <w:sz w:val="22"/>
          <w:szCs w:val="22"/>
          <w:lang w:eastAsia="en-US"/>
        </w:rPr>
        <w:t>need to be</w:t>
      </w:r>
      <w:r w:rsidR="00AC4123">
        <w:rPr>
          <w:rFonts w:ascii="Franklin Gothic Book" w:eastAsia="Calibri" w:hAnsi="Franklin Gothic Book"/>
          <w:iCs/>
          <w:sz w:val="22"/>
          <w:szCs w:val="22"/>
          <w:lang w:eastAsia="en-US"/>
        </w:rPr>
        <w:t>;</w:t>
      </w:r>
      <w:r w:rsidR="00980F82">
        <w:rPr>
          <w:rFonts w:ascii="Franklin Gothic Book" w:eastAsia="Calibri" w:hAnsi="Franklin Gothic Book"/>
          <w:iCs/>
          <w:sz w:val="22"/>
          <w:szCs w:val="22"/>
          <w:lang w:eastAsia="en-US"/>
        </w:rPr>
        <w:t xml:space="preserve"> </w:t>
      </w:r>
      <w:r w:rsidR="00AC4123">
        <w:rPr>
          <w:rFonts w:ascii="Franklin Gothic Book" w:eastAsia="Calibri" w:hAnsi="Franklin Gothic Book"/>
          <w:iCs/>
          <w:sz w:val="22"/>
          <w:szCs w:val="22"/>
          <w:lang w:eastAsia="en-US"/>
        </w:rPr>
        <w:t>MSAC</w:t>
      </w:r>
      <w:r w:rsidR="00217F10">
        <w:rPr>
          <w:rFonts w:ascii="Franklin Gothic Book" w:eastAsia="Calibri" w:hAnsi="Franklin Gothic Book"/>
          <w:iCs/>
          <w:sz w:val="22"/>
          <w:szCs w:val="22"/>
          <w:lang w:eastAsia="en-US"/>
        </w:rPr>
        <w:t xml:space="preserve"> </w:t>
      </w:r>
      <w:r w:rsidR="00067DD6">
        <w:rPr>
          <w:rFonts w:ascii="Franklin Gothic Book" w:eastAsia="Calibri" w:hAnsi="Franklin Gothic Book"/>
          <w:iCs/>
          <w:sz w:val="22"/>
          <w:szCs w:val="22"/>
          <w:lang w:eastAsia="en-US"/>
        </w:rPr>
        <w:t xml:space="preserve">advised the Department </w:t>
      </w:r>
      <w:r w:rsidR="00217F10">
        <w:rPr>
          <w:rFonts w:ascii="Franklin Gothic Book" w:eastAsia="Calibri" w:hAnsi="Franklin Gothic Book"/>
          <w:iCs/>
          <w:sz w:val="22"/>
          <w:szCs w:val="22"/>
          <w:lang w:eastAsia="en-US"/>
        </w:rPr>
        <w:t>could consult</w:t>
      </w:r>
      <w:r w:rsidR="00330577">
        <w:rPr>
          <w:rFonts w:ascii="Franklin Gothic Book" w:eastAsia="Calibri" w:hAnsi="Franklin Gothic Book"/>
          <w:iCs/>
          <w:sz w:val="22"/>
          <w:szCs w:val="22"/>
          <w:lang w:eastAsia="en-US"/>
        </w:rPr>
        <w:t xml:space="preserve"> with the relevant experts</w:t>
      </w:r>
      <w:r w:rsidR="00067DD6">
        <w:rPr>
          <w:rFonts w:ascii="Franklin Gothic Book" w:eastAsia="Calibri" w:hAnsi="Franklin Gothic Book"/>
          <w:iCs/>
          <w:sz w:val="22"/>
          <w:szCs w:val="22"/>
          <w:lang w:eastAsia="en-US"/>
        </w:rPr>
        <w:t xml:space="preserve"> (</w:t>
      </w:r>
      <w:proofErr w:type="gramStart"/>
      <w:r w:rsidR="00067DD6">
        <w:rPr>
          <w:rFonts w:ascii="Franklin Gothic Book" w:eastAsia="Calibri" w:hAnsi="Franklin Gothic Book"/>
          <w:iCs/>
          <w:sz w:val="22"/>
          <w:szCs w:val="22"/>
          <w:lang w:eastAsia="en-US"/>
        </w:rPr>
        <w:t>e.g.</w:t>
      </w:r>
      <w:proofErr w:type="gramEnd"/>
      <w:r w:rsidR="00067DD6">
        <w:rPr>
          <w:rFonts w:ascii="Franklin Gothic Book" w:eastAsia="Calibri" w:hAnsi="Franklin Gothic Book"/>
          <w:iCs/>
          <w:sz w:val="22"/>
          <w:szCs w:val="22"/>
          <w:lang w:eastAsia="en-US"/>
        </w:rPr>
        <w:t xml:space="preserve"> RANZCR)</w:t>
      </w:r>
      <w:r w:rsidR="00217F10">
        <w:rPr>
          <w:rFonts w:ascii="Franklin Gothic Book" w:eastAsia="Calibri" w:hAnsi="Franklin Gothic Book"/>
          <w:iCs/>
          <w:sz w:val="22"/>
          <w:szCs w:val="22"/>
          <w:lang w:eastAsia="en-US"/>
        </w:rPr>
        <w:t xml:space="preserve"> </w:t>
      </w:r>
      <w:r w:rsidR="00330577">
        <w:rPr>
          <w:rFonts w:ascii="Franklin Gothic Book" w:eastAsia="Calibri" w:hAnsi="Franklin Gothic Book"/>
          <w:iCs/>
          <w:sz w:val="22"/>
          <w:szCs w:val="22"/>
          <w:lang w:eastAsia="en-US"/>
        </w:rPr>
        <w:t>to resolve these</w:t>
      </w:r>
      <w:r w:rsidR="00217F10">
        <w:rPr>
          <w:rFonts w:ascii="Franklin Gothic Book" w:eastAsia="Calibri" w:hAnsi="Franklin Gothic Book"/>
          <w:iCs/>
          <w:sz w:val="22"/>
          <w:szCs w:val="22"/>
          <w:lang w:eastAsia="en-US"/>
        </w:rPr>
        <w:t xml:space="preserve"> matters</w:t>
      </w:r>
      <w:r w:rsidR="00BC7353">
        <w:rPr>
          <w:rFonts w:ascii="Franklin Gothic Book" w:eastAsia="Calibri" w:hAnsi="Franklin Gothic Book"/>
          <w:iCs/>
          <w:sz w:val="22"/>
          <w:szCs w:val="22"/>
          <w:lang w:eastAsia="en-US"/>
        </w:rPr>
        <w:t>.</w:t>
      </w:r>
      <w:r w:rsidR="00AC4123">
        <w:rPr>
          <w:rFonts w:ascii="Franklin Gothic Book" w:eastAsia="Calibri" w:hAnsi="Franklin Gothic Book"/>
          <w:iCs/>
          <w:sz w:val="22"/>
          <w:szCs w:val="22"/>
          <w:lang w:eastAsia="en-US"/>
        </w:rPr>
        <w:t xml:space="preserve"> MSAC </w:t>
      </w:r>
      <w:r w:rsidR="00BE5C9A">
        <w:rPr>
          <w:rFonts w:ascii="Franklin Gothic Book" w:eastAsia="Calibri" w:hAnsi="Franklin Gothic Book"/>
          <w:iCs/>
          <w:sz w:val="22"/>
          <w:szCs w:val="22"/>
          <w:lang w:eastAsia="en-US"/>
        </w:rPr>
        <w:t>also considered that the MRI item for pre-surgical suitability assessment should be restricted to a once per lifetime, which wa</w:t>
      </w:r>
      <w:r w:rsidR="00A376B1">
        <w:rPr>
          <w:rFonts w:ascii="Franklin Gothic Book" w:eastAsia="Calibri" w:hAnsi="Franklin Gothic Book"/>
          <w:iCs/>
          <w:sz w:val="22"/>
          <w:szCs w:val="22"/>
          <w:lang w:eastAsia="en-US"/>
        </w:rPr>
        <w:t>s also acknowledged by the applicant in the pre-MSAC response.</w:t>
      </w:r>
      <w:r w:rsidR="00BE5C9A">
        <w:rPr>
          <w:rFonts w:ascii="Franklin Gothic Book" w:eastAsia="Calibri" w:hAnsi="Franklin Gothic Book"/>
          <w:iCs/>
          <w:sz w:val="22"/>
          <w:szCs w:val="22"/>
          <w:lang w:eastAsia="en-US"/>
        </w:rPr>
        <w:t xml:space="preserve">  </w:t>
      </w:r>
      <w:r w:rsidR="00BC7353">
        <w:rPr>
          <w:rFonts w:ascii="Franklin Gothic Book" w:eastAsia="Calibri" w:hAnsi="Franklin Gothic Book"/>
          <w:iCs/>
          <w:sz w:val="22"/>
          <w:szCs w:val="22"/>
          <w:lang w:eastAsia="en-US"/>
        </w:rPr>
        <w:t xml:space="preserve">For MRI for pre-surgical planning, </w:t>
      </w:r>
      <w:r w:rsidR="009F68DF" w:rsidRPr="0036217B">
        <w:rPr>
          <w:rFonts w:ascii="Franklin Gothic Book" w:eastAsia="Calibri" w:hAnsi="Franklin Gothic Book"/>
          <w:iCs/>
          <w:sz w:val="22"/>
          <w:szCs w:val="22"/>
          <w:lang w:eastAsia="en-US"/>
        </w:rPr>
        <w:t>MSAC</w:t>
      </w:r>
      <w:r w:rsidR="009F68DF">
        <w:rPr>
          <w:rFonts w:ascii="Franklin Gothic Book" w:eastAsia="Calibri" w:hAnsi="Franklin Gothic Book"/>
          <w:iCs/>
          <w:sz w:val="22"/>
          <w:szCs w:val="22"/>
          <w:lang w:eastAsia="en-US"/>
        </w:rPr>
        <w:t xml:space="preserve"> considered that</w:t>
      </w:r>
      <w:r w:rsidR="00F741E3">
        <w:rPr>
          <w:rFonts w:ascii="Franklin Gothic Book" w:eastAsia="Calibri" w:hAnsi="Franklin Gothic Book"/>
          <w:iCs/>
          <w:sz w:val="22"/>
          <w:szCs w:val="22"/>
          <w:lang w:eastAsia="en-US"/>
        </w:rPr>
        <w:t xml:space="preserve"> it</w:t>
      </w:r>
      <w:r w:rsidR="009F68DF">
        <w:rPr>
          <w:rFonts w:ascii="Franklin Gothic Book" w:eastAsia="Calibri" w:hAnsi="Franklin Gothic Book"/>
          <w:iCs/>
          <w:sz w:val="22"/>
          <w:szCs w:val="22"/>
          <w:lang w:eastAsia="en-US"/>
        </w:rPr>
        <w:t xml:space="preserve"> </w:t>
      </w:r>
      <w:r w:rsidR="009F68DF" w:rsidRPr="0036217B">
        <w:rPr>
          <w:rFonts w:ascii="Franklin Gothic Book" w:eastAsia="Calibri" w:hAnsi="Franklin Gothic Book"/>
          <w:iCs/>
          <w:sz w:val="22"/>
          <w:szCs w:val="22"/>
          <w:lang w:eastAsia="en-US"/>
        </w:rPr>
        <w:t>is likely to require a longer scan time and different expertise</w:t>
      </w:r>
      <w:r w:rsidR="009F68DF">
        <w:rPr>
          <w:rFonts w:ascii="Franklin Gothic Book" w:eastAsia="Calibri" w:hAnsi="Franklin Gothic Book"/>
          <w:iCs/>
          <w:sz w:val="22"/>
          <w:szCs w:val="22"/>
          <w:lang w:eastAsia="en-US"/>
        </w:rPr>
        <w:t xml:space="preserve"> from the MRI for pre-surgical suitability.</w:t>
      </w:r>
      <w:r w:rsidR="009F68DF" w:rsidRPr="0088629E">
        <w:rPr>
          <w:rFonts w:ascii="Franklin Gothic Book" w:eastAsia="Calibri" w:hAnsi="Franklin Gothic Book"/>
          <w:iCs/>
          <w:sz w:val="22"/>
          <w:szCs w:val="22"/>
          <w:lang w:eastAsia="en-US"/>
        </w:rPr>
        <w:t xml:space="preserve"> </w:t>
      </w:r>
      <w:r w:rsidR="0023026C">
        <w:rPr>
          <w:rFonts w:ascii="Franklin Gothic Book" w:eastAsia="Calibri" w:hAnsi="Franklin Gothic Book"/>
          <w:iCs/>
          <w:sz w:val="22"/>
          <w:szCs w:val="22"/>
          <w:lang w:eastAsia="en-US"/>
        </w:rPr>
        <w:t xml:space="preserve"> </w:t>
      </w:r>
      <w:r w:rsidR="00A508A6">
        <w:rPr>
          <w:rFonts w:ascii="Franklin Gothic Book" w:eastAsia="Calibri" w:hAnsi="Franklin Gothic Book"/>
          <w:iCs/>
          <w:sz w:val="22"/>
          <w:szCs w:val="22"/>
          <w:lang w:eastAsia="en-US"/>
        </w:rPr>
        <w:t>MSAC considered whether the items for pre-surgical planning and treatment</w:t>
      </w:r>
      <w:r w:rsidR="00674C25">
        <w:rPr>
          <w:rFonts w:ascii="Franklin Gothic Book" w:eastAsia="Calibri" w:hAnsi="Franklin Gothic Book"/>
          <w:iCs/>
          <w:sz w:val="22"/>
          <w:szCs w:val="22"/>
          <w:lang w:eastAsia="en-US"/>
        </w:rPr>
        <w:t xml:space="preserve"> by a neurosurgeon</w:t>
      </w:r>
      <w:r w:rsidR="00A508A6">
        <w:rPr>
          <w:rFonts w:ascii="Franklin Gothic Book" w:eastAsia="Calibri" w:hAnsi="Franklin Gothic Book"/>
          <w:iCs/>
          <w:sz w:val="22"/>
          <w:szCs w:val="22"/>
          <w:lang w:eastAsia="en-US"/>
        </w:rPr>
        <w:t xml:space="preserve"> could be packaged into a single item though </w:t>
      </w:r>
      <w:r w:rsidR="0023026C">
        <w:rPr>
          <w:rFonts w:ascii="Franklin Gothic Book" w:eastAsia="Calibri" w:hAnsi="Franklin Gothic Book"/>
          <w:iCs/>
          <w:sz w:val="22"/>
          <w:szCs w:val="22"/>
          <w:lang w:eastAsia="en-US"/>
        </w:rPr>
        <w:t>it acknowledged</w:t>
      </w:r>
      <w:r w:rsidR="00A508A6">
        <w:rPr>
          <w:rFonts w:ascii="Franklin Gothic Book" w:eastAsia="Calibri" w:hAnsi="Franklin Gothic Book"/>
          <w:iCs/>
          <w:sz w:val="22"/>
          <w:szCs w:val="22"/>
          <w:lang w:eastAsia="en-US"/>
        </w:rPr>
        <w:t xml:space="preserve"> that </w:t>
      </w:r>
      <w:r w:rsidR="0023026C">
        <w:rPr>
          <w:rFonts w:ascii="Franklin Gothic Book" w:eastAsia="Calibri" w:hAnsi="Franklin Gothic Book"/>
          <w:iCs/>
          <w:sz w:val="22"/>
          <w:szCs w:val="22"/>
          <w:lang w:eastAsia="en-US"/>
        </w:rPr>
        <w:t xml:space="preserve">the </w:t>
      </w:r>
      <w:r w:rsidR="00A508A6">
        <w:rPr>
          <w:rFonts w:ascii="Franklin Gothic Book" w:eastAsia="Calibri" w:hAnsi="Franklin Gothic Book"/>
          <w:iCs/>
          <w:sz w:val="22"/>
          <w:szCs w:val="22"/>
          <w:lang w:eastAsia="en-US"/>
        </w:rPr>
        <w:t>item for pre</w:t>
      </w:r>
      <w:r w:rsidR="00BC7353">
        <w:rPr>
          <w:rFonts w:ascii="Franklin Gothic Book" w:eastAsia="Calibri" w:hAnsi="Franklin Gothic Book"/>
          <w:iCs/>
          <w:sz w:val="22"/>
          <w:szCs w:val="22"/>
          <w:lang w:eastAsia="en-US"/>
        </w:rPr>
        <w:t>-</w:t>
      </w:r>
      <w:r w:rsidR="00A508A6">
        <w:rPr>
          <w:rFonts w:ascii="Franklin Gothic Book" w:eastAsia="Calibri" w:hAnsi="Franklin Gothic Book"/>
          <w:iCs/>
          <w:sz w:val="22"/>
          <w:szCs w:val="22"/>
          <w:lang w:eastAsia="en-US"/>
        </w:rPr>
        <w:t>surgical suitability</w:t>
      </w:r>
      <w:r w:rsidR="0023026C">
        <w:rPr>
          <w:rFonts w:ascii="Franklin Gothic Book" w:eastAsia="Calibri" w:hAnsi="Franklin Gothic Book"/>
          <w:iCs/>
          <w:sz w:val="22"/>
          <w:szCs w:val="22"/>
          <w:lang w:eastAsia="en-US"/>
        </w:rPr>
        <w:t xml:space="preserve">, if it were to remain, </w:t>
      </w:r>
      <w:r w:rsidR="00A508A6">
        <w:rPr>
          <w:rFonts w:ascii="Franklin Gothic Book" w:eastAsia="Calibri" w:hAnsi="Franklin Gothic Book"/>
          <w:iCs/>
          <w:sz w:val="22"/>
          <w:szCs w:val="22"/>
          <w:lang w:eastAsia="en-US"/>
        </w:rPr>
        <w:t>should</w:t>
      </w:r>
      <w:r w:rsidR="0023026C">
        <w:rPr>
          <w:rFonts w:ascii="Franklin Gothic Book" w:eastAsia="Calibri" w:hAnsi="Franklin Gothic Book"/>
          <w:iCs/>
          <w:sz w:val="22"/>
          <w:szCs w:val="22"/>
          <w:lang w:eastAsia="en-US"/>
        </w:rPr>
        <w:t xml:space="preserve"> be a </w:t>
      </w:r>
      <w:r w:rsidR="00A508A6">
        <w:rPr>
          <w:rFonts w:ascii="Franklin Gothic Book" w:eastAsia="Calibri" w:hAnsi="Franklin Gothic Book"/>
          <w:iCs/>
          <w:sz w:val="22"/>
          <w:szCs w:val="22"/>
          <w:lang w:eastAsia="en-US"/>
        </w:rPr>
        <w:t>separate</w:t>
      </w:r>
      <w:r w:rsidR="0023026C">
        <w:rPr>
          <w:rFonts w:ascii="Franklin Gothic Book" w:eastAsia="Calibri" w:hAnsi="Franklin Gothic Book"/>
          <w:iCs/>
          <w:sz w:val="22"/>
          <w:szCs w:val="22"/>
          <w:lang w:eastAsia="en-US"/>
        </w:rPr>
        <w:t xml:space="preserve"> item</w:t>
      </w:r>
      <w:r w:rsidR="00A508A6">
        <w:rPr>
          <w:rFonts w:ascii="Franklin Gothic Book" w:eastAsia="Calibri" w:hAnsi="Franklin Gothic Book"/>
          <w:iCs/>
          <w:sz w:val="22"/>
          <w:szCs w:val="22"/>
          <w:lang w:eastAsia="en-US"/>
        </w:rPr>
        <w:t>.</w:t>
      </w:r>
      <w:r w:rsidR="0023026C">
        <w:rPr>
          <w:rFonts w:ascii="Franklin Gothic Book" w:eastAsia="Calibri" w:hAnsi="Franklin Gothic Book"/>
          <w:iCs/>
          <w:sz w:val="22"/>
          <w:szCs w:val="22"/>
          <w:lang w:eastAsia="en-US"/>
        </w:rPr>
        <w:t xml:space="preserve"> </w:t>
      </w:r>
      <w:r w:rsidR="00234458">
        <w:rPr>
          <w:rFonts w:ascii="Franklin Gothic Book" w:eastAsia="Calibri" w:hAnsi="Franklin Gothic Book"/>
          <w:iCs/>
          <w:sz w:val="22"/>
          <w:szCs w:val="22"/>
          <w:lang w:eastAsia="en-US"/>
        </w:rPr>
        <w:t>MSAC questioned the exact role</w:t>
      </w:r>
      <w:r w:rsidR="009F68DF">
        <w:rPr>
          <w:rFonts w:ascii="Franklin Gothic Book" w:eastAsia="Calibri" w:hAnsi="Franklin Gothic Book"/>
          <w:iCs/>
          <w:sz w:val="22"/>
          <w:szCs w:val="22"/>
          <w:lang w:eastAsia="en-US"/>
        </w:rPr>
        <w:t>s</w:t>
      </w:r>
      <w:r w:rsidR="00234458">
        <w:rPr>
          <w:rFonts w:ascii="Franklin Gothic Book" w:eastAsia="Calibri" w:hAnsi="Franklin Gothic Book"/>
          <w:iCs/>
          <w:sz w:val="22"/>
          <w:szCs w:val="22"/>
          <w:lang w:eastAsia="en-US"/>
        </w:rPr>
        <w:t xml:space="preserve"> of the practitioners for the items for pre-surgical planning (by a radiologist), intra-operative procedure (by a neurosurgeon) and intra-operative procedure (by a neurologist). </w:t>
      </w:r>
      <w:r w:rsidR="00234458" w:rsidRPr="0036217B">
        <w:rPr>
          <w:rFonts w:ascii="Franklin Gothic Book" w:eastAsia="Calibri" w:hAnsi="Franklin Gothic Book"/>
          <w:iCs/>
          <w:sz w:val="22"/>
          <w:szCs w:val="22"/>
          <w:lang w:eastAsia="en-US"/>
        </w:rPr>
        <w:t xml:space="preserve"> </w:t>
      </w:r>
      <w:r w:rsidR="0036217B">
        <w:rPr>
          <w:rFonts w:ascii="Franklin Gothic Book" w:eastAsia="Calibri" w:hAnsi="Franklin Gothic Book"/>
          <w:iCs/>
          <w:sz w:val="22"/>
          <w:szCs w:val="22"/>
          <w:lang w:eastAsia="en-US"/>
        </w:rPr>
        <w:t xml:space="preserve">MSAC </w:t>
      </w:r>
      <w:r w:rsidR="00A376B1">
        <w:rPr>
          <w:rFonts w:ascii="Franklin Gothic Book" w:eastAsia="Calibri" w:hAnsi="Franklin Gothic Book"/>
          <w:iCs/>
          <w:sz w:val="22"/>
          <w:szCs w:val="22"/>
          <w:lang w:eastAsia="en-US"/>
        </w:rPr>
        <w:t>considered</w:t>
      </w:r>
      <w:r w:rsidR="0036217B">
        <w:rPr>
          <w:rFonts w:ascii="Franklin Gothic Book" w:eastAsia="Calibri" w:hAnsi="Franklin Gothic Book"/>
          <w:iCs/>
          <w:sz w:val="22"/>
          <w:szCs w:val="22"/>
          <w:lang w:eastAsia="en-US"/>
        </w:rPr>
        <w:t xml:space="preserve"> that the post-surgical MRI </w:t>
      </w:r>
      <w:r w:rsidR="0036217B" w:rsidRPr="0036217B">
        <w:rPr>
          <w:rFonts w:ascii="Franklin Gothic Book" w:eastAsia="Calibri" w:hAnsi="Franklin Gothic Book"/>
          <w:iCs/>
          <w:sz w:val="22"/>
          <w:szCs w:val="22"/>
          <w:lang w:eastAsia="en-US"/>
        </w:rPr>
        <w:t xml:space="preserve">may be more </w:t>
      </w:r>
      <w:r w:rsidR="00217F10">
        <w:rPr>
          <w:rFonts w:ascii="Franklin Gothic Book" w:eastAsia="Calibri" w:hAnsi="Franklin Gothic Book"/>
          <w:iCs/>
          <w:sz w:val="22"/>
          <w:szCs w:val="22"/>
          <w:lang w:eastAsia="en-US"/>
        </w:rPr>
        <w:t xml:space="preserve">to </w:t>
      </w:r>
      <w:r w:rsidR="00F741E3">
        <w:rPr>
          <w:rFonts w:ascii="Franklin Gothic Book" w:eastAsia="Calibri" w:hAnsi="Franklin Gothic Book"/>
          <w:iCs/>
          <w:sz w:val="22"/>
          <w:szCs w:val="22"/>
          <w:lang w:eastAsia="en-US"/>
        </w:rPr>
        <w:t>demonstrate</w:t>
      </w:r>
      <w:r w:rsidR="00217F10">
        <w:rPr>
          <w:rFonts w:ascii="Franklin Gothic Book" w:eastAsia="Calibri" w:hAnsi="Franklin Gothic Book"/>
          <w:iCs/>
          <w:sz w:val="22"/>
          <w:szCs w:val="22"/>
          <w:lang w:eastAsia="en-US"/>
        </w:rPr>
        <w:t xml:space="preserve"> the induced</w:t>
      </w:r>
      <w:r w:rsidR="00F741E3">
        <w:rPr>
          <w:rFonts w:ascii="Franklin Gothic Book" w:eastAsia="Calibri" w:hAnsi="Franklin Gothic Book"/>
          <w:iCs/>
          <w:sz w:val="22"/>
          <w:szCs w:val="22"/>
          <w:lang w:eastAsia="en-US"/>
        </w:rPr>
        <w:t xml:space="preserve"> thalamic</w:t>
      </w:r>
      <w:r w:rsidR="00217F10">
        <w:rPr>
          <w:rFonts w:ascii="Franklin Gothic Book" w:eastAsia="Calibri" w:hAnsi="Franklin Gothic Book"/>
          <w:iCs/>
          <w:sz w:val="22"/>
          <w:szCs w:val="22"/>
          <w:lang w:eastAsia="en-US"/>
        </w:rPr>
        <w:t xml:space="preserve"> lesion </w:t>
      </w:r>
      <w:r w:rsidR="0036217B" w:rsidRPr="0036217B">
        <w:rPr>
          <w:rFonts w:ascii="Franklin Gothic Book" w:eastAsia="Calibri" w:hAnsi="Franklin Gothic Book"/>
          <w:iCs/>
          <w:sz w:val="22"/>
          <w:szCs w:val="22"/>
          <w:lang w:eastAsia="en-US"/>
        </w:rPr>
        <w:t>and prognosis rather than management change</w:t>
      </w:r>
      <w:r w:rsidR="0036217B">
        <w:rPr>
          <w:rFonts w:ascii="Franklin Gothic Book" w:eastAsia="Calibri" w:hAnsi="Franklin Gothic Book"/>
          <w:iCs/>
          <w:sz w:val="22"/>
          <w:szCs w:val="22"/>
          <w:lang w:eastAsia="en-US"/>
        </w:rPr>
        <w:t>.</w:t>
      </w:r>
      <w:r w:rsidR="0036217B" w:rsidRPr="0036217B">
        <w:rPr>
          <w:rFonts w:ascii="Franklin Gothic Book" w:eastAsia="Calibri" w:hAnsi="Franklin Gothic Book"/>
          <w:iCs/>
          <w:sz w:val="22"/>
          <w:szCs w:val="22"/>
          <w:lang w:eastAsia="en-US"/>
        </w:rPr>
        <w:t xml:space="preserve"> </w:t>
      </w:r>
      <w:r w:rsidRPr="0088629E">
        <w:rPr>
          <w:rFonts w:ascii="Franklin Gothic Book" w:eastAsia="Calibri" w:hAnsi="Franklin Gothic Book"/>
          <w:iCs/>
          <w:sz w:val="22"/>
          <w:szCs w:val="22"/>
          <w:lang w:eastAsia="en-US"/>
        </w:rPr>
        <w:t xml:space="preserve">MSAC questioned whether the post-surgical MRI could be optional and made available under </w:t>
      </w:r>
      <w:r w:rsidR="00217F10">
        <w:rPr>
          <w:rFonts w:ascii="Franklin Gothic Book" w:eastAsia="Calibri" w:hAnsi="Franklin Gothic Book"/>
          <w:iCs/>
          <w:sz w:val="22"/>
          <w:szCs w:val="22"/>
          <w:lang w:eastAsia="en-US"/>
        </w:rPr>
        <w:t xml:space="preserve">current </w:t>
      </w:r>
      <w:r w:rsidRPr="0088629E">
        <w:rPr>
          <w:rFonts w:ascii="Franklin Gothic Book" w:eastAsia="Calibri" w:hAnsi="Franklin Gothic Book"/>
          <w:iCs/>
          <w:sz w:val="22"/>
          <w:szCs w:val="22"/>
          <w:lang w:eastAsia="en-US"/>
        </w:rPr>
        <w:t>MBS funding</w:t>
      </w:r>
      <w:r w:rsidR="00A376B1">
        <w:rPr>
          <w:rFonts w:ascii="Franklin Gothic Book" w:eastAsia="Calibri" w:hAnsi="Franklin Gothic Book"/>
          <w:iCs/>
          <w:sz w:val="22"/>
          <w:szCs w:val="22"/>
          <w:lang w:eastAsia="en-US"/>
        </w:rPr>
        <w:t xml:space="preserve"> arrangement</w:t>
      </w:r>
      <w:r w:rsidRPr="0088629E">
        <w:rPr>
          <w:rFonts w:ascii="Franklin Gothic Book" w:eastAsia="Calibri" w:hAnsi="Franklin Gothic Book"/>
          <w:iCs/>
          <w:sz w:val="22"/>
          <w:szCs w:val="22"/>
          <w:lang w:eastAsia="en-US"/>
        </w:rPr>
        <w:t xml:space="preserve"> (rather than </w:t>
      </w:r>
      <w:r w:rsidR="009F68DF">
        <w:rPr>
          <w:rFonts w:ascii="Franklin Gothic Book" w:eastAsia="Calibri" w:hAnsi="Franklin Gothic Book"/>
          <w:iCs/>
          <w:sz w:val="22"/>
          <w:szCs w:val="22"/>
          <w:lang w:eastAsia="en-US"/>
        </w:rPr>
        <w:t xml:space="preserve">being </w:t>
      </w:r>
      <w:r w:rsidRPr="0088629E">
        <w:rPr>
          <w:rFonts w:ascii="Franklin Gothic Book" w:eastAsia="Calibri" w:hAnsi="Franklin Gothic Book"/>
          <w:iCs/>
          <w:sz w:val="22"/>
          <w:szCs w:val="22"/>
          <w:lang w:eastAsia="en-US"/>
        </w:rPr>
        <w:t>part of the treatment package), as it may not be necessary for patients who are doing well and have no adverse events (AEs).</w:t>
      </w:r>
    </w:p>
    <w:p w14:paraId="28D73150" w14:textId="3B82FD83" w:rsidR="00BE5C9A" w:rsidRDefault="0088629E" w:rsidP="0088629E">
      <w:pPr>
        <w:autoSpaceDE w:val="0"/>
        <w:autoSpaceDN w:val="0"/>
        <w:adjustRightInd w:val="0"/>
        <w:spacing w:after="240"/>
        <w:rPr>
          <w:rFonts w:ascii="Franklin Gothic Book" w:eastAsia="Calibri" w:hAnsi="Franklin Gothic Book"/>
          <w:iCs/>
          <w:sz w:val="22"/>
          <w:szCs w:val="22"/>
          <w:lang w:eastAsia="en-US"/>
        </w:rPr>
      </w:pPr>
      <w:r w:rsidRPr="0088629E">
        <w:rPr>
          <w:rFonts w:ascii="Franklin Gothic Book" w:eastAsia="Calibri" w:hAnsi="Franklin Gothic Book"/>
          <w:iCs/>
          <w:sz w:val="22"/>
          <w:szCs w:val="22"/>
          <w:lang w:eastAsia="en-US"/>
        </w:rPr>
        <w:t xml:space="preserve">MSAC considered the fees for </w:t>
      </w:r>
      <w:r w:rsidR="00234458">
        <w:rPr>
          <w:rFonts w:ascii="Franklin Gothic Book" w:eastAsia="Calibri" w:hAnsi="Franklin Gothic Book"/>
          <w:iCs/>
          <w:sz w:val="22"/>
          <w:szCs w:val="22"/>
          <w:lang w:eastAsia="en-US"/>
        </w:rPr>
        <w:t xml:space="preserve">the separate items for treatment by the </w:t>
      </w:r>
      <w:r w:rsidRPr="0088629E">
        <w:rPr>
          <w:rFonts w:ascii="Franklin Gothic Book" w:eastAsia="Calibri" w:hAnsi="Franklin Gothic Book"/>
          <w:iCs/>
          <w:sz w:val="22"/>
          <w:szCs w:val="22"/>
          <w:lang w:eastAsia="en-US"/>
        </w:rPr>
        <w:t xml:space="preserve">neurosurgeon and neurologist to be very high and not adequately justified. MSAC considered the fees should depend on the length of the procedure, as all specialists are trained to a level of </w:t>
      </w:r>
      <w:proofErr w:type="gramStart"/>
      <w:r w:rsidRPr="0088629E">
        <w:rPr>
          <w:rFonts w:ascii="Franklin Gothic Book" w:eastAsia="Calibri" w:hAnsi="Franklin Gothic Book"/>
          <w:iCs/>
          <w:sz w:val="22"/>
          <w:szCs w:val="22"/>
          <w:lang w:eastAsia="en-US"/>
        </w:rPr>
        <w:t>expertise, and</w:t>
      </w:r>
      <w:proofErr w:type="gramEnd"/>
      <w:r w:rsidRPr="0088629E">
        <w:rPr>
          <w:rFonts w:ascii="Franklin Gothic Book" w:eastAsia="Calibri" w:hAnsi="Franklin Gothic Book"/>
          <w:iCs/>
          <w:sz w:val="22"/>
          <w:szCs w:val="22"/>
          <w:lang w:eastAsia="en-US"/>
        </w:rPr>
        <w:t xml:space="preserve"> should be calculated according to a comparative time-based structure.</w:t>
      </w:r>
      <w:r w:rsidR="00DE4F05">
        <w:rPr>
          <w:rFonts w:ascii="Franklin Gothic Book" w:eastAsia="Calibri" w:hAnsi="Franklin Gothic Book"/>
          <w:iCs/>
          <w:sz w:val="22"/>
          <w:szCs w:val="22"/>
          <w:lang w:eastAsia="en-US"/>
        </w:rPr>
        <w:t xml:space="preserve"> </w:t>
      </w:r>
      <w:r w:rsidRPr="0088629E">
        <w:rPr>
          <w:rFonts w:ascii="Franklin Gothic Book" w:eastAsia="Calibri" w:hAnsi="Franklin Gothic Book"/>
          <w:iCs/>
          <w:sz w:val="22"/>
          <w:szCs w:val="22"/>
          <w:lang w:eastAsia="en-US"/>
        </w:rPr>
        <w:t>MSAC advised that more justification was needed for these fees. MSAC also considered that the</w:t>
      </w:r>
      <w:r w:rsidR="008F16B4">
        <w:rPr>
          <w:rFonts w:ascii="Franklin Gothic Book" w:eastAsia="Calibri" w:hAnsi="Franklin Gothic Book"/>
          <w:iCs/>
          <w:sz w:val="22"/>
          <w:szCs w:val="22"/>
          <w:lang w:eastAsia="en-US"/>
        </w:rPr>
        <w:t xml:space="preserve"> same provider</w:t>
      </w:r>
      <w:r w:rsidRPr="0088629E">
        <w:rPr>
          <w:rFonts w:ascii="Franklin Gothic Book" w:eastAsia="Calibri" w:hAnsi="Franklin Gothic Book"/>
          <w:iCs/>
          <w:sz w:val="22"/>
          <w:szCs w:val="22"/>
          <w:lang w:eastAsia="en-US"/>
        </w:rPr>
        <w:t xml:space="preserve"> </w:t>
      </w:r>
      <w:r w:rsidR="008F16B4">
        <w:rPr>
          <w:rFonts w:ascii="Franklin Gothic Book" w:eastAsia="Calibri" w:hAnsi="Franklin Gothic Book"/>
          <w:iCs/>
          <w:sz w:val="22"/>
          <w:szCs w:val="22"/>
          <w:lang w:eastAsia="en-US"/>
        </w:rPr>
        <w:t>(</w:t>
      </w:r>
      <w:proofErr w:type="gramStart"/>
      <w:r w:rsidR="008F16B4">
        <w:rPr>
          <w:rFonts w:ascii="Franklin Gothic Book" w:eastAsia="Calibri" w:hAnsi="Franklin Gothic Book"/>
          <w:iCs/>
          <w:sz w:val="22"/>
          <w:szCs w:val="22"/>
          <w:lang w:eastAsia="en-US"/>
        </w:rPr>
        <w:t>e.g.</w:t>
      </w:r>
      <w:proofErr w:type="gramEnd"/>
      <w:r w:rsidR="008F16B4">
        <w:rPr>
          <w:rFonts w:ascii="Franklin Gothic Book" w:eastAsia="Calibri" w:hAnsi="Franklin Gothic Book"/>
          <w:iCs/>
          <w:sz w:val="22"/>
          <w:szCs w:val="22"/>
          <w:lang w:eastAsia="en-US"/>
        </w:rPr>
        <w:t xml:space="preserve"> </w:t>
      </w:r>
      <w:r w:rsidRPr="0088629E">
        <w:rPr>
          <w:rFonts w:ascii="Franklin Gothic Book" w:eastAsia="Calibri" w:hAnsi="Franklin Gothic Book"/>
          <w:iCs/>
          <w:sz w:val="22"/>
          <w:szCs w:val="22"/>
          <w:lang w:eastAsia="en-US"/>
        </w:rPr>
        <w:t>neurosurgeon</w:t>
      </w:r>
      <w:r w:rsidR="008F16B4">
        <w:rPr>
          <w:rFonts w:ascii="Franklin Gothic Book" w:eastAsia="Calibri" w:hAnsi="Franklin Gothic Book"/>
          <w:iCs/>
          <w:sz w:val="22"/>
          <w:szCs w:val="22"/>
          <w:lang w:eastAsia="en-US"/>
        </w:rPr>
        <w:t>)</w:t>
      </w:r>
      <w:r w:rsidRPr="0088629E">
        <w:rPr>
          <w:rFonts w:ascii="Franklin Gothic Book" w:eastAsia="Calibri" w:hAnsi="Franklin Gothic Book"/>
          <w:iCs/>
          <w:sz w:val="22"/>
          <w:szCs w:val="22"/>
          <w:lang w:eastAsia="en-US"/>
        </w:rPr>
        <w:t xml:space="preserve"> should not be able to claim for both treatment items.</w:t>
      </w:r>
    </w:p>
    <w:p w14:paraId="3B5393E3" w14:textId="0B6E67A8" w:rsidR="00966F45" w:rsidRPr="0088629E" w:rsidRDefault="00DE4F05" w:rsidP="0088629E">
      <w:pPr>
        <w:autoSpaceDE w:val="0"/>
        <w:autoSpaceDN w:val="0"/>
        <w:adjustRightInd w:val="0"/>
        <w:spacing w:after="240"/>
        <w:rPr>
          <w:rFonts w:ascii="Franklin Gothic Book" w:eastAsia="Calibri" w:hAnsi="Franklin Gothic Book"/>
          <w:iCs/>
          <w:sz w:val="22"/>
          <w:szCs w:val="22"/>
          <w:lang w:eastAsia="en-US"/>
        </w:rPr>
      </w:pPr>
      <w:r>
        <w:rPr>
          <w:rFonts w:ascii="Franklin Gothic Book" w:hAnsi="Franklin Gothic Book"/>
          <w:sz w:val="22"/>
          <w:szCs w:val="22"/>
        </w:rPr>
        <w:t>MSAC considered that consultation with the relevant experts regarding the matters identified for the item structure, and fees would be needed.</w:t>
      </w:r>
      <w:r w:rsidR="002539C1">
        <w:rPr>
          <w:rFonts w:ascii="Franklin Gothic Book" w:hAnsi="Franklin Gothic Book"/>
          <w:sz w:val="22"/>
          <w:szCs w:val="22"/>
        </w:rPr>
        <w:t xml:space="preserve"> MSAC also noted the Department’s advice </w:t>
      </w:r>
      <w:r w:rsidR="008F16B4">
        <w:rPr>
          <w:rFonts w:ascii="Franklin Gothic Book" w:hAnsi="Franklin Gothic Book"/>
          <w:sz w:val="22"/>
          <w:szCs w:val="22"/>
        </w:rPr>
        <w:t xml:space="preserve">regarding </w:t>
      </w:r>
      <w:r w:rsidR="002539C1">
        <w:rPr>
          <w:rFonts w:ascii="Franklin Gothic Book" w:hAnsi="Franklin Gothic Book"/>
          <w:sz w:val="22"/>
          <w:szCs w:val="22"/>
        </w:rPr>
        <w:t>the training component of the service</w:t>
      </w:r>
      <w:r w:rsidR="008F16B4">
        <w:rPr>
          <w:rFonts w:ascii="Franklin Gothic Book" w:hAnsi="Franklin Gothic Book"/>
          <w:sz w:val="22"/>
          <w:szCs w:val="22"/>
        </w:rPr>
        <w:t>.</w:t>
      </w:r>
      <w:r w:rsidR="002539C1">
        <w:rPr>
          <w:rFonts w:ascii="Franklin Gothic Book" w:hAnsi="Franklin Gothic Book"/>
          <w:sz w:val="22"/>
          <w:szCs w:val="22"/>
        </w:rPr>
        <w:t xml:space="preserve"> </w:t>
      </w:r>
      <w:r w:rsidR="008F16B4">
        <w:rPr>
          <w:rFonts w:ascii="Franklin Gothic Book" w:hAnsi="Franklin Gothic Book"/>
          <w:sz w:val="22"/>
          <w:szCs w:val="22"/>
        </w:rPr>
        <w:t xml:space="preserve">Overall, </w:t>
      </w:r>
      <w:r w:rsidR="002539C1">
        <w:rPr>
          <w:rFonts w:ascii="Franklin Gothic Book" w:hAnsi="Franklin Gothic Book"/>
          <w:sz w:val="22"/>
          <w:szCs w:val="22"/>
        </w:rPr>
        <w:t xml:space="preserve">MSAC advised that the </w:t>
      </w:r>
      <w:r w:rsidR="00BE5C9A">
        <w:rPr>
          <w:rFonts w:ascii="Franklin Gothic Book" w:eastAsia="Calibri" w:hAnsi="Franklin Gothic Book"/>
          <w:iCs/>
          <w:sz w:val="22"/>
          <w:szCs w:val="22"/>
          <w:lang w:eastAsia="en-US"/>
        </w:rPr>
        <w:t>item descriptors</w:t>
      </w:r>
      <w:r w:rsidR="002539C1">
        <w:rPr>
          <w:rFonts w:ascii="Franklin Gothic Book" w:eastAsia="Calibri" w:hAnsi="Franklin Gothic Book"/>
          <w:iCs/>
          <w:sz w:val="22"/>
          <w:szCs w:val="22"/>
          <w:lang w:eastAsia="en-US"/>
        </w:rPr>
        <w:t xml:space="preserve">, </w:t>
      </w:r>
      <w:proofErr w:type="gramStart"/>
      <w:r w:rsidR="00BE5C9A">
        <w:rPr>
          <w:rFonts w:ascii="Franklin Gothic Book" w:eastAsia="Calibri" w:hAnsi="Franklin Gothic Book"/>
          <w:iCs/>
          <w:sz w:val="22"/>
          <w:szCs w:val="22"/>
          <w:lang w:eastAsia="en-US"/>
        </w:rPr>
        <w:t>fees</w:t>
      </w:r>
      <w:proofErr w:type="gramEnd"/>
      <w:r w:rsidR="002539C1">
        <w:rPr>
          <w:rFonts w:ascii="Franklin Gothic Book" w:eastAsia="Calibri" w:hAnsi="Franklin Gothic Book"/>
          <w:iCs/>
          <w:sz w:val="22"/>
          <w:szCs w:val="22"/>
          <w:lang w:eastAsia="en-US"/>
        </w:rPr>
        <w:t xml:space="preserve"> and training matters could be resolved through the MSAC Executive. The item descriptors and fees reflecting the MSAC advice are presented below</w:t>
      </w:r>
      <w:r w:rsidR="00ED270C">
        <w:rPr>
          <w:rFonts w:ascii="Franklin Gothic Book" w:eastAsia="Calibri" w:hAnsi="Franklin Gothic Book"/>
          <w:iCs/>
          <w:sz w:val="22"/>
          <w:szCs w:val="22"/>
          <w:lang w:eastAsia="en-US"/>
        </w:rPr>
        <w:t>:</w:t>
      </w:r>
    </w:p>
    <w:p w14:paraId="47CB9350" w14:textId="3A6D1B93" w:rsidR="0088629E" w:rsidRPr="0088629E" w:rsidRDefault="0088629E" w:rsidP="00A32BC5">
      <w:pPr>
        <w:pStyle w:val="TableName"/>
        <w:tabs>
          <w:tab w:val="clear" w:pos="1080"/>
          <w:tab w:val="left" w:pos="0"/>
        </w:tabs>
        <w:ind w:left="0" w:firstLine="0"/>
        <w:rPr>
          <w:rFonts w:ascii="Arial Narrow" w:hAnsi="Arial Narrow"/>
          <w:sz w:val="20"/>
          <w:szCs w:val="20"/>
        </w:rPr>
      </w:pPr>
      <w:r w:rsidRPr="0088629E">
        <w:rPr>
          <w:rFonts w:ascii="Arial Narrow" w:hAnsi="Arial Narrow"/>
          <w:sz w:val="20"/>
          <w:szCs w:val="20"/>
        </w:rPr>
        <w:lastRenderedPageBreak/>
        <w:t>MBS item descriptor – pre-surgical suitability assessment</w:t>
      </w:r>
      <w:r w:rsidR="00966F45">
        <w:rPr>
          <w:rFonts w:ascii="Arial Narrow" w:hAnsi="Arial Narrow"/>
          <w:sz w:val="20"/>
          <w:szCs w:val="20"/>
        </w:rPr>
        <w:t xml:space="preserve">- </w:t>
      </w:r>
      <w:r w:rsidR="00966F45" w:rsidRPr="00C42AA0">
        <w:rPr>
          <w:rFonts w:ascii="Arial Narrow" w:hAnsi="Arial Narrow"/>
          <w:i/>
          <w:iCs/>
          <w:sz w:val="20"/>
          <w:szCs w:val="20"/>
        </w:rPr>
        <w:t>the need for this item and structure to be confirmed at the MSAC Executive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8629E" w:rsidRPr="0088629E" w14:paraId="7981E228" w14:textId="77777777" w:rsidTr="009F591F">
        <w:tc>
          <w:tcPr>
            <w:tcW w:w="5000" w:type="pct"/>
          </w:tcPr>
          <w:p w14:paraId="67DF385B" w14:textId="77777777" w:rsidR="0088629E" w:rsidRPr="0088629E" w:rsidRDefault="0088629E" w:rsidP="00A32BC5">
            <w:pPr>
              <w:pStyle w:val="Tabletextright"/>
            </w:pPr>
            <w:r w:rsidRPr="0088629E">
              <w:t xml:space="preserve">Category 5 – DIAGNOSTIC IMAGING SERVICES </w:t>
            </w:r>
          </w:p>
        </w:tc>
      </w:tr>
      <w:tr w:rsidR="0088629E" w:rsidRPr="0088629E" w14:paraId="0A8B0C53" w14:textId="77777777" w:rsidTr="009F591F">
        <w:tc>
          <w:tcPr>
            <w:tcW w:w="5000" w:type="pct"/>
          </w:tcPr>
          <w:p w14:paraId="06CE1657" w14:textId="77777777" w:rsidR="0088629E" w:rsidRPr="0088629E" w:rsidRDefault="0088629E" w:rsidP="00A32BC5">
            <w:pPr>
              <w:pStyle w:val="Tabletext"/>
              <w:keepNext/>
              <w:rPr>
                <w:snapToGrid w:val="0"/>
                <w:szCs w:val="20"/>
              </w:rPr>
            </w:pPr>
            <w:r w:rsidRPr="0088629E">
              <w:rPr>
                <w:snapToGrid w:val="0"/>
                <w:szCs w:val="20"/>
              </w:rP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2B3BBA2F" w14:textId="77777777" w:rsidR="0088629E" w:rsidRPr="0088629E" w:rsidRDefault="0088629E" w:rsidP="00A32BC5">
            <w:pPr>
              <w:pStyle w:val="Tabletext"/>
              <w:keepNext/>
              <w:rPr>
                <w:snapToGrid w:val="0"/>
                <w:szCs w:val="20"/>
              </w:rPr>
            </w:pPr>
          </w:p>
          <w:p w14:paraId="3336FAAD" w14:textId="06C7A65B" w:rsidR="0088629E" w:rsidRPr="0088629E" w:rsidRDefault="0088629E" w:rsidP="00A32BC5">
            <w:pPr>
              <w:pStyle w:val="Tabletext"/>
              <w:keepNext/>
              <w:rPr>
                <w:snapToGrid w:val="0"/>
                <w:szCs w:val="20"/>
              </w:rPr>
            </w:pPr>
            <w:r w:rsidRPr="0088629E">
              <w:rPr>
                <w:snapToGrid w:val="0"/>
                <w:szCs w:val="20"/>
              </w:rPr>
              <w:t>Assessment of suitability for treatment of essential tremor with MRI-guided focused ultrasound</w:t>
            </w:r>
          </w:p>
          <w:p w14:paraId="78D63DFF" w14:textId="4E155C04" w:rsidR="00BE5C9A" w:rsidRPr="0088629E" w:rsidRDefault="0088629E" w:rsidP="00A32BC5">
            <w:pPr>
              <w:pStyle w:val="Tabletext"/>
              <w:keepNext/>
              <w:rPr>
                <w:snapToGrid w:val="0"/>
                <w:szCs w:val="20"/>
              </w:rPr>
            </w:pPr>
            <w:r w:rsidRPr="0088629E">
              <w:rPr>
                <w:snapToGrid w:val="0"/>
                <w:szCs w:val="20"/>
              </w:rPr>
              <w:t>Essential tremor where:</w:t>
            </w:r>
          </w:p>
          <w:p w14:paraId="09F3656B" w14:textId="77777777" w:rsidR="0088629E" w:rsidRPr="0088629E" w:rsidRDefault="0088629E" w:rsidP="00A32BC5">
            <w:pPr>
              <w:pStyle w:val="Tabletext"/>
              <w:keepNext/>
              <w:rPr>
                <w:snapToGrid w:val="0"/>
                <w:szCs w:val="20"/>
                <w:lang w:val="en-US"/>
              </w:rPr>
            </w:pPr>
            <w:r w:rsidRPr="0088629E">
              <w:rPr>
                <w:snapToGrid w:val="0"/>
                <w:szCs w:val="20"/>
                <w:lang w:val="en-US"/>
              </w:rPr>
              <w:t>(a)</w:t>
            </w:r>
            <w:r w:rsidRPr="0088629E">
              <w:rPr>
                <w:snapToGrid w:val="0"/>
                <w:szCs w:val="20"/>
                <w:lang w:val="en-US"/>
              </w:rPr>
              <w:tab/>
              <w:t>Symptoms cause severe disability, and</w:t>
            </w:r>
          </w:p>
          <w:p w14:paraId="59867091" w14:textId="77777777" w:rsidR="0088629E" w:rsidRPr="0088629E" w:rsidRDefault="0088629E" w:rsidP="00A32BC5">
            <w:pPr>
              <w:pStyle w:val="Tabletext"/>
              <w:keepNext/>
              <w:rPr>
                <w:snapToGrid w:val="0"/>
                <w:szCs w:val="20"/>
                <w:lang w:val="en-US"/>
              </w:rPr>
            </w:pPr>
            <w:r w:rsidRPr="0088629E">
              <w:rPr>
                <w:snapToGrid w:val="0"/>
                <w:szCs w:val="20"/>
                <w:lang w:val="en-US"/>
              </w:rPr>
              <w:t>(b)</w:t>
            </w:r>
            <w:r w:rsidRPr="0088629E">
              <w:rPr>
                <w:snapToGrid w:val="0"/>
                <w:szCs w:val="20"/>
                <w:lang w:val="en-US"/>
              </w:rPr>
              <w:tab/>
              <w:t>Tremor has proven refractory to, or recurred following, maximal medical therapy</w:t>
            </w:r>
          </w:p>
          <w:p w14:paraId="15995B72" w14:textId="77777777" w:rsidR="0088629E" w:rsidRPr="0088629E" w:rsidRDefault="0088629E" w:rsidP="00A32BC5">
            <w:pPr>
              <w:pStyle w:val="Tabletext"/>
              <w:keepNext/>
              <w:rPr>
                <w:snapToGrid w:val="0"/>
                <w:szCs w:val="20"/>
                <w:lang w:val="en-US"/>
              </w:rPr>
            </w:pPr>
          </w:p>
          <w:p w14:paraId="75675F0E" w14:textId="34459D44" w:rsidR="0088629E" w:rsidRPr="0088629E" w:rsidRDefault="0088629E" w:rsidP="00A32BC5">
            <w:pPr>
              <w:pStyle w:val="Tabletext"/>
              <w:keepNext/>
              <w:rPr>
                <w:snapToGrid w:val="0"/>
                <w:szCs w:val="20"/>
              </w:rPr>
            </w:pPr>
            <w:r w:rsidRPr="0088629E">
              <w:rPr>
                <w:snapToGrid w:val="0"/>
                <w:szCs w:val="20"/>
                <w:lang w:val="en-US"/>
              </w:rPr>
              <w:t xml:space="preserve">The service is not applicable to patients with a primary diagnosis of Parkinson’s </w:t>
            </w:r>
            <w:proofErr w:type="spellStart"/>
            <w:r w:rsidRPr="0088629E">
              <w:rPr>
                <w:snapToGrid w:val="0"/>
                <w:szCs w:val="20"/>
                <w:lang w:val="en-US"/>
              </w:rPr>
              <w:t>disease</w:t>
            </w:r>
            <w:r w:rsidRPr="0088629E">
              <w:rPr>
                <w:snapToGrid w:val="0"/>
                <w:szCs w:val="20"/>
                <w:vertAlign w:val="superscript"/>
                <w:lang w:val="en-US"/>
              </w:rPr>
              <w:t>a</w:t>
            </w:r>
            <w:proofErr w:type="spellEnd"/>
          </w:p>
          <w:p w14:paraId="19B6903A" w14:textId="77777777" w:rsidR="0088629E" w:rsidRPr="0088629E" w:rsidRDefault="0088629E" w:rsidP="00A32BC5">
            <w:pPr>
              <w:pStyle w:val="Tabletext"/>
              <w:keepNext/>
              <w:rPr>
                <w:snapToGrid w:val="0"/>
                <w:szCs w:val="20"/>
              </w:rPr>
            </w:pPr>
            <w:r w:rsidRPr="0088629E">
              <w:rPr>
                <w:snapToGrid w:val="0"/>
                <w:szCs w:val="20"/>
              </w:rPr>
              <w:t>Bulk bill incentive</w:t>
            </w:r>
          </w:p>
          <w:p w14:paraId="1D51B51E" w14:textId="77777777" w:rsidR="0088629E" w:rsidRDefault="0088629E" w:rsidP="00A32BC5">
            <w:pPr>
              <w:pStyle w:val="Tabletext"/>
              <w:keepNext/>
              <w:rPr>
                <w:snapToGrid w:val="0"/>
                <w:szCs w:val="20"/>
              </w:rPr>
            </w:pPr>
            <w:r w:rsidRPr="0088629E">
              <w:rPr>
                <w:snapToGrid w:val="0"/>
                <w:szCs w:val="20"/>
              </w:rPr>
              <w:t>(</w:t>
            </w:r>
            <w:proofErr w:type="spellStart"/>
            <w:r w:rsidRPr="0088629E">
              <w:rPr>
                <w:snapToGrid w:val="0"/>
                <w:szCs w:val="20"/>
              </w:rPr>
              <w:t>Anaes</w:t>
            </w:r>
            <w:proofErr w:type="spellEnd"/>
            <w:r w:rsidRPr="0088629E">
              <w:rPr>
                <w:snapToGrid w:val="0"/>
                <w:szCs w:val="20"/>
              </w:rPr>
              <w:t>.)</w:t>
            </w:r>
          </w:p>
          <w:p w14:paraId="0BC7C988" w14:textId="39C5F96A" w:rsidR="00DA4FFC" w:rsidRPr="00C92EAE" w:rsidRDefault="00DA4FFC" w:rsidP="00A32BC5">
            <w:pPr>
              <w:pStyle w:val="Tabletext"/>
              <w:keepNext/>
              <w:rPr>
                <w:snapToGrid w:val="0"/>
                <w:szCs w:val="20"/>
              </w:rPr>
            </w:pPr>
            <w:r w:rsidRPr="00C92EAE">
              <w:t xml:space="preserve">Claimable only once per patient per </w:t>
            </w:r>
            <w:r w:rsidR="00BE5C9A" w:rsidRPr="006348B8">
              <w:t>lifetime</w:t>
            </w:r>
          </w:p>
        </w:tc>
      </w:tr>
      <w:tr w:rsidR="0088629E" w:rsidRPr="0088629E" w14:paraId="10FCDB1D" w14:textId="77777777" w:rsidTr="009F591F">
        <w:tc>
          <w:tcPr>
            <w:tcW w:w="5000" w:type="pct"/>
          </w:tcPr>
          <w:p w14:paraId="13647C2F" w14:textId="77777777" w:rsidR="0088629E" w:rsidRPr="0088629E" w:rsidRDefault="0088629E" w:rsidP="00BE5C9A">
            <w:pPr>
              <w:pStyle w:val="Tabletext"/>
              <w:rPr>
                <w:szCs w:val="20"/>
              </w:rPr>
            </w:pPr>
            <w:r w:rsidRPr="0088629E">
              <w:rPr>
                <w:snapToGrid w:val="0"/>
                <w:szCs w:val="20"/>
                <w:u w:val="dotted"/>
                <w:lang w:val="en-US"/>
              </w:rPr>
              <w:t>MBS Fee: $</w:t>
            </w:r>
            <w:r w:rsidRPr="0088629E">
              <w:rPr>
                <w:snapToGrid w:val="0"/>
                <w:szCs w:val="20"/>
                <w:lang w:val="en-US"/>
              </w:rPr>
              <w:t>403.20 Benefit: 75% = $302.40 85% = $342.75</w:t>
            </w:r>
          </w:p>
        </w:tc>
      </w:tr>
    </w:tbl>
    <w:p w14:paraId="4F6E9850" w14:textId="6DAF19FC" w:rsidR="0088629E" w:rsidRPr="0088629E" w:rsidRDefault="0088629E" w:rsidP="0088629E">
      <w:pPr>
        <w:pStyle w:val="TableName"/>
        <w:rPr>
          <w:rFonts w:ascii="Arial Narrow" w:hAnsi="Arial Narrow"/>
          <w:sz w:val="20"/>
          <w:szCs w:val="20"/>
        </w:rPr>
      </w:pPr>
      <w:r w:rsidRPr="0088629E">
        <w:rPr>
          <w:rFonts w:ascii="Arial Narrow" w:hAnsi="Arial Narrow"/>
          <w:sz w:val="20"/>
          <w:szCs w:val="20"/>
        </w:rPr>
        <w:t>MBS item descriptor – pre-surgical planning</w:t>
      </w:r>
      <w:r w:rsidR="00296954">
        <w:rPr>
          <w:rFonts w:ascii="Arial Narrow" w:hAnsi="Arial Narrow"/>
          <w:sz w:val="20"/>
          <w:szCs w:val="20"/>
        </w:rPr>
        <w:t xml:space="preserve">- </w:t>
      </w:r>
      <w:r w:rsidR="00296954" w:rsidRPr="00C42AA0">
        <w:rPr>
          <w:rFonts w:ascii="Arial Narrow" w:hAnsi="Arial Narrow"/>
          <w:i/>
          <w:iCs/>
          <w:sz w:val="20"/>
          <w:szCs w:val="20"/>
        </w:rPr>
        <w:t xml:space="preserve">the item structure </w:t>
      </w:r>
      <w:r w:rsidR="00631839">
        <w:rPr>
          <w:rFonts w:ascii="Arial Narrow" w:hAnsi="Arial Narrow"/>
          <w:i/>
          <w:iCs/>
          <w:sz w:val="20"/>
          <w:szCs w:val="20"/>
        </w:rPr>
        <w:t xml:space="preserve">and fee </w:t>
      </w:r>
      <w:r w:rsidR="00296954" w:rsidRPr="00C42AA0">
        <w:rPr>
          <w:rFonts w:ascii="Arial Narrow" w:hAnsi="Arial Narrow"/>
          <w:i/>
          <w:iCs/>
          <w:sz w:val="20"/>
          <w:szCs w:val="20"/>
        </w:rPr>
        <w:t>to be confirmed at the MSAC Executive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8629E" w:rsidRPr="0088629E" w14:paraId="1073952B" w14:textId="77777777" w:rsidTr="009F591F">
        <w:tc>
          <w:tcPr>
            <w:tcW w:w="5000" w:type="pct"/>
          </w:tcPr>
          <w:p w14:paraId="60D6186A" w14:textId="77777777" w:rsidR="0088629E" w:rsidRPr="0088629E" w:rsidRDefault="0088629E" w:rsidP="009F591F">
            <w:pPr>
              <w:pStyle w:val="Tabletextright"/>
            </w:pPr>
            <w:r w:rsidRPr="0088629E">
              <w:t xml:space="preserve">Category 5 – DIAGNOSTIC IMAGING SERVICES </w:t>
            </w:r>
          </w:p>
        </w:tc>
      </w:tr>
      <w:tr w:rsidR="0088629E" w:rsidRPr="0088629E" w14:paraId="7C6D173B" w14:textId="77777777" w:rsidTr="009F591F">
        <w:tc>
          <w:tcPr>
            <w:tcW w:w="5000" w:type="pct"/>
          </w:tcPr>
          <w:p w14:paraId="3D2E535C" w14:textId="77777777" w:rsidR="0088629E" w:rsidRPr="0088629E" w:rsidRDefault="0088629E" w:rsidP="009F591F">
            <w:pPr>
              <w:pStyle w:val="Tabletext"/>
              <w:rPr>
                <w:snapToGrid w:val="0"/>
                <w:szCs w:val="20"/>
              </w:rPr>
            </w:pPr>
            <w:r w:rsidRPr="0088629E">
              <w:rPr>
                <w:snapToGrid w:val="0"/>
                <w:szCs w:val="20"/>
              </w:rPr>
              <w:t>MAGNETIC RESONANCE IMAGING (including Magnetic Resonance Angiography if performed) and stereotactic anatomic localisation, performed under the professional supervision of an eligible provider at an eligible location where the patient is referred by a specialist or by a consultant physician - scan of head for:</w:t>
            </w:r>
          </w:p>
          <w:p w14:paraId="3540C7DD" w14:textId="77777777" w:rsidR="0088629E" w:rsidRPr="0088629E" w:rsidRDefault="0088629E" w:rsidP="009F591F">
            <w:pPr>
              <w:pStyle w:val="Tabletext"/>
              <w:rPr>
                <w:snapToGrid w:val="0"/>
                <w:szCs w:val="20"/>
              </w:rPr>
            </w:pPr>
          </w:p>
          <w:p w14:paraId="11404227" w14:textId="77777777" w:rsidR="0088629E" w:rsidRPr="0088629E" w:rsidRDefault="0088629E" w:rsidP="0088629E">
            <w:pPr>
              <w:pStyle w:val="Tabletext"/>
              <w:numPr>
                <w:ilvl w:val="0"/>
                <w:numId w:val="15"/>
              </w:numPr>
              <w:rPr>
                <w:snapToGrid w:val="0"/>
                <w:szCs w:val="20"/>
              </w:rPr>
            </w:pPr>
            <w:r w:rsidRPr="0088629E">
              <w:rPr>
                <w:snapToGrid w:val="0"/>
                <w:szCs w:val="20"/>
              </w:rPr>
              <w:t>Stereotactic scan of brain, with frame in place</w:t>
            </w:r>
          </w:p>
          <w:p w14:paraId="693695FA" w14:textId="77777777" w:rsidR="0088629E" w:rsidRPr="0088629E" w:rsidRDefault="0088629E" w:rsidP="0088629E">
            <w:pPr>
              <w:pStyle w:val="Tabletext"/>
              <w:numPr>
                <w:ilvl w:val="0"/>
                <w:numId w:val="15"/>
              </w:numPr>
              <w:rPr>
                <w:snapToGrid w:val="0"/>
                <w:szCs w:val="20"/>
              </w:rPr>
            </w:pPr>
            <w:r w:rsidRPr="0088629E">
              <w:rPr>
                <w:snapToGrid w:val="0"/>
                <w:szCs w:val="20"/>
              </w:rPr>
              <w:t xml:space="preserve">Computerised planning and target verification </w:t>
            </w:r>
          </w:p>
          <w:p w14:paraId="6E24806B" w14:textId="77777777" w:rsidR="0088629E" w:rsidRPr="0088629E" w:rsidRDefault="0088629E" w:rsidP="009F591F">
            <w:pPr>
              <w:pStyle w:val="Tabletext"/>
              <w:ind w:left="360"/>
              <w:rPr>
                <w:snapToGrid w:val="0"/>
                <w:szCs w:val="20"/>
              </w:rPr>
            </w:pPr>
          </w:p>
          <w:p w14:paraId="095F7898" w14:textId="77777777" w:rsidR="0088629E" w:rsidRPr="0088629E" w:rsidRDefault="0088629E" w:rsidP="009F591F">
            <w:pPr>
              <w:pStyle w:val="Tabletext"/>
              <w:rPr>
                <w:snapToGrid w:val="0"/>
                <w:szCs w:val="20"/>
              </w:rPr>
            </w:pPr>
            <w:r w:rsidRPr="0088629E">
              <w:rPr>
                <w:snapToGrid w:val="0"/>
                <w:szCs w:val="20"/>
              </w:rPr>
              <w:t>For the sole purpose of conducting MRI-guided focused ultrasound</w:t>
            </w:r>
          </w:p>
          <w:p w14:paraId="2EA20C1A" w14:textId="77777777" w:rsidR="0088629E" w:rsidRPr="0088629E" w:rsidRDefault="0088629E" w:rsidP="009F591F">
            <w:pPr>
              <w:pStyle w:val="Tabletext"/>
              <w:rPr>
                <w:snapToGrid w:val="0"/>
                <w:szCs w:val="20"/>
              </w:rPr>
            </w:pPr>
          </w:p>
          <w:p w14:paraId="19B713B8" w14:textId="77777777" w:rsidR="0088629E" w:rsidRPr="0088629E" w:rsidRDefault="0088629E" w:rsidP="009F591F">
            <w:pPr>
              <w:pStyle w:val="Tabletext"/>
              <w:rPr>
                <w:snapToGrid w:val="0"/>
                <w:szCs w:val="20"/>
              </w:rPr>
            </w:pPr>
            <w:r w:rsidRPr="0088629E">
              <w:rPr>
                <w:snapToGrid w:val="0"/>
                <w:szCs w:val="20"/>
              </w:rPr>
              <w:t>Bulk bill incentive</w:t>
            </w:r>
          </w:p>
          <w:p w14:paraId="1F7C3E41" w14:textId="77777777" w:rsidR="0088629E" w:rsidRPr="0088629E" w:rsidRDefault="0088629E" w:rsidP="009F591F">
            <w:pPr>
              <w:pStyle w:val="Tabletext"/>
              <w:rPr>
                <w:snapToGrid w:val="0"/>
                <w:szCs w:val="20"/>
              </w:rPr>
            </w:pPr>
            <w:r w:rsidRPr="0088629E">
              <w:rPr>
                <w:snapToGrid w:val="0"/>
                <w:szCs w:val="20"/>
              </w:rPr>
              <w:t>(</w:t>
            </w:r>
            <w:proofErr w:type="spellStart"/>
            <w:r w:rsidRPr="0088629E">
              <w:rPr>
                <w:snapToGrid w:val="0"/>
                <w:szCs w:val="20"/>
              </w:rPr>
              <w:t>Anaes</w:t>
            </w:r>
            <w:proofErr w:type="spellEnd"/>
            <w:r w:rsidRPr="0088629E">
              <w:rPr>
                <w:snapToGrid w:val="0"/>
                <w:szCs w:val="20"/>
              </w:rPr>
              <w:t>.)</w:t>
            </w:r>
          </w:p>
        </w:tc>
      </w:tr>
      <w:tr w:rsidR="0088629E" w:rsidRPr="0088629E" w14:paraId="12F6FC1B" w14:textId="77777777" w:rsidTr="009F591F">
        <w:tc>
          <w:tcPr>
            <w:tcW w:w="5000" w:type="pct"/>
          </w:tcPr>
          <w:p w14:paraId="0021278D" w14:textId="77777777" w:rsidR="0088629E" w:rsidRPr="0088629E" w:rsidRDefault="0088629E" w:rsidP="009F591F">
            <w:pPr>
              <w:pStyle w:val="Tabletext"/>
              <w:rPr>
                <w:snapToGrid w:val="0"/>
                <w:szCs w:val="20"/>
              </w:rPr>
            </w:pPr>
            <w:r w:rsidRPr="006C282F">
              <w:t>MBS Fee: $994.60 Benefit: 75% = $745.95 85% = $845.41</w:t>
            </w:r>
            <w:r w:rsidR="00631839" w:rsidRPr="006C282F">
              <w:rPr>
                <w:snapToGrid w:val="0"/>
                <w:szCs w:val="20"/>
              </w:rPr>
              <w:t xml:space="preserve"> </w:t>
            </w:r>
            <w:r w:rsidR="00631839">
              <w:rPr>
                <w:b/>
                <w:bCs/>
                <w:i/>
                <w:iCs/>
                <w:szCs w:val="20"/>
              </w:rPr>
              <w:t>To be confirmed</w:t>
            </w:r>
            <w:r w:rsidR="00631839" w:rsidRPr="006348B8">
              <w:rPr>
                <w:b/>
                <w:bCs/>
                <w:i/>
                <w:iCs/>
                <w:szCs w:val="20"/>
              </w:rPr>
              <w:t xml:space="preserve"> at the MSAC Executive</w:t>
            </w:r>
          </w:p>
        </w:tc>
      </w:tr>
    </w:tbl>
    <w:p w14:paraId="28324DE9" w14:textId="7184C20B" w:rsidR="0088629E" w:rsidRPr="0088629E" w:rsidRDefault="0088629E" w:rsidP="00A32BC5">
      <w:pPr>
        <w:pStyle w:val="TableName"/>
        <w:tabs>
          <w:tab w:val="clear" w:pos="1080"/>
          <w:tab w:val="left" w:pos="284"/>
        </w:tabs>
        <w:ind w:left="0" w:firstLine="0"/>
        <w:rPr>
          <w:rFonts w:ascii="Arial Narrow" w:hAnsi="Arial Narrow"/>
          <w:sz w:val="20"/>
          <w:szCs w:val="20"/>
        </w:rPr>
      </w:pPr>
      <w:r w:rsidRPr="0088629E">
        <w:rPr>
          <w:rFonts w:ascii="Arial Narrow" w:hAnsi="Arial Narrow"/>
          <w:sz w:val="20"/>
          <w:szCs w:val="20"/>
        </w:rPr>
        <w:t>MBS item descriptor – treatment/intraoperative procedure (neurology services)</w:t>
      </w:r>
      <w:r w:rsidR="00296954">
        <w:rPr>
          <w:rFonts w:ascii="Arial Narrow" w:hAnsi="Arial Narrow"/>
          <w:sz w:val="20"/>
          <w:szCs w:val="20"/>
        </w:rPr>
        <w:t xml:space="preserve"> - </w:t>
      </w:r>
      <w:r w:rsidR="00296954" w:rsidRPr="00C42AA0">
        <w:rPr>
          <w:rFonts w:ascii="Arial Narrow" w:hAnsi="Arial Narrow"/>
          <w:i/>
          <w:iCs/>
          <w:sz w:val="20"/>
          <w:szCs w:val="20"/>
        </w:rPr>
        <w:t>the item structure</w:t>
      </w:r>
      <w:r w:rsidR="00631839">
        <w:rPr>
          <w:rFonts w:ascii="Arial Narrow" w:hAnsi="Arial Narrow"/>
          <w:i/>
          <w:iCs/>
          <w:sz w:val="20"/>
          <w:szCs w:val="20"/>
        </w:rPr>
        <w:t xml:space="preserve"> and fee</w:t>
      </w:r>
      <w:r w:rsidR="00296954" w:rsidRPr="00C42AA0">
        <w:rPr>
          <w:rFonts w:ascii="Arial Narrow" w:hAnsi="Arial Narrow"/>
          <w:i/>
          <w:iCs/>
          <w:sz w:val="20"/>
          <w:szCs w:val="20"/>
        </w:rPr>
        <w:t xml:space="preserve"> to be confirmed at the MSAC Executive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8629E" w:rsidRPr="0088629E" w14:paraId="35253796" w14:textId="77777777" w:rsidTr="009F591F">
        <w:tc>
          <w:tcPr>
            <w:tcW w:w="5000" w:type="pct"/>
          </w:tcPr>
          <w:p w14:paraId="2CE3AB09" w14:textId="77777777" w:rsidR="0088629E" w:rsidRPr="0088629E" w:rsidRDefault="0088629E" w:rsidP="009F591F">
            <w:pPr>
              <w:pStyle w:val="Tabletextright"/>
            </w:pPr>
            <w:r w:rsidRPr="0088629E">
              <w:t xml:space="preserve">Category 3 – THERAPEUTIC PROCEDURES </w:t>
            </w:r>
          </w:p>
        </w:tc>
      </w:tr>
      <w:tr w:rsidR="006C282F" w:rsidRPr="006C282F" w14:paraId="351E4DE2" w14:textId="77777777" w:rsidTr="009F591F">
        <w:tc>
          <w:tcPr>
            <w:tcW w:w="5000" w:type="pct"/>
          </w:tcPr>
          <w:p w14:paraId="6FD23B9F" w14:textId="77777777" w:rsidR="0088629E" w:rsidRPr="006C282F" w:rsidRDefault="0088629E" w:rsidP="009F591F">
            <w:pPr>
              <w:spacing w:before="40"/>
              <w:rPr>
                <w:rFonts w:ascii="Arial Narrow" w:hAnsi="Arial Narrow"/>
                <w:sz w:val="20"/>
                <w:lang w:eastAsia="en-US"/>
              </w:rPr>
            </w:pPr>
            <w:r w:rsidRPr="006C282F">
              <w:rPr>
                <w:rFonts w:ascii="Arial Narrow" w:hAnsi="Arial Narrow"/>
                <w:sz w:val="20"/>
                <w:lang w:eastAsia="en-US"/>
              </w:rPr>
              <w:t>MRI-GUIDED FOCUSED ULTRASOUND (unilateral), target localisation incorporating anatomical and physiological techniques, including intraoperative clinical evaluation</w:t>
            </w:r>
          </w:p>
          <w:p w14:paraId="6F464390" w14:textId="77777777" w:rsidR="0088629E" w:rsidRPr="006C282F" w:rsidRDefault="0088629E" w:rsidP="009F591F">
            <w:pPr>
              <w:spacing w:before="40"/>
              <w:rPr>
                <w:rFonts w:ascii="Arial Narrow" w:hAnsi="Arial Narrow"/>
                <w:sz w:val="20"/>
                <w:lang w:eastAsia="en-US"/>
              </w:rPr>
            </w:pPr>
            <w:r w:rsidRPr="006C282F">
              <w:rPr>
                <w:rFonts w:ascii="Arial Narrow" w:hAnsi="Arial Narrow"/>
                <w:sz w:val="20"/>
                <w:lang w:eastAsia="en-US"/>
              </w:rPr>
              <w:t>Multiple Operation Rule</w:t>
            </w:r>
          </w:p>
          <w:p w14:paraId="759ACE71" w14:textId="77777777" w:rsidR="0088629E" w:rsidRPr="006C282F" w:rsidRDefault="0088629E" w:rsidP="009F591F">
            <w:pPr>
              <w:spacing w:before="40"/>
              <w:rPr>
                <w:rFonts w:ascii="Arial Narrow" w:hAnsi="Arial Narrow"/>
                <w:sz w:val="20"/>
                <w:lang w:eastAsia="en-US"/>
              </w:rPr>
            </w:pPr>
            <w:r w:rsidRPr="006C282F">
              <w:rPr>
                <w:rFonts w:ascii="Arial Narrow" w:hAnsi="Arial Narrow"/>
                <w:sz w:val="20"/>
                <w:lang w:eastAsia="en-US"/>
              </w:rPr>
              <w:t>(</w:t>
            </w:r>
            <w:proofErr w:type="spellStart"/>
            <w:r w:rsidRPr="006C282F">
              <w:rPr>
                <w:rFonts w:ascii="Arial Narrow" w:hAnsi="Arial Narrow"/>
                <w:sz w:val="20"/>
                <w:lang w:eastAsia="en-US"/>
              </w:rPr>
              <w:t>Anaes</w:t>
            </w:r>
            <w:proofErr w:type="spellEnd"/>
            <w:r w:rsidRPr="006C282F">
              <w:rPr>
                <w:rFonts w:ascii="Arial Narrow" w:hAnsi="Arial Narrow"/>
                <w:sz w:val="20"/>
                <w:lang w:eastAsia="en-US"/>
              </w:rPr>
              <w:t>.) (Assist.)</w:t>
            </w:r>
          </w:p>
          <w:p w14:paraId="4EEEAAE1" w14:textId="77777777" w:rsidR="0088629E" w:rsidRPr="006C282F" w:rsidRDefault="0088629E" w:rsidP="009F591F">
            <w:pPr>
              <w:spacing w:before="40"/>
              <w:rPr>
                <w:rFonts w:ascii="Arial Narrow" w:hAnsi="Arial Narrow"/>
                <w:b/>
                <w:bCs/>
                <w:i/>
                <w:iCs/>
                <w:sz w:val="20"/>
                <w:lang w:eastAsia="en-US"/>
              </w:rPr>
            </w:pPr>
            <w:r w:rsidRPr="006C282F">
              <w:rPr>
                <w:rFonts w:ascii="Arial Narrow" w:hAnsi="Arial Narrow"/>
                <w:sz w:val="20"/>
              </w:rPr>
              <w:t>Claimable only once per patient per lifetime</w:t>
            </w:r>
            <w:r w:rsidRPr="006C282F">
              <w:rPr>
                <w:rFonts w:ascii="Arial Narrow" w:hAnsi="Arial Narrow"/>
                <w:b/>
                <w:bCs/>
                <w:i/>
                <w:iCs/>
                <w:sz w:val="20"/>
              </w:rPr>
              <w:t>.</w:t>
            </w:r>
          </w:p>
        </w:tc>
      </w:tr>
      <w:tr w:rsidR="006C282F" w:rsidRPr="006C282F" w14:paraId="70DD0062" w14:textId="77777777" w:rsidTr="009F591F">
        <w:tc>
          <w:tcPr>
            <w:tcW w:w="5000" w:type="pct"/>
          </w:tcPr>
          <w:p w14:paraId="669EB044" w14:textId="7C5E4AB0" w:rsidR="0088629E" w:rsidRPr="006C282F" w:rsidRDefault="0088629E" w:rsidP="009F591F">
            <w:pPr>
              <w:pStyle w:val="Tabletext"/>
              <w:rPr>
                <w:szCs w:val="20"/>
              </w:rPr>
            </w:pPr>
            <w:r w:rsidRPr="006C282F">
              <w:rPr>
                <w:szCs w:val="20"/>
              </w:rPr>
              <w:t>MBS Fee: $2,055.05 Benefit: 75% = $1,541.29</w:t>
            </w:r>
            <w:r w:rsidR="00AC4123" w:rsidRPr="006C282F">
              <w:rPr>
                <w:b/>
                <w:bCs/>
                <w:i/>
                <w:iCs/>
                <w:szCs w:val="20"/>
              </w:rPr>
              <w:t xml:space="preserve"> </w:t>
            </w:r>
            <w:r w:rsidR="00ED270C" w:rsidRPr="006C282F">
              <w:rPr>
                <w:b/>
                <w:bCs/>
                <w:i/>
                <w:iCs/>
                <w:szCs w:val="20"/>
              </w:rPr>
              <w:t>To be confirmed</w:t>
            </w:r>
            <w:r w:rsidR="00DA4FFC" w:rsidRPr="006C282F">
              <w:rPr>
                <w:b/>
                <w:bCs/>
                <w:i/>
                <w:iCs/>
                <w:szCs w:val="20"/>
              </w:rPr>
              <w:t xml:space="preserve"> at the MSAC Executive</w:t>
            </w:r>
          </w:p>
        </w:tc>
      </w:tr>
    </w:tbl>
    <w:p w14:paraId="6964AE14" w14:textId="0D15169C" w:rsidR="0088629E" w:rsidRPr="006C282F" w:rsidRDefault="0088629E" w:rsidP="00A32BC5">
      <w:pPr>
        <w:pStyle w:val="TableName"/>
        <w:tabs>
          <w:tab w:val="clear" w:pos="1080"/>
          <w:tab w:val="left" w:pos="426"/>
        </w:tabs>
        <w:ind w:left="0" w:firstLine="0"/>
        <w:rPr>
          <w:rFonts w:ascii="Arial Narrow" w:hAnsi="Arial Narrow"/>
          <w:color w:val="auto"/>
          <w:sz w:val="20"/>
          <w:szCs w:val="20"/>
        </w:rPr>
      </w:pPr>
      <w:r w:rsidRPr="006C282F">
        <w:rPr>
          <w:rFonts w:ascii="Arial Narrow" w:hAnsi="Arial Narrow"/>
          <w:color w:val="auto"/>
          <w:sz w:val="20"/>
          <w:szCs w:val="20"/>
        </w:rPr>
        <w:lastRenderedPageBreak/>
        <w:t>MBS item descriptor – Treatment/intraoperative procedure (neurosurgery services)</w:t>
      </w:r>
      <w:r w:rsidR="00296954" w:rsidRPr="006C282F">
        <w:rPr>
          <w:rFonts w:ascii="Arial Narrow" w:hAnsi="Arial Narrow"/>
          <w:color w:val="auto"/>
          <w:sz w:val="20"/>
          <w:szCs w:val="20"/>
        </w:rPr>
        <w:t xml:space="preserve"> - </w:t>
      </w:r>
      <w:r w:rsidR="00296954" w:rsidRPr="006C282F">
        <w:rPr>
          <w:rFonts w:ascii="Arial Narrow" w:hAnsi="Arial Narrow"/>
          <w:i/>
          <w:iCs/>
          <w:color w:val="auto"/>
          <w:sz w:val="20"/>
          <w:szCs w:val="20"/>
        </w:rPr>
        <w:t>the item structure to be confirmed at the MSAC Executive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C282F" w:rsidRPr="006C282F" w14:paraId="340C2822" w14:textId="77777777" w:rsidTr="009F591F">
        <w:tc>
          <w:tcPr>
            <w:tcW w:w="5000" w:type="pct"/>
          </w:tcPr>
          <w:p w14:paraId="5677267B" w14:textId="77777777" w:rsidR="0088629E" w:rsidRPr="006C282F" w:rsidRDefault="0088629E" w:rsidP="00A32BC5">
            <w:pPr>
              <w:pStyle w:val="Tabletextright"/>
            </w:pPr>
            <w:r w:rsidRPr="006C282F">
              <w:t xml:space="preserve">Category 3 – THERAPEUTIC PROCEDURES </w:t>
            </w:r>
          </w:p>
        </w:tc>
      </w:tr>
      <w:tr w:rsidR="006C282F" w:rsidRPr="006C282F" w14:paraId="626B97FA" w14:textId="77777777" w:rsidTr="009F591F">
        <w:tc>
          <w:tcPr>
            <w:tcW w:w="5000" w:type="pct"/>
          </w:tcPr>
          <w:p w14:paraId="516C65F6" w14:textId="77777777" w:rsidR="0088629E" w:rsidRPr="006C282F" w:rsidRDefault="0088629E" w:rsidP="00A32BC5">
            <w:pPr>
              <w:keepNext/>
              <w:spacing w:before="40"/>
              <w:rPr>
                <w:rFonts w:ascii="Arial Narrow" w:hAnsi="Arial Narrow"/>
                <w:sz w:val="20"/>
                <w:lang w:eastAsia="en-US"/>
              </w:rPr>
            </w:pPr>
            <w:r w:rsidRPr="006C282F">
              <w:rPr>
                <w:rFonts w:ascii="Arial Narrow" w:hAnsi="Arial Narrow"/>
                <w:sz w:val="20"/>
                <w:lang w:eastAsia="en-US"/>
              </w:rPr>
              <w:t xml:space="preserve">MRI-GUIDED FOCUSED ULTRASOUND (unilateral) procedure including computer assisted anatomical localisation, physiological localisation, and lesion production in the basal ganglia, brain stem, </w:t>
            </w:r>
            <w:proofErr w:type="gramStart"/>
            <w:r w:rsidRPr="006C282F">
              <w:rPr>
                <w:rFonts w:ascii="Arial Narrow" w:hAnsi="Arial Narrow"/>
                <w:sz w:val="20"/>
                <w:lang w:eastAsia="en-US"/>
              </w:rPr>
              <w:t>thalamus</w:t>
            </w:r>
            <w:proofErr w:type="gramEnd"/>
            <w:r w:rsidRPr="006C282F">
              <w:rPr>
                <w:rFonts w:ascii="Arial Narrow" w:hAnsi="Arial Narrow"/>
                <w:sz w:val="20"/>
                <w:lang w:eastAsia="en-US"/>
              </w:rPr>
              <w:t xml:space="preserve"> or deep white matter tracts, for the treatment of:</w:t>
            </w:r>
          </w:p>
          <w:p w14:paraId="46905E64" w14:textId="77777777" w:rsidR="0088629E" w:rsidRPr="006C282F" w:rsidRDefault="0088629E" w:rsidP="00A32BC5">
            <w:pPr>
              <w:keepNext/>
              <w:spacing w:before="40"/>
              <w:rPr>
                <w:rFonts w:ascii="Arial Narrow" w:hAnsi="Arial Narrow"/>
                <w:sz w:val="20"/>
                <w:lang w:eastAsia="en-US"/>
              </w:rPr>
            </w:pPr>
            <w:r w:rsidRPr="006C282F">
              <w:rPr>
                <w:rFonts w:ascii="Arial Narrow" w:hAnsi="Arial Narrow"/>
                <w:sz w:val="20"/>
                <w:lang w:eastAsia="en-US"/>
              </w:rPr>
              <w:t>Essential tremor where:</w:t>
            </w:r>
          </w:p>
          <w:p w14:paraId="2B81FBDE" w14:textId="77777777" w:rsidR="0088629E" w:rsidRPr="006C282F" w:rsidRDefault="0088629E" w:rsidP="00A32BC5">
            <w:pPr>
              <w:keepNext/>
              <w:spacing w:before="40"/>
              <w:rPr>
                <w:rFonts w:ascii="Arial Narrow" w:hAnsi="Arial Narrow"/>
                <w:sz w:val="20"/>
                <w:lang w:val="en-US" w:eastAsia="en-US"/>
              </w:rPr>
            </w:pPr>
            <w:r w:rsidRPr="006C282F">
              <w:rPr>
                <w:rFonts w:ascii="Arial Narrow" w:hAnsi="Arial Narrow"/>
                <w:sz w:val="20"/>
                <w:lang w:val="en-US" w:eastAsia="en-US"/>
              </w:rPr>
              <w:t>(a)</w:t>
            </w:r>
            <w:r w:rsidRPr="006C282F">
              <w:rPr>
                <w:rFonts w:ascii="Arial Narrow" w:hAnsi="Arial Narrow"/>
                <w:sz w:val="20"/>
                <w:lang w:val="en-US" w:eastAsia="en-US"/>
              </w:rPr>
              <w:tab/>
              <w:t>Symptoms cause severe disability, and</w:t>
            </w:r>
          </w:p>
          <w:p w14:paraId="34A84FD0" w14:textId="77777777" w:rsidR="0088629E" w:rsidRPr="006C282F" w:rsidRDefault="0088629E" w:rsidP="00A32BC5">
            <w:pPr>
              <w:keepNext/>
              <w:spacing w:before="40"/>
              <w:rPr>
                <w:rFonts w:ascii="Arial Narrow" w:hAnsi="Arial Narrow"/>
                <w:sz w:val="20"/>
                <w:lang w:val="en-US" w:eastAsia="en-US"/>
              </w:rPr>
            </w:pPr>
            <w:r w:rsidRPr="006C282F">
              <w:rPr>
                <w:rFonts w:ascii="Arial Narrow" w:hAnsi="Arial Narrow"/>
                <w:sz w:val="20"/>
                <w:lang w:val="en-US" w:eastAsia="en-US"/>
              </w:rPr>
              <w:t>(b)</w:t>
            </w:r>
            <w:r w:rsidRPr="006C282F">
              <w:rPr>
                <w:rFonts w:ascii="Arial Narrow" w:hAnsi="Arial Narrow"/>
                <w:sz w:val="20"/>
                <w:lang w:val="en-US" w:eastAsia="en-US"/>
              </w:rPr>
              <w:tab/>
              <w:t>Tremor has proven refractory to, or recurred following, maximal medical therapy</w:t>
            </w:r>
          </w:p>
          <w:p w14:paraId="380AA213" w14:textId="77777777" w:rsidR="0088629E" w:rsidRPr="006C282F" w:rsidRDefault="0088629E" w:rsidP="00A32BC5">
            <w:pPr>
              <w:keepNext/>
              <w:spacing w:before="40"/>
              <w:rPr>
                <w:rFonts w:ascii="Arial Narrow" w:hAnsi="Arial Narrow"/>
                <w:sz w:val="20"/>
                <w:lang w:val="en-US" w:eastAsia="en-US"/>
              </w:rPr>
            </w:pPr>
            <w:r w:rsidRPr="006C282F">
              <w:rPr>
                <w:rFonts w:ascii="Arial Narrow" w:hAnsi="Arial Narrow"/>
                <w:sz w:val="20"/>
                <w:lang w:val="en-US" w:eastAsia="en-US"/>
              </w:rPr>
              <w:t xml:space="preserve">The service is not applicable to patients with a primary diagnosis of Parkinson’s </w:t>
            </w:r>
            <w:proofErr w:type="spellStart"/>
            <w:r w:rsidRPr="006C282F">
              <w:rPr>
                <w:rFonts w:ascii="Arial Narrow" w:hAnsi="Arial Narrow"/>
                <w:sz w:val="20"/>
                <w:lang w:val="en-US" w:eastAsia="en-US"/>
              </w:rPr>
              <w:t>disease</w:t>
            </w:r>
            <w:r w:rsidRPr="006C282F">
              <w:rPr>
                <w:rFonts w:ascii="Arial Narrow" w:hAnsi="Arial Narrow"/>
                <w:sz w:val="20"/>
                <w:vertAlign w:val="superscript"/>
                <w:lang w:val="en-US" w:eastAsia="en-US"/>
              </w:rPr>
              <w:t>a</w:t>
            </w:r>
            <w:proofErr w:type="spellEnd"/>
          </w:p>
          <w:p w14:paraId="0AF87FA2" w14:textId="77777777" w:rsidR="0088629E" w:rsidRPr="006C282F" w:rsidRDefault="0088629E" w:rsidP="00A32BC5">
            <w:pPr>
              <w:keepNext/>
              <w:spacing w:before="40"/>
              <w:rPr>
                <w:rFonts w:ascii="Arial Narrow" w:hAnsi="Arial Narrow"/>
                <w:sz w:val="20"/>
                <w:lang w:eastAsia="en-US"/>
              </w:rPr>
            </w:pPr>
            <w:r w:rsidRPr="006C282F">
              <w:rPr>
                <w:rFonts w:ascii="Arial Narrow" w:hAnsi="Arial Narrow"/>
                <w:sz w:val="20"/>
                <w:lang w:eastAsia="en-US"/>
              </w:rPr>
              <w:t>Multiple Operation Rule</w:t>
            </w:r>
          </w:p>
          <w:p w14:paraId="7A451D53" w14:textId="77777777" w:rsidR="0088629E" w:rsidRPr="006C282F" w:rsidRDefault="0088629E" w:rsidP="00A32BC5">
            <w:pPr>
              <w:keepNext/>
              <w:spacing w:before="40"/>
              <w:rPr>
                <w:rFonts w:ascii="Arial Narrow" w:hAnsi="Arial Narrow"/>
                <w:sz w:val="20"/>
                <w:lang w:eastAsia="en-US"/>
              </w:rPr>
            </w:pPr>
            <w:r w:rsidRPr="006C282F">
              <w:rPr>
                <w:rFonts w:ascii="Arial Narrow" w:hAnsi="Arial Narrow"/>
                <w:sz w:val="20"/>
                <w:lang w:eastAsia="en-US"/>
              </w:rPr>
              <w:t>(</w:t>
            </w:r>
            <w:proofErr w:type="spellStart"/>
            <w:r w:rsidRPr="006C282F">
              <w:rPr>
                <w:rFonts w:ascii="Arial Narrow" w:hAnsi="Arial Narrow"/>
                <w:sz w:val="20"/>
                <w:lang w:eastAsia="en-US"/>
              </w:rPr>
              <w:t>Anaes</w:t>
            </w:r>
            <w:proofErr w:type="spellEnd"/>
            <w:r w:rsidRPr="006C282F">
              <w:rPr>
                <w:rFonts w:ascii="Arial Narrow" w:hAnsi="Arial Narrow"/>
                <w:sz w:val="20"/>
                <w:lang w:eastAsia="en-US"/>
              </w:rPr>
              <w:t>.) (Assist.)</w:t>
            </w:r>
          </w:p>
          <w:p w14:paraId="4882F130" w14:textId="77777777" w:rsidR="0088629E" w:rsidRPr="006C282F" w:rsidRDefault="0088629E" w:rsidP="00A32BC5">
            <w:pPr>
              <w:keepNext/>
              <w:spacing w:before="40"/>
              <w:rPr>
                <w:rFonts w:ascii="Arial Narrow" w:hAnsi="Arial Narrow"/>
                <w:snapToGrid w:val="0"/>
                <w:sz w:val="20"/>
              </w:rPr>
            </w:pPr>
            <w:r w:rsidRPr="006C282F">
              <w:rPr>
                <w:rFonts w:ascii="Arial Narrow" w:hAnsi="Arial Narrow"/>
                <w:sz w:val="20"/>
              </w:rPr>
              <w:t>Claimable only once per patient per lifetime</w:t>
            </w:r>
          </w:p>
        </w:tc>
      </w:tr>
      <w:tr w:rsidR="006C282F" w:rsidRPr="006C282F" w14:paraId="529AE00E" w14:textId="77777777" w:rsidTr="009F591F">
        <w:tc>
          <w:tcPr>
            <w:tcW w:w="5000" w:type="pct"/>
          </w:tcPr>
          <w:p w14:paraId="54B22DFB" w14:textId="2CB5F72F" w:rsidR="0088629E" w:rsidRPr="006C282F" w:rsidRDefault="0088629E" w:rsidP="00A32BC5">
            <w:pPr>
              <w:pStyle w:val="Tabletext"/>
              <w:keepNext/>
              <w:rPr>
                <w:szCs w:val="20"/>
              </w:rPr>
            </w:pPr>
            <w:r w:rsidRPr="006C282F">
              <w:rPr>
                <w:snapToGrid w:val="0"/>
                <w:szCs w:val="20"/>
              </w:rPr>
              <w:t>MBS Fee: $3,165.50 Benefit: 75% = $2,372.62</w:t>
            </w:r>
            <w:r w:rsidR="00AC4123" w:rsidRPr="006C282F">
              <w:rPr>
                <w:snapToGrid w:val="0"/>
                <w:szCs w:val="20"/>
              </w:rPr>
              <w:t>b</w:t>
            </w:r>
            <w:r w:rsidR="00AC4123" w:rsidRPr="006C282F">
              <w:rPr>
                <w:b/>
                <w:bCs/>
                <w:i/>
                <w:iCs/>
                <w:szCs w:val="20"/>
              </w:rPr>
              <w:t>To be confirmed at the MSAC Executive</w:t>
            </w:r>
          </w:p>
        </w:tc>
      </w:tr>
    </w:tbl>
    <w:p w14:paraId="1A926C2E" w14:textId="7D1126D3" w:rsidR="0088629E" w:rsidRPr="006C282F" w:rsidRDefault="0088629E" w:rsidP="006348B8">
      <w:pPr>
        <w:pStyle w:val="TableName"/>
        <w:tabs>
          <w:tab w:val="clear" w:pos="1080"/>
          <w:tab w:val="left" w:pos="0"/>
        </w:tabs>
        <w:ind w:left="0" w:firstLine="0"/>
        <w:rPr>
          <w:rFonts w:ascii="Arial Narrow" w:hAnsi="Arial Narrow"/>
          <w:i/>
          <w:iCs/>
          <w:color w:val="auto"/>
          <w:sz w:val="20"/>
          <w:szCs w:val="20"/>
        </w:rPr>
      </w:pPr>
      <w:r w:rsidRPr="006C282F">
        <w:rPr>
          <w:rFonts w:ascii="Arial Narrow" w:hAnsi="Arial Narrow"/>
          <w:color w:val="auto"/>
          <w:sz w:val="20"/>
          <w:szCs w:val="20"/>
        </w:rPr>
        <w:t>MBS item descriptor – Post-surgical treatment assessment</w:t>
      </w:r>
      <w:r w:rsidR="00DA4FFC" w:rsidRPr="006C282F">
        <w:rPr>
          <w:rFonts w:ascii="Arial Narrow" w:hAnsi="Arial Narrow"/>
          <w:color w:val="auto"/>
          <w:sz w:val="20"/>
          <w:szCs w:val="20"/>
        </w:rPr>
        <w:t xml:space="preserve">- </w:t>
      </w:r>
      <w:r w:rsidR="00DA4FFC" w:rsidRPr="006C282F">
        <w:rPr>
          <w:rFonts w:ascii="Arial Narrow" w:hAnsi="Arial Narrow"/>
          <w:i/>
          <w:iCs/>
          <w:color w:val="auto"/>
          <w:sz w:val="20"/>
          <w:szCs w:val="20"/>
        </w:rPr>
        <w:t>the need for this item and structure to be confirmed at the MSAC Executive</w:t>
      </w:r>
      <w:r w:rsidR="00330577" w:rsidRPr="006C282F">
        <w:rPr>
          <w:rFonts w:ascii="Arial Narrow" w:hAnsi="Arial Narrow"/>
          <w:i/>
          <w:iCs/>
          <w:color w:val="auto"/>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C282F" w:rsidRPr="006C282F" w14:paraId="6475071C" w14:textId="77777777" w:rsidTr="009F591F">
        <w:tc>
          <w:tcPr>
            <w:tcW w:w="5000" w:type="pct"/>
          </w:tcPr>
          <w:p w14:paraId="7E4CD42F" w14:textId="77777777" w:rsidR="0088629E" w:rsidRPr="006C282F" w:rsidRDefault="0088629E" w:rsidP="009F591F">
            <w:pPr>
              <w:pStyle w:val="Tabletextright"/>
            </w:pPr>
            <w:r w:rsidRPr="006C282F">
              <w:t xml:space="preserve">Category 5 – DIAGNOSTIC IMAGING SERVICES </w:t>
            </w:r>
          </w:p>
        </w:tc>
      </w:tr>
      <w:tr w:rsidR="006C282F" w:rsidRPr="006C282F" w14:paraId="3963F574" w14:textId="77777777" w:rsidTr="009F591F">
        <w:tc>
          <w:tcPr>
            <w:tcW w:w="5000" w:type="pct"/>
          </w:tcPr>
          <w:p w14:paraId="789E96B5" w14:textId="77777777" w:rsidR="0088629E" w:rsidRPr="006C282F" w:rsidRDefault="0088629E" w:rsidP="009F591F">
            <w:pPr>
              <w:spacing w:before="40"/>
              <w:rPr>
                <w:rFonts w:ascii="Arial Narrow" w:hAnsi="Arial Narrow"/>
                <w:sz w:val="20"/>
                <w:lang w:eastAsia="en-US"/>
              </w:rPr>
            </w:pPr>
            <w:r w:rsidRPr="006C282F">
              <w:rPr>
                <w:rFonts w:ascii="Arial Narrow" w:hAnsi="Arial Narrow"/>
                <w:sz w:val="20"/>
                <w:lang w:eastAsia="en-US"/>
              </w:rP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7708A047" w14:textId="77777777" w:rsidR="0088629E" w:rsidRPr="006C282F" w:rsidRDefault="0088629E" w:rsidP="009F591F">
            <w:pPr>
              <w:spacing w:before="40"/>
              <w:rPr>
                <w:rFonts w:ascii="Arial Narrow" w:hAnsi="Arial Narrow"/>
                <w:sz w:val="20"/>
                <w:lang w:eastAsia="en-US"/>
              </w:rPr>
            </w:pPr>
            <w:r w:rsidRPr="006C282F">
              <w:rPr>
                <w:rFonts w:ascii="Arial Narrow" w:hAnsi="Arial Narrow"/>
                <w:sz w:val="20"/>
                <w:lang w:eastAsia="en-US"/>
              </w:rPr>
              <w:t>Assessment of treatment outcomes following MRI-guided focused ultrasound procedure</w:t>
            </w:r>
          </w:p>
          <w:p w14:paraId="20F9ADD2" w14:textId="77777777" w:rsidR="0088629E" w:rsidRPr="006C282F" w:rsidRDefault="0088629E" w:rsidP="009F591F">
            <w:pPr>
              <w:spacing w:before="40"/>
              <w:rPr>
                <w:rFonts w:ascii="Arial Narrow" w:hAnsi="Arial Narrow"/>
                <w:sz w:val="20"/>
                <w:lang w:eastAsia="en-US"/>
              </w:rPr>
            </w:pPr>
            <w:r w:rsidRPr="006C282F">
              <w:rPr>
                <w:rFonts w:ascii="Arial Narrow" w:hAnsi="Arial Narrow"/>
                <w:sz w:val="20"/>
                <w:lang w:eastAsia="en-US"/>
              </w:rPr>
              <w:t>Bulk bill incentive</w:t>
            </w:r>
          </w:p>
          <w:p w14:paraId="258E05AA" w14:textId="77777777" w:rsidR="0088629E" w:rsidRPr="006C282F" w:rsidRDefault="0088629E" w:rsidP="009F591F">
            <w:pPr>
              <w:spacing w:before="40"/>
              <w:rPr>
                <w:rFonts w:ascii="Arial Narrow" w:hAnsi="Arial Narrow"/>
                <w:sz w:val="20"/>
                <w:lang w:eastAsia="en-US"/>
              </w:rPr>
            </w:pPr>
            <w:r w:rsidRPr="006C282F">
              <w:rPr>
                <w:rFonts w:ascii="Arial Narrow" w:hAnsi="Arial Narrow"/>
                <w:sz w:val="20"/>
                <w:lang w:eastAsia="en-US"/>
              </w:rPr>
              <w:t>(</w:t>
            </w:r>
            <w:proofErr w:type="spellStart"/>
            <w:r w:rsidRPr="006C282F">
              <w:rPr>
                <w:rFonts w:ascii="Arial Narrow" w:hAnsi="Arial Narrow"/>
                <w:sz w:val="20"/>
                <w:lang w:eastAsia="en-US"/>
              </w:rPr>
              <w:t>Anaes</w:t>
            </w:r>
            <w:proofErr w:type="spellEnd"/>
            <w:r w:rsidRPr="006C282F">
              <w:rPr>
                <w:rFonts w:ascii="Arial Narrow" w:hAnsi="Arial Narrow"/>
                <w:sz w:val="20"/>
                <w:lang w:eastAsia="en-US"/>
              </w:rPr>
              <w:t>.)</w:t>
            </w:r>
          </w:p>
          <w:p w14:paraId="547C2352" w14:textId="77777777" w:rsidR="0088629E" w:rsidRPr="006C282F" w:rsidRDefault="0088629E" w:rsidP="009F591F">
            <w:pPr>
              <w:spacing w:before="40"/>
              <w:rPr>
                <w:rFonts w:ascii="Arial Narrow" w:hAnsi="Arial Narrow"/>
                <w:sz w:val="20"/>
                <w:lang w:eastAsia="en-US"/>
              </w:rPr>
            </w:pPr>
            <w:r w:rsidRPr="006C282F">
              <w:rPr>
                <w:rFonts w:ascii="Arial Narrow" w:hAnsi="Arial Narrow"/>
                <w:sz w:val="20"/>
                <w:lang w:eastAsia="en-US"/>
              </w:rPr>
              <w:t>Claimable only once per patient per procedure</w:t>
            </w:r>
          </w:p>
        </w:tc>
      </w:tr>
      <w:tr w:rsidR="0088629E" w:rsidRPr="0088629E" w14:paraId="173B2725" w14:textId="77777777" w:rsidTr="009F591F">
        <w:tc>
          <w:tcPr>
            <w:tcW w:w="5000" w:type="pct"/>
          </w:tcPr>
          <w:p w14:paraId="4ACC35DC" w14:textId="77777777" w:rsidR="0088629E" w:rsidRPr="0088629E" w:rsidRDefault="0088629E" w:rsidP="009F591F">
            <w:pPr>
              <w:pStyle w:val="Tabletext"/>
              <w:rPr>
                <w:szCs w:val="20"/>
              </w:rPr>
            </w:pPr>
            <w:r w:rsidRPr="0088629E">
              <w:rPr>
                <w:szCs w:val="20"/>
              </w:rPr>
              <w:t>MBS Fee: $403.20 Benefit: 75% = $302.40 85% = $342.75</w:t>
            </w:r>
          </w:p>
        </w:tc>
      </w:tr>
    </w:tbl>
    <w:p w14:paraId="0CCB2891" w14:textId="77777777" w:rsidR="0088629E" w:rsidRPr="0088629E" w:rsidRDefault="0088629E" w:rsidP="00B03054">
      <w:pPr>
        <w:pStyle w:val="NormalBeforeBullet"/>
        <w:spacing w:before="240" w:after="240"/>
        <w:rPr>
          <w:rFonts w:ascii="Franklin Gothic Book" w:hAnsi="Franklin Gothic Book"/>
          <w:sz w:val="22"/>
          <w:szCs w:val="22"/>
        </w:rPr>
      </w:pPr>
      <w:r w:rsidRPr="0088629E">
        <w:rPr>
          <w:rFonts w:ascii="Franklin Gothic Book" w:hAnsi="Franklin Gothic Book"/>
          <w:sz w:val="22"/>
          <w:szCs w:val="22"/>
        </w:rPr>
        <w:t xml:space="preserve">MSAC noted the resubmission identified new, but mostly low-level, evidence from clinical trials, including five single-arm studies for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one unpublished 5-year follow-up of an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RCT (original sham control trial by Elias 2016</w:t>
      </w:r>
      <w:r w:rsidRPr="006348B8">
        <w:rPr>
          <w:rFonts w:ascii="Franklin Gothic Book" w:hAnsi="Franklin Gothic Book"/>
          <w:sz w:val="22"/>
          <w:szCs w:val="22"/>
          <w:vertAlign w:val="superscript"/>
        </w:rPr>
        <w:footnoteReference w:id="2"/>
      </w:r>
      <w:r w:rsidRPr="0088629E">
        <w:rPr>
          <w:rFonts w:ascii="Franklin Gothic Book" w:hAnsi="Franklin Gothic Book"/>
          <w:sz w:val="22"/>
          <w:szCs w:val="22"/>
        </w:rPr>
        <w:t>; unpublished 5-year follow-up by Cosgrove</w:t>
      </w:r>
      <w:r w:rsidRPr="006348B8">
        <w:rPr>
          <w:rFonts w:ascii="Franklin Gothic Book" w:hAnsi="Franklin Gothic Book"/>
          <w:sz w:val="22"/>
          <w:szCs w:val="22"/>
          <w:vertAlign w:val="superscript"/>
        </w:rPr>
        <w:footnoteReference w:id="3"/>
      </w:r>
      <w:r w:rsidRPr="0088629E">
        <w:rPr>
          <w:rFonts w:ascii="Franklin Gothic Book" w:hAnsi="Franklin Gothic Book"/>
          <w:sz w:val="22"/>
          <w:szCs w:val="22"/>
        </w:rPr>
        <w:t xml:space="preserve"> expected for completion in December 2022), and one systematic review on outcomes and safety data for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versus DBS (Giordano 2020</w:t>
      </w:r>
      <w:r w:rsidRPr="006348B8">
        <w:rPr>
          <w:rFonts w:ascii="Franklin Gothic Book" w:hAnsi="Franklin Gothic Book"/>
          <w:sz w:val="22"/>
          <w:szCs w:val="22"/>
          <w:vertAlign w:val="superscript"/>
        </w:rPr>
        <w:footnoteReference w:id="4"/>
      </w:r>
      <w:r w:rsidRPr="0088629E">
        <w:rPr>
          <w:rFonts w:ascii="Franklin Gothic Book" w:hAnsi="Franklin Gothic Book"/>
          <w:sz w:val="22"/>
          <w:szCs w:val="22"/>
        </w:rPr>
        <w:t>).</w:t>
      </w:r>
    </w:p>
    <w:p w14:paraId="68DFE943" w14:textId="251B41F0" w:rsidR="0088629E" w:rsidRPr="0088629E" w:rsidRDefault="0088629E" w:rsidP="0088629E">
      <w:pPr>
        <w:pStyle w:val="NormalBeforeBullet"/>
        <w:spacing w:after="240"/>
        <w:rPr>
          <w:rFonts w:ascii="Franklin Gothic Book" w:hAnsi="Franklin Gothic Book"/>
          <w:sz w:val="22"/>
          <w:szCs w:val="22"/>
        </w:rPr>
      </w:pPr>
      <w:r w:rsidRPr="0088629E">
        <w:rPr>
          <w:rFonts w:ascii="Franklin Gothic Book" w:hAnsi="Franklin Gothic Book"/>
          <w:sz w:val="22"/>
          <w:szCs w:val="22"/>
        </w:rPr>
        <w:t>MSAC noted the applicant-developed assessment report (ADAR)</w:t>
      </w:r>
      <w:r w:rsidR="00DC68DC">
        <w:rPr>
          <w:rFonts w:ascii="Franklin Gothic Book" w:hAnsi="Franklin Gothic Book"/>
          <w:sz w:val="22"/>
          <w:szCs w:val="22"/>
        </w:rPr>
        <w:t xml:space="preserve"> resubmission</w:t>
      </w:r>
      <w:r w:rsidRPr="0088629E">
        <w:rPr>
          <w:rFonts w:ascii="Franklin Gothic Book" w:hAnsi="Franklin Gothic Book"/>
          <w:sz w:val="22"/>
          <w:szCs w:val="22"/>
        </w:rPr>
        <w:t xml:space="preserve"> claimed the safety profile of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was different, but non-inferior, to that of DBS. For the comparative safety of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versus DBS, MSAC noted the new systematic review by Giordano (2020)</w:t>
      </w:r>
      <w:r w:rsidR="008B4A4F" w:rsidRPr="006348B8">
        <w:rPr>
          <w:rFonts w:ascii="Franklin Gothic Book" w:hAnsi="Franklin Gothic Book"/>
          <w:sz w:val="22"/>
          <w:szCs w:val="22"/>
          <w:vertAlign w:val="superscript"/>
        </w:rPr>
        <w:t>3</w:t>
      </w:r>
      <w:r w:rsidRPr="0088629E">
        <w:rPr>
          <w:rFonts w:ascii="Franklin Gothic Book" w:hAnsi="Franklin Gothic Book"/>
          <w:sz w:val="22"/>
          <w:szCs w:val="22"/>
        </w:rPr>
        <w:t>, which included 29 studies (</w:t>
      </w:r>
      <w:r w:rsidR="00640D52">
        <w:rPr>
          <w:rFonts w:ascii="Franklin Gothic Book" w:hAnsi="Franklin Gothic Book"/>
          <w:sz w:val="22"/>
          <w:szCs w:val="22"/>
        </w:rPr>
        <w:t xml:space="preserve">covering </w:t>
      </w:r>
      <w:r w:rsidRPr="0088629E">
        <w:rPr>
          <w:rFonts w:ascii="Franklin Gothic Book" w:hAnsi="Franklin Gothic Book"/>
          <w:sz w:val="22"/>
          <w:szCs w:val="22"/>
        </w:rPr>
        <w:t>1,208</w:t>
      </w:r>
      <w:r w:rsidR="00640D52">
        <w:rPr>
          <w:rFonts w:ascii="Franklin Gothic Book" w:hAnsi="Franklin Gothic Book"/>
          <w:sz w:val="22"/>
          <w:szCs w:val="22"/>
        </w:rPr>
        <w:t xml:space="preserve"> patients, of whom 731 were treated with DBS, 247 being via unilateral </w:t>
      </w:r>
      <w:r w:rsidRPr="0088629E">
        <w:rPr>
          <w:rFonts w:ascii="Franklin Gothic Book" w:hAnsi="Franklin Gothic Book"/>
          <w:sz w:val="22"/>
          <w:szCs w:val="22"/>
        </w:rPr>
        <w:t xml:space="preserve">DBS and 477 </w:t>
      </w:r>
      <w:r w:rsidR="00640D52">
        <w:rPr>
          <w:rFonts w:ascii="Franklin Gothic Book" w:hAnsi="Franklin Gothic Book"/>
          <w:sz w:val="22"/>
          <w:szCs w:val="22"/>
        </w:rPr>
        <w:t xml:space="preserve">patients were treated with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not including the Cosgrove update), showed an overall complication rate that was </w:t>
      </w:r>
      <w:proofErr w:type="gramStart"/>
      <w:r w:rsidRPr="0088629E">
        <w:rPr>
          <w:rFonts w:ascii="Franklin Gothic Book" w:hAnsi="Franklin Gothic Book"/>
          <w:sz w:val="22"/>
          <w:szCs w:val="22"/>
        </w:rPr>
        <w:t>similar to</w:t>
      </w:r>
      <w:proofErr w:type="gramEnd"/>
      <w:r w:rsidRPr="0088629E">
        <w:rPr>
          <w:rFonts w:ascii="Franklin Gothic Book" w:hAnsi="Franklin Gothic Book"/>
          <w:sz w:val="22"/>
          <w:szCs w:val="22"/>
        </w:rPr>
        <w:t xml:space="preserve"> the </w:t>
      </w:r>
      <w:r w:rsidR="0017264F">
        <w:rPr>
          <w:rFonts w:ascii="Franklin Gothic Book" w:hAnsi="Franklin Gothic Book"/>
          <w:sz w:val="22"/>
          <w:szCs w:val="22"/>
        </w:rPr>
        <w:t>previous</w:t>
      </w:r>
      <w:r w:rsidR="0017264F" w:rsidRPr="0088629E">
        <w:rPr>
          <w:rFonts w:ascii="Franklin Gothic Book" w:hAnsi="Franklin Gothic Book"/>
          <w:sz w:val="22"/>
          <w:szCs w:val="22"/>
        </w:rPr>
        <w:t xml:space="preserve"> </w:t>
      </w:r>
      <w:r w:rsidRPr="0088629E">
        <w:rPr>
          <w:rFonts w:ascii="Franklin Gothic Book" w:hAnsi="Franklin Gothic Book"/>
          <w:sz w:val="22"/>
          <w:szCs w:val="22"/>
        </w:rPr>
        <w:t xml:space="preserve">submission. MSAC also noted the distribution of AEs remained different between the two techniques – gait disturbance, paraesthesia (particularly in the hand), nausea and </w:t>
      </w:r>
      <w:proofErr w:type="spellStart"/>
      <w:r w:rsidRPr="0088629E">
        <w:rPr>
          <w:rFonts w:ascii="Franklin Gothic Book" w:hAnsi="Franklin Gothic Book"/>
          <w:sz w:val="22"/>
          <w:szCs w:val="22"/>
        </w:rPr>
        <w:t>persistant</w:t>
      </w:r>
      <w:proofErr w:type="spellEnd"/>
      <w:r w:rsidRPr="0088629E">
        <w:rPr>
          <w:rFonts w:ascii="Franklin Gothic Book" w:hAnsi="Franklin Gothic Book"/>
          <w:sz w:val="22"/>
          <w:szCs w:val="22"/>
        </w:rPr>
        <w:t xml:space="preserve"> AEs were more common for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while speech disturbance and local adverse symptoms (the biggest advantages for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treatment) were more common for DBS. MSAC acknowledged </w:t>
      </w:r>
      <w:r w:rsidR="005B68A0">
        <w:rPr>
          <w:rFonts w:ascii="Franklin Gothic Book" w:hAnsi="Franklin Gothic Book"/>
          <w:sz w:val="22"/>
          <w:szCs w:val="22"/>
        </w:rPr>
        <w:t>that</w:t>
      </w:r>
      <w:r w:rsidRPr="0088629E">
        <w:rPr>
          <w:rFonts w:ascii="Franklin Gothic Book" w:hAnsi="Franklin Gothic Book"/>
          <w:sz w:val="22"/>
          <w:szCs w:val="22"/>
        </w:rPr>
        <w:t xml:space="preserve"> a meaningful comparison</w:t>
      </w:r>
      <w:r w:rsidR="005B68A0">
        <w:rPr>
          <w:rFonts w:ascii="Franklin Gothic Book" w:hAnsi="Franklin Gothic Book"/>
          <w:sz w:val="22"/>
          <w:szCs w:val="22"/>
        </w:rPr>
        <w:t xml:space="preserve"> of comparative safety</w:t>
      </w:r>
      <w:r w:rsidRPr="0088629E">
        <w:rPr>
          <w:rFonts w:ascii="Franklin Gothic Book" w:hAnsi="Franklin Gothic Book"/>
          <w:sz w:val="22"/>
          <w:szCs w:val="22"/>
        </w:rPr>
        <w:t xml:space="preserve"> was difficult (and the claim of non-inferior safety uncertain) due to differences in the distribution of AEs. MSAC </w:t>
      </w:r>
      <w:r w:rsidR="005B68A0">
        <w:rPr>
          <w:rFonts w:ascii="Franklin Gothic Book" w:hAnsi="Franklin Gothic Book"/>
          <w:sz w:val="22"/>
          <w:szCs w:val="22"/>
        </w:rPr>
        <w:t xml:space="preserve">also </w:t>
      </w:r>
      <w:r w:rsidRPr="0088629E">
        <w:rPr>
          <w:rFonts w:ascii="Franklin Gothic Book" w:hAnsi="Franklin Gothic Book"/>
          <w:sz w:val="22"/>
          <w:szCs w:val="22"/>
        </w:rPr>
        <w:t xml:space="preserve">considered there may never be adequate </w:t>
      </w:r>
      <w:r w:rsidRPr="0088629E">
        <w:rPr>
          <w:rFonts w:ascii="Franklin Gothic Book" w:hAnsi="Franklin Gothic Book"/>
          <w:sz w:val="22"/>
          <w:szCs w:val="22"/>
        </w:rPr>
        <w:lastRenderedPageBreak/>
        <w:t>evidence to distinguish between risk profiles because they are so different, so informed patient choice might be the best way to determine which is preferred in individual cases.</w:t>
      </w:r>
    </w:p>
    <w:p w14:paraId="71049E15" w14:textId="2226C187" w:rsidR="0088629E" w:rsidRPr="0088629E" w:rsidRDefault="0088629E" w:rsidP="0088629E">
      <w:pPr>
        <w:pStyle w:val="NormalBeforeBullet"/>
        <w:spacing w:after="240"/>
        <w:rPr>
          <w:rFonts w:ascii="Franklin Gothic Book" w:hAnsi="Franklin Gothic Book"/>
          <w:sz w:val="22"/>
          <w:szCs w:val="22"/>
        </w:rPr>
      </w:pPr>
      <w:r w:rsidRPr="0088629E">
        <w:rPr>
          <w:rFonts w:ascii="Franklin Gothic Book" w:hAnsi="Franklin Gothic Book"/>
          <w:sz w:val="22"/>
          <w:szCs w:val="22"/>
        </w:rPr>
        <w:t>MSAC noted the new unpublished study by Cosgrove</w:t>
      </w:r>
      <w:r w:rsidR="008B4A4F" w:rsidRPr="006348B8">
        <w:rPr>
          <w:rFonts w:ascii="Franklin Gothic Book" w:hAnsi="Franklin Gothic Book"/>
          <w:sz w:val="22"/>
          <w:szCs w:val="22"/>
          <w:vertAlign w:val="superscript"/>
        </w:rPr>
        <w:t>2</w:t>
      </w:r>
      <w:r w:rsidRPr="0088629E">
        <w:rPr>
          <w:rFonts w:ascii="Franklin Gothic Book" w:hAnsi="Franklin Gothic Book"/>
          <w:sz w:val="22"/>
          <w:szCs w:val="22"/>
        </w:rPr>
        <w:t xml:space="preserve"> </w:t>
      </w:r>
      <w:r w:rsidR="00C84992">
        <w:rPr>
          <w:rFonts w:ascii="Franklin Gothic Book" w:hAnsi="Franklin Gothic Book"/>
          <w:sz w:val="22"/>
          <w:szCs w:val="22"/>
        </w:rPr>
        <w:t xml:space="preserve">which </w:t>
      </w:r>
      <w:r w:rsidR="005B68A0">
        <w:rPr>
          <w:rFonts w:ascii="Franklin Gothic Book" w:hAnsi="Franklin Gothic Book"/>
          <w:sz w:val="22"/>
          <w:szCs w:val="22"/>
        </w:rPr>
        <w:t>provided</w:t>
      </w:r>
      <w:r w:rsidR="00C84992">
        <w:rPr>
          <w:rFonts w:ascii="Franklin Gothic Book" w:hAnsi="Franklin Gothic Book"/>
          <w:sz w:val="22"/>
          <w:szCs w:val="22"/>
        </w:rPr>
        <w:t xml:space="preserve"> five year follow up of the Elias randomised sham control trial</w:t>
      </w:r>
      <w:r w:rsidR="005A796D" w:rsidRPr="006348B8">
        <w:rPr>
          <w:rFonts w:ascii="Franklin Gothic Book" w:hAnsi="Franklin Gothic Book"/>
          <w:sz w:val="22"/>
          <w:szCs w:val="22"/>
          <w:vertAlign w:val="superscript"/>
        </w:rPr>
        <w:t xml:space="preserve"> 1</w:t>
      </w:r>
      <w:r w:rsidRPr="0088629E">
        <w:rPr>
          <w:rFonts w:ascii="Franklin Gothic Book" w:hAnsi="Franklin Gothic Book"/>
          <w:sz w:val="22"/>
          <w:szCs w:val="22"/>
        </w:rPr>
        <w:t xml:space="preserve">. </w:t>
      </w:r>
      <w:r w:rsidR="0094121E">
        <w:rPr>
          <w:rFonts w:ascii="Franklin Gothic Book" w:hAnsi="Franklin Gothic Book"/>
          <w:sz w:val="22"/>
          <w:szCs w:val="22"/>
        </w:rPr>
        <w:t xml:space="preserve">These results showed that </w:t>
      </w:r>
      <w:r w:rsidRPr="0088629E">
        <w:rPr>
          <w:rFonts w:ascii="Franklin Gothic Book" w:hAnsi="Franklin Gothic Book"/>
          <w:sz w:val="22"/>
          <w:szCs w:val="22"/>
        </w:rPr>
        <w:t>AE</w:t>
      </w:r>
      <w:r w:rsidR="00C84992">
        <w:rPr>
          <w:rFonts w:ascii="Franklin Gothic Book" w:hAnsi="Franklin Gothic Book"/>
          <w:sz w:val="22"/>
          <w:szCs w:val="22"/>
        </w:rPr>
        <w:t>s either</w:t>
      </w:r>
      <w:r w:rsidRPr="0088629E">
        <w:rPr>
          <w:rFonts w:ascii="Franklin Gothic Book" w:hAnsi="Franklin Gothic Book"/>
          <w:sz w:val="22"/>
          <w:szCs w:val="22"/>
        </w:rPr>
        <w:t xml:space="preserve"> remained stable or improved </w:t>
      </w:r>
      <w:r w:rsidR="00C84992">
        <w:rPr>
          <w:rFonts w:ascii="Franklin Gothic Book" w:hAnsi="Franklin Gothic Book"/>
          <w:sz w:val="22"/>
          <w:szCs w:val="22"/>
        </w:rPr>
        <w:t>over</w:t>
      </w:r>
      <w:r w:rsidRPr="0088629E">
        <w:rPr>
          <w:rFonts w:ascii="Franklin Gothic Book" w:hAnsi="Franklin Gothic Book"/>
          <w:sz w:val="22"/>
          <w:szCs w:val="22"/>
        </w:rPr>
        <w:t xml:space="preserve"> 5 years, </w:t>
      </w:r>
      <w:r w:rsidR="00C84992">
        <w:rPr>
          <w:rFonts w:ascii="Franklin Gothic Book" w:hAnsi="Franklin Gothic Book"/>
          <w:sz w:val="22"/>
          <w:szCs w:val="22"/>
        </w:rPr>
        <w:t xml:space="preserve">while the </w:t>
      </w:r>
      <w:r w:rsidRPr="0088629E">
        <w:rPr>
          <w:rFonts w:ascii="Franklin Gothic Book" w:hAnsi="Franklin Gothic Book"/>
          <w:sz w:val="22"/>
          <w:szCs w:val="22"/>
        </w:rPr>
        <w:t xml:space="preserve">commentary disagreed and </w:t>
      </w:r>
      <w:r w:rsidR="00C84992">
        <w:rPr>
          <w:rFonts w:ascii="Franklin Gothic Book" w:hAnsi="Franklin Gothic Book"/>
          <w:sz w:val="22"/>
          <w:szCs w:val="22"/>
        </w:rPr>
        <w:t xml:space="preserve">highlighted the result that </w:t>
      </w:r>
      <w:r w:rsidRPr="0088629E">
        <w:rPr>
          <w:rFonts w:ascii="Franklin Gothic Book" w:hAnsi="Franklin Gothic Book"/>
          <w:sz w:val="22"/>
          <w:szCs w:val="22"/>
        </w:rPr>
        <w:t xml:space="preserve">the ataxia rate doubled (from 1.3% at 3 years to 2.6% at 5 years), although the commentary acknowledged the numbers were small (one patient at 3 years increasing to two patients at 5 years). MSAC also noted the pre-ESC response that the one new case of ataxia was not treatment related – as the patients had neurological issues, ataxia may have occurred regardless. </w:t>
      </w:r>
      <w:r w:rsidR="00C84992">
        <w:rPr>
          <w:rFonts w:ascii="Franklin Gothic Book" w:hAnsi="Franklin Gothic Book"/>
          <w:sz w:val="22"/>
          <w:szCs w:val="22"/>
        </w:rPr>
        <w:t xml:space="preserve">In weighing up these considerations, </w:t>
      </w:r>
      <w:r w:rsidRPr="0088629E">
        <w:rPr>
          <w:rFonts w:ascii="Franklin Gothic Book" w:hAnsi="Franklin Gothic Book"/>
          <w:sz w:val="22"/>
          <w:szCs w:val="22"/>
        </w:rPr>
        <w:t xml:space="preserve">MSAC agreed with ESC that despite the limited comparative evidence, there was consistency in the results suggesting safety for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is sustained up to 5 years.</w:t>
      </w:r>
    </w:p>
    <w:p w14:paraId="5931774D" w14:textId="16960A90" w:rsidR="0088629E" w:rsidRPr="0088629E" w:rsidRDefault="0088629E" w:rsidP="0088629E">
      <w:pPr>
        <w:pStyle w:val="NormalBeforeBullet"/>
        <w:spacing w:after="240"/>
        <w:rPr>
          <w:rFonts w:ascii="Franklin Gothic Book" w:hAnsi="Franklin Gothic Book"/>
          <w:sz w:val="22"/>
          <w:szCs w:val="22"/>
        </w:rPr>
      </w:pPr>
      <w:r w:rsidRPr="0088629E">
        <w:rPr>
          <w:rFonts w:ascii="Franklin Gothic Book" w:hAnsi="Franklin Gothic Book"/>
          <w:sz w:val="22"/>
          <w:szCs w:val="22"/>
        </w:rPr>
        <w:t xml:space="preserve">Regarding comparative effectiveness, MSAC noted the ADAR claimed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had non-inferior clinical efficacy compared </w:t>
      </w:r>
      <w:r w:rsidR="0094121E">
        <w:rPr>
          <w:rFonts w:ascii="Franklin Gothic Book" w:hAnsi="Franklin Gothic Book"/>
          <w:sz w:val="22"/>
          <w:szCs w:val="22"/>
        </w:rPr>
        <w:t>with</w:t>
      </w:r>
      <w:r w:rsidR="0094121E" w:rsidRPr="0088629E">
        <w:rPr>
          <w:rFonts w:ascii="Franklin Gothic Book" w:hAnsi="Franklin Gothic Book"/>
          <w:sz w:val="22"/>
          <w:szCs w:val="22"/>
        </w:rPr>
        <w:t xml:space="preserve"> </w:t>
      </w:r>
      <w:r w:rsidRPr="0088629E">
        <w:rPr>
          <w:rFonts w:ascii="Franklin Gothic Book" w:hAnsi="Franklin Gothic Book"/>
          <w:sz w:val="22"/>
          <w:szCs w:val="22"/>
        </w:rPr>
        <w:t xml:space="preserve">DBS. In the </w:t>
      </w:r>
      <w:r w:rsidR="001B53F8">
        <w:rPr>
          <w:rFonts w:ascii="Franklin Gothic Book" w:hAnsi="Franklin Gothic Book"/>
          <w:sz w:val="22"/>
          <w:szCs w:val="22"/>
        </w:rPr>
        <w:t>previous submission</w:t>
      </w:r>
      <w:r w:rsidRPr="0088629E">
        <w:rPr>
          <w:rFonts w:ascii="Franklin Gothic Book" w:hAnsi="Franklin Gothic Book"/>
          <w:sz w:val="22"/>
          <w:szCs w:val="22"/>
        </w:rPr>
        <w:t>, MSAC had noted concern</w:t>
      </w:r>
      <w:r w:rsidR="00B66572">
        <w:rPr>
          <w:rFonts w:ascii="Franklin Gothic Book" w:hAnsi="Franklin Gothic Book"/>
          <w:sz w:val="22"/>
          <w:szCs w:val="22"/>
        </w:rPr>
        <w:t>s</w:t>
      </w:r>
      <w:r w:rsidRPr="0088629E">
        <w:rPr>
          <w:rFonts w:ascii="Franklin Gothic Book" w:hAnsi="Franklin Gothic Book"/>
          <w:sz w:val="22"/>
          <w:szCs w:val="22"/>
        </w:rPr>
        <w:t xml:space="preserve"> that although there was a significant difference in the tremor scales before and after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there was no </w:t>
      </w:r>
      <w:r w:rsidR="0094121E" w:rsidRPr="0088629E">
        <w:rPr>
          <w:rFonts w:ascii="Franklin Gothic Book" w:eastAsia="Calibri" w:hAnsi="Franklin Gothic Book"/>
          <w:iCs/>
          <w:sz w:val="22"/>
          <w:szCs w:val="22"/>
          <w:lang w:eastAsia="en-US"/>
        </w:rPr>
        <w:t xml:space="preserve">minimal clinically important difference </w:t>
      </w:r>
      <w:r w:rsidR="0094121E">
        <w:rPr>
          <w:rFonts w:ascii="Franklin Gothic Book" w:eastAsia="Calibri" w:hAnsi="Franklin Gothic Book"/>
          <w:iCs/>
          <w:sz w:val="22"/>
          <w:szCs w:val="22"/>
          <w:lang w:eastAsia="en-US"/>
        </w:rPr>
        <w:t>(</w:t>
      </w:r>
      <w:r w:rsidRPr="0088629E">
        <w:rPr>
          <w:rFonts w:ascii="Franklin Gothic Book" w:hAnsi="Franklin Gothic Book"/>
          <w:sz w:val="22"/>
          <w:szCs w:val="22"/>
        </w:rPr>
        <w:t>MCID</w:t>
      </w:r>
      <w:r w:rsidR="0094121E">
        <w:rPr>
          <w:rFonts w:ascii="Franklin Gothic Book" w:hAnsi="Franklin Gothic Book"/>
          <w:sz w:val="22"/>
          <w:szCs w:val="22"/>
        </w:rPr>
        <w:t>)</w:t>
      </w:r>
      <w:r w:rsidRPr="0088629E">
        <w:rPr>
          <w:rFonts w:ascii="Franklin Gothic Book" w:hAnsi="Franklin Gothic Book"/>
          <w:sz w:val="22"/>
          <w:szCs w:val="22"/>
        </w:rPr>
        <w:t xml:space="preserve"> established for these tremor scales in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Therefore, it was not known if the improvement was clinically significant. MSAC noted that the </w:t>
      </w:r>
      <w:r w:rsidR="0094121E">
        <w:rPr>
          <w:rFonts w:ascii="Franklin Gothic Book" w:hAnsi="Franklin Gothic Book"/>
          <w:sz w:val="22"/>
          <w:szCs w:val="22"/>
        </w:rPr>
        <w:t>commentary</w:t>
      </w:r>
      <w:r w:rsidR="0094121E" w:rsidRPr="0088629E">
        <w:rPr>
          <w:rFonts w:ascii="Franklin Gothic Book" w:hAnsi="Franklin Gothic Book"/>
          <w:sz w:val="22"/>
          <w:szCs w:val="22"/>
        </w:rPr>
        <w:t xml:space="preserve"> </w:t>
      </w:r>
      <w:r w:rsidRPr="0088629E">
        <w:rPr>
          <w:rFonts w:ascii="Franklin Gothic Book" w:hAnsi="Franklin Gothic Book"/>
          <w:sz w:val="22"/>
          <w:szCs w:val="22"/>
        </w:rPr>
        <w:t xml:space="preserve">attempted to establish MCID using data already collected; an analysis of MCID using the Clinical Rating Scale for Tremor (CRST) and the Quality of Life in Essential Tremor Questionnaire (QUEST) was provided, looking at the percentage change in tremor score before and after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MSAC noted that </w:t>
      </w:r>
      <w:r w:rsidR="00B66572">
        <w:rPr>
          <w:rFonts w:ascii="Franklin Gothic Book" w:hAnsi="Franklin Gothic Book"/>
          <w:sz w:val="22"/>
          <w:szCs w:val="22"/>
        </w:rPr>
        <w:t xml:space="preserve">this analysis </w:t>
      </w:r>
      <w:r w:rsidRPr="0088629E">
        <w:rPr>
          <w:rFonts w:ascii="Franklin Gothic Book" w:hAnsi="Franklin Gothic Book"/>
          <w:sz w:val="22"/>
          <w:szCs w:val="22"/>
        </w:rPr>
        <w:t xml:space="preserve">determined that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met the 0.5 standard deviation MCID threshold when compared to the sham trial,</w:t>
      </w:r>
      <w:r w:rsidR="00B66572">
        <w:rPr>
          <w:rFonts w:ascii="Franklin Gothic Book" w:hAnsi="Franklin Gothic Book"/>
          <w:sz w:val="22"/>
          <w:szCs w:val="22"/>
        </w:rPr>
        <w:t xml:space="preserve"> and </w:t>
      </w:r>
      <w:proofErr w:type="gramStart"/>
      <w:r w:rsidR="00B66572">
        <w:rPr>
          <w:rFonts w:ascii="Franklin Gothic Book" w:hAnsi="Franklin Gothic Book"/>
          <w:sz w:val="22"/>
          <w:szCs w:val="22"/>
        </w:rPr>
        <w:t>on the basis of</w:t>
      </w:r>
      <w:proofErr w:type="gramEnd"/>
      <w:r w:rsidR="00B66572">
        <w:rPr>
          <w:rFonts w:ascii="Franklin Gothic Book" w:hAnsi="Franklin Gothic Book"/>
          <w:sz w:val="22"/>
          <w:szCs w:val="22"/>
        </w:rPr>
        <w:t xml:space="preserve"> this </w:t>
      </w:r>
      <w:r w:rsidR="0094121E">
        <w:rPr>
          <w:rFonts w:ascii="Franklin Gothic Book" w:hAnsi="Franklin Gothic Book"/>
          <w:sz w:val="22"/>
          <w:szCs w:val="22"/>
        </w:rPr>
        <w:t xml:space="preserve">appeared to demonstrate a </w:t>
      </w:r>
      <w:r w:rsidRPr="0088629E">
        <w:rPr>
          <w:rFonts w:ascii="Franklin Gothic Book" w:hAnsi="Franklin Gothic Book"/>
          <w:sz w:val="22"/>
          <w:szCs w:val="22"/>
        </w:rPr>
        <w:t>MCID</w:t>
      </w:r>
      <w:r w:rsidR="00B66572">
        <w:rPr>
          <w:rFonts w:ascii="Franklin Gothic Book" w:hAnsi="Franklin Gothic Book"/>
          <w:sz w:val="22"/>
          <w:szCs w:val="22"/>
        </w:rPr>
        <w:t xml:space="preserve"> </w:t>
      </w:r>
      <w:r w:rsidR="0094121E">
        <w:rPr>
          <w:rFonts w:ascii="Franklin Gothic Book" w:hAnsi="Franklin Gothic Book"/>
          <w:sz w:val="22"/>
          <w:szCs w:val="22"/>
        </w:rPr>
        <w:t xml:space="preserve">for </w:t>
      </w:r>
      <w:proofErr w:type="spellStart"/>
      <w:r w:rsidR="0094121E">
        <w:rPr>
          <w:rFonts w:ascii="Franklin Gothic Book" w:hAnsi="Franklin Gothic Book"/>
          <w:sz w:val="22"/>
          <w:szCs w:val="22"/>
        </w:rPr>
        <w:t>MRgFUS</w:t>
      </w:r>
      <w:proofErr w:type="spellEnd"/>
      <w:r w:rsidR="0094121E">
        <w:rPr>
          <w:rFonts w:ascii="Franklin Gothic Book" w:hAnsi="Franklin Gothic Book"/>
          <w:sz w:val="22"/>
          <w:szCs w:val="22"/>
        </w:rPr>
        <w:t xml:space="preserve"> (</w:t>
      </w:r>
      <w:r w:rsidR="00E37370">
        <w:rPr>
          <w:rFonts w:ascii="Franklin Gothic Book" w:hAnsi="Franklin Gothic Book"/>
          <w:sz w:val="22"/>
          <w:szCs w:val="22"/>
        </w:rPr>
        <w:t>the commentary was unable to demonstrate MCID against DBS)</w:t>
      </w:r>
      <w:r w:rsidRPr="0088629E">
        <w:rPr>
          <w:rFonts w:ascii="Franklin Gothic Book" w:hAnsi="Franklin Gothic Book"/>
          <w:sz w:val="22"/>
          <w:szCs w:val="22"/>
        </w:rPr>
        <w:t>.</w:t>
      </w:r>
    </w:p>
    <w:p w14:paraId="7ED60920" w14:textId="27616F5D" w:rsidR="00734A7D" w:rsidRDefault="0088629E" w:rsidP="0088629E">
      <w:pPr>
        <w:pStyle w:val="NormalBeforeBullet"/>
        <w:spacing w:after="240"/>
        <w:rPr>
          <w:rFonts w:ascii="Franklin Gothic Book" w:hAnsi="Franklin Gothic Book"/>
          <w:sz w:val="22"/>
          <w:szCs w:val="22"/>
        </w:rPr>
      </w:pPr>
      <w:r w:rsidRPr="0088629E">
        <w:rPr>
          <w:rFonts w:ascii="Franklin Gothic Book" w:hAnsi="Franklin Gothic Book"/>
          <w:sz w:val="22"/>
          <w:szCs w:val="22"/>
        </w:rPr>
        <w:t xml:space="preserve">MSAC noted the resubmission included one study from </w:t>
      </w:r>
      <w:proofErr w:type="spellStart"/>
      <w:r w:rsidRPr="0088629E">
        <w:rPr>
          <w:rFonts w:ascii="Franklin Gothic Book" w:hAnsi="Franklin Gothic Book"/>
          <w:sz w:val="22"/>
          <w:szCs w:val="22"/>
        </w:rPr>
        <w:t>Tsuboi</w:t>
      </w:r>
      <w:proofErr w:type="spellEnd"/>
      <w:r w:rsidRPr="0088629E">
        <w:rPr>
          <w:rFonts w:ascii="Franklin Gothic Book" w:hAnsi="Franklin Gothic Book"/>
          <w:sz w:val="22"/>
          <w:szCs w:val="22"/>
        </w:rPr>
        <w:t xml:space="preserve"> (20</w:t>
      </w:r>
      <w:r w:rsidR="00F956BF">
        <w:rPr>
          <w:rFonts w:ascii="Franklin Gothic Book" w:hAnsi="Franklin Gothic Book"/>
          <w:sz w:val="22"/>
          <w:szCs w:val="22"/>
        </w:rPr>
        <w:t>20</w:t>
      </w:r>
      <w:r w:rsidRPr="0088629E">
        <w:rPr>
          <w:rFonts w:ascii="Franklin Gothic Book" w:hAnsi="Franklin Gothic Book"/>
          <w:sz w:val="22"/>
          <w:szCs w:val="22"/>
        </w:rPr>
        <w:t>)</w:t>
      </w:r>
      <w:r w:rsidR="00F956BF">
        <w:rPr>
          <w:rStyle w:val="FootnoteReference"/>
          <w:rFonts w:ascii="Franklin Gothic Book" w:hAnsi="Franklin Gothic Book"/>
          <w:sz w:val="22"/>
          <w:szCs w:val="22"/>
        </w:rPr>
        <w:footnoteReference w:id="5"/>
      </w:r>
      <w:r w:rsidRPr="0088629E">
        <w:rPr>
          <w:rFonts w:ascii="Franklin Gothic Book" w:hAnsi="Franklin Gothic Book"/>
          <w:sz w:val="22"/>
          <w:szCs w:val="22"/>
        </w:rPr>
        <w:t xml:space="preserve"> on the long-term effectiveness o</w:t>
      </w:r>
      <w:r w:rsidR="00E37370">
        <w:rPr>
          <w:rFonts w:ascii="Franklin Gothic Book" w:hAnsi="Franklin Gothic Book"/>
          <w:sz w:val="22"/>
          <w:szCs w:val="22"/>
        </w:rPr>
        <w:t>f</w:t>
      </w:r>
      <w:r w:rsidRPr="0088629E">
        <w:rPr>
          <w:rFonts w:ascii="Franklin Gothic Book" w:hAnsi="Franklin Gothic Book"/>
          <w:sz w:val="22"/>
          <w:szCs w:val="22"/>
        </w:rPr>
        <w:t xml:space="preserve"> DBS, where most patients had exclusive ET. This study showed that overall </w:t>
      </w:r>
      <w:r w:rsidR="00B66572">
        <w:rPr>
          <w:rFonts w:ascii="Franklin Gothic Book" w:hAnsi="Franklin Gothic Book"/>
          <w:sz w:val="22"/>
          <w:szCs w:val="22"/>
        </w:rPr>
        <w:t xml:space="preserve">improvements in </w:t>
      </w:r>
      <w:r w:rsidRPr="0088629E">
        <w:rPr>
          <w:rFonts w:ascii="Franklin Gothic Book" w:hAnsi="Franklin Gothic Book"/>
          <w:sz w:val="22"/>
          <w:szCs w:val="22"/>
        </w:rPr>
        <w:t xml:space="preserve">motor, tremor activities of daily living (ADL) and hand function scores </w:t>
      </w:r>
      <w:r w:rsidR="00B66572">
        <w:rPr>
          <w:rFonts w:ascii="Franklin Gothic Book" w:hAnsi="Franklin Gothic Book"/>
          <w:sz w:val="22"/>
          <w:szCs w:val="22"/>
        </w:rPr>
        <w:t xml:space="preserve">from DBS </w:t>
      </w:r>
      <w:r w:rsidRPr="0088629E">
        <w:rPr>
          <w:rFonts w:ascii="Franklin Gothic Book" w:hAnsi="Franklin Gothic Book"/>
          <w:sz w:val="22"/>
          <w:szCs w:val="22"/>
        </w:rPr>
        <w:t xml:space="preserve">were </w:t>
      </w:r>
      <w:r w:rsidR="00734A7D">
        <w:rPr>
          <w:rFonts w:ascii="Franklin Gothic Book" w:hAnsi="Franklin Gothic Book"/>
          <w:sz w:val="22"/>
          <w:szCs w:val="22"/>
        </w:rPr>
        <w:t>sustained for up</w:t>
      </w:r>
      <w:r w:rsidRPr="0088629E">
        <w:rPr>
          <w:rFonts w:ascii="Franklin Gothic Book" w:hAnsi="Franklin Gothic Book"/>
          <w:sz w:val="22"/>
          <w:szCs w:val="22"/>
        </w:rPr>
        <w:t xml:space="preserve"> to 6 years. For the long-term effectiveness of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MSAC noted that the unpublished Cosgrove study included in the resubmission showed improvements from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were sustained for up to 36 months post-treatment. While there was some decline, improvements were better than baseline across all domains.</w:t>
      </w:r>
    </w:p>
    <w:p w14:paraId="59BA9F8F" w14:textId="2A7030FC" w:rsidR="0088629E" w:rsidRPr="0088629E" w:rsidRDefault="0088629E" w:rsidP="0088629E">
      <w:pPr>
        <w:pStyle w:val="NormalBeforeBullet"/>
        <w:spacing w:after="240"/>
        <w:rPr>
          <w:rFonts w:ascii="Franklin Gothic Book" w:hAnsi="Franklin Gothic Book"/>
          <w:sz w:val="22"/>
          <w:szCs w:val="22"/>
        </w:rPr>
      </w:pPr>
      <w:r w:rsidRPr="0088629E">
        <w:rPr>
          <w:rFonts w:ascii="Franklin Gothic Book" w:hAnsi="Franklin Gothic Book"/>
          <w:sz w:val="22"/>
          <w:szCs w:val="22"/>
        </w:rPr>
        <w:t>Overall,</w:t>
      </w:r>
      <w:r w:rsidR="00734A7D">
        <w:rPr>
          <w:rFonts w:ascii="Franklin Gothic Book" w:hAnsi="Franklin Gothic Book"/>
          <w:sz w:val="22"/>
          <w:szCs w:val="22"/>
        </w:rPr>
        <w:t xml:space="preserve"> </w:t>
      </w:r>
      <w:r w:rsidRPr="0088629E">
        <w:rPr>
          <w:rFonts w:ascii="Franklin Gothic Book" w:hAnsi="Franklin Gothic Book"/>
          <w:sz w:val="22"/>
          <w:szCs w:val="22"/>
        </w:rPr>
        <w:t xml:space="preserve">MSAC agreed with ESC that the clinical claim that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is non-inferior to DBS is reasonable, with both procedures being effective for at least 4 years.</w:t>
      </w:r>
    </w:p>
    <w:p w14:paraId="678821F0" w14:textId="3B7E932F" w:rsidR="0088629E" w:rsidRPr="0088629E" w:rsidRDefault="0088629E" w:rsidP="0088629E">
      <w:pPr>
        <w:pStyle w:val="NormalBeforeBullet"/>
        <w:spacing w:after="240"/>
        <w:rPr>
          <w:rFonts w:ascii="Franklin Gothic Book" w:hAnsi="Franklin Gothic Book"/>
          <w:sz w:val="22"/>
          <w:szCs w:val="22"/>
        </w:rPr>
      </w:pPr>
      <w:r w:rsidRPr="0088629E">
        <w:rPr>
          <w:rFonts w:ascii="Franklin Gothic Book" w:hAnsi="Franklin Gothic Book"/>
          <w:sz w:val="22"/>
          <w:szCs w:val="22"/>
        </w:rPr>
        <w:t xml:space="preserve">MSAC noted that the resubmission addressed the previous MSAC concern regarding comparative safety by including a cost-utility analysis (CUA) comparing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with DBS. The resubmission used a CUA that was based on the 2018 Ontario Health Technology Assessment (OHTA)</w:t>
      </w:r>
      <w:r w:rsidR="002F3610">
        <w:rPr>
          <w:rFonts w:ascii="Franklin Gothic Book" w:hAnsi="Franklin Gothic Book"/>
          <w:sz w:val="22"/>
          <w:szCs w:val="22"/>
        </w:rPr>
        <w:t xml:space="preserve"> model</w:t>
      </w:r>
      <w:r w:rsidRPr="0088629E">
        <w:rPr>
          <w:rFonts w:ascii="Franklin Gothic Book" w:hAnsi="Franklin Gothic Book"/>
          <w:sz w:val="22"/>
          <w:szCs w:val="22"/>
        </w:rPr>
        <w:t>, adapted for Australian conditions. The CUA used a decision tree and Markov model, and included transient AEs within 1 year of the procedure and long-term AEs. MSAC noted the health state transition probabilities were based on rates of mortality, tremor recurrence and reoperation, with some assumptions applied due to limited data (</w:t>
      </w:r>
      <w:proofErr w:type="gramStart"/>
      <w:r w:rsidRPr="0088629E">
        <w:rPr>
          <w:rFonts w:ascii="Franklin Gothic Book" w:hAnsi="Franklin Gothic Book"/>
          <w:sz w:val="22"/>
          <w:szCs w:val="22"/>
        </w:rPr>
        <w:t>e.g.</w:t>
      </w:r>
      <w:proofErr w:type="gramEnd"/>
      <w:r w:rsidRPr="0088629E">
        <w:rPr>
          <w:rFonts w:ascii="Franklin Gothic Book" w:hAnsi="Franklin Gothic Book"/>
          <w:sz w:val="22"/>
          <w:szCs w:val="22"/>
        </w:rPr>
        <w:t> recurrence was assumed to be the same between arms, and reoperation if recurrence was assumed to be 40%). MSAC considered the utility estimates of tremor states, used for the modelling of long-term AEs, to be appropriate.</w:t>
      </w:r>
    </w:p>
    <w:p w14:paraId="6C8AF117" w14:textId="093FFBC9" w:rsidR="0088629E" w:rsidRPr="0088629E" w:rsidRDefault="0088629E" w:rsidP="0088629E">
      <w:pPr>
        <w:pStyle w:val="NormalBeforeBullet"/>
        <w:spacing w:after="240"/>
        <w:rPr>
          <w:rFonts w:ascii="Franklin Gothic Book" w:hAnsi="Franklin Gothic Book"/>
          <w:sz w:val="22"/>
          <w:szCs w:val="22"/>
        </w:rPr>
      </w:pPr>
      <w:r w:rsidRPr="0088629E">
        <w:rPr>
          <w:rFonts w:ascii="Franklin Gothic Book" w:hAnsi="Franklin Gothic Book"/>
          <w:sz w:val="22"/>
          <w:szCs w:val="22"/>
        </w:rPr>
        <w:t xml:space="preserve">MSAC noted </w:t>
      </w:r>
      <w:r w:rsidR="00C92EAE">
        <w:rPr>
          <w:rFonts w:ascii="Franklin Gothic Book" w:hAnsi="Franklin Gothic Book"/>
          <w:sz w:val="22"/>
          <w:szCs w:val="22"/>
        </w:rPr>
        <w:t xml:space="preserve">the issues raised by ESC for the model, and that the main uncertainty in the model related to the </w:t>
      </w:r>
      <w:r w:rsidR="00C92EAE" w:rsidRPr="00E706AC">
        <w:rPr>
          <w:rFonts w:ascii="Franklin Gothic Book" w:hAnsi="Franklin Gothic Book"/>
          <w:sz w:val="22"/>
          <w:szCs w:val="22"/>
        </w:rPr>
        <w:t xml:space="preserve">quantification of adverse events </w:t>
      </w:r>
      <w:r w:rsidR="00C92EAE">
        <w:rPr>
          <w:rFonts w:ascii="Franklin Gothic Book" w:hAnsi="Franklin Gothic Book"/>
          <w:sz w:val="22"/>
          <w:szCs w:val="22"/>
        </w:rPr>
        <w:t xml:space="preserve">by using </w:t>
      </w:r>
      <w:proofErr w:type="gramStart"/>
      <w:r w:rsidR="00C92EAE">
        <w:rPr>
          <w:rFonts w:ascii="Franklin Gothic Book" w:hAnsi="Franklin Gothic Book"/>
          <w:sz w:val="22"/>
          <w:szCs w:val="22"/>
        </w:rPr>
        <w:t>an</w:t>
      </w:r>
      <w:proofErr w:type="gramEnd"/>
      <w:r w:rsidR="00C92EAE">
        <w:rPr>
          <w:rFonts w:ascii="Franklin Gothic Book" w:hAnsi="Franklin Gothic Book"/>
          <w:sz w:val="22"/>
          <w:szCs w:val="22"/>
        </w:rPr>
        <w:t xml:space="preserve"> </w:t>
      </w:r>
      <w:r w:rsidR="00C92EAE" w:rsidRPr="0088629E">
        <w:rPr>
          <w:rFonts w:ascii="Franklin Gothic Book" w:hAnsi="Franklin Gothic Book"/>
          <w:sz w:val="22"/>
          <w:szCs w:val="22"/>
        </w:rPr>
        <w:t xml:space="preserve">utility adverse event multiplier. </w:t>
      </w:r>
      <w:r w:rsidR="00F019FA">
        <w:rPr>
          <w:rFonts w:ascii="Franklin Gothic Book" w:hAnsi="Franklin Gothic Book"/>
          <w:sz w:val="22"/>
          <w:szCs w:val="22"/>
        </w:rPr>
        <w:t>MSAC noted that ESC concluded that</w:t>
      </w:r>
      <w:r w:rsidRPr="0088629E">
        <w:rPr>
          <w:rFonts w:ascii="Franklin Gothic Book" w:hAnsi="Franklin Gothic Book"/>
          <w:sz w:val="22"/>
          <w:szCs w:val="22"/>
        </w:rPr>
        <w:t xml:space="preserve"> while the method used to model long-term adverse events does not appear to be conceptually appropriate, it may be sufficient to enable general exploration and establish a broad range of plausible incremental cost-effectiveness ratios (ICERs) to inform MSAC’s consideration.</w:t>
      </w:r>
      <w:r w:rsidR="00C92EAE">
        <w:rPr>
          <w:rFonts w:ascii="Franklin Gothic Book" w:hAnsi="Franklin Gothic Book"/>
          <w:sz w:val="22"/>
          <w:szCs w:val="22"/>
        </w:rPr>
        <w:t xml:space="preserve"> MSAC agreed with ESC and considered that </w:t>
      </w:r>
      <w:r w:rsidR="00C92EAE" w:rsidRPr="0088629E">
        <w:rPr>
          <w:rFonts w:ascii="Franklin Gothic Book" w:hAnsi="Franklin Gothic Book"/>
          <w:sz w:val="22"/>
          <w:szCs w:val="22"/>
        </w:rPr>
        <w:t xml:space="preserve">any improvements in the </w:t>
      </w:r>
      <w:r w:rsidR="00C92EAE" w:rsidRPr="0088629E">
        <w:rPr>
          <w:rFonts w:ascii="Franklin Gothic Book" w:hAnsi="Franklin Gothic Book"/>
          <w:sz w:val="22"/>
          <w:szCs w:val="22"/>
        </w:rPr>
        <w:lastRenderedPageBreak/>
        <w:t>model will be subject to limitations in the evidence to inform the model inputs</w:t>
      </w:r>
      <w:r w:rsidR="00C92EAE">
        <w:rPr>
          <w:rFonts w:ascii="Franklin Gothic Book" w:hAnsi="Franklin Gothic Book"/>
          <w:sz w:val="22"/>
          <w:szCs w:val="22"/>
        </w:rPr>
        <w:t xml:space="preserve">, and thus </w:t>
      </w:r>
      <w:r w:rsidR="00C92EAE" w:rsidRPr="0088629E">
        <w:rPr>
          <w:rFonts w:ascii="Franklin Gothic Book" w:hAnsi="Franklin Gothic Book"/>
          <w:sz w:val="22"/>
          <w:szCs w:val="22"/>
        </w:rPr>
        <w:t>considered it unlikely that the model will be improved by evidence in the foreseeable future.</w:t>
      </w:r>
    </w:p>
    <w:p w14:paraId="1B9FB9E0" w14:textId="5B981BD2" w:rsidR="00C92EAE" w:rsidRDefault="0088629E" w:rsidP="0088629E">
      <w:pPr>
        <w:pStyle w:val="NormalBeforeBullet"/>
        <w:spacing w:after="240"/>
        <w:rPr>
          <w:rFonts w:ascii="Franklin Gothic Book" w:hAnsi="Franklin Gothic Book"/>
          <w:sz w:val="22"/>
          <w:szCs w:val="22"/>
        </w:rPr>
      </w:pPr>
      <w:r w:rsidRPr="0088629E">
        <w:rPr>
          <w:rFonts w:ascii="Franklin Gothic Book" w:hAnsi="Franklin Gothic Book"/>
          <w:sz w:val="22"/>
          <w:szCs w:val="22"/>
        </w:rPr>
        <w:t xml:space="preserve">MSAC noted that from the results of the model of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versus DBS, </w:t>
      </w:r>
      <w:proofErr w:type="spellStart"/>
      <w:r w:rsidR="00983C29">
        <w:rPr>
          <w:rFonts w:ascii="Franklin Gothic Book" w:hAnsi="Franklin Gothic Book"/>
          <w:sz w:val="22"/>
          <w:szCs w:val="22"/>
        </w:rPr>
        <w:t>MRgFUS</w:t>
      </w:r>
      <w:proofErr w:type="spellEnd"/>
      <w:r w:rsidR="00983C29">
        <w:rPr>
          <w:rFonts w:ascii="Franklin Gothic Book" w:hAnsi="Franklin Gothic Book"/>
          <w:sz w:val="22"/>
          <w:szCs w:val="22"/>
        </w:rPr>
        <w:t xml:space="preserve"> </w:t>
      </w:r>
      <w:r w:rsidR="00E37370">
        <w:rPr>
          <w:rFonts w:ascii="Franklin Gothic Book" w:hAnsi="Franklin Gothic Book"/>
          <w:sz w:val="22"/>
          <w:szCs w:val="22"/>
        </w:rPr>
        <w:t>is substantially less costly than DBS</w:t>
      </w:r>
      <w:r w:rsidR="00983C29">
        <w:rPr>
          <w:rFonts w:ascii="Franklin Gothic Book" w:hAnsi="Franklin Gothic Book"/>
          <w:sz w:val="22"/>
          <w:szCs w:val="22"/>
        </w:rPr>
        <w:t xml:space="preserve"> </w:t>
      </w:r>
      <w:r w:rsidR="00E37370">
        <w:rPr>
          <w:rFonts w:ascii="Franklin Gothic Book" w:hAnsi="Franklin Gothic Book"/>
          <w:sz w:val="22"/>
          <w:szCs w:val="22"/>
        </w:rPr>
        <w:t>but had fewer</w:t>
      </w:r>
      <w:r w:rsidR="00983C29">
        <w:rPr>
          <w:rFonts w:ascii="Franklin Gothic Book" w:hAnsi="Franklin Gothic Book"/>
          <w:sz w:val="22"/>
          <w:szCs w:val="22"/>
        </w:rPr>
        <w:t xml:space="preserve"> QALY</w:t>
      </w:r>
      <w:r w:rsidR="00E37370">
        <w:rPr>
          <w:rFonts w:ascii="Franklin Gothic Book" w:hAnsi="Franklin Gothic Book"/>
          <w:sz w:val="22"/>
          <w:szCs w:val="22"/>
        </w:rPr>
        <w:t xml:space="preserve">s (see Table </w:t>
      </w:r>
      <w:r w:rsidR="00141CA1">
        <w:rPr>
          <w:rFonts w:ascii="Franklin Gothic Book" w:hAnsi="Franklin Gothic Book"/>
          <w:sz w:val="22"/>
          <w:szCs w:val="22"/>
        </w:rPr>
        <w:t>12</w:t>
      </w:r>
      <w:r w:rsidR="00E37370">
        <w:rPr>
          <w:rFonts w:ascii="Franklin Gothic Book" w:hAnsi="Franklin Gothic Book"/>
          <w:sz w:val="22"/>
          <w:szCs w:val="22"/>
        </w:rPr>
        <w:t xml:space="preserve">), resulting in an </w:t>
      </w:r>
      <w:r w:rsidR="00983C29" w:rsidRPr="00983C29">
        <w:rPr>
          <w:rFonts w:ascii="Franklin Gothic Book" w:hAnsi="Franklin Gothic Book"/>
          <w:sz w:val="22"/>
          <w:szCs w:val="22"/>
        </w:rPr>
        <w:t>ICER in the southwest quadrant</w:t>
      </w:r>
      <w:r w:rsidR="00804500">
        <w:rPr>
          <w:rFonts w:ascii="Franklin Gothic Book" w:hAnsi="Franklin Gothic Book"/>
          <w:sz w:val="22"/>
          <w:szCs w:val="22"/>
        </w:rPr>
        <w:t xml:space="preserve"> (see Figure 1)</w:t>
      </w:r>
      <w:r w:rsidR="00E37370">
        <w:rPr>
          <w:rFonts w:ascii="Franklin Gothic Book" w:hAnsi="Franklin Gothic Book"/>
          <w:sz w:val="22"/>
          <w:szCs w:val="22"/>
        </w:rPr>
        <w:t>.</w:t>
      </w:r>
      <w:r w:rsidR="00983C29" w:rsidRPr="00983C29">
        <w:rPr>
          <w:rFonts w:ascii="Franklin Gothic Book" w:hAnsi="Franklin Gothic Book"/>
          <w:sz w:val="22"/>
          <w:szCs w:val="22"/>
        </w:rPr>
        <w:t xml:space="preserve"> </w:t>
      </w:r>
      <w:r w:rsidRPr="0088629E">
        <w:rPr>
          <w:rFonts w:ascii="Franklin Gothic Book" w:hAnsi="Franklin Gothic Book"/>
          <w:sz w:val="22"/>
          <w:szCs w:val="22"/>
        </w:rPr>
        <w:t xml:space="preserve">MSAC considered in this </w:t>
      </w:r>
      <w:proofErr w:type="gramStart"/>
      <w:r w:rsidRPr="0088629E">
        <w:rPr>
          <w:rFonts w:ascii="Franklin Gothic Book" w:hAnsi="Franklin Gothic Book"/>
          <w:sz w:val="22"/>
          <w:szCs w:val="22"/>
        </w:rPr>
        <w:t>particular case</w:t>
      </w:r>
      <w:proofErr w:type="gramEnd"/>
      <w:r w:rsidRPr="0088629E">
        <w:rPr>
          <w:rFonts w:ascii="Franklin Gothic Book" w:hAnsi="Franklin Gothic Book"/>
          <w:sz w:val="22"/>
          <w:szCs w:val="22"/>
        </w:rPr>
        <w:t>, the reduction in utility was small (and highly uncertain) while the cost savings were considerable (and highly certain).</w:t>
      </w:r>
      <w:r w:rsidR="00C92EAE">
        <w:rPr>
          <w:rFonts w:ascii="Franklin Gothic Book" w:hAnsi="Franklin Gothic Book"/>
          <w:sz w:val="22"/>
          <w:szCs w:val="22"/>
        </w:rPr>
        <w:t xml:space="preserve"> MSAC noted that the </w:t>
      </w:r>
      <w:r w:rsidR="00C92EAE" w:rsidRPr="0088629E">
        <w:rPr>
          <w:rFonts w:ascii="Franklin Gothic Book" w:hAnsi="Franklin Gothic Book"/>
          <w:sz w:val="22"/>
          <w:szCs w:val="22"/>
        </w:rPr>
        <w:t>key driver of the model was the utility adverse event multiplier for each treatment. MSAC acknowledged the ICER value will change</w:t>
      </w:r>
      <w:r w:rsidR="00C92EAE">
        <w:rPr>
          <w:rFonts w:ascii="Franklin Gothic Book" w:hAnsi="Franklin Gothic Book"/>
          <w:sz w:val="22"/>
          <w:szCs w:val="22"/>
        </w:rPr>
        <w:t xml:space="preserve"> in response to changes in the multiplier but given that it was </w:t>
      </w:r>
      <w:r w:rsidR="00C92EAE" w:rsidRPr="0088629E">
        <w:rPr>
          <w:rFonts w:ascii="Franklin Gothic Book" w:hAnsi="Franklin Gothic Book"/>
          <w:sz w:val="22"/>
          <w:szCs w:val="22"/>
        </w:rPr>
        <w:t xml:space="preserve">unlikely that </w:t>
      </w:r>
      <w:proofErr w:type="spellStart"/>
      <w:r w:rsidR="00C92EAE" w:rsidRPr="0088629E">
        <w:rPr>
          <w:rFonts w:ascii="Franklin Gothic Book" w:hAnsi="Franklin Gothic Book"/>
          <w:sz w:val="22"/>
          <w:szCs w:val="22"/>
        </w:rPr>
        <w:t>MRgFUS</w:t>
      </w:r>
      <w:proofErr w:type="spellEnd"/>
      <w:r w:rsidR="00C92EAE" w:rsidRPr="0088629E">
        <w:rPr>
          <w:rFonts w:ascii="Franklin Gothic Book" w:hAnsi="Franklin Gothic Book"/>
          <w:sz w:val="22"/>
          <w:szCs w:val="22"/>
        </w:rPr>
        <w:t xml:space="preserve"> </w:t>
      </w:r>
      <w:r w:rsidR="00C92EAE">
        <w:rPr>
          <w:rFonts w:ascii="Franklin Gothic Book" w:hAnsi="Franklin Gothic Book"/>
          <w:sz w:val="22"/>
          <w:szCs w:val="22"/>
        </w:rPr>
        <w:t xml:space="preserve">would ever </w:t>
      </w:r>
      <w:r w:rsidR="00C92EAE" w:rsidRPr="0088629E">
        <w:rPr>
          <w:rFonts w:ascii="Franklin Gothic Book" w:hAnsi="Franklin Gothic Book"/>
          <w:sz w:val="22"/>
          <w:szCs w:val="22"/>
        </w:rPr>
        <w:t>be more expensive than DBS</w:t>
      </w:r>
      <w:r w:rsidR="00796A38">
        <w:rPr>
          <w:rFonts w:ascii="Franklin Gothic Book" w:hAnsi="Franklin Gothic Book"/>
          <w:sz w:val="22"/>
          <w:szCs w:val="22"/>
        </w:rPr>
        <w:t xml:space="preserve"> </w:t>
      </w:r>
      <w:r w:rsidR="00C92EAE">
        <w:rPr>
          <w:rFonts w:ascii="Franklin Gothic Book" w:hAnsi="Franklin Gothic Book"/>
          <w:sz w:val="22"/>
          <w:szCs w:val="22"/>
        </w:rPr>
        <w:t xml:space="preserve">as </w:t>
      </w:r>
      <w:r w:rsidR="00C92EAE" w:rsidRPr="0088629E">
        <w:rPr>
          <w:rFonts w:ascii="Franklin Gothic Book" w:hAnsi="Franklin Gothic Book"/>
          <w:sz w:val="22"/>
          <w:szCs w:val="22"/>
        </w:rPr>
        <w:t>long a</w:t>
      </w:r>
      <w:r w:rsidR="00C92EAE">
        <w:rPr>
          <w:rFonts w:ascii="Franklin Gothic Book" w:hAnsi="Franklin Gothic Book"/>
          <w:sz w:val="22"/>
          <w:szCs w:val="22"/>
        </w:rPr>
        <w:t xml:space="preserve">s incremental effectiveness was </w:t>
      </w:r>
      <w:r w:rsidR="00C92EAE" w:rsidRPr="0088629E">
        <w:rPr>
          <w:rFonts w:ascii="Franklin Gothic Book" w:hAnsi="Franklin Gothic Book"/>
          <w:sz w:val="22"/>
          <w:szCs w:val="22"/>
        </w:rPr>
        <w:t>negative, the result w</w:t>
      </w:r>
      <w:r w:rsidR="00C92EAE">
        <w:rPr>
          <w:rFonts w:ascii="Franklin Gothic Book" w:hAnsi="Franklin Gothic Book"/>
          <w:sz w:val="22"/>
          <w:szCs w:val="22"/>
        </w:rPr>
        <w:t>ould</w:t>
      </w:r>
      <w:r w:rsidR="00C92EAE" w:rsidRPr="0088629E">
        <w:rPr>
          <w:rFonts w:ascii="Franklin Gothic Book" w:hAnsi="Franklin Gothic Book"/>
          <w:sz w:val="22"/>
          <w:szCs w:val="22"/>
        </w:rPr>
        <w:t xml:space="preserve"> stay in the southwest quadrant</w:t>
      </w:r>
      <w:r w:rsidR="008D301E">
        <w:rPr>
          <w:rFonts w:ascii="Franklin Gothic Book" w:hAnsi="Franklin Gothic Book"/>
          <w:sz w:val="22"/>
          <w:szCs w:val="22"/>
        </w:rPr>
        <w:t xml:space="preserve"> (</w:t>
      </w:r>
      <w:proofErr w:type="gramStart"/>
      <w:r w:rsidR="008D301E">
        <w:rPr>
          <w:rFonts w:ascii="Franklin Gothic Book" w:hAnsi="Franklin Gothic Book"/>
          <w:sz w:val="22"/>
          <w:szCs w:val="22"/>
        </w:rPr>
        <w:t>i.e.</w:t>
      </w:r>
      <w:proofErr w:type="gramEnd"/>
      <w:r w:rsidR="008D301E">
        <w:rPr>
          <w:rFonts w:ascii="Franklin Gothic Book" w:hAnsi="Franklin Gothic Book"/>
          <w:sz w:val="22"/>
          <w:szCs w:val="22"/>
        </w:rPr>
        <w:t xml:space="preserve"> slightly inferior therapy but at a much lower cost).</w:t>
      </w:r>
    </w:p>
    <w:p w14:paraId="0681E1A5" w14:textId="171DB985" w:rsidR="00141CA1" w:rsidRDefault="0088629E" w:rsidP="0088629E">
      <w:pPr>
        <w:pStyle w:val="NormalBeforeBullet"/>
        <w:spacing w:after="240"/>
        <w:rPr>
          <w:rFonts w:ascii="Franklin Gothic Book" w:hAnsi="Franklin Gothic Book"/>
          <w:sz w:val="22"/>
          <w:szCs w:val="22"/>
        </w:rPr>
      </w:pPr>
      <w:r w:rsidRPr="0088629E">
        <w:rPr>
          <w:rFonts w:ascii="Franklin Gothic Book" w:hAnsi="Franklin Gothic Book"/>
          <w:sz w:val="22"/>
          <w:szCs w:val="22"/>
        </w:rPr>
        <w:t>MSAC considered that</w:t>
      </w:r>
      <w:r w:rsidR="00D8333B">
        <w:rPr>
          <w:rFonts w:ascii="Franklin Gothic Book" w:hAnsi="Franklin Gothic Book"/>
          <w:sz w:val="22"/>
          <w:szCs w:val="22"/>
        </w:rPr>
        <w:t>,</w:t>
      </w:r>
      <w:r w:rsidRPr="0088629E">
        <w:rPr>
          <w:rFonts w:ascii="Franklin Gothic Book" w:hAnsi="Franklin Gothic Book"/>
          <w:sz w:val="22"/>
          <w:szCs w:val="22"/>
        </w:rPr>
        <w:t xml:space="preserve"> compared with BSC,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showed improvements in quality of life (QOL); this suggest</w:t>
      </w:r>
      <w:r w:rsidR="00141CA1">
        <w:rPr>
          <w:rFonts w:ascii="Franklin Gothic Book" w:hAnsi="Franklin Gothic Book"/>
          <w:sz w:val="22"/>
          <w:szCs w:val="22"/>
        </w:rPr>
        <w:t>ed</w:t>
      </w:r>
      <w:r w:rsidRPr="0088629E">
        <w:rPr>
          <w:rFonts w:ascii="Franklin Gothic Book" w:hAnsi="Franklin Gothic Book"/>
          <w:sz w:val="22"/>
          <w:szCs w:val="22"/>
        </w:rPr>
        <w:t xml:space="preserve"> that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would be cost</w:t>
      </w:r>
      <w:r w:rsidRPr="0088629E">
        <w:rPr>
          <w:rFonts w:ascii="Franklin Gothic Book" w:hAnsi="Franklin Gothic Book"/>
          <w:sz w:val="22"/>
          <w:szCs w:val="22"/>
        </w:rPr>
        <w:noBreakHyphen/>
        <w:t>effective in those patients with contraindications to DBS, or in those who refuse DBS for other reasons</w:t>
      </w:r>
      <w:r w:rsidR="00A83E67">
        <w:rPr>
          <w:rFonts w:ascii="Franklin Gothic Book" w:hAnsi="Franklin Gothic Book"/>
          <w:sz w:val="22"/>
          <w:szCs w:val="22"/>
        </w:rPr>
        <w:t>.</w:t>
      </w:r>
    </w:p>
    <w:p w14:paraId="294FF7B1" w14:textId="14712134" w:rsidR="0088629E" w:rsidRDefault="00141CA1" w:rsidP="0088629E">
      <w:pPr>
        <w:pStyle w:val="NormalBeforeBullet"/>
        <w:spacing w:after="240"/>
        <w:rPr>
          <w:rFonts w:ascii="Franklin Gothic Book" w:hAnsi="Franklin Gothic Book"/>
          <w:sz w:val="22"/>
          <w:szCs w:val="22"/>
        </w:rPr>
      </w:pPr>
      <w:r>
        <w:rPr>
          <w:rFonts w:ascii="Franklin Gothic Book" w:hAnsi="Franklin Gothic Book"/>
          <w:sz w:val="22"/>
          <w:szCs w:val="22"/>
        </w:rPr>
        <w:t xml:space="preserve">Overall, MSAC accepted that </w:t>
      </w:r>
      <w:proofErr w:type="spellStart"/>
      <w:r>
        <w:rPr>
          <w:rFonts w:ascii="Franklin Gothic Book" w:hAnsi="Franklin Gothic Book"/>
          <w:sz w:val="22"/>
          <w:szCs w:val="22"/>
        </w:rPr>
        <w:t>MRgFUS</w:t>
      </w:r>
      <w:proofErr w:type="spellEnd"/>
      <w:r>
        <w:rPr>
          <w:rFonts w:ascii="Franklin Gothic Book" w:hAnsi="Franklin Gothic Book"/>
          <w:sz w:val="22"/>
          <w:szCs w:val="22"/>
        </w:rPr>
        <w:t xml:space="preserve"> was cost-effective against the comparators. </w:t>
      </w:r>
      <w:r w:rsidR="0088629E" w:rsidRPr="0088629E">
        <w:rPr>
          <w:rFonts w:ascii="Franklin Gothic Book" w:hAnsi="Franklin Gothic Book"/>
          <w:sz w:val="22"/>
          <w:szCs w:val="22"/>
        </w:rPr>
        <w:t xml:space="preserve">MSAC </w:t>
      </w:r>
      <w:r>
        <w:rPr>
          <w:rFonts w:ascii="Franklin Gothic Book" w:hAnsi="Franklin Gothic Book"/>
          <w:sz w:val="22"/>
          <w:szCs w:val="22"/>
        </w:rPr>
        <w:t xml:space="preserve">also </w:t>
      </w:r>
      <w:r w:rsidR="0088629E" w:rsidRPr="0088629E">
        <w:rPr>
          <w:rFonts w:ascii="Franklin Gothic Book" w:hAnsi="Franklin Gothic Book"/>
          <w:sz w:val="22"/>
          <w:szCs w:val="22"/>
        </w:rPr>
        <w:t>considered it was important to consider patient preferences</w:t>
      </w:r>
      <w:r>
        <w:rPr>
          <w:rFonts w:ascii="Franklin Gothic Book" w:hAnsi="Franklin Gothic Book"/>
          <w:sz w:val="22"/>
          <w:szCs w:val="22"/>
        </w:rPr>
        <w:t xml:space="preserve"> in this context</w:t>
      </w:r>
      <w:r w:rsidR="0088629E" w:rsidRPr="0088629E">
        <w:rPr>
          <w:rFonts w:ascii="Franklin Gothic Book" w:hAnsi="Franklin Gothic Book"/>
          <w:sz w:val="22"/>
          <w:szCs w:val="22"/>
        </w:rPr>
        <w:t>; that is, weigh up AEs against the invasiveness of the procedure.</w:t>
      </w:r>
    </w:p>
    <w:p w14:paraId="7A7C85D8" w14:textId="3E361630" w:rsidR="0088629E" w:rsidRPr="0088629E" w:rsidRDefault="0088629E" w:rsidP="0088629E">
      <w:pPr>
        <w:pStyle w:val="NormalBeforeBullet"/>
        <w:spacing w:after="240"/>
        <w:rPr>
          <w:rFonts w:ascii="Franklin Gothic Book" w:hAnsi="Franklin Gothic Book"/>
          <w:sz w:val="22"/>
          <w:szCs w:val="22"/>
        </w:rPr>
      </w:pPr>
      <w:r w:rsidRPr="0088629E">
        <w:rPr>
          <w:rFonts w:ascii="Franklin Gothic Book" w:hAnsi="Franklin Gothic Book"/>
          <w:sz w:val="22"/>
          <w:szCs w:val="22"/>
        </w:rPr>
        <w:t xml:space="preserve">MSAC noted the estimated net impact to the </w:t>
      </w:r>
      <w:r w:rsidRPr="00457995">
        <w:rPr>
          <w:rFonts w:ascii="Franklin Gothic Book" w:hAnsi="Franklin Gothic Book"/>
          <w:sz w:val="22"/>
          <w:szCs w:val="22"/>
        </w:rPr>
        <w:t xml:space="preserve">MBS ranged from </w:t>
      </w:r>
      <w:r w:rsidRPr="00D960B0">
        <w:rPr>
          <w:rFonts w:ascii="Franklin Gothic Book" w:hAnsi="Franklin Gothic Book"/>
          <w:sz w:val="22"/>
          <w:szCs w:val="22"/>
        </w:rPr>
        <w:t>$269,887</w:t>
      </w:r>
      <w:r w:rsidRPr="00457995">
        <w:rPr>
          <w:rFonts w:ascii="Franklin Gothic Book" w:hAnsi="Franklin Gothic Book"/>
          <w:sz w:val="22"/>
          <w:szCs w:val="22"/>
        </w:rPr>
        <w:t xml:space="preserve"> in </w:t>
      </w:r>
      <w:r w:rsidR="009B2FEE" w:rsidRPr="00457995">
        <w:rPr>
          <w:rFonts w:ascii="Franklin Gothic Book" w:hAnsi="Franklin Gothic Book"/>
          <w:sz w:val="22"/>
          <w:szCs w:val="22"/>
        </w:rPr>
        <w:t>Y</w:t>
      </w:r>
      <w:r w:rsidRPr="00457995">
        <w:rPr>
          <w:rFonts w:ascii="Franklin Gothic Book" w:hAnsi="Franklin Gothic Book"/>
          <w:sz w:val="22"/>
          <w:szCs w:val="22"/>
        </w:rPr>
        <w:t xml:space="preserve">ear 1 to </w:t>
      </w:r>
      <w:r w:rsidRPr="00D960B0">
        <w:rPr>
          <w:rFonts w:ascii="Franklin Gothic Book" w:hAnsi="Franklin Gothic Book"/>
          <w:sz w:val="22"/>
          <w:szCs w:val="22"/>
        </w:rPr>
        <w:t>$302,700</w:t>
      </w:r>
      <w:r w:rsidRPr="00457995">
        <w:rPr>
          <w:rFonts w:ascii="Franklin Gothic Book" w:hAnsi="Franklin Gothic Book"/>
          <w:sz w:val="22"/>
          <w:szCs w:val="22"/>
        </w:rPr>
        <w:t xml:space="preserve"> in </w:t>
      </w:r>
      <w:r w:rsidR="009B2FEE" w:rsidRPr="00457995">
        <w:rPr>
          <w:rFonts w:ascii="Franklin Gothic Book" w:hAnsi="Franklin Gothic Book"/>
          <w:sz w:val="22"/>
          <w:szCs w:val="22"/>
        </w:rPr>
        <w:t>Y</w:t>
      </w:r>
      <w:r w:rsidRPr="00457995">
        <w:rPr>
          <w:rFonts w:ascii="Franklin Gothic Book" w:hAnsi="Franklin Gothic Book"/>
          <w:sz w:val="22"/>
          <w:szCs w:val="22"/>
        </w:rPr>
        <w:t>ear 6</w:t>
      </w:r>
      <w:r w:rsidR="009B2FEE" w:rsidRPr="00457995">
        <w:rPr>
          <w:rFonts w:ascii="Franklin Gothic Book" w:hAnsi="Franklin Gothic Book"/>
          <w:sz w:val="22"/>
          <w:szCs w:val="22"/>
        </w:rPr>
        <w:t xml:space="preserve"> (see Table 14)</w:t>
      </w:r>
      <w:r w:rsidRPr="00457995">
        <w:rPr>
          <w:rFonts w:ascii="Franklin Gothic Book" w:hAnsi="Franklin Gothic Book"/>
          <w:sz w:val="22"/>
          <w:szCs w:val="22"/>
        </w:rPr>
        <w:t xml:space="preserve">. MSAC noted that the number of MBS claims for DBS, across all diagnoses (including Parkinson’s disease), </w:t>
      </w:r>
      <w:r w:rsidR="00EC745D" w:rsidRPr="00457995">
        <w:rPr>
          <w:rFonts w:ascii="Franklin Gothic Book" w:hAnsi="Franklin Gothic Book"/>
          <w:sz w:val="22"/>
          <w:szCs w:val="22"/>
        </w:rPr>
        <w:t xml:space="preserve">has been stable at </w:t>
      </w:r>
      <w:r w:rsidRPr="00457995">
        <w:rPr>
          <w:rFonts w:ascii="Franklin Gothic Book" w:hAnsi="Franklin Gothic Book"/>
          <w:sz w:val="22"/>
          <w:szCs w:val="22"/>
        </w:rPr>
        <w:t>approximately 250 per year</w:t>
      </w:r>
      <w:r w:rsidR="00EC745D" w:rsidRPr="00457995">
        <w:rPr>
          <w:rFonts w:ascii="Franklin Gothic Book" w:hAnsi="Franklin Gothic Book"/>
          <w:sz w:val="22"/>
          <w:szCs w:val="22"/>
        </w:rPr>
        <w:t xml:space="preserve"> since around 2011</w:t>
      </w:r>
      <w:r w:rsidRPr="00457995">
        <w:rPr>
          <w:rFonts w:ascii="Franklin Gothic Book" w:hAnsi="Franklin Gothic Book"/>
          <w:sz w:val="22"/>
          <w:szCs w:val="22"/>
        </w:rPr>
        <w:t>. The ADAR stated the number of claims used for ET would be 25% of the total claims. MSAC noted</w:t>
      </w:r>
      <w:r w:rsidR="009B2FEE" w:rsidRPr="00457995">
        <w:rPr>
          <w:rFonts w:ascii="Franklin Gothic Book" w:hAnsi="Franklin Gothic Book"/>
          <w:sz w:val="22"/>
          <w:szCs w:val="22"/>
        </w:rPr>
        <w:t xml:space="preserve"> that</w:t>
      </w:r>
      <w:r w:rsidRPr="00457995">
        <w:rPr>
          <w:rFonts w:ascii="Franklin Gothic Book" w:hAnsi="Franklin Gothic Book"/>
          <w:sz w:val="22"/>
          <w:szCs w:val="22"/>
        </w:rPr>
        <w:t xml:space="preserve"> the commentary disagreed with this proportion, suggesting this would be up to around 60%. However, MSAC noted the pre-MSAC response that 60% is unlikely based on patient numbers in Australia, and 25% was based on expert opinion. MSAC also noted that after listing </w:t>
      </w:r>
      <w:proofErr w:type="spellStart"/>
      <w:r w:rsidRPr="00457995">
        <w:rPr>
          <w:rFonts w:ascii="Franklin Gothic Book" w:hAnsi="Franklin Gothic Book"/>
          <w:sz w:val="22"/>
          <w:szCs w:val="22"/>
        </w:rPr>
        <w:t>MRgFUS</w:t>
      </w:r>
      <w:proofErr w:type="spellEnd"/>
      <w:r w:rsidRPr="00457995">
        <w:rPr>
          <w:rFonts w:ascii="Franklin Gothic Book" w:hAnsi="Franklin Gothic Book"/>
          <w:sz w:val="22"/>
          <w:szCs w:val="22"/>
        </w:rPr>
        <w:t>, it is estimated that there will be a sudden increase in the number of claims as several patients will transfer from DBS; however, the pre-MSAC response</w:t>
      </w:r>
      <w:r w:rsidR="00EC745D" w:rsidRPr="00457995">
        <w:rPr>
          <w:rFonts w:ascii="Franklin Gothic Book" w:hAnsi="Franklin Gothic Book"/>
          <w:sz w:val="22"/>
          <w:szCs w:val="22"/>
        </w:rPr>
        <w:t xml:space="preserve"> argued that </w:t>
      </w:r>
      <w:r w:rsidRPr="00457995">
        <w:rPr>
          <w:rFonts w:ascii="Franklin Gothic Book" w:hAnsi="Franklin Gothic Book"/>
          <w:sz w:val="22"/>
          <w:szCs w:val="22"/>
        </w:rPr>
        <w:t xml:space="preserve"> </w:t>
      </w:r>
      <w:r w:rsidR="00EC745D" w:rsidRPr="00457995">
        <w:rPr>
          <w:rFonts w:ascii="Franklin Gothic Book" w:hAnsi="Franklin Gothic Book"/>
          <w:sz w:val="22"/>
          <w:szCs w:val="22"/>
        </w:rPr>
        <w:t xml:space="preserve">the financial impact of listing </w:t>
      </w:r>
      <w:proofErr w:type="spellStart"/>
      <w:r w:rsidR="00EC745D" w:rsidRPr="00457995">
        <w:rPr>
          <w:rFonts w:ascii="Franklin Gothic Book" w:hAnsi="Franklin Gothic Book"/>
          <w:sz w:val="22"/>
          <w:szCs w:val="22"/>
        </w:rPr>
        <w:t>MRgFUS</w:t>
      </w:r>
      <w:proofErr w:type="spellEnd"/>
      <w:r w:rsidR="00EC745D" w:rsidRPr="00457995">
        <w:rPr>
          <w:rFonts w:ascii="Franklin Gothic Book" w:hAnsi="Franklin Gothic Book"/>
          <w:sz w:val="22"/>
          <w:szCs w:val="22"/>
        </w:rPr>
        <w:t xml:space="preserve"> to the MBS would be less than </w:t>
      </w:r>
      <w:r w:rsidR="00EC745D" w:rsidRPr="00D960B0">
        <w:rPr>
          <w:rFonts w:ascii="Franklin Gothic Book" w:hAnsi="Franklin Gothic Book"/>
          <w:sz w:val="22"/>
          <w:szCs w:val="22"/>
        </w:rPr>
        <w:t>$500,000</w:t>
      </w:r>
      <w:r w:rsidR="00EC745D" w:rsidRPr="00457995">
        <w:rPr>
          <w:rFonts w:ascii="Franklin Gothic Book" w:hAnsi="Franklin Gothic Book"/>
          <w:sz w:val="22"/>
          <w:szCs w:val="22"/>
        </w:rPr>
        <w:t xml:space="preserve"> per</w:t>
      </w:r>
      <w:r w:rsidR="00EC745D" w:rsidRPr="00EC745D">
        <w:rPr>
          <w:rFonts w:ascii="Franklin Gothic Book" w:hAnsi="Franklin Gothic Book"/>
          <w:sz w:val="22"/>
          <w:szCs w:val="22"/>
        </w:rPr>
        <w:t xml:space="preserve"> annum under all plausible scenarios</w:t>
      </w:r>
      <w:r w:rsidR="00D62669" w:rsidRPr="00D62669">
        <w:rPr>
          <w:color w:val="auto"/>
        </w:rPr>
        <w:t xml:space="preserve"> </w:t>
      </w:r>
      <w:r w:rsidR="00D62669" w:rsidRPr="00D62669">
        <w:rPr>
          <w:rFonts w:ascii="Franklin Gothic Book" w:hAnsi="Franklin Gothic Book"/>
          <w:sz w:val="22"/>
          <w:szCs w:val="22"/>
        </w:rPr>
        <w:t xml:space="preserve">including market growth rates due to </w:t>
      </w:r>
      <w:proofErr w:type="spellStart"/>
      <w:r w:rsidR="00D62669" w:rsidRPr="00D62669">
        <w:rPr>
          <w:rFonts w:ascii="Franklin Gothic Book" w:hAnsi="Franklin Gothic Book"/>
          <w:sz w:val="22"/>
          <w:szCs w:val="22"/>
        </w:rPr>
        <w:t>MRgFUS</w:t>
      </w:r>
      <w:proofErr w:type="spellEnd"/>
      <w:r w:rsidR="00D62669" w:rsidRPr="00D62669">
        <w:rPr>
          <w:rFonts w:ascii="Franklin Gothic Book" w:hAnsi="Franklin Gothic Book"/>
          <w:sz w:val="22"/>
          <w:szCs w:val="22"/>
        </w:rPr>
        <w:t xml:space="preserve"> of up to 140%</w:t>
      </w:r>
      <w:r w:rsidR="00EC745D">
        <w:rPr>
          <w:rFonts w:ascii="Franklin Gothic Book" w:hAnsi="Franklin Gothic Book"/>
          <w:sz w:val="22"/>
          <w:szCs w:val="22"/>
        </w:rPr>
        <w:t xml:space="preserve"> because</w:t>
      </w:r>
      <w:r w:rsidRPr="0088629E">
        <w:rPr>
          <w:rFonts w:ascii="Franklin Gothic Book" w:hAnsi="Franklin Gothic Book"/>
          <w:sz w:val="22"/>
          <w:szCs w:val="22"/>
        </w:rPr>
        <w:t xml:space="preserve"> only a small number of patients would be eligible for treatment</w:t>
      </w:r>
      <w:r w:rsidR="00EC745D">
        <w:rPr>
          <w:rFonts w:ascii="Franklin Gothic Book" w:hAnsi="Franklin Gothic Book"/>
          <w:sz w:val="22"/>
          <w:szCs w:val="22"/>
        </w:rPr>
        <w:t xml:space="preserve"> </w:t>
      </w:r>
      <w:r w:rsidRPr="0088629E">
        <w:rPr>
          <w:rFonts w:ascii="Franklin Gothic Book" w:hAnsi="Franklin Gothic Book"/>
          <w:sz w:val="22"/>
          <w:szCs w:val="22"/>
        </w:rPr>
        <w:t>and the cost savings relative to DBS are substantial on a per patient basis.</w:t>
      </w:r>
      <w:r w:rsidR="002101CE">
        <w:rPr>
          <w:rFonts w:ascii="Franklin Gothic Book" w:hAnsi="Franklin Gothic Book"/>
          <w:sz w:val="22"/>
          <w:szCs w:val="22"/>
        </w:rPr>
        <w:t xml:space="preserve"> MSAC considered the net impact to the MBS may be marginally higher, if</w:t>
      </w:r>
      <w:r w:rsidR="001B53F8">
        <w:rPr>
          <w:rFonts w:ascii="Franklin Gothic Book" w:hAnsi="Franklin Gothic Book"/>
          <w:sz w:val="22"/>
          <w:szCs w:val="22"/>
        </w:rPr>
        <w:t>, in some patients,</w:t>
      </w:r>
      <w:r w:rsidR="002101CE">
        <w:rPr>
          <w:rFonts w:ascii="Franklin Gothic Book" w:hAnsi="Franklin Gothic Book"/>
          <w:sz w:val="22"/>
          <w:szCs w:val="22"/>
        </w:rPr>
        <w:t xml:space="preserve"> </w:t>
      </w:r>
      <w:proofErr w:type="spellStart"/>
      <w:r w:rsidR="002101CE">
        <w:rPr>
          <w:rFonts w:ascii="Franklin Gothic Book" w:hAnsi="Franklin Gothic Book"/>
          <w:sz w:val="22"/>
          <w:szCs w:val="22"/>
        </w:rPr>
        <w:t>MRgFUS</w:t>
      </w:r>
      <w:proofErr w:type="spellEnd"/>
      <w:r w:rsidR="002101CE">
        <w:rPr>
          <w:rFonts w:ascii="Franklin Gothic Book" w:hAnsi="Franklin Gothic Book"/>
          <w:sz w:val="22"/>
          <w:szCs w:val="22"/>
        </w:rPr>
        <w:t xml:space="preserve"> displaced DBS (rather than replaced)</w:t>
      </w:r>
      <w:r w:rsidR="001B53F8">
        <w:rPr>
          <w:rFonts w:ascii="Franklin Gothic Book" w:hAnsi="Franklin Gothic Book"/>
          <w:sz w:val="22"/>
          <w:szCs w:val="22"/>
        </w:rPr>
        <w:t>. However,</w:t>
      </w:r>
      <w:r w:rsidR="00224806">
        <w:rPr>
          <w:rFonts w:ascii="Franklin Gothic Book" w:hAnsi="Franklin Gothic Book"/>
          <w:sz w:val="22"/>
          <w:szCs w:val="22"/>
        </w:rPr>
        <w:t xml:space="preserve"> </w:t>
      </w:r>
      <w:r w:rsidR="00796A38">
        <w:rPr>
          <w:rFonts w:ascii="Franklin Gothic Book" w:hAnsi="Franklin Gothic Book"/>
          <w:sz w:val="22"/>
          <w:szCs w:val="22"/>
        </w:rPr>
        <w:t xml:space="preserve">there was no data for this type of use (DBS after </w:t>
      </w:r>
      <w:proofErr w:type="spellStart"/>
      <w:r w:rsidR="00796A38">
        <w:rPr>
          <w:rFonts w:ascii="Franklin Gothic Book" w:hAnsi="Franklin Gothic Book"/>
          <w:sz w:val="22"/>
          <w:szCs w:val="22"/>
        </w:rPr>
        <w:t>MRgFUS</w:t>
      </w:r>
      <w:proofErr w:type="spellEnd"/>
      <w:r w:rsidR="00796A38">
        <w:rPr>
          <w:rFonts w:ascii="Franklin Gothic Book" w:hAnsi="Franklin Gothic Book"/>
          <w:sz w:val="22"/>
          <w:szCs w:val="22"/>
        </w:rPr>
        <w:t xml:space="preserve">) in the studies included in the </w:t>
      </w:r>
      <w:r w:rsidR="00DC68DC">
        <w:rPr>
          <w:rFonts w:ascii="Franklin Gothic Book" w:hAnsi="Franklin Gothic Book"/>
          <w:sz w:val="22"/>
          <w:szCs w:val="22"/>
        </w:rPr>
        <w:t>resubmission</w:t>
      </w:r>
      <w:r w:rsidR="00796A38">
        <w:rPr>
          <w:rFonts w:ascii="Franklin Gothic Book" w:hAnsi="Franklin Gothic Book"/>
          <w:sz w:val="22"/>
          <w:szCs w:val="22"/>
        </w:rPr>
        <w:t>.</w:t>
      </w:r>
    </w:p>
    <w:p w14:paraId="61F7CE85" w14:textId="180C35D8" w:rsidR="00516F87" w:rsidRDefault="00516F87" w:rsidP="001C4372">
      <w:pPr>
        <w:pStyle w:val="NormalBeforeBullet"/>
        <w:spacing w:after="240"/>
        <w:rPr>
          <w:rFonts w:ascii="Franklin Gothic Book" w:hAnsi="Franklin Gothic Book"/>
          <w:sz w:val="22"/>
          <w:szCs w:val="22"/>
        </w:rPr>
      </w:pPr>
      <w:r w:rsidRPr="0088629E">
        <w:rPr>
          <w:rFonts w:ascii="Franklin Gothic Book" w:hAnsi="Franklin Gothic Book"/>
          <w:sz w:val="22"/>
          <w:szCs w:val="22"/>
        </w:rPr>
        <w:t>MSAC noted an implementation issue of equity</w:t>
      </w:r>
      <w:r>
        <w:rPr>
          <w:rFonts w:ascii="Franklin Gothic Book" w:hAnsi="Franklin Gothic Book"/>
          <w:sz w:val="22"/>
          <w:szCs w:val="22"/>
        </w:rPr>
        <w:t xml:space="preserve"> of access</w:t>
      </w:r>
      <w:r w:rsidRPr="0088629E">
        <w:rPr>
          <w:rFonts w:ascii="Franklin Gothic Book" w:hAnsi="Franklin Gothic Book"/>
          <w:sz w:val="22"/>
          <w:szCs w:val="22"/>
        </w:rPr>
        <w:t xml:space="preserve">, as </w:t>
      </w:r>
      <w:proofErr w:type="spellStart"/>
      <w:r w:rsidRPr="0088629E">
        <w:rPr>
          <w:rFonts w:ascii="Franklin Gothic Book" w:hAnsi="Franklin Gothic Book"/>
          <w:sz w:val="22"/>
          <w:szCs w:val="22"/>
        </w:rPr>
        <w:t>MRgFUS</w:t>
      </w:r>
      <w:proofErr w:type="spellEnd"/>
      <w:r w:rsidRPr="0088629E">
        <w:rPr>
          <w:rFonts w:ascii="Franklin Gothic Book" w:hAnsi="Franklin Gothic Book"/>
          <w:sz w:val="22"/>
          <w:szCs w:val="22"/>
        </w:rPr>
        <w:t xml:space="preserve"> is only available in two private hospital</w:t>
      </w:r>
      <w:r>
        <w:rPr>
          <w:rFonts w:ascii="Franklin Gothic Book" w:hAnsi="Franklin Gothic Book"/>
          <w:sz w:val="22"/>
          <w:szCs w:val="22"/>
        </w:rPr>
        <w:t>s</w:t>
      </w:r>
      <w:r w:rsidRPr="0088629E">
        <w:rPr>
          <w:rFonts w:ascii="Franklin Gothic Book" w:hAnsi="Franklin Gothic Book"/>
          <w:sz w:val="22"/>
          <w:szCs w:val="22"/>
        </w:rPr>
        <w:t xml:space="preserve"> in Sydney and Melbourne, requires expensive dedicated equipment and consumables, and requires trained and expert operators.</w:t>
      </w:r>
      <w:r w:rsidR="00FD5241">
        <w:rPr>
          <w:rFonts w:ascii="Franklin Gothic Book" w:hAnsi="Franklin Gothic Book"/>
          <w:sz w:val="22"/>
          <w:szCs w:val="22"/>
        </w:rPr>
        <w:t xml:space="preserve"> MSAC also questioned given the limited number of sites at which </w:t>
      </w:r>
      <w:proofErr w:type="spellStart"/>
      <w:r w:rsidR="00FD5241">
        <w:rPr>
          <w:rFonts w:ascii="Franklin Gothic Book" w:hAnsi="Franklin Gothic Book"/>
          <w:sz w:val="22"/>
          <w:szCs w:val="22"/>
        </w:rPr>
        <w:t>MRgFUS</w:t>
      </w:r>
      <w:proofErr w:type="spellEnd"/>
      <w:r w:rsidR="00FD5241">
        <w:rPr>
          <w:rFonts w:ascii="Franklin Gothic Book" w:hAnsi="Franklin Gothic Book"/>
          <w:sz w:val="22"/>
          <w:szCs w:val="22"/>
        </w:rPr>
        <w:t xml:space="preserve"> is provided whether a </w:t>
      </w:r>
      <w:proofErr w:type="spellStart"/>
      <w:r w:rsidR="00FD5241">
        <w:rPr>
          <w:rFonts w:ascii="Franklin Gothic Book" w:hAnsi="Franklin Gothic Book"/>
          <w:sz w:val="22"/>
          <w:szCs w:val="22"/>
        </w:rPr>
        <w:t>non fee</w:t>
      </w:r>
      <w:proofErr w:type="spellEnd"/>
      <w:r w:rsidR="00FD5241">
        <w:rPr>
          <w:rFonts w:ascii="Franklin Gothic Book" w:hAnsi="Franklin Gothic Book"/>
          <w:sz w:val="22"/>
          <w:szCs w:val="22"/>
        </w:rPr>
        <w:t xml:space="preserve"> for service funding model for the procedure may be more appropriate.</w:t>
      </w:r>
    </w:p>
    <w:p w14:paraId="5874774A" w14:textId="01909930" w:rsidR="00FD5241" w:rsidRDefault="00C01C23" w:rsidP="005F6AB6">
      <w:pPr>
        <w:pStyle w:val="NormalBeforeBullet"/>
        <w:spacing w:after="240"/>
        <w:rPr>
          <w:rFonts w:ascii="Franklin Gothic Book" w:hAnsi="Franklin Gothic Book"/>
          <w:sz w:val="22"/>
          <w:szCs w:val="22"/>
        </w:rPr>
      </w:pPr>
      <w:r>
        <w:rPr>
          <w:rFonts w:ascii="Franklin Gothic Book" w:hAnsi="Franklin Gothic Book"/>
          <w:sz w:val="22"/>
          <w:szCs w:val="22"/>
        </w:rPr>
        <w:t xml:space="preserve">MSAC noted the </w:t>
      </w:r>
      <w:proofErr w:type="spellStart"/>
      <w:r>
        <w:rPr>
          <w:rFonts w:ascii="Franklin Gothic Book" w:hAnsi="Franklin Gothic Book"/>
          <w:sz w:val="22"/>
          <w:szCs w:val="22"/>
        </w:rPr>
        <w:t>MRgFUS</w:t>
      </w:r>
      <w:proofErr w:type="spellEnd"/>
      <w:r>
        <w:rPr>
          <w:rFonts w:ascii="Franklin Gothic Book" w:hAnsi="Franklin Gothic Book"/>
          <w:sz w:val="22"/>
          <w:szCs w:val="22"/>
        </w:rPr>
        <w:t xml:space="preserve"> device uses a </w:t>
      </w:r>
      <w:r w:rsidRPr="00C01C23">
        <w:rPr>
          <w:rFonts w:ascii="Franklin Gothic Book" w:hAnsi="Franklin Gothic Book"/>
          <w:sz w:val="22"/>
          <w:szCs w:val="22"/>
        </w:rPr>
        <w:t xml:space="preserve">disposable single-use patient kit: </w:t>
      </w:r>
      <w:proofErr w:type="spellStart"/>
      <w:r w:rsidRPr="00C01C23">
        <w:rPr>
          <w:rFonts w:ascii="Franklin Gothic Book" w:hAnsi="Franklin Gothic Book"/>
          <w:sz w:val="22"/>
          <w:szCs w:val="22"/>
        </w:rPr>
        <w:t>Exablate</w:t>
      </w:r>
      <w:proofErr w:type="spellEnd"/>
      <w:r w:rsidRPr="00C01C23">
        <w:rPr>
          <w:rFonts w:ascii="Franklin Gothic Book" w:hAnsi="Franklin Gothic Book"/>
          <w:sz w:val="22"/>
          <w:szCs w:val="22"/>
        </w:rPr>
        <w:t xml:space="preserve"> Neuro Patient Accessory Kit (</w:t>
      </w:r>
      <w:proofErr w:type="spellStart"/>
      <w:r w:rsidRPr="00C01C23">
        <w:rPr>
          <w:rFonts w:ascii="Franklin Gothic Book" w:hAnsi="Franklin Gothic Book"/>
          <w:sz w:val="22"/>
          <w:szCs w:val="22"/>
        </w:rPr>
        <w:t>MRgFUS</w:t>
      </w:r>
      <w:proofErr w:type="spellEnd"/>
      <w:r w:rsidRPr="00C01C23">
        <w:rPr>
          <w:rFonts w:ascii="Franklin Gothic Book" w:hAnsi="Franklin Gothic Book"/>
          <w:sz w:val="22"/>
          <w:szCs w:val="22"/>
        </w:rPr>
        <w:t xml:space="preserve"> consumables). </w:t>
      </w:r>
      <w:r w:rsidR="00E837F6" w:rsidRPr="00E837F6">
        <w:rPr>
          <w:rFonts w:ascii="Franklin Gothic Book" w:hAnsi="Franklin Gothic Book"/>
          <w:sz w:val="22"/>
          <w:szCs w:val="22"/>
        </w:rPr>
        <w:t xml:space="preserve">The Kit contains DQA gels, helmet sealant tubes, protective frame pin caps, long stereotactic frame pins and 3.0T silicone membranes or head coils with 1.5T silicone membranes, </w:t>
      </w:r>
      <w:proofErr w:type="gramStart"/>
      <w:r w:rsidR="00E837F6" w:rsidRPr="00E837F6">
        <w:rPr>
          <w:rFonts w:ascii="Franklin Gothic Book" w:hAnsi="Franklin Gothic Book"/>
          <w:sz w:val="22"/>
          <w:szCs w:val="22"/>
        </w:rPr>
        <w:t>i.e.</w:t>
      </w:r>
      <w:proofErr w:type="gramEnd"/>
      <w:r w:rsidR="00E837F6" w:rsidRPr="00E837F6">
        <w:rPr>
          <w:rFonts w:ascii="Franklin Gothic Book" w:hAnsi="Franklin Gothic Book"/>
          <w:sz w:val="22"/>
          <w:szCs w:val="22"/>
        </w:rPr>
        <w:t xml:space="preserve"> the Kit does not contain any invasive or implantable devices.</w:t>
      </w:r>
      <w:r w:rsidR="0088629E" w:rsidRPr="0088629E">
        <w:rPr>
          <w:rFonts w:ascii="Franklin Gothic Book" w:hAnsi="Franklin Gothic Book"/>
          <w:sz w:val="22"/>
          <w:szCs w:val="22"/>
        </w:rPr>
        <w:t xml:space="preserve"> </w:t>
      </w:r>
      <w:r w:rsidR="001B53F8">
        <w:rPr>
          <w:rFonts w:ascii="Franklin Gothic Book" w:hAnsi="Franklin Gothic Book"/>
          <w:sz w:val="22"/>
          <w:szCs w:val="22"/>
        </w:rPr>
        <w:t>T</w:t>
      </w:r>
      <w:r>
        <w:rPr>
          <w:rFonts w:ascii="Franklin Gothic Book" w:hAnsi="Franklin Gothic Book"/>
          <w:sz w:val="22"/>
          <w:szCs w:val="22"/>
        </w:rPr>
        <w:t xml:space="preserve">he </w:t>
      </w:r>
      <w:r w:rsidR="001B53F8">
        <w:rPr>
          <w:rFonts w:ascii="Franklin Gothic Book" w:hAnsi="Franklin Gothic Book"/>
          <w:sz w:val="22"/>
          <w:szCs w:val="22"/>
        </w:rPr>
        <w:t xml:space="preserve">ADAR used the cost of the </w:t>
      </w:r>
      <w:proofErr w:type="spellStart"/>
      <w:r w:rsidR="001B53F8">
        <w:rPr>
          <w:rFonts w:ascii="Franklin Gothic Book" w:hAnsi="Franklin Gothic Book"/>
          <w:sz w:val="22"/>
          <w:szCs w:val="22"/>
        </w:rPr>
        <w:t>MRgFUS</w:t>
      </w:r>
      <w:proofErr w:type="spellEnd"/>
      <w:r w:rsidR="001B53F8">
        <w:rPr>
          <w:rFonts w:ascii="Franklin Gothic Book" w:hAnsi="Franklin Gothic Book"/>
          <w:sz w:val="22"/>
          <w:szCs w:val="22"/>
        </w:rPr>
        <w:t xml:space="preserve"> consumables of</w:t>
      </w:r>
      <w:r w:rsidRPr="00C01C23">
        <w:rPr>
          <w:rFonts w:ascii="Franklin Gothic Book" w:hAnsi="Franklin Gothic Book"/>
          <w:sz w:val="22"/>
          <w:szCs w:val="22"/>
        </w:rPr>
        <w:t xml:space="preserve"> </w:t>
      </w:r>
      <w:r w:rsidRPr="00D960B0">
        <w:rPr>
          <w:rFonts w:ascii="Franklin Gothic Book" w:hAnsi="Franklin Gothic Book"/>
          <w:sz w:val="22"/>
          <w:szCs w:val="22"/>
        </w:rPr>
        <w:t>$</w:t>
      </w:r>
      <w:r w:rsidR="00D960B0" w:rsidRPr="00D960B0">
        <w:rPr>
          <w:rFonts w:ascii="Franklin Gothic Book" w:hAnsi="Franklin Gothic Book"/>
          <w:spacing w:val="15"/>
          <w:w w:val="65"/>
          <w:sz w:val="22"/>
          <w:szCs w:val="22"/>
          <w:shd w:val="solid" w:color="000000" w:fill="000000"/>
          <w:fitText w:val="435" w:id="-1498771200"/>
          <w14:textFill>
            <w14:solidFill>
              <w14:srgbClr w14:val="000000">
                <w14:alpha w14:val="100000"/>
              </w14:srgbClr>
            </w14:solidFill>
          </w14:textFill>
        </w:rPr>
        <w:t>|||||</w:t>
      </w:r>
      <w:r w:rsidR="00D960B0" w:rsidRPr="00D960B0">
        <w:rPr>
          <w:rFonts w:ascii="Franklin Gothic Book" w:hAnsi="Franklin Gothic Book"/>
          <w:w w:val="65"/>
          <w:sz w:val="22"/>
          <w:szCs w:val="22"/>
          <w:shd w:val="solid" w:color="000000" w:fill="000000"/>
          <w:fitText w:val="435" w:id="-1498771200"/>
          <w14:textFill>
            <w14:solidFill>
              <w14:srgbClr w14:val="000000">
                <w14:alpha w14:val="100000"/>
              </w14:srgbClr>
            </w14:solidFill>
          </w14:textFill>
        </w:rPr>
        <w:t>|</w:t>
      </w:r>
      <w:r w:rsidRPr="00C01C23">
        <w:rPr>
          <w:rFonts w:ascii="Franklin Gothic Book" w:hAnsi="Franklin Gothic Book"/>
          <w:sz w:val="22"/>
          <w:szCs w:val="22"/>
        </w:rPr>
        <w:t xml:space="preserve"> per patient, which was the price used in the determination of the cost-effectiveness of </w:t>
      </w:r>
      <w:proofErr w:type="spellStart"/>
      <w:r w:rsidRPr="00C01C23">
        <w:rPr>
          <w:rFonts w:ascii="Franklin Gothic Book" w:hAnsi="Franklin Gothic Book"/>
          <w:sz w:val="22"/>
          <w:szCs w:val="22"/>
        </w:rPr>
        <w:t>MRgFUS</w:t>
      </w:r>
      <w:proofErr w:type="spellEnd"/>
      <w:r w:rsidRPr="00C01C23">
        <w:rPr>
          <w:rFonts w:ascii="Franklin Gothic Book" w:hAnsi="Franklin Gothic Book"/>
          <w:sz w:val="22"/>
          <w:szCs w:val="22"/>
        </w:rPr>
        <w:t xml:space="preserve"> versus </w:t>
      </w:r>
      <w:r>
        <w:rPr>
          <w:rFonts w:ascii="Franklin Gothic Book" w:hAnsi="Franklin Gothic Book"/>
          <w:sz w:val="22"/>
          <w:szCs w:val="22"/>
        </w:rPr>
        <w:t>DBS</w:t>
      </w:r>
      <w:r w:rsidRPr="00C01C23">
        <w:rPr>
          <w:rFonts w:ascii="Franklin Gothic Book" w:hAnsi="Franklin Gothic Book"/>
          <w:sz w:val="22"/>
          <w:szCs w:val="22"/>
        </w:rPr>
        <w:t>.</w:t>
      </w:r>
      <w:r>
        <w:rPr>
          <w:rFonts w:ascii="Franklin Gothic Book" w:hAnsi="Franklin Gothic Book"/>
          <w:sz w:val="22"/>
          <w:szCs w:val="22"/>
        </w:rPr>
        <w:t xml:space="preserve"> </w:t>
      </w:r>
      <w:r w:rsidR="0088629E" w:rsidRPr="0088629E">
        <w:rPr>
          <w:rFonts w:ascii="Franklin Gothic Book" w:hAnsi="Franklin Gothic Book"/>
          <w:sz w:val="22"/>
          <w:szCs w:val="22"/>
        </w:rPr>
        <w:t>MSAC questioned who would pay these costs (private insurers, patients, or absorbed by the healthcare system).</w:t>
      </w:r>
      <w:r w:rsidR="001C4372">
        <w:rPr>
          <w:rFonts w:ascii="Franklin Gothic Book" w:hAnsi="Franklin Gothic Book"/>
          <w:sz w:val="22"/>
          <w:szCs w:val="22"/>
        </w:rPr>
        <w:t xml:space="preserve"> </w:t>
      </w:r>
      <w:r w:rsidR="0088629E" w:rsidRPr="0088629E">
        <w:rPr>
          <w:rFonts w:ascii="Franklin Gothic Book" w:hAnsi="Franklin Gothic Book"/>
          <w:sz w:val="22"/>
          <w:szCs w:val="22"/>
        </w:rPr>
        <w:t>MSAC noted that</w:t>
      </w:r>
      <w:r w:rsidR="001F1C00">
        <w:rPr>
          <w:rFonts w:ascii="Franklin Gothic Book" w:hAnsi="Franklin Gothic Book"/>
          <w:sz w:val="22"/>
          <w:szCs w:val="22"/>
        </w:rPr>
        <w:t xml:space="preserve"> </w:t>
      </w:r>
      <w:r w:rsidR="001F1C00" w:rsidRPr="0088629E">
        <w:rPr>
          <w:rFonts w:ascii="Franklin Gothic Book" w:hAnsi="Franklin Gothic Book"/>
          <w:sz w:val="22"/>
          <w:szCs w:val="22"/>
        </w:rPr>
        <w:t>Protheses List Advisory Committee (PLAC</w:t>
      </w:r>
      <w:r w:rsidR="001F1C00">
        <w:rPr>
          <w:rFonts w:ascii="Franklin Gothic Book" w:hAnsi="Franklin Gothic Book"/>
          <w:sz w:val="22"/>
          <w:szCs w:val="22"/>
        </w:rPr>
        <w:t xml:space="preserve">) </w:t>
      </w:r>
      <w:r w:rsidR="007514B0" w:rsidRPr="007514B0">
        <w:rPr>
          <w:rFonts w:ascii="Franklin Gothic Book" w:hAnsi="Franklin Gothic Book"/>
          <w:sz w:val="22"/>
          <w:szCs w:val="22"/>
        </w:rPr>
        <w:t xml:space="preserve">previously rejected the application (Application N0025) to fund the </w:t>
      </w:r>
      <w:proofErr w:type="spellStart"/>
      <w:r w:rsidR="007514B0" w:rsidRPr="007514B0">
        <w:rPr>
          <w:rFonts w:ascii="Franklin Gothic Book" w:hAnsi="Franklin Gothic Book"/>
          <w:sz w:val="22"/>
          <w:szCs w:val="22"/>
        </w:rPr>
        <w:t>Exablate</w:t>
      </w:r>
      <w:proofErr w:type="spellEnd"/>
      <w:r w:rsidR="007514B0" w:rsidRPr="007514B0">
        <w:rPr>
          <w:rFonts w:ascii="Franklin Gothic Book" w:hAnsi="Franklin Gothic Book"/>
          <w:sz w:val="22"/>
          <w:szCs w:val="22"/>
        </w:rPr>
        <w:t xml:space="preserve"> Neuro Patient Accessory Kit on the PL as it did not meet the existing PL criteria (not implantable, not essential for implantation of or maintaining the prosthesis).</w:t>
      </w:r>
      <w:r w:rsidR="007514B0">
        <w:rPr>
          <w:rFonts w:ascii="Franklin Gothic Book" w:hAnsi="Franklin Gothic Book"/>
          <w:sz w:val="22"/>
          <w:szCs w:val="22"/>
        </w:rPr>
        <w:t xml:space="preserve"> </w:t>
      </w:r>
      <w:r w:rsidR="00FD5241" w:rsidRPr="00FD5241">
        <w:rPr>
          <w:rFonts w:ascii="Franklin Gothic Book" w:hAnsi="Franklin Gothic Book"/>
          <w:sz w:val="22"/>
          <w:szCs w:val="22"/>
        </w:rPr>
        <w:t xml:space="preserve">Given this outcome, MSAC was concerned that there </w:t>
      </w:r>
      <w:r w:rsidR="00097590">
        <w:rPr>
          <w:rFonts w:ascii="Franklin Gothic Book" w:hAnsi="Franklin Gothic Book"/>
          <w:sz w:val="22"/>
          <w:szCs w:val="22"/>
        </w:rPr>
        <w:t>may</w:t>
      </w:r>
      <w:r w:rsidR="00097590" w:rsidRPr="00FD5241">
        <w:rPr>
          <w:rFonts w:ascii="Franklin Gothic Book" w:hAnsi="Franklin Gothic Book"/>
          <w:sz w:val="22"/>
          <w:szCs w:val="22"/>
        </w:rPr>
        <w:t xml:space="preserve"> </w:t>
      </w:r>
      <w:r w:rsidR="00FD5241" w:rsidRPr="00FD5241">
        <w:rPr>
          <w:rFonts w:ascii="Franklin Gothic Book" w:hAnsi="Franklin Gothic Book"/>
          <w:sz w:val="22"/>
          <w:szCs w:val="22"/>
        </w:rPr>
        <w:t xml:space="preserve">be high </w:t>
      </w:r>
      <w:r w:rsidR="00FD5241" w:rsidRPr="00FD5241">
        <w:rPr>
          <w:rFonts w:ascii="Franklin Gothic Book" w:hAnsi="Franklin Gothic Book"/>
          <w:sz w:val="22"/>
          <w:szCs w:val="22"/>
        </w:rPr>
        <w:lastRenderedPageBreak/>
        <w:t>out of pocket costs associated with the service that may or may not be captured through private hospital insurance arrangements</w:t>
      </w:r>
      <w:bookmarkStart w:id="1" w:name="_Hlk101437200"/>
      <w:r w:rsidR="00FD5241">
        <w:rPr>
          <w:rFonts w:ascii="Franklin Gothic Book" w:hAnsi="Franklin Gothic Book"/>
          <w:sz w:val="22"/>
          <w:szCs w:val="22"/>
        </w:rPr>
        <w:t>.</w:t>
      </w:r>
      <w:bookmarkEnd w:id="1"/>
    </w:p>
    <w:p w14:paraId="7E812D65" w14:textId="317D07A5" w:rsidR="00FD5241" w:rsidRDefault="001C4372" w:rsidP="001C4372">
      <w:pPr>
        <w:pStyle w:val="NormalBeforeBullet"/>
        <w:spacing w:after="240"/>
        <w:rPr>
          <w:rFonts w:ascii="Franklin Gothic Book" w:hAnsi="Franklin Gothic Book"/>
          <w:sz w:val="22"/>
          <w:szCs w:val="22"/>
        </w:rPr>
      </w:pPr>
      <w:r>
        <w:rPr>
          <w:rFonts w:ascii="Franklin Gothic Book" w:hAnsi="Franklin Gothic Book"/>
          <w:sz w:val="22"/>
          <w:szCs w:val="22"/>
        </w:rPr>
        <w:t>MSAC noted the pre-MSAC response</w:t>
      </w:r>
      <w:r w:rsidR="00FD5241">
        <w:rPr>
          <w:rFonts w:ascii="Franklin Gothic Book" w:hAnsi="Franklin Gothic Book"/>
          <w:sz w:val="22"/>
          <w:szCs w:val="22"/>
        </w:rPr>
        <w:t>, which the applicant considered</w:t>
      </w:r>
      <w:r>
        <w:rPr>
          <w:rFonts w:ascii="Franklin Gothic Book" w:hAnsi="Franklin Gothic Book"/>
          <w:sz w:val="22"/>
          <w:szCs w:val="22"/>
        </w:rPr>
        <w:t xml:space="preserve"> that if the patient is privately insured then, even if the cost of consumables </w:t>
      </w:r>
      <w:proofErr w:type="gramStart"/>
      <w:r>
        <w:rPr>
          <w:rFonts w:ascii="Franklin Gothic Book" w:hAnsi="Franklin Gothic Book"/>
          <w:sz w:val="22"/>
          <w:szCs w:val="22"/>
        </w:rPr>
        <w:t>are</w:t>
      </w:r>
      <w:proofErr w:type="gramEnd"/>
      <w:r>
        <w:rPr>
          <w:rFonts w:ascii="Franklin Gothic Book" w:hAnsi="Franklin Gothic Book"/>
          <w:sz w:val="22"/>
          <w:szCs w:val="22"/>
        </w:rPr>
        <w:t xml:space="preserve"> not covered by the PL, these costs can be incorporated within the cost of hospitalisation which insurers will have an incentive to fund because </w:t>
      </w:r>
      <w:proofErr w:type="spellStart"/>
      <w:r w:rsidRPr="001C4372">
        <w:rPr>
          <w:rFonts w:ascii="Franklin Gothic Book" w:hAnsi="Franklin Gothic Book"/>
          <w:sz w:val="22"/>
          <w:szCs w:val="22"/>
        </w:rPr>
        <w:t>MRgFUS</w:t>
      </w:r>
      <w:proofErr w:type="spellEnd"/>
      <w:r w:rsidRPr="001C4372">
        <w:rPr>
          <w:rFonts w:ascii="Franklin Gothic Book" w:hAnsi="Franklin Gothic Book"/>
          <w:sz w:val="22"/>
          <w:szCs w:val="22"/>
        </w:rPr>
        <w:t xml:space="preserve"> </w:t>
      </w:r>
      <w:r>
        <w:rPr>
          <w:rFonts w:ascii="Franklin Gothic Book" w:hAnsi="Franklin Gothic Book"/>
          <w:sz w:val="22"/>
          <w:szCs w:val="22"/>
        </w:rPr>
        <w:t xml:space="preserve">is </w:t>
      </w:r>
      <w:r w:rsidRPr="001C4372">
        <w:rPr>
          <w:rFonts w:ascii="Franklin Gothic Book" w:hAnsi="Franklin Gothic Book"/>
          <w:sz w:val="22"/>
          <w:szCs w:val="22"/>
        </w:rPr>
        <w:t xml:space="preserve">substantially less costly </w:t>
      </w:r>
      <w:r>
        <w:rPr>
          <w:rFonts w:ascii="Franklin Gothic Book" w:hAnsi="Franklin Gothic Book"/>
          <w:sz w:val="22"/>
          <w:szCs w:val="22"/>
        </w:rPr>
        <w:t>than DBS.</w:t>
      </w:r>
    </w:p>
    <w:p w14:paraId="097A4308" w14:textId="38A4E336" w:rsidR="0088629E" w:rsidRPr="0088629E" w:rsidRDefault="006F6CCC" w:rsidP="0088629E">
      <w:pPr>
        <w:pStyle w:val="NormalBeforeBullet"/>
        <w:spacing w:after="0"/>
        <w:rPr>
          <w:rFonts w:ascii="Franklin Gothic Book" w:hAnsi="Franklin Gothic Book"/>
          <w:sz w:val="22"/>
          <w:szCs w:val="22"/>
        </w:rPr>
      </w:pPr>
      <w:r>
        <w:rPr>
          <w:rFonts w:ascii="Franklin Gothic Book" w:hAnsi="Franklin Gothic Book"/>
          <w:sz w:val="22"/>
          <w:szCs w:val="22"/>
        </w:rPr>
        <w:t>O</w:t>
      </w:r>
      <w:r w:rsidR="00C8305C">
        <w:rPr>
          <w:rFonts w:ascii="Franklin Gothic Book" w:hAnsi="Franklin Gothic Book"/>
          <w:sz w:val="22"/>
          <w:szCs w:val="22"/>
        </w:rPr>
        <w:t>verall</w:t>
      </w:r>
      <w:r>
        <w:rPr>
          <w:rFonts w:ascii="Franklin Gothic Book" w:hAnsi="Franklin Gothic Book"/>
          <w:sz w:val="22"/>
          <w:szCs w:val="22"/>
        </w:rPr>
        <w:t>,</w:t>
      </w:r>
      <w:r w:rsidR="00C8305C">
        <w:rPr>
          <w:rFonts w:ascii="Franklin Gothic Book" w:hAnsi="Franklin Gothic Book"/>
          <w:sz w:val="22"/>
          <w:szCs w:val="22"/>
        </w:rPr>
        <w:t xml:space="preserve"> </w:t>
      </w:r>
      <w:r w:rsidR="0088629E" w:rsidRPr="0088629E">
        <w:rPr>
          <w:rFonts w:ascii="Franklin Gothic Book" w:hAnsi="Franklin Gothic Book"/>
          <w:sz w:val="22"/>
          <w:szCs w:val="22"/>
        </w:rPr>
        <w:t xml:space="preserve">MSAC supported MBS listing of </w:t>
      </w:r>
      <w:proofErr w:type="spellStart"/>
      <w:r w:rsidR="0088629E" w:rsidRPr="0088629E">
        <w:rPr>
          <w:rFonts w:ascii="Franklin Gothic Book" w:hAnsi="Franklin Gothic Book"/>
          <w:sz w:val="22"/>
          <w:szCs w:val="22"/>
        </w:rPr>
        <w:t>MRgFUS</w:t>
      </w:r>
      <w:proofErr w:type="spellEnd"/>
      <w:r w:rsidR="0088629E" w:rsidRPr="0088629E">
        <w:rPr>
          <w:rFonts w:ascii="Franklin Gothic Book" w:hAnsi="Franklin Gothic Book"/>
          <w:sz w:val="22"/>
          <w:szCs w:val="22"/>
        </w:rPr>
        <w:t xml:space="preserve"> for the treatment of medically refractory ET, provided that a suitable set of item descriptors and fees can be agreed on</w:t>
      </w:r>
      <w:r w:rsidR="00C8305C">
        <w:rPr>
          <w:rFonts w:ascii="Franklin Gothic Book" w:hAnsi="Franklin Gothic Book"/>
          <w:sz w:val="22"/>
          <w:szCs w:val="22"/>
        </w:rPr>
        <w:t xml:space="preserve"> and that attempts were made to address the funding of consumables</w:t>
      </w:r>
      <w:r w:rsidR="0088629E" w:rsidRPr="0088629E">
        <w:rPr>
          <w:rFonts w:ascii="Franklin Gothic Book" w:hAnsi="Franklin Gothic Book"/>
          <w:sz w:val="22"/>
          <w:szCs w:val="22"/>
        </w:rPr>
        <w:t xml:space="preserve">. MSAC acknowledged the limitations in the clinical evidence, but accepted that </w:t>
      </w:r>
      <w:proofErr w:type="spellStart"/>
      <w:r w:rsidR="0088629E" w:rsidRPr="0088629E">
        <w:rPr>
          <w:rFonts w:ascii="Franklin Gothic Book" w:hAnsi="Franklin Gothic Book"/>
          <w:sz w:val="22"/>
          <w:szCs w:val="22"/>
        </w:rPr>
        <w:t>MRgFUS</w:t>
      </w:r>
      <w:proofErr w:type="spellEnd"/>
      <w:r w:rsidR="0088629E" w:rsidRPr="0088629E">
        <w:rPr>
          <w:rFonts w:ascii="Franklin Gothic Book" w:hAnsi="Franklin Gothic Book"/>
          <w:sz w:val="22"/>
          <w:szCs w:val="22"/>
        </w:rPr>
        <w:t xml:space="preserve"> addresses an unmet clinical need, has a different but acceptable safety profile, and has non-inferior effectiveness and acceptable cost-effectiveness compared with DBS.</w:t>
      </w:r>
      <w:r>
        <w:rPr>
          <w:rFonts w:ascii="Franklin Gothic Book" w:hAnsi="Franklin Gothic Book"/>
          <w:sz w:val="22"/>
          <w:szCs w:val="22"/>
        </w:rPr>
        <w:t xml:space="preserve"> </w:t>
      </w:r>
      <w:r w:rsidRPr="0088629E">
        <w:rPr>
          <w:rFonts w:ascii="Franklin Gothic Book" w:hAnsi="Franklin Gothic Book"/>
          <w:sz w:val="22"/>
          <w:szCs w:val="22"/>
        </w:rPr>
        <w:t>MSAC also considered it important that patients had the choice of a less-invasive procedure that had comparable safety and effectiveness to surgery.</w:t>
      </w:r>
      <w:r w:rsidR="0088629E" w:rsidRPr="0088629E">
        <w:rPr>
          <w:rFonts w:ascii="Franklin Gothic Book" w:hAnsi="Franklin Gothic Book"/>
          <w:sz w:val="22"/>
          <w:szCs w:val="22"/>
        </w:rPr>
        <w:t xml:space="preserve"> </w:t>
      </w:r>
      <w:r w:rsidR="00FD5241">
        <w:rPr>
          <w:rFonts w:ascii="Franklin Gothic Book" w:hAnsi="Franklin Gothic Book"/>
          <w:sz w:val="22"/>
          <w:szCs w:val="22"/>
        </w:rPr>
        <w:t xml:space="preserve">In addition, </w:t>
      </w:r>
      <w:r w:rsidR="006D5D55">
        <w:rPr>
          <w:rFonts w:ascii="Franklin Gothic Book" w:hAnsi="Franklin Gothic Book"/>
          <w:sz w:val="22"/>
          <w:szCs w:val="22"/>
        </w:rPr>
        <w:t xml:space="preserve">MSAC noted that </w:t>
      </w:r>
      <w:proofErr w:type="spellStart"/>
      <w:r w:rsidR="006D5D55">
        <w:rPr>
          <w:rFonts w:ascii="Franklin Gothic Book" w:hAnsi="Franklin Gothic Book"/>
          <w:sz w:val="22"/>
          <w:szCs w:val="22"/>
        </w:rPr>
        <w:t>MRgFUS</w:t>
      </w:r>
      <w:proofErr w:type="spellEnd"/>
      <w:r w:rsidR="006D5D55">
        <w:rPr>
          <w:rFonts w:ascii="Franklin Gothic Book" w:hAnsi="Franklin Gothic Book"/>
          <w:sz w:val="22"/>
          <w:szCs w:val="22"/>
        </w:rPr>
        <w:t xml:space="preserve"> was an </w:t>
      </w:r>
      <w:r w:rsidR="006D5D55" w:rsidRPr="006D5D55">
        <w:rPr>
          <w:rFonts w:ascii="Franklin Gothic Book" w:hAnsi="Franklin Gothic Book"/>
          <w:sz w:val="22"/>
          <w:szCs w:val="22"/>
        </w:rPr>
        <w:t xml:space="preserve">accepted treatment alternative for refractory ET in other </w:t>
      </w:r>
      <w:r w:rsidR="00FD5241">
        <w:rPr>
          <w:rFonts w:ascii="Franklin Gothic Book" w:hAnsi="Franklin Gothic Book"/>
          <w:sz w:val="22"/>
          <w:szCs w:val="22"/>
        </w:rPr>
        <w:t>jurisd</w:t>
      </w:r>
      <w:r w:rsidR="00B010C2">
        <w:rPr>
          <w:rFonts w:ascii="Franklin Gothic Book" w:hAnsi="Franklin Gothic Book"/>
          <w:sz w:val="22"/>
          <w:szCs w:val="22"/>
        </w:rPr>
        <w:t>i</w:t>
      </w:r>
      <w:r w:rsidR="00FD5241">
        <w:rPr>
          <w:rFonts w:ascii="Franklin Gothic Book" w:hAnsi="Franklin Gothic Book"/>
          <w:sz w:val="22"/>
          <w:szCs w:val="22"/>
        </w:rPr>
        <w:t>ctions</w:t>
      </w:r>
      <w:r w:rsidR="006D5D55" w:rsidRPr="006D5D55">
        <w:rPr>
          <w:rFonts w:ascii="Franklin Gothic Book" w:hAnsi="Franklin Gothic Book"/>
          <w:sz w:val="22"/>
          <w:szCs w:val="22"/>
        </w:rPr>
        <w:t xml:space="preserve"> </w:t>
      </w:r>
      <w:r w:rsidR="006D5D55">
        <w:rPr>
          <w:rFonts w:ascii="Franklin Gothic Book" w:hAnsi="Franklin Gothic Book"/>
          <w:sz w:val="22"/>
          <w:szCs w:val="22"/>
        </w:rPr>
        <w:t>and had recently been accepted by the NHS in England</w:t>
      </w:r>
      <w:r w:rsidR="00196352">
        <w:rPr>
          <w:rStyle w:val="FootnoteReference"/>
          <w:rFonts w:ascii="Franklin Gothic Book" w:hAnsi="Franklin Gothic Book"/>
          <w:sz w:val="22"/>
          <w:szCs w:val="22"/>
        </w:rPr>
        <w:footnoteReference w:id="6"/>
      </w:r>
      <w:r w:rsidR="006D5D55">
        <w:rPr>
          <w:rFonts w:ascii="Franklin Gothic Book" w:hAnsi="Franklin Gothic Book"/>
          <w:sz w:val="22"/>
          <w:szCs w:val="22"/>
        </w:rPr>
        <w:t>.</w:t>
      </w:r>
    </w:p>
    <w:p w14:paraId="53FA4BDF" w14:textId="43ECDD03" w:rsidR="00B52FCF" w:rsidRPr="00EA5B5B" w:rsidRDefault="00065623" w:rsidP="00EA5B5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EA5B5B">
        <w:rPr>
          <w:rFonts w:ascii="Franklin Gothic Medium" w:eastAsia="SimSun" w:hAnsi="Franklin Gothic Medium" w:cs="Times New Roman"/>
          <w:b w:val="0"/>
          <w:bCs w:val="0"/>
          <w:color w:val="000000"/>
          <w:sz w:val="32"/>
          <w:szCs w:val="26"/>
          <w:lang w:eastAsia="en-US"/>
        </w:rPr>
        <w:t>Background</w:t>
      </w:r>
    </w:p>
    <w:p w14:paraId="645A6941" w14:textId="6A00DB60" w:rsidR="005552CD" w:rsidRPr="00957845" w:rsidRDefault="005552CD" w:rsidP="005552CD">
      <w:pPr>
        <w:pStyle w:val="NormalBeforeBullet"/>
        <w:spacing w:after="240"/>
        <w:rPr>
          <w:rFonts w:ascii="Franklin Gothic Book" w:hAnsi="Franklin Gothic Book"/>
          <w:sz w:val="22"/>
          <w:szCs w:val="22"/>
        </w:rPr>
      </w:pPr>
      <w:r w:rsidRPr="00957845">
        <w:rPr>
          <w:rFonts w:ascii="Franklin Gothic Book" w:hAnsi="Franklin Gothic Book"/>
          <w:sz w:val="22"/>
          <w:szCs w:val="22"/>
        </w:rPr>
        <w:t xml:space="preserve">This applicant developed assessment report (ADAR) is the first resubmission of </w:t>
      </w:r>
      <w:hyperlink r:id="rId9" w:tooltip="Link to application 1614 on MSAC website" w:history="1">
        <w:r w:rsidRPr="00957845">
          <w:rPr>
            <w:rStyle w:val="Hyperlink"/>
            <w:rFonts w:ascii="Franklin Gothic Book" w:hAnsi="Franklin Gothic Book"/>
            <w:sz w:val="22"/>
            <w:szCs w:val="22"/>
          </w:rPr>
          <w:t>Application 1614</w:t>
        </w:r>
      </w:hyperlink>
      <w:r w:rsidRPr="00957845">
        <w:rPr>
          <w:rFonts w:ascii="Franklin Gothic Book" w:hAnsi="Franklin Gothic Book"/>
          <w:sz w:val="22"/>
          <w:szCs w:val="22"/>
        </w:rPr>
        <w:t xml:space="preserve">. </w:t>
      </w:r>
    </w:p>
    <w:p w14:paraId="12D38960" w14:textId="0014259F" w:rsidR="004C392A" w:rsidRPr="00957845" w:rsidRDefault="005552CD" w:rsidP="00F64363">
      <w:pPr>
        <w:pStyle w:val="NormalBeforeBullet"/>
        <w:spacing w:after="240"/>
        <w:rPr>
          <w:rFonts w:ascii="Franklin Gothic Book" w:hAnsi="Franklin Gothic Book"/>
          <w:sz w:val="22"/>
          <w:szCs w:val="22"/>
        </w:rPr>
      </w:pPr>
      <w:r w:rsidRPr="00957845">
        <w:rPr>
          <w:rFonts w:ascii="Franklin Gothic Book" w:hAnsi="Franklin Gothic Book"/>
          <w:sz w:val="22"/>
          <w:szCs w:val="22"/>
        </w:rPr>
        <w:t xml:space="preserve">At the </w:t>
      </w:r>
      <w:r w:rsidR="004C392A" w:rsidRPr="00957845">
        <w:rPr>
          <w:rFonts w:ascii="Franklin Gothic Book" w:hAnsi="Franklin Gothic Book"/>
          <w:sz w:val="22"/>
          <w:szCs w:val="22"/>
        </w:rPr>
        <w:t>March/April 2021</w:t>
      </w:r>
      <w:r w:rsidRPr="00957845">
        <w:rPr>
          <w:rFonts w:ascii="Franklin Gothic Book" w:hAnsi="Franklin Gothic Book"/>
          <w:sz w:val="22"/>
          <w:szCs w:val="22"/>
        </w:rPr>
        <w:t xml:space="preserve"> meeting</w:t>
      </w:r>
      <w:r w:rsidR="004C392A" w:rsidRPr="00957845">
        <w:rPr>
          <w:rFonts w:ascii="Franklin Gothic Book" w:hAnsi="Franklin Gothic Book"/>
          <w:sz w:val="22"/>
          <w:szCs w:val="22"/>
        </w:rPr>
        <w:t xml:space="preserve">, the Medical Services Advisory Committee (MSAC) </w:t>
      </w:r>
      <w:r w:rsidRPr="00957845">
        <w:rPr>
          <w:rFonts w:ascii="Franklin Gothic Book" w:hAnsi="Franklin Gothic Book"/>
          <w:sz w:val="22"/>
          <w:szCs w:val="22"/>
        </w:rPr>
        <w:t>did not support</w:t>
      </w:r>
      <w:r w:rsidR="004C392A" w:rsidRPr="00957845">
        <w:rPr>
          <w:rFonts w:ascii="Franklin Gothic Book" w:hAnsi="Franklin Gothic Book"/>
          <w:sz w:val="22"/>
          <w:szCs w:val="22"/>
        </w:rPr>
        <w:t xml:space="preserve"> </w:t>
      </w:r>
      <w:r w:rsidRPr="00957845">
        <w:rPr>
          <w:rFonts w:ascii="Franklin Gothic Book" w:hAnsi="Franklin Gothic Book"/>
          <w:sz w:val="22"/>
          <w:szCs w:val="22"/>
        </w:rPr>
        <w:t xml:space="preserve">MBS listing </w:t>
      </w:r>
      <w:r w:rsidR="004C392A" w:rsidRPr="00957845">
        <w:rPr>
          <w:rFonts w:ascii="Franklin Gothic Book" w:hAnsi="Franklin Gothic Book"/>
          <w:sz w:val="22"/>
          <w:szCs w:val="22"/>
        </w:rPr>
        <w:t xml:space="preserve">of </w:t>
      </w:r>
      <w:proofErr w:type="spellStart"/>
      <w:r w:rsidR="004C392A" w:rsidRPr="00957845">
        <w:rPr>
          <w:rFonts w:ascii="Franklin Gothic Book" w:hAnsi="Franklin Gothic Book"/>
          <w:sz w:val="22"/>
          <w:szCs w:val="22"/>
        </w:rPr>
        <w:t>MRgFUS</w:t>
      </w:r>
      <w:proofErr w:type="spellEnd"/>
      <w:r w:rsidR="004C392A" w:rsidRPr="00957845">
        <w:rPr>
          <w:rFonts w:ascii="Franklin Gothic Book" w:hAnsi="Franklin Gothic Book"/>
          <w:sz w:val="22"/>
          <w:szCs w:val="22"/>
        </w:rPr>
        <w:t xml:space="preserve"> for the treatment of medically refractory ET</w:t>
      </w:r>
      <w:r w:rsidRPr="00957845">
        <w:rPr>
          <w:rFonts w:ascii="Franklin Gothic Book" w:hAnsi="Franklin Gothic Book"/>
          <w:sz w:val="22"/>
          <w:szCs w:val="22"/>
        </w:rPr>
        <w:t xml:space="preserve">. MSAC accepted that there was an unmet clinical need for a non-invasive intervention compared with MBS-funded deep brain </w:t>
      </w:r>
      <w:proofErr w:type="gramStart"/>
      <w:r w:rsidRPr="00957845">
        <w:rPr>
          <w:rFonts w:ascii="Franklin Gothic Book" w:hAnsi="Franklin Gothic Book"/>
          <w:sz w:val="22"/>
          <w:szCs w:val="22"/>
        </w:rPr>
        <w:t>stimulation, but</w:t>
      </w:r>
      <w:proofErr w:type="gramEnd"/>
      <w:r w:rsidRPr="00957845">
        <w:rPr>
          <w:rFonts w:ascii="Franklin Gothic Book" w:hAnsi="Franklin Gothic Book"/>
          <w:sz w:val="22"/>
          <w:szCs w:val="22"/>
        </w:rPr>
        <w:t xml:space="preserve"> considered that the comparative safety was too uncertain and – as a consequence – the economic evaluation was inappropriate. MSAC also noted issues with the procedural requirements, fee structure and frequency of imaging, and that the role of ipsilateral retreatment and contralateral (non-dominant) treatment was not supported by the current evidence base.</w:t>
      </w:r>
    </w:p>
    <w:p w14:paraId="25D4F244" w14:textId="6C69B962" w:rsidR="004C392A" w:rsidRPr="00957845" w:rsidRDefault="004C392A" w:rsidP="004C392A">
      <w:pPr>
        <w:pStyle w:val="5Bodytext"/>
        <w:rPr>
          <w:rFonts w:ascii="Franklin Gothic Book" w:hAnsi="Franklin Gothic Book"/>
          <w:sz w:val="22"/>
          <w:szCs w:val="22"/>
        </w:rPr>
      </w:pPr>
      <w:r w:rsidRPr="00957845">
        <w:rPr>
          <w:rFonts w:ascii="Franklin Gothic Book" w:hAnsi="Franklin Gothic Book"/>
          <w:sz w:val="22"/>
          <w:szCs w:val="22"/>
        </w:rPr>
        <w:t xml:space="preserve">The </w:t>
      </w:r>
      <w:r w:rsidR="005552CD" w:rsidRPr="00957845">
        <w:rPr>
          <w:rFonts w:ascii="Franklin Gothic Book" w:hAnsi="Franklin Gothic Book"/>
          <w:sz w:val="22"/>
          <w:szCs w:val="22"/>
        </w:rPr>
        <w:t>r</w:t>
      </w:r>
      <w:r w:rsidRPr="00957845">
        <w:rPr>
          <w:rFonts w:ascii="Franklin Gothic Book" w:hAnsi="Franklin Gothic Book"/>
          <w:sz w:val="22"/>
          <w:szCs w:val="22"/>
        </w:rPr>
        <w:t xml:space="preserve">esubmission provided a detailed summary of the MSAC concerns for the previous submission and how they have been addressed in the resubmission. This was summarised by the </w:t>
      </w:r>
      <w:r w:rsidR="001F4D4E" w:rsidRPr="00957845">
        <w:rPr>
          <w:rFonts w:ascii="Franklin Gothic Book" w:hAnsi="Franklin Gothic Book"/>
          <w:sz w:val="22"/>
          <w:szCs w:val="22"/>
        </w:rPr>
        <w:t>c</w:t>
      </w:r>
      <w:r w:rsidRPr="00957845">
        <w:rPr>
          <w:rFonts w:ascii="Franklin Gothic Book" w:hAnsi="Franklin Gothic Book"/>
          <w:sz w:val="22"/>
          <w:szCs w:val="22"/>
        </w:rPr>
        <w:t>ommentary in Table 1.</w:t>
      </w:r>
    </w:p>
    <w:p w14:paraId="24D2D2C8" w14:textId="77777777" w:rsidR="004C392A" w:rsidRPr="00EA5B5B" w:rsidRDefault="004C392A" w:rsidP="004C392A">
      <w:pPr>
        <w:pStyle w:val="Caption"/>
      </w:pPr>
      <w:bookmarkStart w:id="2" w:name="_Ref90904739"/>
      <w:bookmarkStart w:id="3" w:name="_Toc92902631"/>
      <w:r w:rsidRPr="00EA5B5B">
        <w:t xml:space="preserve">Table </w:t>
      </w:r>
      <w:fldSimple w:instr=" SEQ Table \* ARABIC ">
        <w:r w:rsidRPr="00EA5B5B">
          <w:rPr>
            <w:noProof/>
          </w:rPr>
          <w:t>1</w:t>
        </w:r>
      </w:fldSimple>
      <w:bookmarkEnd w:id="2"/>
      <w:r w:rsidRPr="00EA5B5B">
        <w:t xml:space="preserve"> </w:t>
      </w:r>
      <w:r w:rsidRPr="00EA5B5B">
        <w:tab/>
        <w:t>Summary of key matters of concern</w:t>
      </w:r>
      <w:bookmarkEnd w:id="3"/>
    </w:p>
    <w:tbl>
      <w:tblPr>
        <w:tblStyle w:val="TableGrid2"/>
        <w:tblW w:w="5000" w:type="pct"/>
        <w:tblLook w:val="04A0" w:firstRow="1" w:lastRow="0" w:firstColumn="1" w:lastColumn="0" w:noHBand="0" w:noVBand="1"/>
        <w:tblDescription w:val="Summary of key matters of concern"/>
      </w:tblPr>
      <w:tblGrid>
        <w:gridCol w:w="2266"/>
        <w:gridCol w:w="3118"/>
        <w:gridCol w:w="3632"/>
      </w:tblGrid>
      <w:tr w:rsidR="004C392A" w:rsidRPr="00EA5B5B" w14:paraId="373CF846" w14:textId="77777777" w:rsidTr="00F64363">
        <w:trPr>
          <w:cnfStyle w:val="100000000000" w:firstRow="1" w:lastRow="0" w:firstColumn="0" w:lastColumn="0" w:oddVBand="0" w:evenVBand="0" w:oddHBand="0" w:evenHBand="0" w:firstRowFirstColumn="0" w:firstRowLastColumn="0" w:lastRowFirstColumn="0" w:lastRowLastColumn="0"/>
          <w:tblHeader/>
        </w:trPr>
        <w:tc>
          <w:tcPr>
            <w:tcW w:w="1257" w:type="pct"/>
            <w:shd w:val="clear" w:color="auto" w:fill="auto"/>
          </w:tcPr>
          <w:p w14:paraId="46ED0139" w14:textId="77777777" w:rsidR="004C392A" w:rsidRPr="00EA5B5B" w:rsidRDefault="004C392A" w:rsidP="00EA5B5B">
            <w:pPr>
              <w:pStyle w:val="TableHeading"/>
              <w:keepNext w:val="0"/>
              <w:jc w:val="left"/>
            </w:pPr>
            <w:r w:rsidRPr="00EA5B5B">
              <w:t>Component</w:t>
            </w:r>
          </w:p>
        </w:tc>
        <w:tc>
          <w:tcPr>
            <w:tcW w:w="1729" w:type="pct"/>
            <w:shd w:val="clear" w:color="auto" w:fill="auto"/>
          </w:tcPr>
          <w:p w14:paraId="0D54B4E3" w14:textId="77777777" w:rsidR="004C392A" w:rsidRPr="00EA5B5B" w:rsidRDefault="004C392A" w:rsidP="00EA5B5B">
            <w:pPr>
              <w:pStyle w:val="TableHeading"/>
              <w:keepNext w:val="0"/>
              <w:jc w:val="left"/>
            </w:pPr>
            <w:r w:rsidRPr="00EA5B5B">
              <w:t>Matter of concern</w:t>
            </w:r>
          </w:p>
        </w:tc>
        <w:tc>
          <w:tcPr>
            <w:tcW w:w="2014" w:type="pct"/>
            <w:shd w:val="clear" w:color="auto" w:fill="auto"/>
          </w:tcPr>
          <w:p w14:paraId="05AC1F64" w14:textId="7BF057D1" w:rsidR="004C392A" w:rsidRPr="00EA5B5B" w:rsidRDefault="004C392A" w:rsidP="00EA5B5B">
            <w:pPr>
              <w:pStyle w:val="TableHeading"/>
              <w:keepNext w:val="0"/>
              <w:ind w:left="0" w:firstLine="0"/>
              <w:jc w:val="left"/>
            </w:pPr>
            <w:r w:rsidRPr="00EA5B5B">
              <w:t>How the current assessment report addresses it (Assessment Group</w:t>
            </w:r>
            <w:r w:rsidR="007D10A5" w:rsidRPr="00EA5B5B">
              <w:t xml:space="preserve">, i.e. commentary </w:t>
            </w:r>
            <w:r w:rsidRPr="00EA5B5B">
              <w:t>comments)</w:t>
            </w:r>
          </w:p>
        </w:tc>
      </w:tr>
      <w:tr w:rsidR="004C392A" w:rsidRPr="00EA5B5B" w14:paraId="7BFEE9A3" w14:textId="77777777" w:rsidTr="00A313B1">
        <w:trPr>
          <w:cantSplit/>
        </w:trPr>
        <w:tc>
          <w:tcPr>
            <w:tcW w:w="1257" w:type="pct"/>
          </w:tcPr>
          <w:p w14:paraId="390D7111" w14:textId="77777777" w:rsidR="004C392A" w:rsidRPr="00EA5B5B" w:rsidRDefault="004C392A" w:rsidP="00EA5B5B">
            <w:pPr>
              <w:pStyle w:val="TableText0"/>
              <w:keepNext w:val="0"/>
              <w:spacing w:line="240" w:lineRule="auto"/>
              <w:rPr>
                <w:sz w:val="20"/>
                <w:szCs w:val="20"/>
              </w:rPr>
            </w:pPr>
            <w:r w:rsidRPr="00EA5B5B">
              <w:rPr>
                <w:sz w:val="20"/>
                <w:szCs w:val="20"/>
              </w:rPr>
              <w:t>Population</w:t>
            </w:r>
          </w:p>
        </w:tc>
        <w:tc>
          <w:tcPr>
            <w:tcW w:w="1729" w:type="pct"/>
          </w:tcPr>
          <w:p w14:paraId="53B778A2" w14:textId="77777777" w:rsidR="004C392A" w:rsidRPr="00EA5B5B" w:rsidRDefault="004C392A" w:rsidP="00EA5B5B">
            <w:pPr>
              <w:pStyle w:val="TableText0"/>
              <w:keepNext w:val="0"/>
              <w:spacing w:line="240" w:lineRule="auto"/>
              <w:rPr>
                <w:rFonts w:cs="Wingdings 2"/>
                <w:snapToGrid w:val="0"/>
                <w:sz w:val="20"/>
                <w:szCs w:val="20"/>
              </w:rPr>
            </w:pPr>
            <w:r w:rsidRPr="00EA5B5B">
              <w:rPr>
                <w:rFonts w:cs="Wingdings 2"/>
                <w:snapToGrid w:val="0"/>
                <w:sz w:val="20"/>
                <w:szCs w:val="20"/>
              </w:rPr>
              <w:t xml:space="preserve">MSAC considered whether the population could be limited to those who are considering using </w:t>
            </w:r>
            <w:proofErr w:type="spellStart"/>
            <w:r w:rsidRPr="00EA5B5B">
              <w:rPr>
                <w:rFonts w:cs="Wingdings 2"/>
                <w:snapToGrid w:val="0"/>
                <w:sz w:val="20"/>
                <w:szCs w:val="20"/>
              </w:rPr>
              <w:t>MRgFUS</w:t>
            </w:r>
            <w:proofErr w:type="spellEnd"/>
            <w:r w:rsidRPr="00EA5B5B">
              <w:rPr>
                <w:rFonts w:cs="Wingdings 2"/>
                <w:snapToGrid w:val="0"/>
                <w:sz w:val="20"/>
                <w:szCs w:val="20"/>
              </w:rPr>
              <w:t xml:space="preserve"> as an alternative to DBS. </w:t>
            </w:r>
          </w:p>
        </w:tc>
        <w:tc>
          <w:tcPr>
            <w:tcW w:w="2014" w:type="pct"/>
          </w:tcPr>
          <w:p w14:paraId="409BC86D" w14:textId="77777777" w:rsidR="004C392A" w:rsidRPr="00EA5B5B" w:rsidRDefault="004C392A" w:rsidP="00EA5B5B">
            <w:pPr>
              <w:pStyle w:val="TableText0"/>
              <w:keepNext w:val="0"/>
              <w:spacing w:line="240" w:lineRule="auto"/>
              <w:rPr>
                <w:sz w:val="20"/>
                <w:szCs w:val="20"/>
              </w:rPr>
            </w:pPr>
            <w:r w:rsidRPr="00EA5B5B">
              <w:rPr>
                <w:sz w:val="20"/>
                <w:szCs w:val="20"/>
              </w:rPr>
              <w:t>Addressed.</w:t>
            </w:r>
          </w:p>
          <w:p w14:paraId="3364D4D1" w14:textId="77777777" w:rsidR="004C392A" w:rsidRPr="00EA5B5B" w:rsidRDefault="004C392A" w:rsidP="00EA5B5B">
            <w:pPr>
              <w:pStyle w:val="TableText0"/>
              <w:keepNext w:val="0"/>
              <w:spacing w:line="240" w:lineRule="auto"/>
              <w:rPr>
                <w:sz w:val="20"/>
                <w:szCs w:val="20"/>
              </w:rPr>
            </w:pPr>
            <w:r w:rsidRPr="00EA5B5B">
              <w:rPr>
                <w:rFonts w:cs="Wingdings 2"/>
                <w:snapToGrid w:val="0"/>
                <w:sz w:val="20"/>
                <w:szCs w:val="20"/>
              </w:rPr>
              <w:t xml:space="preserve">As noted in the PSD (p.4), this would be a difficult population to adequately define. The applicant </w:t>
            </w:r>
            <w:r w:rsidRPr="00EA5B5B">
              <w:rPr>
                <w:sz w:val="20"/>
                <w:szCs w:val="20"/>
              </w:rPr>
              <w:t xml:space="preserve">agrees with MSAC and considers that restricting the proposed population to a group in which DBS is the alternative therapy is impractical, clinically </w:t>
            </w:r>
            <w:proofErr w:type="gramStart"/>
            <w:r w:rsidRPr="00EA5B5B">
              <w:rPr>
                <w:sz w:val="20"/>
                <w:szCs w:val="20"/>
              </w:rPr>
              <w:t>inappropriate</w:t>
            </w:r>
            <w:proofErr w:type="gramEnd"/>
            <w:r w:rsidRPr="00EA5B5B">
              <w:rPr>
                <w:sz w:val="20"/>
                <w:szCs w:val="20"/>
              </w:rPr>
              <w:t xml:space="preserve"> and likely to be unnecessary.</w:t>
            </w:r>
          </w:p>
          <w:p w14:paraId="3E4519E3" w14:textId="77777777" w:rsidR="004C392A" w:rsidRPr="00EA5B5B" w:rsidRDefault="004C392A" w:rsidP="00EA5B5B">
            <w:pPr>
              <w:pStyle w:val="TableText0"/>
              <w:keepNext w:val="0"/>
              <w:spacing w:line="240" w:lineRule="auto"/>
              <w:rPr>
                <w:sz w:val="20"/>
                <w:szCs w:val="20"/>
              </w:rPr>
            </w:pPr>
            <w:r w:rsidRPr="00EA5B5B">
              <w:rPr>
                <w:sz w:val="20"/>
                <w:szCs w:val="20"/>
              </w:rPr>
              <w:t>No changes to the eligible population have been proposed in the resubmission.</w:t>
            </w:r>
          </w:p>
        </w:tc>
      </w:tr>
      <w:tr w:rsidR="004C392A" w:rsidRPr="00EA5B5B" w14:paraId="061F7F62" w14:textId="77777777" w:rsidTr="00A313B1">
        <w:trPr>
          <w:cantSplit/>
        </w:trPr>
        <w:tc>
          <w:tcPr>
            <w:tcW w:w="1257" w:type="pct"/>
          </w:tcPr>
          <w:p w14:paraId="7D55F9B0" w14:textId="77777777" w:rsidR="004C392A" w:rsidRPr="00EA5B5B" w:rsidRDefault="004C392A" w:rsidP="00EA5B5B">
            <w:pPr>
              <w:pStyle w:val="TableText0"/>
              <w:keepNext w:val="0"/>
              <w:spacing w:line="240" w:lineRule="auto"/>
              <w:rPr>
                <w:sz w:val="20"/>
                <w:szCs w:val="20"/>
              </w:rPr>
            </w:pPr>
            <w:r w:rsidRPr="00EA5B5B">
              <w:rPr>
                <w:sz w:val="20"/>
                <w:szCs w:val="20"/>
              </w:rPr>
              <w:lastRenderedPageBreak/>
              <w:t>Clinical management algorithm</w:t>
            </w:r>
          </w:p>
        </w:tc>
        <w:tc>
          <w:tcPr>
            <w:tcW w:w="1729" w:type="pct"/>
          </w:tcPr>
          <w:p w14:paraId="6658CF4B" w14:textId="77777777" w:rsidR="004C392A" w:rsidRPr="00EA5B5B" w:rsidRDefault="004C392A" w:rsidP="00EA5B5B">
            <w:pPr>
              <w:pStyle w:val="TableText0"/>
              <w:keepNext w:val="0"/>
              <w:spacing w:line="240" w:lineRule="auto"/>
              <w:rPr>
                <w:rFonts w:cs="Wingdings 2"/>
                <w:snapToGrid w:val="0"/>
                <w:sz w:val="20"/>
                <w:szCs w:val="20"/>
              </w:rPr>
            </w:pPr>
            <w:r w:rsidRPr="00EA5B5B">
              <w:rPr>
                <w:rFonts w:cs="Wingdings 2"/>
                <w:snapToGrid w:val="0"/>
                <w:sz w:val="20"/>
                <w:szCs w:val="20"/>
              </w:rPr>
              <w:t>MSAC noted that the role of ipsilateral retreatment and contralateral (non-dominant) treatment was not supported by the current evidence base (PSD, p.1).</w:t>
            </w:r>
          </w:p>
        </w:tc>
        <w:tc>
          <w:tcPr>
            <w:tcW w:w="2014" w:type="pct"/>
          </w:tcPr>
          <w:p w14:paraId="781561E9" w14:textId="77777777" w:rsidR="004C392A" w:rsidRPr="00EA5B5B" w:rsidRDefault="004C392A" w:rsidP="00EA5B5B">
            <w:pPr>
              <w:pStyle w:val="TableText0"/>
              <w:keepNext w:val="0"/>
              <w:spacing w:line="240" w:lineRule="auto"/>
              <w:rPr>
                <w:sz w:val="20"/>
                <w:szCs w:val="20"/>
              </w:rPr>
            </w:pPr>
            <w:r w:rsidRPr="00EA5B5B">
              <w:rPr>
                <w:sz w:val="20"/>
                <w:szCs w:val="20"/>
              </w:rPr>
              <w:t>Addressed.</w:t>
            </w:r>
          </w:p>
          <w:p w14:paraId="675A1689" w14:textId="77777777" w:rsidR="004C392A" w:rsidRPr="00EA5B5B" w:rsidRDefault="004C392A" w:rsidP="00EA5B5B">
            <w:pPr>
              <w:pStyle w:val="TableText0"/>
              <w:keepNext w:val="0"/>
              <w:spacing w:line="240" w:lineRule="auto"/>
              <w:rPr>
                <w:sz w:val="20"/>
                <w:szCs w:val="20"/>
              </w:rPr>
            </w:pPr>
            <w:r w:rsidRPr="00EA5B5B">
              <w:rPr>
                <w:sz w:val="20"/>
                <w:szCs w:val="20"/>
              </w:rPr>
              <w:t>Ipsilateral retreatment and contralateral treatment are excluded through the inclusion of a once per lifetime limit on the number of treatments per patient, as specified in the PICO Confirmation (Section A.2 and Section A.3).</w:t>
            </w:r>
          </w:p>
        </w:tc>
      </w:tr>
      <w:tr w:rsidR="004C392A" w:rsidRPr="00EA5B5B" w14:paraId="15BCA4F9" w14:textId="77777777" w:rsidTr="00A313B1">
        <w:trPr>
          <w:cantSplit/>
        </w:trPr>
        <w:tc>
          <w:tcPr>
            <w:tcW w:w="1257" w:type="pct"/>
          </w:tcPr>
          <w:p w14:paraId="01667E84" w14:textId="77777777" w:rsidR="004C392A" w:rsidRPr="00EA5B5B" w:rsidRDefault="004C392A" w:rsidP="00EA5B5B">
            <w:pPr>
              <w:pStyle w:val="TableText0"/>
              <w:keepNext w:val="0"/>
              <w:spacing w:line="240" w:lineRule="auto"/>
              <w:rPr>
                <w:sz w:val="20"/>
                <w:szCs w:val="20"/>
              </w:rPr>
            </w:pPr>
            <w:r w:rsidRPr="00EA5B5B">
              <w:rPr>
                <w:sz w:val="20"/>
                <w:szCs w:val="20"/>
              </w:rPr>
              <w:t>Intervention</w:t>
            </w:r>
          </w:p>
        </w:tc>
        <w:tc>
          <w:tcPr>
            <w:tcW w:w="1729" w:type="pct"/>
          </w:tcPr>
          <w:p w14:paraId="54102C00" w14:textId="77777777" w:rsidR="004C392A" w:rsidRPr="00EA5B5B" w:rsidRDefault="004C392A" w:rsidP="00EA5B5B">
            <w:pPr>
              <w:pStyle w:val="TableText0"/>
              <w:keepNext w:val="0"/>
              <w:spacing w:line="240" w:lineRule="auto"/>
              <w:rPr>
                <w:rFonts w:cs="Wingdings 2"/>
                <w:snapToGrid w:val="0"/>
                <w:sz w:val="20"/>
                <w:szCs w:val="20"/>
              </w:rPr>
            </w:pPr>
            <w:r w:rsidRPr="00EA5B5B">
              <w:rPr>
                <w:rFonts w:cs="Wingdings 2"/>
                <w:snapToGrid w:val="0"/>
                <w:sz w:val="20"/>
                <w:szCs w:val="20"/>
              </w:rPr>
              <w:t>MSAC noted issues with the procedural requirements, fee structure and frequency of imaging (PSD, p.1) and suggested that a resubmission should have a packaged item rather than the six separate items within one application (PSD p.4).</w:t>
            </w:r>
          </w:p>
        </w:tc>
        <w:tc>
          <w:tcPr>
            <w:tcW w:w="2014" w:type="pct"/>
          </w:tcPr>
          <w:p w14:paraId="0B74CFA0" w14:textId="77777777" w:rsidR="004C392A" w:rsidRPr="00EA5B5B" w:rsidRDefault="004C392A" w:rsidP="00EA5B5B">
            <w:pPr>
              <w:pStyle w:val="TableText0"/>
              <w:keepNext w:val="0"/>
              <w:spacing w:line="240" w:lineRule="auto"/>
              <w:rPr>
                <w:b/>
                <w:bCs/>
                <w:sz w:val="20"/>
                <w:szCs w:val="20"/>
              </w:rPr>
            </w:pPr>
            <w:r w:rsidRPr="00EA5B5B">
              <w:rPr>
                <w:b/>
                <w:bCs/>
                <w:sz w:val="20"/>
                <w:szCs w:val="20"/>
              </w:rPr>
              <w:t>Not adequately addressed.</w:t>
            </w:r>
          </w:p>
          <w:p w14:paraId="1B4DE0FA" w14:textId="29548C47" w:rsidR="00CD1C48" w:rsidRPr="00EA5B5B" w:rsidRDefault="004C392A" w:rsidP="00EA5B5B">
            <w:pPr>
              <w:pStyle w:val="TableText0"/>
              <w:keepNext w:val="0"/>
              <w:spacing w:line="240" w:lineRule="auto"/>
              <w:rPr>
                <w:sz w:val="20"/>
                <w:szCs w:val="20"/>
              </w:rPr>
            </w:pPr>
            <w:r w:rsidRPr="00EA5B5B">
              <w:rPr>
                <w:sz w:val="20"/>
                <w:szCs w:val="20"/>
              </w:rPr>
              <w:t xml:space="preserve">The applicant has attempted to simplify the fee structure by removing the item number and fee for the radiology component of the overall procedure, reducing the total number of proposed MBS items from 6 to 5. Further consideration may need to be given to the potential for the </w:t>
            </w:r>
            <w:proofErr w:type="spellStart"/>
            <w:r w:rsidRPr="00EA5B5B">
              <w:rPr>
                <w:sz w:val="20"/>
                <w:szCs w:val="20"/>
              </w:rPr>
              <w:t>MRgFUS</w:t>
            </w:r>
            <w:proofErr w:type="spellEnd"/>
            <w:r w:rsidRPr="00EA5B5B">
              <w:rPr>
                <w:sz w:val="20"/>
                <w:szCs w:val="20"/>
              </w:rPr>
              <w:t xml:space="preserve"> procedure to be further packaged, and the number of proposed MBS items decreased to account for the multi-staged process.</w:t>
            </w:r>
          </w:p>
        </w:tc>
      </w:tr>
      <w:tr w:rsidR="004C392A" w:rsidRPr="00EA5B5B" w14:paraId="6E0E1434" w14:textId="77777777" w:rsidTr="00A313B1">
        <w:trPr>
          <w:cantSplit/>
        </w:trPr>
        <w:tc>
          <w:tcPr>
            <w:tcW w:w="1257" w:type="pct"/>
          </w:tcPr>
          <w:p w14:paraId="0111A93F" w14:textId="77777777" w:rsidR="004C392A" w:rsidRPr="00EA5B5B" w:rsidRDefault="004C392A" w:rsidP="00EA5B5B">
            <w:pPr>
              <w:pStyle w:val="TableText0"/>
              <w:keepNext w:val="0"/>
              <w:spacing w:line="240" w:lineRule="auto"/>
              <w:rPr>
                <w:sz w:val="20"/>
                <w:szCs w:val="20"/>
              </w:rPr>
            </w:pPr>
            <w:r w:rsidRPr="00EA5B5B">
              <w:rPr>
                <w:sz w:val="20"/>
                <w:szCs w:val="20"/>
              </w:rPr>
              <w:t>Intervention</w:t>
            </w:r>
          </w:p>
        </w:tc>
        <w:tc>
          <w:tcPr>
            <w:tcW w:w="1729" w:type="pct"/>
          </w:tcPr>
          <w:p w14:paraId="1D967FA0" w14:textId="77777777" w:rsidR="004C392A" w:rsidRPr="00EA5B5B" w:rsidRDefault="004C392A" w:rsidP="00EA5B5B">
            <w:pPr>
              <w:pStyle w:val="TableText0"/>
              <w:keepNext w:val="0"/>
              <w:spacing w:line="240" w:lineRule="auto"/>
              <w:rPr>
                <w:rFonts w:cs="Wingdings 2"/>
                <w:snapToGrid w:val="0"/>
                <w:sz w:val="20"/>
                <w:szCs w:val="20"/>
              </w:rPr>
            </w:pPr>
            <w:r w:rsidRPr="00EA5B5B">
              <w:rPr>
                <w:sz w:val="20"/>
                <w:szCs w:val="20"/>
              </w:rPr>
              <w:t>The proposed MBS fee for pre-surgical planning with MRI remains higher compared to the ratified PICO.</w:t>
            </w:r>
          </w:p>
        </w:tc>
        <w:tc>
          <w:tcPr>
            <w:tcW w:w="2014" w:type="pct"/>
          </w:tcPr>
          <w:p w14:paraId="31AAD746" w14:textId="77777777" w:rsidR="004C392A" w:rsidRPr="00EA5B5B" w:rsidRDefault="004C392A" w:rsidP="00EA5B5B">
            <w:pPr>
              <w:pStyle w:val="TableText0"/>
              <w:keepNext w:val="0"/>
              <w:spacing w:line="240" w:lineRule="auto"/>
              <w:rPr>
                <w:sz w:val="20"/>
                <w:szCs w:val="20"/>
              </w:rPr>
            </w:pPr>
            <w:r w:rsidRPr="00EA5B5B">
              <w:rPr>
                <w:b/>
                <w:bCs/>
                <w:sz w:val="20"/>
                <w:szCs w:val="20"/>
              </w:rPr>
              <w:t>Not adequately addressed</w:t>
            </w:r>
            <w:r w:rsidRPr="00EA5B5B">
              <w:rPr>
                <w:sz w:val="20"/>
                <w:szCs w:val="20"/>
              </w:rPr>
              <w:t>.</w:t>
            </w:r>
          </w:p>
          <w:p w14:paraId="0211559D" w14:textId="77777777" w:rsidR="004C392A" w:rsidRPr="00EA5B5B" w:rsidRDefault="004C392A" w:rsidP="00EA5B5B">
            <w:pPr>
              <w:pStyle w:val="TableText0"/>
              <w:keepNext w:val="0"/>
              <w:spacing w:line="240" w:lineRule="auto"/>
              <w:rPr>
                <w:sz w:val="20"/>
                <w:szCs w:val="20"/>
              </w:rPr>
            </w:pPr>
            <w:r w:rsidRPr="00EA5B5B">
              <w:rPr>
                <w:sz w:val="20"/>
                <w:szCs w:val="20"/>
              </w:rPr>
              <w:t>The resubmission states that the proposed MBS item wording and fee is based on two existing MBS items for planning of stereotactic neurosurgery (MBS item 63010) and stereotactic anatomical localisation for target verification (MBS item 40800). While this justification sounds reasonable, it may require further assessment by MSAC.</w:t>
            </w:r>
          </w:p>
        </w:tc>
      </w:tr>
      <w:tr w:rsidR="004C392A" w:rsidRPr="00EA5B5B" w14:paraId="35E17C41" w14:textId="77777777" w:rsidTr="00A313B1">
        <w:trPr>
          <w:cantSplit/>
        </w:trPr>
        <w:tc>
          <w:tcPr>
            <w:tcW w:w="1257" w:type="pct"/>
          </w:tcPr>
          <w:p w14:paraId="2D29FEE0" w14:textId="77777777" w:rsidR="004C392A" w:rsidRPr="00EA5B5B" w:rsidRDefault="004C392A" w:rsidP="00EA5B5B">
            <w:pPr>
              <w:pStyle w:val="TableText0"/>
              <w:keepNext w:val="0"/>
              <w:spacing w:line="240" w:lineRule="auto"/>
              <w:rPr>
                <w:sz w:val="20"/>
                <w:szCs w:val="20"/>
              </w:rPr>
            </w:pPr>
            <w:r w:rsidRPr="00EA5B5B">
              <w:rPr>
                <w:sz w:val="20"/>
                <w:szCs w:val="20"/>
              </w:rPr>
              <w:t>Proposal for public funding</w:t>
            </w:r>
          </w:p>
        </w:tc>
        <w:tc>
          <w:tcPr>
            <w:tcW w:w="1729" w:type="pct"/>
          </w:tcPr>
          <w:p w14:paraId="3F23A06E" w14:textId="77777777" w:rsidR="004C392A" w:rsidRPr="00EA5B5B" w:rsidRDefault="004C392A" w:rsidP="00EA5B5B">
            <w:pPr>
              <w:pStyle w:val="TableText0"/>
              <w:keepNext w:val="0"/>
              <w:spacing w:line="240" w:lineRule="auto"/>
              <w:rPr>
                <w:rFonts w:cs="Wingdings 2"/>
                <w:snapToGrid w:val="0"/>
                <w:sz w:val="20"/>
                <w:szCs w:val="20"/>
              </w:rPr>
            </w:pPr>
            <w:r w:rsidRPr="00EA5B5B">
              <w:rPr>
                <w:rFonts w:cs="Wingdings 2"/>
                <w:snapToGrid w:val="0"/>
                <w:sz w:val="20"/>
                <w:szCs w:val="20"/>
              </w:rPr>
              <w:t>The resubmission requested no limits be placed on speciality group delivering the intervention, as neurosurgeons, neurologists and radiologists may be able to perform the procedure, provided they were adequately trained and qualified (resubmission, p. 49).</w:t>
            </w:r>
          </w:p>
        </w:tc>
        <w:tc>
          <w:tcPr>
            <w:tcW w:w="2014" w:type="pct"/>
          </w:tcPr>
          <w:p w14:paraId="54CE799F" w14:textId="77777777" w:rsidR="004C392A" w:rsidRPr="00EA5B5B" w:rsidRDefault="004C392A" w:rsidP="00EA5B5B">
            <w:pPr>
              <w:pStyle w:val="TableText0"/>
              <w:keepNext w:val="0"/>
              <w:spacing w:line="240" w:lineRule="auto"/>
              <w:rPr>
                <w:b/>
                <w:bCs/>
                <w:sz w:val="20"/>
                <w:szCs w:val="20"/>
              </w:rPr>
            </w:pPr>
            <w:r w:rsidRPr="00EA5B5B">
              <w:rPr>
                <w:b/>
                <w:bCs/>
                <w:sz w:val="20"/>
                <w:szCs w:val="20"/>
              </w:rPr>
              <w:t>Not adequately addressed.</w:t>
            </w:r>
          </w:p>
          <w:p w14:paraId="101CA48D" w14:textId="77777777" w:rsidR="004C392A" w:rsidRPr="00EA5B5B" w:rsidRDefault="004C392A" w:rsidP="00EA5B5B">
            <w:pPr>
              <w:pStyle w:val="TableText0"/>
              <w:keepNext w:val="0"/>
              <w:spacing w:line="240" w:lineRule="auto"/>
              <w:rPr>
                <w:sz w:val="20"/>
                <w:szCs w:val="20"/>
              </w:rPr>
            </w:pPr>
            <w:r w:rsidRPr="00EA5B5B">
              <w:rPr>
                <w:sz w:val="20"/>
                <w:szCs w:val="20"/>
              </w:rPr>
              <w:t>While expert advice suggests that the presence of both neurologist and neurosurgeon may be necessary, this may need further clarification in the wording of the MBS item.</w:t>
            </w:r>
          </w:p>
        </w:tc>
      </w:tr>
      <w:tr w:rsidR="004C392A" w:rsidRPr="00EA5B5B" w14:paraId="34D98D4D" w14:textId="77777777" w:rsidTr="00A313B1">
        <w:trPr>
          <w:cantSplit/>
        </w:trPr>
        <w:tc>
          <w:tcPr>
            <w:tcW w:w="1257" w:type="pct"/>
          </w:tcPr>
          <w:p w14:paraId="2668AAF2" w14:textId="77777777" w:rsidR="004C392A" w:rsidRPr="00EA5B5B" w:rsidRDefault="004C392A" w:rsidP="00EA5B5B">
            <w:pPr>
              <w:pStyle w:val="TableText0"/>
              <w:keepNext w:val="0"/>
              <w:spacing w:line="240" w:lineRule="auto"/>
              <w:rPr>
                <w:sz w:val="20"/>
                <w:szCs w:val="20"/>
              </w:rPr>
            </w:pPr>
            <w:r w:rsidRPr="00EA5B5B">
              <w:rPr>
                <w:sz w:val="20"/>
                <w:szCs w:val="20"/>
              </w:rPr>
              <w:t xml:space="preserve">Comparative effectiveness </w:t>
            </w:r>
            <w:proofErr w:type="spellStart"/>
            <w:r w:rsidRPr="00EA5B5B">
              <w:rPr>
                <w:sz w:val="20"/>
                <w:szCs w:val="20"/>
              </w:rPr>
              <w:t>MRgFUS</w:t>
            </w:r>
            <w:proofErr w:type="spellEnd"/>
            <w:r w:rsidRPr="00EA5B5B">
              <w:rPr>
                <w:sz w:val="20"/>
                <w:szCs w:val="20"/>
              </w:rPr>
              <w:t xml:space="preserve"> vs. DBS</w:t>
            </w:r>
          </w:p>
        </w:tc>
        <w:tc>
          <w:tcPr>
            <w:tcW w:w="1729" w:type="pct"/>
          </w:tcPr>
          <w:p w14:paraId="1872DDE2" w14:textId="77777777" w:rsidR="004C392A" w:rsidRPr="00EA5B5B" w:rsidRDefault="004C392A" w:rsidP="00EA5B5B">
            <w:pPr>
              <w:pStyle w:val="TableText0"/>
              <w:keepNext w:val="0"/>
              <w:spacing w:line="240" w:lineRule="auto"/>
              <w:rPr>
                <w:rFonts w:cs="Wingdings 2"/>
                <w:snapToGrid w:val="0"/>
                <w:sz w:val="20"/>
                <w:szCs w:val="20"/>
              </w:rPr>
            </w:pPr>
            <w:r w:rsidRPr="00EA5B5B">
              <w:rPr>
                <w:sz w:val="20"/>
                <w:szCs w:val="20"/>
              </w:rPr>
              <w:t>MSAC noted that no [MCID] had been established for any of the tremor scales, despite PASC considering this to be critical. Statistically significant differences before and after treatment were found in studies, whether the differences were also clinically significant remains unknown. ESC considered that the resubmission’s clinical claim of non-inferior effectiveness may be appropriate. MSAC noted the ESC advice for comparative effectiveness but considered that it could not be confident in the magnitude of treatment effect due to the limited and low-quality comparative evidence (no direct RCT), small numbers of patients, different methods of assessment of tremor severity, and in particular no MCID has been established and validated for ET. (PSD, ps.3 &amp; 23)</w:t>
            </w:r>
          </w:p>
        </w:tc>
        <w:tc>
          <w:tcPr>
            <w:tcW w:w="2014" w:type="pct"/>
          </w:tcPr>
          <w:p w14:paraId="09B6E406" w14:textId="77777777" w:rsidR="004C392A" w:rsidRPr="00EA5B5B" w:rsidRDefault="004C392A" w:rsidP="00EA5B5B">
            <w:pPr>
              <w:pStyle w:val="TableText0"/>
              <w:keepNext w:val="0"/>
              <w:spacing w:line="240" w:lineRule="auto"/>
              <w:rPr>
                <w:sz w:val="20"/>
                <w:szCs w:val="20"/>
              </w:rPr>
            </w:pPr>
            <w:r w:rsidRPr="00EA5B5B">
              <w:rPr>
                <w:sz w:val="20"/>
                <w:szCs w:val="20"/>
              </w:rPr>
              <w:t xml:space="preserve">MCID </w:t>
            </w:r>
            <w:r w:rsidRPr="00EA5B5B">
              <w:rPr>
                <w:b/>
                <w:bCs/>
                <w:sz w:val="20"/>
                <w:szCs w:val="20"/>
              </w:rPr>
              <w:t>not adequately addressed</w:t>
            </w:r>
            <w:r w:rsidRPr="00EA5B5B">
              <w:rPr>
                <w:sz w:val="20"/>
                <w:szCs w:val="20"/>
              </w:rPr>
              <w:t xml:space="preserve"> in response. Assessment group provided a summary table for commentary detailing a distribution-based method for health-related quality of life (QUEST) and total tremor scores (CRST).</w:t>
            </w:r>
          </w:p>
          <w:p w14:paraId="48566124" w14:textId="77777777" w:rsidR="004C392A" w:rsidRPr="00EA5B5B" w:rsidRDefault="004C392A" w:rsidP="00EA5B5B">
            <w:pPr>
              <w:pStyle w:val="TableText0"/>
              <w:keepNext w:val="0"/>
              <w:spacing w:line="240" w:lineRule="auto"/>
              <w:rPr>
                <w:sz w:val="20"/>
                <w:szCs w:val="20"/>
              </w:rPr>
            </w:pPr>
            <w:r w:rsidRPr="00EA5B5B">
              <w:rPr>
                <w:sz w:val="20"/>
                <w:szCs w:val="20"/>
              </w:rPr>
              <w:t xml:space="preserve">The applicant provided an additional five studies and attempted to address the uncertainty surrounding the risk of bias assessments. Studies provided low-quality non-comparative evidence, but some concordance was provided regarding effectiveness for </w:t>
            </w:r>
            <w:proofErr w:type="spellStart"/>
            <w:r w:rsidRPr="00EA5B5B">
              <w:rPr>
                <w:sz w:val="20"/>
                <w:szCs w:val="20"/>
              </w:rPr>
              <w:t>MRgFUS</w:t>
            </w:r>
            <w:proofErr w:type="spellEnd"/>
            <w:r w:rsidRPr="00EA5B5B">
              <w:rPr>
                <w:sz w:val="20"/>
                <w:szCs w:val="20"/>
              </w:rPr>
              <w:t xml:space="preserve"> and DBS.</w:t>
            </w:r>
          </w:p>
        </w:tc>
      </w:tr>
      <w:tr w:rsidR="004C392A" w:rsidRPr="00EA5B5B" w14:paraId="59FFFCBC" w14:textId="77777777" w:rsidTr="00A313B1">
        <w:trPr>
          <w:cantSplit/>
        </w:trPr>
        <w:tc>
          <w:tcPr>
            <w:tcW w:w="1257" w:type="pct"/>
          </w:tcPr>
          <w:p w14:paraId="190E9A0B" w14:textId="77777777" w:rsidR="004C392A" w:rsidRPr="00EA5B5B" w:rsidRDefault="004C392A" w:rsidP="00EA5B5B">
            <w:pPr>
              <w:pStyle w:val="TableText0"/>
              <w:keepNext w:val="0"/>
              <w:spacing w:line="240" w:lineRule="auto"/>
              <w:rPr>
                <w:sz w:val="20"/>
                <w:szCs w:val="20"/>
              </w:rPr>
            </w:pPr>
            <w:r w:rsidRPr="00EA5B5B">
              <w:rPr>
                <w:sz w:val="20"/>
                <w:szCs w:val="20"/>
              </w:rPr>
              <w:lastRenderedPageBreak/>
              <w:t>Comparative safety</w:t>
            </w:r>
          </w:p>
          <w:p w14:paraId="60384E05" w14:textId="77777777" w:rsidR="004C392A" w:rsidRPr="00EA5B5B" w:rsidRDefault="004C392A" w:rsidP="00EA5B5B">
            <w:pPr>
              <w:pStyle w:val="TableText0"/>
              <w:keepNext w:val="0"/>
              <w:spacing w:line="240" w:lineRule="auto"/>
              <w:rPr>
                <w:sz w:val="20"/>
                <w:szCs w:val="20"/>
              </w:rPr>
            </w:pPr>
            <w:proofErr w:type="spellStart"/>
            <w:r w:rsidRPr="00EA5B5B">
              <w:rPr>
                <w:sz w:val="20"/>
                <w:szCs w:val="20"/>
              </w:rPr>
              <w:t>MRgFUS</w:t>
            </w:r>
            <w:proofErr w:type="spellEnd"/>
            <w:r w:rsidRPr="00EA5B5B">
              <w:rPr>
                <w:sz w:val="20"/>
                <w:szCs w:val="20"/>
              </w:rPr>
              <w:t xml:space="preserve"> vs. DBS</w:t>
            </w:r>
          </w:p>
        </w:tc>
        <w:tc>
          <w:tcPr>
            <w:tcW w:w="1729" w:type="pct"/>
          </w:tcPr>
          <w:p w14:paraId="6B15EE3B" w14:textId="77777777" w:rsidR="004C392A" w:rsidRPr="00EA5B5B" w:rsidRDefault="004C392A" w:rsidP="00EA5B5B">
            <w:pPr>
              <w:pStyle w:val="TableText0"/>
              <w:keepNext w:val="0"/>
              <w:spacing w:line="240" w:lineRule="auto"/>
              <w:rPr>
                <w:sz w:val="20"/>
                <w:szCs w:val="20"/>
              </w:rPr>
            </w:pPr>
            <w:r w:rsidRPr="00EA5B5B">
              <w:rPr>
                <w:sz w:val="20"/>
                <w:szCs w:val="20"/>
              </w:rPr>
              <w:t xml:space="preserve">MSAC also noted that </w:t>
            </w:r>
            <w:proofErr w:type="spellStart"/>
            <w:r w:rsidRPr="00EA5B5B">
              <w:rPr>
                <w:sz w:val="20"/>
                <w:szCs w:val="20"/>
              </w:rPr>
              <w:t>MRgFUS</w:t>
            </w:r>
            <w:proofErr w:type="spellEnd"/>
            <w:r w:rsidRPr="00EA5B5B">
              <w:rPr>
                <w:sz w:val="20"/>
                <w:szCs w:val="20"/>
              </w:rPr>
              <w:t xml:space="preserve"> creates an irreversible thalamic lesion, unlike DBS which is reversible. (PSD, p.3)</w:t>
            </w:r>
          </w:p>
          <w:p w14:paraId="43613429" w14:textId="77777777" w:rsidR="004C392A" w:rsidRPr="00EA5B5B" w:rsidRDefault="004C392A" w:rsidP="00EA5B5B">
            <w:pPr>
              <w:pStyle w:val="TableText0"/>
              <w:keepNext w:val="0"/>
              <w:spacing w:line="240" w:lineRule="auto"/>
              <w:rPr>
                <w:rFonts w:cs="Wingdings 2"/>
                <w:snapToGrid w:val="0"/>
                <w:sz w:val="20"/>
                <w:szCs w:val="20"/>
              </w:rPr>
            </w:pPr>
            <w:r w:rsidRPr="00EA5B5B">
              <w:rPr>
                <w:sz w:val="20"/>
                <w:szCs w:val="20"/>
              </w:rPr>
              <w:t xml:space="preserve">MSAC considered that the claim that AEs are only short term with </w:t>
            </w:r>
            <w:proofErr w:type="spellStart"/>
            <w:r w:rsidRPr="00EA5B5B">
              <w:rPr>
                <w:sz w:val="20"/>
                <w:szCs w:val="20"/>
              </w:rPr>
              <w:t>MRgFUS</w:t>
            </w:r>
            <w:proofErr w:type="spellEnd"/>
            <w:r w:rsidRPr="00EA5B5B">
              <w:rPr>
                <w:sz w:val="20"/>
                <w:szCs w:val="20"/>
              </w:rPr>
              <w:t xml:space="preserve"> is uncertain, with limited long-term follow-up of </w:t>
            </w:r>
            <w:proofErr w:type="spellStart"/>
            <w:r w:rsidRPr="00EA5B5B">
              <w:rPr>
                <w:sz w:val="20"/>
                <w:szCs w:val="20"/>
              </w:rPr>
              <w:t>MRgFUS</w:t>
            </w:r>
            <w:proofErr w:type="spellEnd"/>
            <w:r w:rsidRPr="00EA5B5B">
              <w:rPr>
                <w:sz w:val="20"/>
                <w:szCs w:val="20"/>
              </w:rPr>
              <w:t xml:space="preserve"> (indirect treatment comparison follow-up of 12 months). Overall, MSAC agreed with ESC and considered that there is an uncertain safety profile. (PSD, p.3)</w:t>
            </w:r>
          </w:p>
        </w:tc>
        <w:tc>
          <w:tcPr>
            <w:tcW w:w="2014" w:type="pct"/>
          </w:tcPr>
          <w:p w14:paraId="031AE3F0" w14:textId="77777777" w:rsidR="004C392A" w:rsidRPr="00EA5B5B" w:rsidRDefault="004C392A" w:rsidP="00EA5B5B">
            <w:pPr>
              <w:pStyle w:val="TableText0"/>
              <w:keepNext w:val="0"/>
              <w:spacing w:line="240" w:lineRule="auto"/>
              <w:rPr>
                <w:sz w:val="20"/>
                <w:szCs w:val="20"/>
              </w:rPr>
            </w:pPr>
            <w:r w:rsidRPr="00EA5B5B">
              <w:rPr>
                <w:sz w:val="20"/>
                <w:szCs w:val="20"/>
              </w:rPr>
              <w:t>Addressed</w:t>
            </w:r>
          </w:p>
          <w:p w14:paraId="39A715E6" w14:textId="77777777" w:rsidR="004C392A" w:rsidRPr="00EA5B5B" w:rsidRDefault="004C392A" w:rsidP="00EA5B5B">
            <w:pPr>
              <w:pStyle w:val="TableText0"/>
              <w:keepNext w:val="0"/>
              <w:spacing w:line="240" w:lineRule="auto"/>
              <w:rPr>
                <w:sz w:val="20"/>
                <w:szCs w:val="20"/>
              </w:rPr>
            </w:pPr>
            <w:r w:rsidRPr="00EA5B5B">
              <w:rPr>
                <w:sz w:val="20"/>
                <w:szCs w:val="20"/>
              </w:rPr>
              <w:t xml:space="preserve">The applicant provided long-term follow-up data for both </w:t>
            </w:r>
            <w:proofErr w:type="spellStart"/>
            <w:r w:rsidRPr="00EA5B5B">
              <w:rPr>
                <w:sz w:val="20"/>
                <w:szCs w:val="20"/>
              </w:rPr>
              <w:t>MRgFUS</w:t>
            </w:r>
            <w:proofErr w:type="spellEnd"/>
            <w:r w:rsidRPr="00EA5B5B">
              <w:rPr>
                <w:sz w:val="20"/>
                <w:szCs w:val="20"/>
              </w:rPr>
              <w:t xml:space="preserve"> and DBS. However, the long-term data (up to 6-years) does not appear to refute MSAC concern about the applicant’s claim that AEs for </w:t>
            </w:r>
            <w:proofErr w:type="spellStart"/>
            <w:r w:rsidRPr="00EA5B5B">
              <w:rPr>
                <w:sz w:val="20"/>
                <w:szCs w:val="20"/>
              </w:rPr>
              <w:t>MRgFUS</w:t>
            </w:r>
            <w:proofErr w:type="spellEnd"/>
            <w:r w:rsidRPr="00EA5B5B">
              <w:rPr>
                <w:sz w:val="20"/>
                <w:szCs w:val="20"/>
              </w:rPr>
              <w:t xml:space="preserve"> are short-term. While 5-year follow-up data for </w:t>
            </w:r>
            <w:proofErr w:type="spellStart"/>
            <w:r w:rsidRPr="00EA5B5B">
              <w:rPr>
                <w:sz w:val="20"/>
                <w:szCs w:val="20"/>
              </w:rPr>
              <w:t>MRgFUS</w:t>
            </w:r>
            <w:proofErr w:type="spellEnd"/>
            <w:r w:rsidRPr="00EA5B5B">
              <w:rPr>
                <w:sz w:val="20"/>
                <w:szCs w:val="20"/>
              </w:rPr>
              <w:t xml:space="preserve"> reported that most AEs had resolved or subsided, the </w:t>
            </w:r>
            <w:proofErr w:type="spellStart"/>
            <w:r w:rsidRPr="00EA5B5B">
              <w:rPr>
                <w:sz w:val="20"/>
                <w:szCs w:val="20"/>
              </w:rPr>
              <w:t>MRgFUS</w:t>
            </w:r>
            <w:proofErr w:type="spellEnd"/>
            <w:r w:rsidRPr="00EA5B5B">
              <w:rPr>
                <w:sz w:val="20"/>
                <w:szCs w:val="20"/>
              </w:rPr>
              <w:t xml:space="preserve"> adverse event ‘ataxia’ appears to have doubled. </w:t>
            </w:r>
          </w:p>
        </w:tc>
      </w:tr>
    </w:tbl>
    <w:p w14:paraId="4C8FA385" w14:textId="2B96422E" w:rsidR="004C392A" w:rsidRPr="00EA5B5B" w:rsidRDefault="004C392A" w:rsidP="007379FE">
      <w:pPr>
        <w:pStyle w:val="Tablenotes"/>
      </w:pPr>
      <w:r w:rsidRPr="00EA5B5B">
        <w:t>Source: Table constructed during the evaluation based on Table 1, of resubmission</w:t>
      </w:r>
      <w:r w:rsidR="005552CD" w:rsidRPr="00EA5B5B">
        <w:t xml:space="preserve">, </w:t>
      </w:r>
      <w:r w:rsidRPr="00EA5B5B">
        <w:t>1614 PSD</w:t>
      </w:r>
      <w:r w:rsidR="005552CD" w:rsidRPr="00EA5B5B">
        <w:t xml:space="preserve"> and </w:t>
      </w:r>
      <w:r w:rsidR="005552CD" w:rsidRPr="00EA5B5B">
        <w:rPr>
          <w:i/>
          <w:iCs/>
        </w:rPr>
        <w:t>Pre-ESC response</w:t>
      </w:r>
    </w:p>
    <w:p w14:paraId="5E92DA12" w14:textId="44D40F4B" w:rsidR="004C392A" w:rsidRPr="00EA5B5B" w:rsidRDefault="004C392A" w:rsidP="007379FE">
      <w:pPr>
        <w:pStyle w:val="Tablenotes"/>
      </w:pPr>
      <w:proofErr w:type="spellStart"/>
      <w:r w:rsidRPr="00EA5B5B">
        <w:t>MRgFUS</w:t>
      </w:r>
      <w:proofErr w:type="spellEnd"/>
      <w:r w:rsidRPr="00EA5B5B">
        <w:t xml:space="preserve"> = Magnetic Resonance guided Focused Ultrasound; MSAC = Medical Services Advisory Committee; PSD = Public Summary Document</w:t>
      </w:r>
    </w:p>
    <w:p w14:paraId="4CB4FE7F" w14:textId="3DC608D6" w:rsidR="00F7484F" w:rsidRPr="0089471B" w:rsidRDefault="00065623" w:rsidP="0089471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89471B">
        <w:rPr>
          <w:rFonts w:ascii="Franklin Gothic Medium" w:eastAsia="SimSun" w:hAnsi="Franklin Gothic Medium" w:cs="Times New Roman"/>
          <w:b w:val="0"/>
          <w:bCs w:val="0"/>
          <w:color w:val="000000"/>
          <w:sz w:val="32"/>
          <w:szCs w:val="26"/>
          <w:lang w:eastAsia="en-US"/>
        </w:rPr>
        <w:t>Prerequisites to implementation of any funding advice</w:t>
      </w:r>
    </w:p>
    <w:p w14:paraId="325833FE" w14:textId="4FB4EB90" w:rsidR="007D10A5" w:rsidRPr="00957845" w:rsidRDefault="007D10A5" w:rsidP="00F64363">
      <w:pPr>
        <w:pStyle w:val="5Bodytext"/>
        <w:rPr>
          <w:rFonts w:ascii="Franklin Gothic Book" w:hAnsi="Franklin Gothic Book"/>
          <w:sz w:val="22"/>
          <w:szCs w:val="22"/>
        </w:rPr>
      </w:pPr>
      <w:r w:rsidRPr="00957845">
        <w:rPr>
          <w:rFonts w:ascii="Franklin Gothic Book" w:hAnsi="Franklin Gothic Book"/>
          <w:sz w:val="22"/>
          <w:szCs w:val="22"/>
        </w:rPr>
        <w:t xml:space="preserve">This was unchanged from the previous submission; refer to </w:t>
      </w:r>
      <w:hyperlink r:id="rId10" w:history="1">
        <w:r w:rsidRPr="00957845">
          <w:rPr>
            <w:rStyle w:val="Hyperlink"/>
            <w:rFonts w:ascii="Franklin Gothic Book" w:hAnsi="Franklin Gothic Book"/>
            <w:sz w:val="22"/>
            <w:szCs w:val="22"/>
          </w:rPr>
          <w:t>PSD Application 1614, March-April 2021, pp4-5</w:t>
        </w:r>
      </w:hyperlink>
      <w:r w:rsidRPr="00957845">
        <w:rPr>
          <w:rFonts w:ascii="Franklin Gothic Book" w:hAnsi="Franklin Gothic Book"/>
          <w:sz w:val="22"/>
          <w:szCs w:val="22"/>
        </w:rPr>
        <w:t>.</w:t>
      </w:r>
    </w:p>
    <w:p w14:paraId="2284AD71" w14:textId="77777777" w:rsidR="004C392A" w:rsidRPr="00A54637" w:rsidRDefault="004C392A" w:rsidP="004C392A">
      <w:pPr>
        <w:pStyle w:val="5Bodytext"/>
        <w:rPr>
          <w:rFonts w:ascii="Franklin Gothic Book" w:hAnsi="Franklin Gothic Book"/>
          <w:sz w:val="22"/>
          <w:szCs w:val="22"/>
        </w:rPr>
      </w:pPr>
      <w:r w:rsidRPr="00957845">
        <w:rPr>
          <w:rFonts w:ascii="Franklin Gothic Book" w:hAnsi="Franklin Gothic Book"/>
          <w:sz w:val="22"/>
          <w:szCs w:val="22"/>
        </w:rPr>
        <w:t xml:space="preserve">The details of staff training and other prerequisites such as quality assurance or licensing </w:t>
      </w:r>
      <w:r w:rsidRPr="00A54637">
        <w:rPr>
          <w:rFonts w:ascii="Franklin Gothic Book" w:hAnsi="Franklin Gothic Book"/>
          <w:sz w:val="22"/>
          <w:szCs w:val="22"/>
        </w:rPr>
        <w:t xml:space="preserve">requirements were not discussed in the ADAR. However, an </w:t>
      </w:r>
      <w:proofErr w:type="spellStart"/>
      <w:r w:rsidRPr="00A54637">
        <w:rPr>
          <w:rFonts w:ascii="Franklin Gothic Book" w:hAnsi="Franklin Gothic Book"/>
          <w:sz w:val="22"/>
          <w:szCs w:val="22"/>
        </w:rPr>
        <w:t>Insightec</w:t>
      </w:r>
      <w:proofErr w:type="spellEnd"/>
      <w:r w:rsidRPr="00A54637">
        <w:rPr>
          <w:rFonts w:ascii="Franklin Gothic Book" w:hAnsi="Franklin Gothic Book"/>
          <w:sz w:val="22"/>
          <w:szCs w:val="22"/>
        </w:rPr>
        <w:t xml:space="preserve"> </w:t>
      </w:r>
      <w:proofErr w:type="spellStart"/>
      <w:r w:rsidRPr="00A54637">
        <w:rPr>
          <w:rFonts w:ascii="Franklin Gothic Book" w:hAnsi="Franklin Gothic Book"/>
          <w:sz w:val="22"/>
          <w:szCs w:val="22"/>
        </w:rPr>
        <w:t>Exablate</w:t>
      </w:r>
      <w:proofErr w:type="spellEnd"/>
      <w:r w:rsidRPr="00A54637">
        <w:rPr>
          <w:rFonts w:ascii="Franklin Gothic Book" w:hAnsi="Franklin Gothic Book"/>
          <w:sz w:val="22"/>
          <w:szCs w:val="22"/>
        </w:rPr>
        <w:t xml:space="preserve"> Neuro Training Plan was submitted by the applicant with the initial application documents. The training is limited to the safe and effective use of the device.</w:t>
      </w:r>
    </w:p>
    <w:p w14:paraId="56FE8108" w14:textId="432078B9" w:rsidR="004C392A" w:rsidRPr="00A54637" w:rsidRDefault="004C392A" w:rsidP="004C392A">
      <w:pPr>
        <w:pStyle w:val="5Bodytext"/>
        <w:rPr>
          <w:rFonts w:ascii="Franklin Gothic Book" w:hAnsi="Franklin Gothic Book"/>
          <w:sz w:val="22"/>
          <w:szCs w:val="22"/>
        </w:rPr>
      </w:pPr>
      <w:r w:rsidRPr="00A54637">
        <w:rPr>
          <w:rFonts w:ascii="Franklin Gothic Book" w:hAnsi="Franklin Gothic Book"/>
          <w:sz w:val="22"/>
          <w:szCs w:val="22"/>
        </w:rPr>
        <w:t xml:space="preserve">Equipment pre-requisites are a compatible MRI machine, a </w:t>
      </w:r>
      <w:proofErr w:type="spellStart"/>
      <w:r w:rsidRPr="00A54637">
        <w:rPr>
          <w:rFonts w:ascii="Franklin Gothic Book" w:hAnsi="Franklin Gothic Book"/>
          <w:sz w:val="22"/>
          <w:szCs w:val="22"/>
        </w:rPr>
        <w:t>MRgFUS</w:t>
      </w:r>
      <w:proofErr w:type="spellEnd"/>
      <w:r w:rsidRPr="00A54637">
        <w:rPr>
          <w:rFonts w:ascii="Franklin Gothic Book" w:hAnsi="Franklin Gothic Book"/>
          <w:sz w:val="22"/>
          <w:szCs w:val="22"/>
        </w:rPr>
        <w:t xml:space="preserve"> device (e.g., </w:t>
      </w:r>
      <w:proofErr w:type="spellStart"/>
      <w:r w:rsidRPr="00A54637">
        <w:rPr>
          <w:rFonts w:ascii="Franklin Gothic Book" w:hAnsi="Franklin Gothic Book"/>
          <w:sz w:val="22"/>
          <w:szCs w:val="22"/>
        </w:rPr>
        <w:t>ExAblate</w:t>
      </w:r>
      <w:proofErr w:type="spellEnd"/>
      <w:r w:rsidRPr="00A54637">
        <w:rPr>
          <w:rFonts w:ascii="Franklin Gothic Book" w:hAnsi="Franklin Gothic Book"/>
          <w:sz w:val="22"/>
          <w:szCs w:val="22"/>
        </w:rPr>
        <w:t xml:space="preserve">® Neuro), and a disposable single-use patient kit. In Australia, the kit is registered with the </w:t>
      </w:r>
      <w:proofErr w:type="spellStart"/>
      <w:r w:rsidRPr="00A54637">
        <w:rPr>
          <w:rFonts w:ascii="Franklin Gothic Book" w:hAnsi="Franklin Gothic Book"/>
          <w:sz w:val="22"/>
          <w:szCs w:val="22"/>
        </w:rPr>
        <w:t>MRgFUS</w:t>
      </w:r>
      <w:proofErr w:type="spellEnd"/>
      <w:r w:rsidRPr="00A54637">
        <w:rPr>
          <w:rFonts w:ascii="Franklin Gothic Book" w:hAnsi="Franklin Gothic Book"/>
          <w:sz w:val="22"/>
          <w:szCs w:val="22"/>
        </w:rPr>
        <w:t xml:space="preserve"> system under the same listing on the Australian Register of </w:t>
      </w:r>
      <w:r w:rsidR="007D10A5" w:rsidRPr="00A54637">
        <w:rPr>
          <w:rFonts w:ascii="Franklin Gothic Book" w:hAnsi="Franklin Gothic Book"/>
          <w:sz w:val="22"/>
          <w:szCs w:val="22"/>
        </w:rPr>
        <w:t>T</w:t>
      </w:r>
      <w:r w:rsidRPr="00A54637">
        <w:rPr>
          <w:rFonts w:ascii="Franklin Gothic Book" w:hAnsi="Franklin Gothic Book"/>
          <w:sz w:val="22"/>
          <w:szCs w:val="22"/>
        </w:rPr>
        <w:t xml:space="preserve">herapeutic </w:t>
      </w:r>
      <w:r w:rsidR="007D10A5" w:rsidRPr="00A54637">
        <w:rPr>
          <w:rFonts w:ascii="Franklin Gothic Book" w:hAnsi="Franklin Gothic Book"/>
          <w:sz w:val="22"/>
          <w:szCs w:val="22"/>
        </w:rPr>
        <w:t>G</w:t>
      </w:r>
      <w:r w:rsidRPr="00A54637">
        <w:rPr>
          <w:rFonts w:ascii="Franklin Gothic Book" w:hAnsi="Franklin Gothic Book"/>
          <w:sz w:val="22"/>
          <w:szCs w:val="22"/>
        </w:rPr>
        <w:t>oods (ARTG).</w:t>
      </w:r>
    </w:p>
    <w:p w14:paraId="7CA90235" w14:textId="63000175" w:rsidR="004C392A" w:rsidRPr="00A54637" w:rsidRDefault="004C392A" w:rsidP="004C392A">
      <w:pPr>
        <w:pStyle w:val="5Bodytext"/>
        <w:rPr>
          <w:rFonts w:ascii="Franklin Gothic Book" w:hAnsi="Franklin Gothic Book"/>
          <w:sz w:val="22"/>
          <w:szCs w:val="22"/>
        </w:rPr>
      </w:pPr>
      <w:r w:rsidRPr="00A54637">
        <w:rPr>
          <w:rFonts w:ascii="Franklin Gothic Book" w:hAnsi="Franklin Gothic Book"/>
          <w:sz w:val="22"/>
          <w:szCs w:val="22"/>
        </w:rPr>
        <w:t xml:space="preserve">The applicant lodged an application to the Prostheses List Advisory Committee (PLAC) for the </w:t>
      </w:r>
      <w:proofErr w:type="spellStart"/>
      <w:r w:rsidRPr="00A54637">
        <w:rPr>
          <w:rFonts w:ascii="Franklin Gothic Book" w:hAnsi="Franklin Gothic Book"/>
          <w:sz w:val="22"/>
          <w:szCs w:val="22"/>
        </w:rPr>
        <w:t>Exablate</w:t>
      </w:r>
      <w:proofErr w:type="spellEnd"/>
      <w:r w:rsidRPr="00A54637">
        <w:rPr>
          <w:rFonts w:ascii="Franklin Gothic Book" w:hAnsi="Franklin Gothic Book"/>
          <w:sz w:val="22"/>
          <w:szCs w:val="22"/>
        </w:rPr>
        <w:t xml:space="preserve"> Neuro Patient Accessory Kit (Application N002552) in January 2021</w:t>
      </w:r>
      <w:r w:rsidR="007D10A5" w:rsidRPr="00A54637">
        <w:rPr>
          <w:rFonts w:ascii="Franklin Gothic Book" w:hAnsi="Franklin Gothic Book"/>
          <w:sz w:val="22"/>
          <w:szCs w:val="22"/>
        </w:rPr>
        <w:t>.</w:t>
      </w:r>
      <w:r w:rsidRPr="00A54637">
        <w:rPr>
          <w:rFonts w:ascii="Franklin Gothic Book" w:hAnsi="Franklin Gothic Book"/>
          <w:sz w:val="22"/>
          <w:szCs w:val="22"/>
        </w:rPr>
        <w:t xml:space="preserve"> The applicant expects that this </w:t>
      </w:r>
      <w:r w:rsidR="00E9330E" w:rsidRPr="00A54637">
        <w:rPr>
          <w:rFonts w:ascii="Franklin Gothic Book" w:hAnsi="Franklin Gothic Book"/>
          <w:sz w:val="22"/>
          <w:szCs w:val="22"/>
        </w:rPr>
        <w:t>a</w:t>
      </w:r>
      <w:r w:rsidRPr="00A54637">
        <w:rPr>
          <w:rFonts w:ascii="Franklin Gothic Book" w:hAnsi="Franklin Gothic Book"/>
          <w:sz w:val="22"/>
          <w:szCs w:val="22"/>
        </w:rPr>
        <w:t xml:space="preserve">pplication will be reconsidered by PLAC once </w:t>
      </w:r>
      <w:proofErr w:type="spellStart"/>
      <w:r w:rsidRPr="00A54637">
        <w:rPr>
          <w:rFonts w:ascii="Franklin Gothic Book" w:hAnsi="Franklin Gothic Book"/>
          <w:sz w:val="22"/>
          <w:szCs w:val="22"/>
        </w:rPr>
        <w:t>MRgFUS</w:t>
      </w:r>
      <w:proofErr w:type="spellEnd"/>
      <w:r w:rsidRPr="00A54637">
        <w:rPr>
          <w:rFonts w:ascii="Franklin Gothic Book" w:hAnsi="Franklin Gothic Book"/>
          <w:sz w:val="22"/>
          <w:szCs w:val="22"/>
        </w:rPr>
        <w:t xml:space="preserve"> receives a positive recommendation by MSAC</w:t>
      </w:r>
      <w:r w:rsidR="00A8674A" w:rsidRPr="00A54637">
        <w:rPr>
          <w:rFonts w:ascii="Franklin Gothic Book" w:hAnsi="Franklin Gothic Book"/>
          <w:sz w:val="22"/>
          <w:szCs w:val="22"/>
        </w:rPr>
        <w:t>.</w:t>
      </w:r>
    </w:p>
    <w:p w14:paraId="36E07551" w14:textId="36CC5330" w:rsidR="008A6C0C" w:rsidRPr="00A54637" w:rsidRDefault="00065623" w:rsidP="0089471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A54637">
        <w:rPr>
          <w:rFonts w:ascii="Franklin Gothic Medium" w:eastAsia="SimSun" w:hAnsi="Franklin Gothic Medium" w:cs="Times New Roman"/>
          <w:b w:val="0"/>
          <w:bCs w:val="0"/>
          <w:color w:val="000000"/>
          <w:sz w:val="32"/>
          <w:szCs w:val="26"/>
          <w:lang w:eastAsia="en-US"/>
        </w:rPr>
        <w:t>Proposal for public funding</w:t>
      </w:r>
    </w:p>
    <w:p w14:paraId="5CE3B296" w14:textId="53E8BDCB" w:rsidR="003020C9" w:rsidRPr="00A54637" w:rsidRDefault="003020C9" w:rsidP="003020C9">
      <w:pPr>
        <w:rPr>
          <w:rFonts w:ascii="Franklin Gothic Book" w:hAnsi="Franklin Gothic Book"/>
          <w:iCs/>
          <w:sz w:val="22"/>
          <w:szCs w:val="22"/>
        </w:rPr>
      </w:pPr>
      <w:r w:rsidRPr="00A54637">
        <w:rPr>
          <w:rFonts w:ascii="Franklin Gothic Book" w:hAnsi="Franklin Gothic Book"/>
          <w:iCs/>
          <w:sz w:val="22"/>
          <w:szCs w:val="22"/>
        </w:rPr>
        <w:t>MSAC previously requested the resubmission should have a packaged item as opposed to six separate items in one application. In the resubmission the applicant has removed one item, the radiology service from the ADAR, reducing the number of proposed items from six to five</w:t>
      </w:r>
      <w:r w:rsidRPr="00A54637">
        <w:rPr>
          <w:rFonts w:ascii="Franklin Gothic Book" w:hAnsi="Franklin Gothic Book"/>
          <w:i/>
          <w:sz w:val="22"/>
          <w:szCs w:val="22"/>
        </w:rPr>
        <w:t>.</w:t>
      </w:r>
      <w:r w:rsidRPr="00A54637">
        <w:rPr>
          <w:rFonts w:ascii="Franklin Gothic Book" w:hAnsi="Franklin Gothic Book"/>
          <w:iCs/>
          <w:sz w:val="22"/>
          <w:szCs w:val="22"/>
        </w:rPr>
        <w:t xml:space="preserve"> The entire </w:t>
      </w:r>
      <w:proofErr w:type="spellStart"/>
      <w:r w:rsidRPr="00A54637">
        <w:rPr>
          <w:rFonts w:ascii="Franklin Gothic Book" w:hAnsi="Franklin Gothic Book"/>
          <w:iCs/>
          <w:sz w:val="22"/>
          <w:szCs w:val="22"/>
        </w:rPr>
        <w:t>MRgFUS</w:t>
      </w:r>
      <w:proofErr w:type="spellEnd"/>
      <w:r w:rsidRPr="00A54637">
        <w:rPr>
          <w:rFonts w:ascii="Franklin Gothic Book" w:hAnsi="Franklin Gothic Book"/>
          <w:iCs/>
          <w:sz w:val="22"/>
          <w:szCs w:val="22"/>
        </w:rPr>
        <w:t xml:space="preserve"> service now consists of two MRI items (before and after the procedure for pre- and post-treatment evaluation), and three items for performing the procedure itself.</w:t>
      </w:r>
      <w:r w:rsidR="004C1165" w:rsidRPr="00A54637">
        <w:rPr>
          <w:rFonts w:ascii="Franklin Gothic Book" w:hAnsi="Franklin Gothic Book"/>
          <w:sz w:val="22"/>
          <w:szCs w:val="22"/>
        </w:rPr>
        <w:t xml:space="preserve"> </w:t>
      </w:r>
    </w:p>
    <w:p w14:paraId="679C6BB9" w14:textId="76DD750A" w:rsidR="00B03054" w:rsidRPr="00A54637" w:rsidRDefault="003020C9" w:rsidP="00B03054">
      <w:pPr>
        <w:spacing w:before="240"/>
        <w:rPr>
          <w:rFonts w:ascii="Franklin Gothic Book" w:hAnsi="Franklin Gothic Book"/>
          <w:iCs/>
          <w:sz w:val="22"/>
          <w:szCs w:val="22"/>
        </w:rPr>
      </w:pPr>
      <w:r w:rsidRPr="00A54637">
        <w:rPr>
          <w:rFonts w:ascii="Franklin Gothic Book" w:hAnsi="Franklin Gothic Book"/>
          <w:sz w:val="22"/>
          <w:szCs w:val="22"/>
        </w:rPr>
        <w:t>The MBS item descriptors proposed in the ADAR are provided Tables 2, 3, 4, 5 and 6.</w:t>
      </w:r>
      <w:bookmarkStart w:id="4" w:name="_Ref89184922"/>
      <w:bookmarkStart w:id="5" w:name="_Toc92902633"/>
      <w:r w:rsidR="00B03054" w:rsidRPr="00A54637">
        <w:br w:type="page"/>
      </w:r>
    </w:p>
    <w:p w14:paraId="34469262" w14:textId="2B61F262" w:rsidR="003020C9" w:rsidRPr="00A54637" w:rsidRDefault="003020C9" w:rsidP="00957845">
      <w:pPr>
        <w:pStyle w:val="Caption"/>
        <w:spacing w:before="240"/>
      </w:pPr>
      <w:r w:rsidRPr="00A54637">
        <w:lastRenderedPageBreak/>
        <w:t xml:space="preserve">Table </w:t>
      </w:r>
      <w:bookmarkEnd w:id="4"/>
      <w:r w:rsidR="00A3355B" w:rsidRPr="00A54637">
        <w:t>2</w:t>
      </w:r>
      <w:r w:rsidRPr="00A54637">
        <w:t xml:space="preserve"> </w:t>
      </w:r>
      <w:r w:rsidRPr="00A54637">
        <w:tab/>
        <w:t>Proposed MBS item descriptor – pre-surgical suitability assessment</w:t>
      </w:r>
      <w:bookmarkEnd w:id="5"/>
    </w:p>
    <w:tbl>
      <w:tblPr>
        <w:tblStyle w:val="TableGrid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item descriptor – pre-surgical suitability assessment"/>
      </w:tblPr>
      <w:tblGrid>
        <w:gridCol w:w="9016"/>
      </w:tblGrid>
      <w:tr w:rsidR="003020C9" w:rsidRPr="00A54637" w14:paraId="1E25A209" w14:textId="77777777" w:rsidTr="00A313B1">
        <w:trPr>
          <w:cnfStyle w:val="100000000000" w:firstRow="1" w:lastRow="0" w:firstColumn="0" w:lastColumn="0" w:oddVBand="0" w:evenVBand="0" w:oddHBand="0" w:evenHBand="0" w:firstRowFirstColumn="0" w:firstRowLastColumn="0" w:lastRowFirstColumn="0" w:lastRowLastColumn="0"/>
        </w:trPr>
        <w:tc>
          <w:tcPr>
            <w:tcW w:w="5000" w:type="pct"/>
          </w:tcPr>
          <w:p w14:paraId="126A96BE" w14:textId="77777777" w:rsidR="003020C9" w:rsidRPr="00A54637" w:rsidRDefault="003020C9" w:rsidP="00A313B1">
            <w:pPr>
              <w:pStyle w:val="Tabletextright"/>
              <w:keepNext w:val="0"/>
              <w:rPr>
                <w:sz w:val="24"/>
              </w:rPr>
            </w:pPr>
            <w:r w:rsidRPr="00A54637">
              <w:t xml:space="preserve">Category 5 – DIAGNOSTIC IMAGING SERVICES </w:t>
            </w:r>
          </w:p>
        </w:tc>
      </w:tr>
      <w:tr w:rsidR="003020C9" w:rsidRPr="00A54637" w14:paraId="0FD51AA5" w14:textId="77777777" w:rsidTr="00A313B1">
        <w:tc>
          <w:tcPr>
            <w:tcW w:w="5000" w:type="pct"/>
          </w:tcPr>
          <w:p w14:paraId="58B32DBA" w14:textId="40C29A0E" w:rsidR="003020C9" w:rsidRPr="00A54637" w:rsidRDefault="003020C9" w:rsidP="00A313B1">
            <w:pPr>
              <w:pStyle w:val="Tabletext"/>
              <w:rPr>
                <w:snapToGrid w:val="0"/>
              </w:rPr>
            </w:pPr>
            <w:r w:rsidRPr="00A54637">
              <w:rPr>
                <w:snapToGrid w:val="0"/>
              </w:rP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07AEF081" w14:textId="049CD844" w:rsidR="003020C9" w:rsidRPr="00A54637" w:rsidRDefault="003020C9" w:rsidP="00957845">
            <w:pPr>
              <w:pStyle w:val="Tabletext"/>
              <w:spacing w:before="240" w:after="240"/>
              <w:rPr>
                <w:snapToGrid w:val="0"/>
              </w:rPr>
            </w:pPr>
            <w:r w:rsidRPr="00A54637">
              <w:rPr>
                <w:snapToGrid w:val="0"/>
              </w:rPr>
              <w:t>Assessment of suitability for treatment of essential tremor with MRI-guided focused ultrasound</w:t>
            </w:r>
          </w:p>
          <w:p w14:paraId="5D4D453A" w14:textId="77777777" w:rsidR="003020C9" w:rsidRPr="00A54637" w:rsidRDefault="003020C9" w:rsidP="00A313B1">
            <w:pPr>
              <w:pStyle w:val="Tabletext"/>
              <w:rPr>
                <w:snapToGrid w:val="0"/>
              </w:rPr>
            </w:pPr>
            <w:r w:rsidRPr="00A54637">
              <w:rPr>
                <w:snapToGrid w:val="0"/>
              </w:rPr>
              <w:t>Essential tremor where:</w:t>
            </w:r>
          </w:p>
          <w:p w14:paraId="78659D08" w14:textId="77777777" w:rsidR="003020C9" w:rsidRPr="00A54637" w:rsidRDefault="003020C9" w:rsidP="00A313B1">
            <w:pPr>
              <w:pStyle w:val="Tabletext"/>
              <w:rPr>
                <w:snapToGrid w:val="0"/>
                <w:lang w:val="en-US"/>
              </w:rPr>
            </w:pPr>
            <w:r w:rsidRPr="00A54637">
              <w:rPr>
                <w:snapToGrid w:val="0"/>
                <w:lang w:val="en-US"/>
              </w:rPr>
              <w:t>(a)</w:t>
            </w:r>
            <w:r w:rsidRPr="00A54637">
              <w:rPr>
                <w:snapToGrid w:val="0"/>
                <w:lang w:val="en-US"/>
              </w:rPr>
              <w:tab/>
              <w:t>Symptoms cause severe disability, and</w:t>
            </w:r>
          </w:p>
          <w:p w14:paraId="37AE3040" w14:textId="06ECFFCA" w:rsidR="003020C9" w:rsidRPr="00A54637" w:rsidRDefault="003020C9" w:rsidP="00A313B1">
            <w:pPr>
              <w:pStyle w:val="Tabletext"/>
              <w:rPr>
                <w:snapToGrid w:val="0"/>
                <w:lang w:val="en-US"/>
              </w:rPr>
            </w:pPr>
            <w:r w:rsidRPr="00A54637">
              <w:rPr>
                <w:snapToGrid w:val="0"/>
                <w:lang w:val="en-US"/>
              </w:rPr>
              <w:t>(b)</w:t>
            </w:r>
            <w:r w:rsidRPr="00A54637">
              <w:rPr>
                <w:snapToGrid w:val="0"/>
                <w:lang w:val="en-US"/>
              </w:rPr>
              <w:tab/>
              <w:t>Tremor has proven refractory to, or recurred following, maximal medical therapy</w:t>
            </w:r>
          </w:p>
          <w:p w14:paraId="68593F37" w14:textId="4D1DACCB" w:rsidR="003020C9" w:rsidRPr="00A54637" w:rsidRDefault="003020C9" w:rsidP="00957845">
            <w:pPr>
              <w:pStyle w:val="Tabletext"/>
              <w:spacing w:before="240" w:after="240"/>
              <w:rPr>
                <w:snapToGrid w:val="0"/>
                <w:lang w:val="en-US"/>
              </w:rPr>
            </w:pPr>
            <w:r w:rsidRPr="00A54637">
              <w:rPr>
                <w:snapToGrid w:val="0"/>
                <w:lang w:val="en-US"/>
              </w:rPr>
              <w:t xml:space="preserve">The service is not applicable to patients with a primary diagnosis of Parkinson’s </w:t>
            </w:r>
            <w:proofErr w:type="spellStart"/>
            <w:r w:rsidRPr="00A54637">
              <w:rPr>
                <w:snapToGrid w:val="0"/>
                <w:lang w:val="en-US"/>
              </w:rPr>
              <w:t>disease</w:t>
            </w:r>
            <w:r w:rsidRPr="00A54637">
              <w:rPr>
                <w:snapToGrid w:val="0"/>
                <w:vertAlign w:val="superscript"/>
                <w:lang w:val="en-US"/>
              </w:rPr>
              <w:t>a</w:t>
            </w:r>
            <w:proofErr w:type="spellEnd"/>
          </w:p>
          <w:p w14:paraId="42DB0D67" w14:textId="77777777" w:rsidR="003020C9" w:rsidRPr="00A54637" w:rsidRDefault="003020C9" w:rsidP="00A313B1">
            <w:pPr>
              <w:pStyle w:val="Tabletext"/>
              <w:rPr>
                <w:snapToGrid w:val="0"/>
              </w:rPr>
            </w:pPr>
            <w:r w:rsidRPr="00A54637">
              <w:rPr>
                <w:snapToGrid w:val="0"/>
              </w:rPr>
              <w:t>Bulk bill incentive</w:t>
            </w:r>
          </w:p>
          <w:p w14:paraId="689DFBE3" w14:textId="77777777" w:rsidR="003020C9" w:rsidRPr="00A54637" w:rsidRDefault="003020C9" w:rsidP="00A313B1">
            <w:pPr>
              <w:pStyle w:val="Tabletext"/>
              <w:rPr>
                <w:snapToGrid w:val="0"/>
              </w:rPr>
            </w:pPr>
            <w:r w:rsidRPr="00A54637">
              <w:rPr>
                <w:snapToGrid w:val="0"/>
              </w:rPr>
              <w:t>(</w:t>
            </w:r>
            <w:proofErr w:type="spellStart"/>
            <w:r w:rsidRPr="00A54637">
              <w:rPr>
                <w:snapToGrid w:val="0"/>
              </w:rPr>
              <w:t>Anaes</w:t>
            </w:r>
            <w:proofErr w:type="spellEnd"/>
            <w:r w:rsidRPr="00A54637">
              <w:rPr>
                <w:snapToGrid w:val="0"/>
              </w:rPr>
              <w:t>.)</w:t>
            </w:r>
          </w:p>
        </w:tc>
      </w:tr>
      <w:tr w:rsidR="003020C9" w:rsidRPr="00A54637" w14:paraId="2F1635A8" w14:textId="77777777" w:rsidTr="00A313B1">
        <w:tc>
          <w:tcPr>
            <w:tcW w:w="5000" w:type="pct"/>
          </w:tcPr>
          <w:p w14:paraId="7D6BE3FC" w14:textId="77777777" w:rsidR="003020C9" w:rsidRPr="00A54637" w:rsidRDefault="003020C9" w:rsidP="00A313B1">
            <w:pPr>
              <w:pStyle w:val="Tabletext"/>
              <w:keepNext/>
              <w:keepLines/>
              <w:rPr>
                <w:sz w:val="24"/>
              </w:rPr>
            </w:pPr>
            <w:r w:rsidRPr="00A54637">
              <w:rPr>
                <w:snapToGrid w:val="0"/>
                <w:u w:val="dotted"/>
                <w:lang w:val="en-US"/>
              </w:rPr>
              <w:t>MBS Fee: $</w:t>
            </w:r>
            <w:r w:rsidRPr="00A54637">
              <w:rPr>
                <w:snapToGrid w:val="0"/>
                <w:lang w:val="en-US"/>
              </w:rPr>
              <w:t>403.20 Benefit: 75% = $302.40 85% = $342.75</w:t>
            </w:r>
          </w:p>
        </w:tc>
      </w:tr>
    </w:tbl>
    <w:p w14:paraId="0215324C" w14:textId="77777777" w:rsidR="003020C9" w:rsidRPr="00A54637" w:rsidRDefault="003020C9" w:rsidP="007379FE">
      <w:pPr>
        <w:pStyle w:val="TableNote"/>
      </w:pPr>
      <w:r w:rsidRPr="00A54637">
        <w:t>Source: First MBS listed item in Table 2, page 21 of the resubmission</w:t>
      </w:r>
      <w:r w:rsidRPr="00A54637">
        <w:br/>
        <w:t xml:space="preserve">a Note: Does not exclude patients with a primary diagnosis of ET with parkinsonian features consistent with the definition of ET plus </w:t>
      </w:r>
    </w:p>
    <w:p w14:paraId="02372CEF" w14:textId="4E2B4B16" w:rsidR="003020C9" w:rsidRPr="00A54637" w:rsidRDefault="003020C9" w:rsidP="003020C9">
      <w:pPr>
        <w:pStyle w:val="Caption"/>
      </w:pPr>
      <w:bookmarkStart w:id="6" w:name="_Ref89184936"/>
      <w:bookmarkStart w:id="7" w:name="_Toc92902634"/>
      <w:r w:rsidRPr="00A54637">
        <w:t xml:space="preserve">Table </w:t>
      </w:r>
      <w:bookmarkEnd w:id="6"/>
      <w:r w:rsidR="00A3355B" w:rsidRPr="00A54637">
        <w:t>3</w:t>
      </w:r>
      <w:r w:rsidRPr="00A54637">
        <w:t xml:space="preserve"> </w:t>
      </w:r>
      <w:r w:rsidRPr="00A54637">
        <w:tab/>
        <w:t>Proposed MBS item descriptor – pre-surgical planning</w:t>
      </w:r>
      <w:bookmarkEnd w:id="7"/>
    </w:p>
    <w:tbl>
      <w:tblPr>
        <w:tblStyle w:val="TableGrid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item descriptor – pre-surgical planning"/>
      </w:tblPr>
      <w:tblGrid>
        <w:gridCol w:w="9016"/>
      </w:tblGrid>
      <w:tr w:rsidR="003020C9" w:rsidRPr="00A54637" w14:paraId="7BB0B78E" w14:textId="77777777" w:rsidTr="00A313B1">
        <w:trPr>
          <w:cnfStyle w:val="100000000000" w:firstRow="1" w:lastRow="0" w:firstColumn="0" w:lastColumn="0" w:oddVBand="0" w:evenVBand="0" w:oddHBand="0" w:evenHBand="0" w:firstRowFirstColumn="0" w:firstRowLastColumn="0" w:lastRowFirstColumn="0" w:lastRowLastColumn="0"/>
        </w:trPr>
        <w:tc>
          <w:tcPr>
            <w:tcW w:w="5000" w:type="pct"/>
          </w:tcPr>
          <w:p w14:paraId="19C37D75" w14:textId="77777777" w:rsidR="003020C9" w:rsidRPr="00A54637" w:rsidRDefault="003020C9" w:rsidP="00A313B1">
            <w:pPr>
              <w:pStyle w:val="Tabletextright"/>
              <w:rPr>
                <w:sz w:val="24"/>
              </w:rPr>
            </w:pPr>
            <w:r w:rsidRPr="00A54637">
              <w:t xml:space="preserve">Category 5 – DIAGNOSTIC IMAGING SERVICES </w:t>
            </w:r>
          </w:p>
        </w:tc>
      </w:tr>
      <w:tr w:rsidR="003020C9" w:rsidRPr="00A54637" w14:paraId="5A87A3DF" w14:textId="77777777" w:rsidTr="00A313B1">
        <w:tc>
          <w:tcPr>
            <w:tcW w:w="5000" w:type="pct"/>
          </w:tcPr>
          <w:p w14:paraId="28EAC144" w14:textId="259C928B" w:rsidR="003020C9" w:rsidRPr="00A54637" w:rsidRDefault="003020C9" w:rsidP="00957845">
            <w:pPr>
              <w:pStyle w:val="Tabletext"/>
              <w:spacing w:after="240"/>
              <w:rPr>
                <w:snapToGrid w:val="0"/>
              </w:rPr>
            </w:pPr>
            <w:r w:rsidRPr="00A54637">
              <w:rPr>
                <w:snapToGrid w:val="0"/>
              </w:rPr>
              <w:t>MAGNETIC RESONANCE IMAGING (including Magnetic Resonance Angiography if performed) and stereotactic anatomic localisation, performed under the professional supervision of an eligible provider at an eligible location where the patient is referred by a specialist or by a consultant physician - scan of head for:</w:t>
            </w:r>
          </w:p>
          <w:p w14:paraId="5105084C" w14:textId="77777777" w:rsidR="003020C9" w:rsidRPr="00A54637" w:rsidRDefault="003020C9" w:rsidP="00A313B1">
            <w:pPr>
              <w:pStyle w:val="Tabletext"/>
              <w:numPr>
                <w:ilvl w:val="0"/>
                <w:numId w:val="15"/>
              </w:numPr>
              <w:rPr>
                <w:snapToGrid w:val="0"/>
              </w:rPr>
            </w:pPr>
            <w:r w:rsidRPr="00A54637">
              <w:rPr>
                <w:snapToGrid w:val="0"/>
              </w:rPr>
              <w:t>Stereotactic scan of brain, with frame in place</w:t>
            </w:r>
          </w:p>
          <w:p w14:paraId="5814BB9A" w14:textId="46648A2E" w:rsidR="003020C9" w:rsidRPr="00A54637" w:rsidRDefault="003020C9" w:rsidP="00957845">
            <w:pPr>
              <w:pStyle w:val="Tabletext"/>
              <w:numPr>
                <w:ilvl w:val="0"/>
                <w:numId w:val="15"/>
              </w:numPr>
              <w:rPr>
                <w:snapToGrid w:val="0"/>
              </w:rPr>
            </w:pPr>
            <w:r w:rsidRPr="00A54637">
              <w:rPr>
                <w:snapToGrid w:val="0"/>
              </w:rPr>
              <w:t xml:space="preserve">Computerised planning and target verification </w:t>
            </w:r>
          </w:p>
          <w:p w14:paraId="4B53B34F" w14:textId="1A15E799" w:rsidR="003020C9" w:rsidRPr="00A54637" w:rsidRDefault="003020C9" w:rsidP="00957845">
            <w:pPr>
              <w:pStyle w:val="Tabletext"/>
              <w:spacing w:before="240" w:after="240"/>
              <w:rPr>
                <w:snapToGrid w:val="0"/>
              </w:rPr>
            </w:pPr>
            <w:r w:rsidRPr="00A54637">
              <w:rPr>
                <w:snapToGrid w:val="0"/>
              </w:rPr>
              <w:t>For the sole purpose of conducting MRI-guided focused ultrasound</w:t>
            </w:r>
          </w:p>
          <w:p w14:paraId="6512A8B3" w14:textId="77777777" w:rsidR="003020C9" w:rsidRPr="00A54637" w:rsidRDefault="003020C9" w:rsidP="00A313B1">
            <w:pPr>
              <w:pStyle w:val="Tabletext"/>
              <w:rPr>
                <w:snapToGrid w:val="0"/>
              </w:rPr>
            </w:pPr>
            <w:r w:rsidRPr="00A54637">
              <w:rPr>
                <w:snapToGrid w:val="0"/>
              </w:rPr>
              <w:t>Bulk bill incentive</w:t>
            </w:r>
          </w:p>
          <w:p w14:paraId="17DED46A" w14:textId="77777777" w:rsidR="003020C9" w:rsidRPr="00A54637" w:rsidRDefault="003020C9" w:rsidP="00A313B1">
            <w:pPr>
              <w:pStyle w:val="Tabletext"/>
              <w:rPr>
                <w:snapToGrid w:val="0"/>
                <w:sz w:val="24"/>
              </w:rPr>
            </w:pPr>
            <w:r w:rsidRPr="00A54637">
              <w:rPr>
                <w:snapToGrid w:val="0"/>
              </w:rPr>
              <w:t>(</w:t>
            </w:r>
            <w:proofErr w:type="spellStart"/>
            <w:r w:rsidRPr="00A54637">
              <w:rPr>
                <w:snapToGrid w:val="0"/>
              </w:rPr>
              <w:t>Anaes</w:t>
            </w:r>
            <w:proofErr w:type="spellEnd"/>
            <w:r w:rsidRPr="00A54637">
              <w:rPr>
                <w:snapToGrid w:val="0"/>
              </w:rPr>
              <w:t>.)</w:t>
            </w:r>
          </w:p>
        </w:tc>
      </w:tr>
      <w:tr w:rsidR="003020C9" w:rsidRPr="00A54637" w14:paraId="324E194D" w14:textId="77777777" w:rsidTr="00A313B1">
        <w:tc>
          <w:tcPr>
            <w:tcW w:w="5000" w:type="pct"/>
          </w:tcPr>
          <w:p w14:paraId="20A69926" w14:textId="77777777" w:rsidR="003020C9" w:rsidRPr="00A54637" w:rsidRDefault="003020C9" w:rsidP="00A313B1">
            <w:pPr>
              <w:pStyle w:val="Tabletext"/>
              <w:rPr>
                <w:snapToGrid w:val="0"/>
              </w:rPr>
            </w:pPr>
            <w:r w:rsidRPr="00A54637">
              <w:rPr>
                <w:snapToGrid w:val="0"/>
              </w:rPr>
              <w:t>MBS Fee: $994.60 Benefit: 75% = $745.95 85% = $845.41</w:t>
            </w:r>
          </w:p>
        </w:tc>
      </w:tr>
    </w:tbl>
    <w:p w14:paraId="792D7849" w14:textId="77777777" w:rsidR="003020C9" w:rsidRPr="00A54637" w:rsidRDefault="003020C9" w:rsidP="003020C9">
      <w:pPr>
        <w:pStyle w:val="TableNote"/>
      </w:pPr>
      <w:r w:rsidRPr="00A54637">
        <w:t>Source: Second MBS item listed in Table 2, page 21 of the resubmission</w:t>
      </w:r>
    </w:p>
    <w:p w14:paraId="606C7623" w14:textId="1F4443CE" w:rsidR="003020C9" w:rsidRPr="00A54637" w:rsidRDefault="003020C9" w:rsidP="00A32BC5">
      <w:pPr>
        <w:pStyle w:val="Caption"/>
        <w:keepLines/>
      </w:pPr>
      <w:bookmarkStart w:id="8" w:name="_Ref89185148"/>
      <w:bookmarkStart w:id="9" w:name="_Ref89185375"/>
      <w:bookmarkStart w:id="10" w:name="_Toc92902635"/>
      <w:r w:rsidRPr="00A54637">
        <w:t xml:space="preserve">Table </w:t>
      </w:r>
      <w:bookmarkEnd w:id="8"/>
      <w:bookmarkEnd w:id="9"/>
      <w:r w:rsidR="00A3355B" w:rsidRPr="00A54637">
        <w:t>4</w:t>
      </w:r>
      <w:r w:rsidRPr="00A54637">
        <w:tab/>
        <w:t>Proposed MBS item descriptor – Treatment/intraoperative procedure (neurology services)</w:t>
      </w:r>
      <w:bookmarkEnd w:id="10"/>
    </w:p>
    <w:tbl>
      <w:tblPr>
        <w:tblStyle w:val="TableGrid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item descriptor – Treatment/intraoperative procedure (neurology services)"/>
      </w:tblPr>
      <w:tblGrid>
        <w:gridCol w:w="9016"/>
      </w:tblGrid>
      <w:tr w:rsidR="003020C9" w:rsidRPr="00A54637" w14:paraId="76CFC61C" w14:textId="77777777" w:rsidTr="00A313B1">
        <w:trPr>
          <w:cnfStyle w:val="100000000000" w:firstRow="1" w:lastRow="0" w:firstColumn="0" w:lastColumn="0" w:oddVBand="0" w:evenVBand="0" w:oddHBand="0" w:evenHBand="0" w:firstRowFirstColumn="0" w:firstRowLastColumn="0" w:lastRowFirstColumn="0" w:lastRowLastColumn="0"/>
        </w:trPr>
        <w:tc>
          <w:tcPr>
            <w:tcW w:w="5000" w:type="pct"/>
          </w:tcPr>
          <w:p w14:paraId="3BFD1307" w14:textId="77777777" w:rsidR="003020C9" w:rsidRPr="00A54637" w:rsidRDefault="003020C9" w:rsidP="00A32BC5">
            <w:pPr>
              <w:pStyle w:val="Tabletextright"/>
              <w:keepLines/>
              <w:rPr>
                <w:sz w:val="24"/>
              </w:rPr>
            </w:pPr>
            <w:r w:rsidRPr="00A54637">
              <w:t xml:space="preserve">Category 3 – THERAPEUTIC PROCEDURES </w:t>
            </w:r>
          </w:p>
        </w:tc>
      </w:tr>
      <w:tr w:rsidR="003020C9" w:rsidRPr="00A54637" w14:paraId="05BA0703" w14:textId="77777777" w:rsidTr="00A313B1">
        <w:tc>
          <w:tcPr>
            <w:tcW w:w="5000" w:type="pct"/>
          </w:tcPr>
          <w:p w14:paraId="1BF026D2" w14:textId="77777777" w:rsidR="003020C9" w:rsidRPr="00A54637" w:rsidRDefault="003020C9" w:rsidP="00A32BC5">
            <w:pPr>
              <w:keepNext/>
              <w:keepLines/>
              <w:rPr>
                <w:lang w:eastAsia="en-US"/>
              </w:rPr>
            </w:pPr>
            <w:r w:rsidRPr="00A54637">
              <w:rPr>
                <w:lang w:eastAsia="en-US"/>
              </w:rPr>
              <w:t>MRI-GUIDED FOCUSED ULTRASOUND (unilateral), target localisation incorporating anatomical and physiological techniques, including intraoperative clinical evaluation</w:t>
            </w:r>
          </w:p>
          <w:p w14:paraId="670E097F" w14:textId="77777777" w:rsidR="003020C9" w:rsidRPr="00A54637" w:rsidRDefault="003020C9" w:rsidP="00A32BC5">
            <w:pPr>
              <w:keepNext/>
              <w:keepLines/>
              <w:rPr>
                <w:lang w:eastAsia="en-US"/>
              </w:rPr>
            </w:pPr>
            <w:r w:rsidRPr="00A54637">
              <w:rPr>
                <w:lang w:eastAsia="en-US"/>
              </w:rPr>
              <w:t>Multiple Operation Rule</w:t>
            </w:r>
          </w:p>
          <w:p w14:paraId="208F4AB8" w14:textId="77777777" w:rsidR="003020C9" w:rsidRPr="00A54637" w:rsidRDefault="003020C9" w:rsidP="00A32BC5">
            <w:pPr>
              <w:keepNext/>
              <w:keepLines/>
              <w:rPr>
                <w:lang w:eastAsia="en-US"/>
              </w:rPr>
            </w:pPr>
            <w:r w:rsidRPr="00A54637">
              <w:rPr>
                <w:lang w:eastAsia="en-US"/>
              </w:rPr>
              <w:t>(</w:t>
            </w:r>
            <w:proofErr w:type="spellStart"/>
            <w:r w:rsidRPr="00A54637">
              <w:rPr>
                <w:lang w:eastAsia="en-US"/>
              </w:rPr>
              <w:t>Anaes</w:t>
            </w:r>
            <w:proofErr w:type="spellEnd"/>
            <w:r w:rsidRPr="00A54637">
              <w:rPr>
                <w:lang w:eastAsia="en-US"/>
              </w:rPr>
              <w:t>.) (Assist.)</w:t>
            </w:r>
          </w:p>
          <w:p w14:paraId="343238CE" w14:textId="77777777" w:rsidR="003020C9" w:rsidRPr="00A54637" w:rsidRDefault="003020C9" w:rsidP="00A32BC5">
            <w:pPr>
              <w:keepNext/>
              <w:keepLines/>
              <w:rPr>
                <w:b/>
                <w:bCs/>
                <w:i/>
                <w:iCs/>
                <w:color w:val="1F497D" w:themeColor="text2"/>
                <w:lang w:eastAsia="en-US"/>
              </w:rPr>
            </w:pPr>
            <w:r w:rsidRPr="00A54637">
              <w:rPr>
                <w:b/>
                <w:bCs/>
                <w:i/>
                <w:iCs/>
              </w:rPr>
              <w:t>Claimable only once per patient per lifetime.</w:t>
            </w:r>
          </w:p>
        </w:tc>
      </w:tr>
      <w:tr w:rsidR="003020C9" w:rsidRPr="00A54637" w14:paraId="73D301CF" w14:textId="77777777" w:rsidTr="00A313B1">
        <w:tc>
          <w:tcPr>
            <w:tcW w:w="5000" w:type="pct"/>
          </w:tcPr>
          <w:p w14:paraId="4CABBF34" w14:textId="77777777" w:rsidR="003020C9" w:rsidRPr="00A54637" w:rsidRDefault="003020C9" w:rsidP="00A32BC5">
            <w:pPr>
              <w:pStyle w:val="Tabletext"/>
              <w:keepNext/>
              <w:keepLines/>
              <w:rPr>
                <w:sz w:val="24"/>
              </w:rPr>
            </w:pPr>
            <w:r w:rsidRPr="00A54637">
              <w:t>MBS Fee: $2,055.05 Benefit: 75% = $1,541.29</w:t>
            </w:r>
          </w:p>
        </w:tc>
      </w:tr>
    </w:tbl>
    <w:p w14:paraId="00F94CD4" w14:textId="77777777" w:rsidR="003020C9" w:rsidRPr="00A54637" w:rsidRDefault="003020C9" w:rsidP="00A32BC5">
      <w:pPr>
        <w:pStyle w:val="TableNote"/>
        <w:keepNext/>
        <w:spacing w:after="0"/>
      </w:pPr>
      <w:r w:rsidRPr="00A54637">
        <w:t>Source: Third MBS item listed in Table 2, page 21 of the resubmission</w:t>
      </w:r>
    </w:p>
    <w:p w14:paraId="34DA8013" w14:textId="2B219819" w:rsidR="00B03054" w:rsidRPr="00A54637" w:rsidRDefault="00A8674A" w:rsidP="00B03054">
      <w:pPr>
        <w:pStyle w:val="Tablenotes"/>
        <w:keepNext/>
        <w:keepLines/>
        <w:widowControl/>
      </w:pPr>
      <w:r w:rsidRPr="00A54637">
        <w:rPr>
          <w:b/>
          <w:bCs/>
        </w:rPr>
        <w:t>Bold italicised</w:t>
      </w:r>
      <w:r w:rsidRPr="00A54637">
        <w:t xml:space="preserve"> </w:t>
      </w:r>
      <w:r w:rsidR="003020C9" w:rsidRPr="00A54637">
        <w:t xml:space="preserve">denotes the resubmission reinstating the restriction to limit </w:t>
      </w:r>
      <w:proofErr w:type="spellStart"/>
      <w:r w:rsidR="003020C9" w:rsidRPr="00A54637">
        <w:t>MRgFUS</w:t>
      </w:r>
      <w:proofErr w:type="spellEnd"/>
      <w:r w:rsidR="003020C9" w:rsidRPr="00A54637">
        <w:t xml:space="preserve"> to once per patient per lifetime (as requested by ESC)</w:t>
      </w:r>
      <w:bookmarkStart w:id="11" w:name="_Ref89185156"/>
      <w:bookmarkStart w:id="12" w:name="_Ref89185386"/>
      <w:bookmarkStart w:id="13" w:name="_Toc92902636"/>
      <w:r w:rsidR="00B03054" w:rsidRPr="00A54637">
        <w:br w:type="page"/>
      </w:r>
    </w:p>
    <w:p w14:paraId="15ED9A1C" w14:textId="28E002DC" w:rsidR="003020C9" w:rsidRPr="00A54637" w:rsidRDefault="003020C9" w:rsidP="007379FE">
      <w:pPr>
        <w:pStyle w:val="Caption"/>
        <w:spacing w:before="240"/>
      </w:pPr>
      <w:r w:rsidRPr="00A54637">
        <w:lastRenderedPageBreak/>
        <w:t xml:space="preserve">Table </w:t>
      </w:r>
      <w:bookmarkEnd w:id="11"/>
      <w:bookmarkEnd w:id="12"/>
      <w:r w:rsidR="00A3355B" w:rsidRPr="00A54637">
        <w:t>5</w:t>
      </w:r>
      <w:r w:rsidRPr="00A54637">
        <w:tab/>
        <w:t>Proposed MBS item descriptor – Treatment/intraoperative procedure (neurosurgery services)</w:t>
      </w:r>
      <w:bookmarkEnd w:id="13"/>
    </w:p>
    <w:tbl>
      <w:tblPr>
        <w:tblStyle w:val="TableGrid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item descriptor – Treatment/intraoperative procedure (neurosurgery services)"/>
      </w:tblPr>
      <w:tblGrid>
        <w:gridCol w:w="9016"/>
      </w:tblGrid>
      <w:tr w:rsidR="003020C9" w:rsidRPr="00A54637" w14:paraId="7AF9C7CD" w14:textId="77777777" w:rsidTr="00A313B1">
        <w:trPr>
          <w:cnfStyle w:val="100000000000" w:firstRow="1" w:lastRow="0" w:firstColumn="0" w:lastColumn="0" w:oddVBand="0" w:evenVBand="0" w:oddHBand="0" w:evenHBand="0" w:firstRowFirstColumn="0" w:firstRowLastColumn="0" w:lastRowFirstColumn="0" w:lastRowLastColumn="0"/>
        </w:trPr>
        <w:tc>
          <w:tcPr>
            <w:tcW w:w="5000" w:type="pct"/>
          </w:tcPr>
          <w:p w14:paraId="573DDAA5" w14:textId="77777777" w:rsidR="003020C9" w:rsidRPr="00A54637" w:rsidRDefault="003020C9" w:rsidP="00A313B1">
            <w:pPr>
              <w:pStyle w:val="Tabletextright"/>
              <w:rPr>
                <w:sz w:val="24"/>
              </w:rPr>
            </w:pPr>
            <w:r w:rsidRPr="00A54637">
              <w:t xml:space="preserve">Category 3 – THERAPEUTIC PROCEDURES </w:t>
            </w:r>
          </w:p>
        </w:tc>
      </w:tr>
      <w:tr w:rsidR="003020C9" w:rsidRPr="00A54637" w14:paraId="36C9E187" w14:textId="77777777" w:rsidTr="00A313B1">
        <w:tc>
          <w:tcPr>
            <w:tcW w:w="5000" w:type="pct"/>
          </w:tcPr>
          <w:p w14:paraId="5B72F7D6" w14:textId="77777777" w:rsidR="003020C9" w:rsidRPr="00A54637" w:rsidRDefault="003020C9" w:rsidP="00A313B1">
            <w:pPr>
              <w:rPr>
                <w:lang w:eastAsia="en-US"/>
              </w:rPr>
            </w:pPr>
            <w:r w:rsidRPr="00A54637">
              <w:rPr>
                <w:lang w:eastAsia="en-US"/>
              </w:rPr>
              <w:t xml:space="preserve">MRI-GUIDED FOCUSED ULTRASOUND (unilateral) procedure including computer assisted anatomical localisation, physiological localisation, and lesion production in the basal ganglia, brain stem, </w:t>
            </w:r>
            <w:proofErr w:type="gramStart"/>
            <w:r w:rsidRPr="00A54637">
              <w:rPr>
                <w:lang w:eastAsia="en-US"/>
              </w:rPr>
              <w:t>thalamus</w:t>
            </w:r>
            <w:proofErr w:type="gramEnd"/>
            <w:r w:rsidRPr="00A54637">
              <w:rPr>
                <w:lang w:eastAsia="en-US"/>
              </w:rPr>
              <w:t xml:space="preserve"> or deep white matter tracts, for the treatment of:</w:t>
            </w:r>
          </w:p>
          <w:p w14:paraId="649AAA07" w14:textId="77777777" w:rsidR="003020C9" w:rsidRPr="00A54637" w:rsidRDefault="003020C9" w:rsidP="00A313B1">
            <w:pPr>
              <w:rPr>
                <w:lang w:eastAsia="en-US"/>
              </w:rPr>
            </w:pPr>
            <w:r w:rsidRPr="00A54637">
              <w:rPr>
                <w:lang w:eastAsia="en-US"/>
              </w:rPr>
              <w:t>Essential tremor where:</w:t>
            </w:r>
          </w:p>
          <w:p w14:paraId="1C79ADDB" w14:textId="77777777" w:rsidR="003020C9" w:rsidRPr="00A54637" w:rsidRDefault="003020C9" w:rsidP="00A313B1">
            <w:pPr>
              <w:rPr>
                <w:lang w:val="en-US" w:eastAsia="en-US"/>
              </w:rPr>
            </w:pPr>
            <w:r w:rsidRPr="00A54637">
              <w:rPr>
                <w:lang w:val="en-US" w:eastAsia="en-US"/>
              </w:rPr>
              <w:t>(a)</w:t>
            </w:r>
            <w:r w:rsidRPr="00A54637">
              <w:rPr>
                <w:lang w:val="en-US" w:eastAsia="en-US"/>
              </w:rPr>
              <w:tab/>
              <w:t>Symptoms cause severe disability, and</w:t>
            </w:r>
          </w:p>
          <w:p w14:paraId="030F5FD6" w14:textId="77777777" w:rsidR="003020C9" w:rsidRPr="00A54637" w:rsidRDefault="003020C9" w:rsidP="00A313B1">
            <w:pPr>
              <w:rPr>
                <w:lang w:val="en-US" w:eastAsia="en-US"/>
              </w:rPr>
            </w:pPr>
            <w:r w:rsidRPr="00A54637">
              <w:rPr>
                <w:lang w:val="en-US" w:eastAsia="en-US"/>
              </w:rPr>
              <w:t>(b)</w:t>
            </w:r>
            <w:r w:rsidRPr="00A54637">
              <w:rPr>
                <w:lang w:val="en-US" w:eastAsia="en-US"/>
              </w:rPr>
              <w:tab/>
              <w:t>Tremor has proven refractory to, or recurred following, maximal medical therapy</w:t>
            </w:r>
          </w:p>
          <w:p w14:paraId="7FDC4DD5" w14:textId="77777777" w:rsidR="003020C9" w:rsidRPr="00A54637" w:rsidRDefault="003020C9" w:rsidP="00A313B1">
            <w:pPr>
              <w:rPr>
                <w:lang w:val="en-US" w:eastAsia="en-US"/>
              </w:rPr>
            </w:pPr>
            <w:r w:rsidRPr="00A54637">
              <w:rPr>
                <w:lang w:val="en-US" w:eastAsia="en-US"/>
              </w:rPr>
              <w:t xml:space="preserve">The service is not applicable to patients with a primary diagnosis of Parkinson’s </w:t>
            </w:r>
            <w:proofErr w:type="spellStart"/>
            <w:r w:rsidRPr="00A54637">
              <w:rPr>
                <w:lang w:val="en-US" w:eastAsia="en-US"/>
              </w:rPr>
              <w:t>disease</w:t>
            </w:r>
            <w:r w:rsidRPr="00A54637">
              <w:rPr>
                <w:vertAlign w:val="superscript"/>
                <w:lang w:val="en-US" w:eastAsia="en-US"/>
              </w:rPr>
              <w:t>a</w:t>
            </w:r>
            <w:proofErr w:type="spellEnd"/>
          </w:p>
          <w:p w14:paraId="41A2F452" w14:textId="77777777" w:rsidR="003020C9" w:rsidRPr="00A54637" w:rsidRDefault="003020C9" w:rsidP="00A313B1">
            <w:pPr>
              <w:rPr>
                <w:lang w:eastAsia="en-US"/>
              </w:rPr>
            </w:pPr>
            <w:r w:rsidRPr="00A54637">
              <w:rPr>
                <w:lang w:eastAsia="en-US"/>
              </w:rPr>
              <w:t>Multiple Operation Rule</w:t>
            </w:r>
          </w:p>
          <w:p w14:paraId="2383B5A6" w14:textId="77777777" w:rsidR="003020C9" w:rsidRPr="00A54637" w:rsidRDefault="003020C9" w:rsidP="00A313B1">
            <w:pPr>
              <w:rPr>
                <w:lang w:eastAsia="en-US"/>
              </w:rPr>
            </w:pPr>
            <w:r w:rsidRPr="00A54637">
              <w:rPr>
                <w:lang w:eastAsia="en-US"/>
              </w:rPr>
              <w:t>(</w:t>
            </w:r>
            <w:proofErr w:type="spellStart"/>
            <w:r w:rsidRPr="00A54637">
              <w:rPr>
                <w:lang w:eastAsia="en-US"/>
              </w:rPr>
              <w:t>Anaes</w:t>
            </w:r>
            <w:proofErr w:type="spellEnd"/>
            <w:r w:rsidRPr="00A54637">
              <w:rPr>
                <w:lang w:eastAsia="en-US"/>
              </w:rPr>
              <w:t>.) (Assist.)</w:t>
            </w:r>
          </w:p>
          <w:p w14:paraId="0EDC5C34" w14:textId="711BE687" w:rsidR="003020C9" w:rsidRPr="00A54637" w:rsidRDefault="00A8674A" w:rsidP="00A313B1">
            <w:pPr>
              <w:rPr>
                <w:snapToGrid w:val="0"/>
              </w:rPr>
            </w:pPr>
            <w:r w:rsidRPr="00A54637">
              <w:rPr>
                <w:b/>
                <w:bCs/>
                <w:i/>
                <w:iCs/>
              </w:rPr>
              <w:t>Claimable only once per patient per lifetime</w:t>
            </w:r>
          </w:p>
        </w:tc>
      </w:tr>
      <w:tr w:rsidR="003020C9" w:rsidRPr="00A54637" w14:paraId="4A122794" w14:textId="77777777" w:rsidTr="00A313B1">
        <w:tc>
          <w:tcPr>
            <w:tcW w:w="5000" w:type="pct"/>
          </w:tcPr>
          <w:p w14:paraId="79DDB914" w14:textId="77777777" w:rsidR="003020C9" w:rsidRPr="00A54637" w:rsidRDefault="003020C9" w:rsidP="00A313B1">
            <w:pPr>
              <w:pStyle w:val="Tabletext"/>
              <w:rPr>
                <w:sz w:val="24"/>
              </w:rPr>
            </w:pPr>
            <w:r w:rsidRPr="00A54637">
              <w:rPr>
                <w:snapToGrid w:val="0"/>
              </w:rPr>
              <w:t>MBS Fee: $3,165.50 Benefit: 75% = $2,372.62</w:t>
            </w:r>
          </w:p>
        </w:tc>
      </w:tr>
    </w:tbl>
    <w:p w14:paraId="35854796" w14:textId="77777777" w:rsidR="003020C9" w:rsidRPr="00A54637" w:rsidRDefault="003020C9" w:rsidP="003020C9">
      <w:pPr>
        <w:pStyle w:val="TableNote"/>
        <w:spacing w:after="0"/>
      </w:pPr>
      <w:r w:rsidRPr="00A54637">
        <w:t>Source: Fourth MBS item listed in Table 2, page 21 of the resubmission</w:t>
      </w:r>
      <w:r w:rsidRPr="00A54637">
        <w:br/>
        <w:t>a Note: Does not exclude patients with a primary diagnosis of ET with parkinsonian features consistent with the definition of ET plus</w:t>
      </w:r>
    </w:p>
    <w:p w14:paraId="551811C5" w14:textId="5667B77C" w:rsidR="003020C9" w:rsidRPr="00A54637" w:rsidRDefault="00A8674A" w:rsidP="007379FE">
      <w:pPr>
        <w:pStyle w:val="Tablenotes"/>
      </w:pPr>
      <w:r w:rsidRPr="00A54637">
        <w:rPr>
          <w:b/>
          <w:bCs/>
        </w:rPr>
        <w:t>Bold italicised</w:t>
      </w:r>
      <w:r w:rsidRPr="00A54637">
        <w:t xml:space="preserve"> </w:t>
      </w:r>
      <w:r w:rsidR="003020C9" w:rsidRPr="00A54637">
        <w:t xml:space="preserve">denotes the resubmission reinstating the restriction to limit </w:t>
      </w:r>
      <w:proofErr w:type="spellStart"/>
      <w:r w:rsidR="003020C9" w:rsidRPr="00A54637">
        <w:t>MRgFUS</w:t>
      </w:r>
      <w:proofErr w:type="spellEnd"/>
      <w:r w:rsidR="003020C9" w:rsidRPr="00A54637">
        <w:t xml:space="preserve"> to once per patient per lifetime (as requested by ESC)</w:t>
      </w:r>
    </w:p>
    <w:p w14:paraId="176E88F6" w14:textId="25B69B24" w:rsidR="003020C9" w:rsidRPr="00A54637" w:rsidRDefault="003020C9" w:rsidP="007379FE">
      <w:pPr>
        <w:pStyle w:val="Caption"/>
        <w:spacing w:before="240"/>
      </w:pPr>
      <w:bookmarkStart w:id="14" w:name="_Ref89185196"/>
      <w:bookmarkStart w:id="15" w:name="_Toc92902637"/>
      <w:r w:rsidRPr="00A54637">
        <w:t>Table</w:t>
      </w:r>
      <w:bookmarkEnd w:id="14"/>
      <w:r w:rsidR="00A3355B" w:rsidRPr="00A54637">
        <w:t xml:space="preserve"> 6</w:t>
      </w:r>
      <w:r w:rsidRPr="00A54637">
        <w:tab/>
        <w:t>Proposed MBS item descriptor – Post-surgical treatment assessment</w:t>
      </w:r>
      <w:bookmarkEnd w:id="15"/>
    </w:p>
    <w:tbl>
      <w:tblPr>
        <w:tblStyle w:val="TableGrid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item descriptor – Post-surgical treatment assessment"/>
      </w:tblPr>
      <w:tblGrid>
        <w:gridCol w:w="9016"/>
      </w:tblGrid>
      <w:tr w:rsidR="003020C9" w:rsidRPr="00A54637" w14:paraId="523A8B8F" w14:textId="77777777" w:rsidTr="00A313B1">
        <w:trPr>
          <w:cnfStyle w:val="100000000000" w:firstRow="1" w:lastRow="0" w:firstColumn="0" w:lastColumn="0" w:oddVBand="0" w:evenVBand="0" w:oddHBand="0" w:evenHBand="0" w:firstRowFirstColumn="0" w:firstRowLastColumn="0" w:lastRowFirstColumn="0" w:lastRowLastColumn="0"/>
        </w:trPr>
        <w:tc>
          <w:tcPr>
            <w:tcW w:w="5000" w:type="pct"/>
          </w:tcPr>
          <w:p w14:paraId="06890968" w14:textId="77777777" w:rsidR="003020C9" w:rsidRPr="00A54637" w:rsidRDefault="003020C9" w:rsidP="00A313B1">
            <w:pPr>
              <w:pStyle w:val="Tabletextright"/>
              <w:rPr>
                <w:sz w:val="24"/>
              </w:rPr>
            </w:pPr>
            <w:r w:rsidRPr="00A54637">
              <w:t xml:space="preserve">Category 5 – DIAGNOSTIC IMAGING SERVICES </w:t>
            </w:r>
          </w:p>
        </w:tc>
      </w:tr>
      <w:tr w:rsidR="003020C9" w:rsidRPr="00A54637" w14:paraId="787F8747" w14:textId="77777777" w:rsidTr="00A313B1">
        <w:tc>
          <w:tcPr>
            <w:tcW w:w="5000" w:type="pct"/>
          </w:tcPr>
          <w:p w14:paraId="2B08D04E" w14:textId="77777777" w:rsidR="003020C9" w:rsidRPr="00A54637" w:rsidRDefault="003020C9" w:rsidP="00A313B1">
            <w:pPr>
              <w:rPr>
                <w:lang w:eastAsia="en-US"/>
              </w:rPr>
            </w:pPr>
            <w:r w:rsidRPr="00A54637">
              <w:rPr>
                <w:lang w:eastAsia="en-US"/>
              </w:rP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0C2C14A2" w14:textId="77777777" w:rsidR="003020C9" w:rsidRPr="00A54637" w:rsidRDefault="003020C9" w:rsidP="00A313B1">
            <w:pPr>
              <w:rPr>
                <w:lang w:eastAsia="en-US"/>
              </w:rPr>
            </w:pPr>
            <w:r w:rsidRPr="00A54637">
              <w:rPr>
                <w:lang w:eastAsia="en-US"/>
              </w:rPr>
              <w:t>Assessment of treatment outcomes following MRI-guided focused ultrasound procedure</w:t>
            </w:r>
          </w:p>
          <w:p w14:paraId="12204B98" w14:textId="77777777" w:rsidR="003020C9" w:rsidRPr="00A54637" w:rsidRDefault="003020C9" w:rsidP="00A313B1">
            <w:pPr>
              <w:rPr>
                <w:lang w:eastAsia="en-US"/>
              </w:rPr>
            </w:pPr>
            <w:r w:rsidRPr="00A54637">
              <w:rPr>
                <w:lang w:eastAsia="en-US"/>
              </w:rPr>
              <w:t>Bulk bill incentive</w:t>
            </w:r>
          </w:p>
          <w:p w14:paraId="7C00B74B" w14:textId="77777777" w:rsidR="003020C9" w:rsidRPr="00A54637" w:rsidRDefault="003020C9" w:rsidP="00A313B1">
            <w:pPr>
              <w:rPr>
                <w:lang w:eastAsia="en-US"/>
              </w:rPr>
            </w:pPr>
            <w:r w:rsidRPr="00A54637">
              <w:rPr>
                <w:lang w:eastAsia="en-US"/>
              </w:rPr>
              <w:t>(</w:t>
            </w:r>
            <w:proofErr w:type="spellStart"/>
            <w:r w:rsidRPr="00A54637">
              <w:rPr>
                <w:lang w:eastAsia="en-US"/>
              </w:rPr>
              <w:t>Anaes</w:t>
            </w:r>
            <w:proofErr w:type="spellEnd"/>
            <w:r w:rsidRPr="00A54637">
              <w:rPr>
                <w:lang w:eastAsia="en-US"/>
              </w:rPr>
              <w:t>.)</w:t>
            </w:r>
          </w:p>
          <w:p w14:paraId="4284B779" w14:textId="77777777" w:rsidR="003020C9" w:rsidRPr="00A54637" w:rsidRDefault="003020C9" w:rsidP="00A313B1">
            <w:pPr>
              <w:rPr>
                <w:color w:val="1F497D" w:themeColor="text2"/>
                <w:lang w:eastAsia="en-US"/>
              </w:rPr>
            </w:pPr>
            <w:r w:rsidRPr="00A54637">
              <w:rPr>
                <w:lang w:eastAsia="en-US"/>
              </w:rPr>
              <w:t>Claimable only once per patient per procedure</w:t>
            </w:r>
          </w:p>
        </w:tc>
      </w:tr>
      <w:tr w:rsidR="003020C9" w:rsidRPr="00A54637" w14:paraId="6F546F24" w14:textId="77777777" w:rsidTr="00A313B1">
        <w:tc>
          <w:tcPr>
            <w:tcW w:w="5000" w:type="pct"/>
          </w:tcPr>
          <w:p w14:paraId="4F75A554" w14:textId="77777777" w:rsidR="003020C9" w:rsidRPr="00A54637" w:rsidRDefault="003020C9" w:rsidP="00A313B1">
            <w:pPr>
              <w:pStyle w:val="Tabletext"/>
              <w:rPr>
                <w:sz w:val="24"/>
              </w:rPr>
            </w:pPr>
            <w:r w:rsidRPr="00A54637">
              <w:t>MBS Fee: $403.20 Benefit: 75% = $302.40 85% = $342.75</w:t>
            </w:r>
          </w:p>
        </w:tc>
      </w:tr>
    </w:tbl>
    <w:p w14:paraId="7975B8FC" w14:textId="0C391B60" w:rsidR="003020C9" w:rsidRPr="00A54637" w:rsidRDefault="003020C9" w:rsidP="00F64363">
      <w:pPr>
        <w:pStyle w:val="Tablenotes1"/>
      </w:pPr>
      <w:r w:rsidRPr="00A54637">
        <w:t>Source: Fifth MBS item listed in Table 2, page 21 of the resubmission</w:t>
      </w:r>
    </w:p>
    <w:p w14:paraId="60C9760E" w14:textId="77777777" w:rsidR="00A8674A" w:rsidRPr="00A54637" w:rsidRDefault="00A8674A" w:rsidP="00A8674A">
      <w:pPr>
        <w:rPr>
          <w:rFonts w:ascii="Franklin Gothic Book" w:hAnsi="Franklin Gothic Book" w:cs="Helvetica"/>
          <w:b/>
          <w:iCs/>
          <w:color w:val="222222"/>
          <w:sz w:val="22"/>
          <w:szCs w:val="22"/>
          <w:shd w:val="clear" w:color="auto" w:fill="FBFBFB"/>
        </w:rPr>
      </w:pPr>
      <w:r w:rsidRPr="00A54637">
        <w:rPr>
          <w:rFonts w:ascii="Franklin Gothic Book" w:hAnsi="Franklin Gothic Book"/>
          <w:iCs/>
          <w:sz w:val="22"/>
          <w:szCs w:val="22"/>
        </w:rPr>
        <w:t>The resubmission excluded the use of ipsilateral retreatment and contralateral treatment through reinstating the claimable only once per patients per lifetime for the intraoperative procedure (as requested previously by ESC; see red text in Tables 4 and 5)</w:t>
      </w:r>
      <w:r w:rsidRPr="00A54637">
        <w:rPr>
          <w:rFonts w:ascii="Franklin Gothic Book" w:hAnsi="Franklin Gothic Book" w:cs="Helvetica"/>
          <w:b/>
          <w:iCs/>
          <w:color w:val="222222"/>
          <w:sz w:val="22"/>
          <w:szCs w:val="22"/>
          <w:shd w:val="clear" w:color="auto" w:fill="FBFBFB"/>
        </w:rPr>
        <w:t>.</w:t>
      </w:r>
    </w:p>
    <w:p w14:paraId="6D4B94F4" w14:textId="63F7065B" w:rsidR="00A8674A" w:rsidRPr="00957845" w:rsidRDefault="00A8674A" w:rsidP="00957845">
      <w:pPr>
        <w:spacing w:before="240"/>
        <w:rPr>
          <w:rFonts w:ascii="Franklin Gothic Book" w:hAnsi="Franklin Gothic Book"/>
          <w:sz w:val="22"/>
          <w:szCs w:val="22"/>
        </w:rPr>
      </w:pPr>
      <w:r w:rsidRPr="00A54637">
        <w:rPr>
          <w:rFonts w:ascii="Franklin Gothic Book" w:hAnsi="Franklin Gothic Book"/>
          <w:sz w:val="22"/>
          <w:szCs w:val="22"/>
        </w:rPr>
        <w:t xml:space="preserve">The proposed MBS fee for pre-surgical planning with MRI remains higher compared to the ratified PICO ($994.60 </w:t>
      </w:r>
      <w:r w:rsidRPr="00A54637">
        <w:rPr>
          <w:rFonts w:ascii="Franklin Gothic Book" w:hAnsi="Franklin Gothic Book"/>
          <w:i/>
          <w:sz w:val="22"/>
          <w:szCs w:val="22"/>
        </w:rPr>
        <w:t>vs.</w:t>
      </w:r>
      <w:r w:rsidRPr="00A54637">
        <w:rPr>
          <w:rFonts w:ascii="Franklin Gothic Book" w:hAnsi="Franklin Gothic Book"/>
          <w:sz w:val="22"/>
          <w:szCs w:val="22"/>
        </w:rPr>
        <w:t xml:space="preserve"> $336.00). The </w:t>
      </w:r>
      <w:r w:rsidR="007315E6" w:rsidRPr="00A54637">
        <w:rPr>
          <w:rFonts w:ascii="Franklin Gothic Book" w:hAnsi="Franklin Gothic Book"/>
          <w:sz w:val="22"/>
          <w:szCs w:val="22"/>
        </w:rPr>
        <w:t>r</w:t>
      </w:r>
      <w:r w:rsidRPr="00A54637">
        <w:rPr>
          <w:rFonts w:ascii="Franklin Gothic Book" w:hAnsi="Franklin Gothic Book"/>
          <w:sz w:val="22"/>
          <w:szCs w:val="22"/>
        </w:rPr>
        <w:t>esubmission states that the proposed MBS item wording and fee is based on two existing</w:t>
      </w:r>
      <w:r w:rsidRPr="00957845">
        <w:rPr>
          <w:rFonts w:ascii="Franklin Gothic Book" w:hAnsi="Franklin Gothic Book"/>
          <w:sz w:val="22"/>
          <w:szCs w:val="22"/>
        </w:rPr>
        <w:t xml:space="preserve"> MBS items for planning of stereotactic neurosurgery (MBS item 63010) and stereotactic anatomical localisation for target verification (MBS item 40800). </w:t>
      </w:r>
    </w:p>
    <w:p w14:paraId="05DBEAC0" w14:textId="22C5F63B" w:rsidR="00A8674A" w:rsidRPr="00957845" w:rsidRDefault="00A8674A" w:rsidP="00957845">
      <w:pPr>
        <w:spacing w:before="240"/>
        <w:rPr>
          <w:rFonts w:ascii="Franklin Gothic Book" w:hAnsi="Franklin Gothic Book"/>
          <w:iCs/>
          <w:sz w:val="22"/>
          <w:szCs w:val="22"/>
        </w:rPr>
      </w:pPr>
      <w:r w:rsidRPr="00957845">
        <w:rPr>
          <w:rFonts w:ascii="Franklin Gothic Book" w:hAnsi="Franklin Gothic Book"/>
          <w:iCs/>
          <w:sz w:val="22"/>
          <w:szCs w:val="22"/>
          <w:shd w:val="clear" w:color="auto" w:fill="FBFBFB"/>
        </w:rPr>
        <w:t xml:space="preserve">The </w:t>
      </w:r>
      <w:r w:rsidR="000F5699" w:rsidRPr="00957845">
        <w:rPr>
          <w:rFonts w:ascii="Franklin Gothic Book" w:hAnsi="Franklin Gothic Book"/>
          <w:iCs/>
          <w:sz w:val="22"/>
          <w:szCs w:val="22"/>
          <w:shd w:val="clear" w:color="auto" w:fill="FBFBFB"/>
        </w:rPr>
        <w:t>r</w:t>
      </w:r>
      <w:r w:rsidRPr="00957845">
        <w:rPr>
          <w:rFonts w:ascii="Franklin Gothic Book" w:hAnsi="Franklin Gothic Book"/>
          <w:iCs/>
          <w:sz w:val="22"/>
          <w:szCs w:val="22"/>
          <w:shd w:val="clear" w:color="auto" w:fill="FBFBFB"/>
        </w:rPr>
        <w:t xml:space="preserve">esubmission requested no limits be placed on speciality group delivering the intervention, as neurosurgeons, neurologists and radiologists may be able to perform the procedure, provided they were adequately trained and qualified. </w:t>
      </w:r>
      <w:r w:rsidRPr="00957845">
        <w:rPr>
          <w:rFonts w:ascii="Franklin Gothic Book" w:hAnsi="Franklin Gothic Book"/>
          <w:iCs/>
          <w:sz w:val="22"/>
          <w:szCs w:val="22"/>
        </w:rPr>
        <w:t xml:space="preserve">The </w:t>
      </w:r>
      <w:r w:rsidR="000F5699" w:rsidRPr="00957845">
        <w:rPr>
          <w:rFonts w:ascii="Franklin Gothic Book" w:hAnsi="Franklin Gothic Book"/>
          <w:iCs/>
          <w:sz w:val="22"/>
          <w:szCs w:val="22"/>
        </w:rPr>
        <w:t>r</w:t>
      </w:r>
      <w:r w:rsidRPr="00957845">
        <w:rPr>
          <w:rFonts w:ascii="Franklin Gothic Book" w:hAnsi="Franklin Gothic Book"/>
          <w:iCs/>
          <w:sz w:val="22"/>
          <w:szCs w:val="22"/>
        </w:rPr>
        <w:t>esubmission also stated that the intervention was currently performed by a neurosurgeon, but that other adequately trained physicians (neurologists or radiologists in particular) may also step in over tim</w:t>
      </w:r>
      <w:r w:rsidR="007315E6" w:rsidRPr="00957845">
        <w:rPr>
          <w:rFonts w:ascii="Franklin Gothic Book" w:hAnsi="Franklin Gothic Book"/>
          <w:iCs/>
          <w:sz w:val="22"/>
          <w:szCs w:val="22"/>
        </w:rPr>
        <w:t>e</w:t>
      </w:r>
      <w:r w:rsidRPr="00957845">
        <w:rPr>
          <w:rFonts w:ascii="Franklin Gothic Book" w:hAnsi="Franklin Gothic Book"/>
          <w:iCs/>
          <w:sz w:val="22"/>
          <w:szCs w:val="22"/>
        </w:rPr>
        <w:t>. The commentary noted that while expert advice suggests that the presence of both neurologist and neurosurgeon may be necessary, this may need clarification in the wording of the MBS item (</w:t>
      </w:r>
      <w:proofErr w:type="gramStart"/>
      <w:r w:rsidRPr="00957845">
        <w:rPr>
          <w:rFonts w:ascii="Franklin Gothic Book" w:hAnsi="Franklin Gothic Book"/>
          <w:iCs/>
          <w:sz w:val="22"/>
          <w:szCs w:val="22"/>
        </w:rPr>
        <w:t>i.e.</w:t>
      </w:r>
      <w:proofErr w:type="gramEnd"/>
      <w:r w:rsidRPr="00957845">
        <w:rPr>
          <w:rFonts w:ascii="Franklin Gothic Book" w:hAnsi="Franklin Gothic Book"/>
          <w:iCs/>
          <w:sz w:val="22"/>
          <w:szCs w:val="22"/>
        </w:rPr>
        <w:t xml:space="preserve"> number of specialists required).</w:t>
      </w:r>
    </w:p>
    <w:p w14:paraId="362DB9F2" w14:textId="396244F2" w:rsidR="00B03054" w:rsidRDefault="004C1165" w:rsidP="00B03054">
      <w:pPr>
        <w:spacing w:before="240"/>
        <w:rPr>
          <w:rFonts w:ascii="Franklin Gothic Book" w:hAnsi="Franklin Gothic Book"/>
          <w:iCs/>
          <w:sz w:val="22"/>
          <w:szCs w:val="22"/>
        </w:rPr>
      </w:pPr>
      <w:bookmarkStart w:id="16" w:name="_Hlk97034026"/>
      <w:r w:rsidRPr="00957845">
        <w:rPr>
          <w:rFonts w:ascii="Franklin Gothic Book" w:hAnsi="Franklin Gothic Book"/>
          <w:sz w:val="22"/>
          <w:szCs w:val="22"/>
        </w:rPr>
        <w:t xml:space="preserve">The Department </w:t>
      </w:r>
      <w:r w:rsidRPr="00957845">
        <w:rPr>
          <w:rFonts w:ascii="Franklin Gothic Book" w:hAnsi="Franklin Gothic Book"/>
          <w:iCs/>
          <w:sz w:val="22"/>
          <w:szCs w:val="22"/>
        </w:rPr>
        <w:t>had offered to work with the applicant on revising items, but this did not occur before the resubmission. The Department continues to see a benefit in working directly with applicant to better determine number and descriptors of items and the associated fees from this.</w:t>
      </w:r>
      <w:r w:rsidR="00B03054">
        <w:rPr>
          <w:rFonts w:ascii="Franklin Gothic Book" w:hAnsi="Franklin Gothic Book"/>
          <w:iCs/>
          <w:sz w:val="22"/>
          <w:szCs w:val="22"/>
        </w:rPr>
        <w:br w:type="page"/>
      </w:r>
    </w:p>
    <w:bookmarkEnd w:id="16"/>
    <w:p w14:paraId="1F919C17" w14:textId="287B4F73" w:rsidR="00065623" w:rsidRPr="0089471B" w:rsidRDefault="00775963" w:rsidP="0089471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89471B">
        <w:rPr>
          <w:rFonts w:ascii="Franklin Gothic Medium" w:eastAsia="SimSun" w:hAnsi="Franklin Gothic Medium" w:cs="Times New Roman"/>
          <w:b w:val="0"/>
          <w:bCs w:val="0"/>
          <w:color w:val="000000"/>
          <w:sz w:val="32"/>
          <w:szCs w:val="26"/>
          <w:lang w:eastAsia="en-US"/>
        </w:rPr>
        <w:lastRenderedPageBreak/>
        <w:t xml:space="preserve">Summary of </w:t>
      </w:r>
      <w:r w:rsidR="00A436C5" w:rsidRPr="0089471B">
        <w:rPr>
          <w:rFonts w:ascii="Franklin Gothic Medium" w:eastAsia="SimSun" w:hAnsi="Franklin Gothic Medium" w:cs="Times New Roman"/>
          <w:b w:val="0"/>
          <w:bCs w:val="0"/>
          <w:color w:val="000000"/>
          <w:sz w:val="32"/>
          <w:szCs w:val="26"/>
          <w:lang w:eastAsia="en-US"/>
        </w:rPr>
        <w:t>p</w:t>
      </w:r>
      <w:r w:rsidRPr="0089471B">
        <w:rPr>
          <w:rFonts w:ascii="Franklin Gothic Medium" w:eastAsia="SimSun" w:hAnsi="Franklin Gothic Medium" w:cs="Times New Roman"/>
          <w:b w:val="0"/>
          <w:bCs w:val="0"/>
          <w:color w:val="000000"/>
          <w:sz w:val="32"/>
          <w:szCs w:val="26"/>
          <w:lang w:eastAsia="en-US"/>
        </w:rPr>
        <w:t xml:space="preserve">ublic </w:t>
      </w:r>
      <w:r w:rsidR="00A436C5" w:rsidRPr="0089471B">
        <w:rPr>
          <w:rFonts w:ascii="Franklin Gothic Medium" w:eastAsia="SimSun" w:hAnsi="Franklin Gothic Medium" w:cs="Times New Roman"/>
          <w:b w:val="0"/>
          <w:bCs w:val="0"/>
          <w:color w:val="000000"/>
          <w:sz w:val="32"/>
          <w:szCs w:val="26"/>
          <w:lang w:eastAsia="en-US"/>
        </w:rPr>
        <w:t>c</w:t>
      </w:r>
      <w:r w:rsidRPr="0089471B">
        <w:rPr>
          <w:rFonts w:ascii="Franklin Gothic Medium" w:eastAsia="SimSun" w:hAnsi="Franklin Gothic Medium" w:cs="Times New Roman"/>
          <w:b w:val="0"/>
          <w:bCs w:val="0"/>
          <w:color w:val="000000"/>
          <w:sz w:val="32"/>
          <w:szCs w:val="26"/>
          <w:lang w:eastAsia="en-US"/>
        </w:rPr>
        <w:t xml:space="preserve">onsultation </w:t>
      </w:r>
      <w:r w:rsidR="00A436C5" w:rsidRPr="0089471B">
        <w:rPr>
          <w:rFonts w:ascii="Franklin Gothic Medium" w:eastAsia="SimSun" w:hAnsi="Franklin Gothic Medium" w:cs="Times New Roman"/>
          <w:b w:val="0"/>
          <w:bCs w:val="0"/>
          <w:color w:val="000000"/>
          <w:sz w:val="32"/>
          <w:szCs w:val="26"/>
          <w:lang w:eastAsia="en-US"/>
        </w:rPr>
        <w:t>f</w:t>
      </w:r>
      <w:r w:rsidRPr="0089471B">
        <w:rPr>
          <w:rFonts w:ascii="Franklin Gothic Medium" w:eastAsia="SimSun" w:hAnsi="Franklin Gothic Medium" w:cs="Times New Roman"/>
          <w:b w:val="0"/>
          <w:bCs w:val="0"/>
          <w:color w:val="000000"/>
          <w:sz w:val="32"/>
          <w:szCs w:val="26"/>
          <w:lang w:eastAsia="en-US"/>
        </w:rPr>
        <w:t>eedback/</w:t>
      </w:r>
      <w:r w:rsidR="00A436C5" w:rsidRPr="0089471B">
        <w:rPr>
          <w:rFonts w:ascii="Franklin Gothic Medium" w:eastAsia="SimSun" w:hAnsi="Franklin Gothic Medium" w:cs="Times New Roman"/>
          <w:b w:val="0"/>
          <w:bCs w:val="0"/>
          <w:color w:val="000000"/>
          <w:sz w:val="32"/>
          <w:szCs w:val="26"/>
          <w:lang w:eastAsia="en-US"/>
        </w:rPr>
        <w:t>c</w:t>
      </w:r>
      <w:r w:rsidRPr="0089471B">
        <w:rPr>
          <w:rFonts w:ascii="Franklin Gothic Medium" w:eastAsia="SimSun" w:hAnsi="Franklin Gothic Medium" w:cs="Times New Roman"/>
          <w:b w:val="0"/>
          <w:bCs w:val="0"/>
          <w:color w:val="000000"/>
          <w:sz w:val="32"/>
          <w:szCs w:val="26"/>
          <w:lang w:eastAsia="en-US"/>
        </w:rPr>
        <w:t xml:space="preserve">onsumer </w:t>
      </w:r>
      <w:r w:rsidR="00B90A4E">
        <w:rPr>
          <w:rFonts w:ascii="Franklin Gothic Medium" w:eastAsia="SimSun" w:hAnsi="Franklin Gothic Medium" w:cs="Times New Roman"/>
          <w:b w:val="0"/>
          <w:bCs w:val="0"/>
          <w:color w:val="000000"/>
          <w:sz w:val="32"/>
          <w:szCs w:val="26"/>
          <w:lang w:eastAsia="en-US"/>
        </w:rPr>
        <w:t>i</w:t>
      </w:r>
      <w:r w:rsidRPr="0089471B">
        <w:rPr>
          <w:rFonts w:ascii="Franklin Gothic Medium" w:eastAsia="SimSun" w:hAnsi="Franklin Gothic Medium" w:cs="Times New Roman"/>
          <w:b w:val="0"/>
          <w:bCs w:val="0"/>
          <w:color w:val="000000"/>
          <w:sz w:val="32"/>
          <w:szCs w:val="26"/>
          <w:lang w:eastAsia="en-US"/>
        </w:rPr>
        <w:t>ssues</w:t>
      </w:r>
    </w:p>
    <w:p w14:paraId="61D3842A" w14:textId="4F8FAC99" w:rsidR="00CD2B90" w:rsidRDefault="00CD2B90" w:rsidP="00CD2B90">
      <w:pPr>
        <w:pStyle w:val="NormalBeforeBullet"/>
        <w:rPr>
          <w:rFonts w:ascii="Franklin Gothic Book" w:hAnsi="Franklin Gothic Book"/>
          <w:sz w:val="22"/>
          <w:szCs w:val="22"/>
        </w:rPr>
      </w:pPr>
      <w:r w:rsidRPr="00CD2B90">
        <w:rPr>
          <w:rFonts w:ascii="Franklin Gothic Book" w:hAnsi="Franklin Gothic Book"/>
          <w:sz w:val="22"/>
          <w:szCs w:val="22"/>
        </w:rPr>
        <w:t>Targeted consultation feedback was received from one (1) consumer</w:t>
      </w:r>
      <w:r>
        <w:rPr>
          <w:rFonts w:ascii="Franklin Gothic Book" w:hAnsi="Franklin Gothic Book"/>
          <w:sz w:val="22"/>
          <w:szCs w:val="22"/>
        </w:rPr>
        <w:t xml:space="preserve">, which was strongly supportive of the inclusion of </w:t>
      </w:r>
      <w:proofErr w:type="spellStart"/>
      <w:r>
        <w:rPr>
          <w:rFonts w:ascii="Franklin Gothic Book" w:hAnsi="Franklin Gothic Book"/>
          <w:sz w:val="22"/>
          <w:szCs w:val="22"/>
        </w:rPr>
        <w:t>MRgFUS</w:t>
      </w:r>
      <w:proofErr w:type="spellEnd"/>
      <w:r>
        <w:rPr>
          <w:rFonts w:ascii="Franklin Gothic Book" w:hAnsi="Franklin Gothic Book"/>
          <w:sz w:val="22"/>
          <w:szCs w:val="22"/>
        </w:rPr>
        <w:t xml:space="preserve"> on the MBS. </w:t>
      </w:r>
      <w:r w:rsidRPr="00CD2B90">
        <w:rPr>
          <w:rFonts w:ascii="Franklin Gothic Book" w:hAnsi="Franklin Gothic Book"/>
          <w:sz w:val="22"/>
          <w:szCs w:val="22"/>
        </w:rPr>
        <w:t>Key benefits</w:t>
      </w:r>
      <w:r>
        <w:rPr>
          <w:rFonts w:ascii="Franklin Gothic Book" w:hAnsi="Franklin Gothic Book"/>
          <w:sz w:val="22"/>
          <w:szCs w:val="22"/>
        </w:rPr>
        <w:t xml:space="preserve"> for the proposed intervention  were identified as: </w:t>
      </w:r>
      <w:r w:rsidRPr="00CD2B90">
        <w:rPr>
          <w:rFonts w:ascii="Franklin Gothic Book" w:hAnsi="Franklin Gothic Book"/>
          <w:sz w:val="22"/>
          <w:szCs w:val="22"/>
        </w:rPr>
        <w:t>allow</w:t>
      </w:r>
      <w:r>
        <w:rPr>
          <w:rFonts w:ascii="Franklin Gothic Book" w:hAnsi="Franklin Gothic Book"/>
          <w:sz w:val="22"/>
          <w:szCs w:val="22"/>
        </w:rPr>
        <w:t>ing</w:t>
      </w:r>
      <w:r w:rsidRPr="00CD2B90">
        <w:rPr>
          <w:rFonts w:ascii="Franklin Gothic Book" w:hAnsi="Franklin Gothic Book"/>
          <w:sz w:val="22"/>
          <w:szCs w:val="22"/>
        </w:rPr>
        <w:t xml:space="preserve"> them to perform daily tasks they not previously able to, prior to treatment</w:t>
      </w:r>
      <w:r>
        <w:rPr>
          <w:rFonts w:ascii="Franklin Gothic Book" w:hAnsi="Franklin Gothic Book"/>
          <w:sz w:val="22"/>
          <w:szCs w:val="22"/>
        </w:rPr>
        <w:t>; able to</w:t>
      </w:r>
      <w:r w:rsidRPr="00CD2B90">
        <w:rPr>
          <w:rFonts w:ascii="Franklin Gothic Book" w:hAnsi="Franklin Gothic Book"/>
          <w:sz w:val="22"/>
          <w:szCs w:val="22"/>
        </w:rPr>
        <w:t xml:space="preserve"> return to main-stream employment, leading to improved social health</w:t>
      </w:r>
      <w:r>
        <w:rPr>
          <w:rFonts w:ascii="Franklin Gothic Book" w:hAnsi="Franklin Gothic Book"/>
          <w:sz w:val="22"/>
          <w:szCs w:val="22"/>
        </w:rPr>
        <w:t xml:space="preserve">; the procedure was </w:t>
      </w:r>
      <w:r w:rsidRPr="00CD2B90">
        <w:rPr>
          <w:rFonts w:ascii="Franklin Gothic Book" w:hAnsi="Franklin Gothic Book"/>
          <w:sz w:val="22"/>
          <w:szCs w:val="22"/>
        </w:rPr>
        <w:t xml:space="preserve">non-invasive with a short recovery time (compared </w:t>
      </w:r>
      <w:r>
        <w:rPr>
          <w:rFonts w:ascii="Franklin Gothic Book" w:hAnsi="Franklin Gothic Book"/>
          <w:sz w:val="22"/>
          <w:szCs w:val="22"/>
        </w:rPr>
        <w:t>with</w:t>
      </w:r>
      <w:r w:rsidRPr="00CD2B90">
        <w:rPr>
          <w:rFonts w:ascii="Franklin Gothic Book" w:hAnsi="Franklin Gothic Book"/>
          <w:sz w:val="22"/>
          <w:szCs w:val="22"/>
        </w:rPr>
        <w:t xml:space="preserve"> DBS)</w:t>
      </w:r>
      <w:r>
        <w:rPr>
          <w:rFonts w:ascii="Franklin Gothic Book" w:hAnsi="Franklin Gothic Book"/>
          <w:sz w:val="22"/>
          <w:szCs w:val="22"/>
        </w:rPr>
        <w:t xml:space="preserve">; </w:t>
      </w:r>
      <w:r w:rsidRPr="00CD2B90">
        <w:rPr>
          <w:rFonts w:ascii="Franklin Gothic Book" w:hAnsi="Franklin Gothic Book"/>
          <w:sz w:val="22"/>
          <w:szCs w:val="22"/>
        </w:rPr>
        <w:t xml:space="preserve">improved quality of life and wellbeing of recipients </w:t>
      </w:r>
      <w:r>
        <w:rPr>
          <w:rFonts w:ascii="Franklin Gothic Book" w:hAnsi="Franklin Gothic Book"/>
          <w:sz w:val="22"/>
          <w:szCs w:val="22"/>
        </w:rPr>
        <w:t xml:space="preserve">; </w:t>
      </w:r>
      <w:r w:rsidRPr="00CD2B90">
        <w:rPr>
          <w:rFonts w:ascii="Franklin Gothic Book" w:hAnsi="Franklin Gothic Book"/>
          <w:sz w:val="22"/>
          <w:szCs w:val="22"/>
        </w:rPr>
        <w:t>allow</w:t>
      </w:r>
      <w:r>
        <w:rPr>
          <w:rFonts w:ascii="Franklin Gothic Book" w:hAnsi="Franklin Gothic Book"/>
          <w:sz w:val="22"/>
          <w:szCs w:val="22"/>
        </w:rPr>
        <w:t>ing</w:t>
      </w:r>
      <w:r w:rsidRPr="00CD2B90">
        <w:rPr>
          <w:rFonts w:ascii="Franklin Gothic Book" w:hAnsi="Franklin Gothic Book"/>
          <w:sz w:val="22"/>
          <w:szCs w:val="22"/>
        </w:rPr>
        <w:t xml:space="preserve"> recipients to return to the labour force, reducing the need for pension and disability payments</w:t>
      </w:r>
      <w:r>
        <w:rPr>
          <w:rFonts w:ascii="Franklin Gothic Book" w:hAnsi="Franklin Gothic Book"/>
          <w:sz w:val="22"/>
          <w:szCs w:val="22"/>
        </w:rPr>
        <w:t>; and that</w:t>
      </w:r>
      <w:r w:rsidRPr="00CD2B90">
        <w:rPr>
          <w:rFonts w:ascii="Franklin Gothic Book" w:hAnsi="Franklin Gothic Book"/>
          <w:sz w:val="22"/>
          <w:szCs w:val="22"/>
        </w:rPr>
        <w:t xml:space="preserve"> </w:t>
      </w:r>
      <w:r>
        <w:rPr>
          <w:rFonts w:ascii="Franklin Gothic Book" w:hAnsi="Franklin Gothic Book"/>
          <w:sz w:val="22"/>
          <w:szCs w:val="22"/>
        </w:rPr>
        <w:t>t</w:t>
      </w:r>
      <w:r w:rsidRPr="00CD2B90">
        <w:rPr>
          <w:rFonts w:ascii="Franklin Gothic Book" w:hAnsi="Franklin Gothic Book"/>
          <w:sz w:val="22"/>
          <w:szCs w:val="22"/>
        </w:rPr>
        <w:t>here are no ongoing costs incurred with this treatment (once off payment)</w:t>
      </w:r>
      <w:r>
        <w:rPr>
          <w:rFonts w:ascii="Franklin Gothic Book" w:hAnsi="Franklin Gothic Book"/>
          <w:sz w:val="22"/>
          <w:szCs w:val="22"/>
        </w:rPr>
        <w:t>.</w:t>
      </w:r>
      <w:r w:rsidRPr="00CD2B90">
        <w:rPr>
          <w:rFonts w:ascii="Franklin Gothic Book" w:hAnsi="Franklin Gothic Book"/>
          <w:sz w:val="22"/>
          <w:szCs w:val="22"/>
        </w:rPr>
        <w:t xml:space="preserve"> The only disadvantage </w:t>
      </w:r>
      <w:r>
        <w:rPr>
          <w:rFonts w:ascii="Franklin Gothic Book" w:hAnsi="Franklin Gothic Book"/>
          <w:sz w:val="22"/>
          <w:szCs w:val="22"/>
        </w:rPr>
        <w:t>identified</w:t>
      </w:r>
      <w:r w:rsidRPr="00CD2B90">
        <w:rPr>
          <w:rFonts w:ascii="Franklin Gothic Book" w:hAnsi="Franklin Gothic Book"/>
          <w:sz w:val="22"/>
          <w:szCs w:val="22"/>
        </w:rPr>
        <w:t xml:space="preserve"> by the consumer was its current cost</w:t>
      </w:r>
      <w:r>
        <w:rPr>
          <w:rFonts w:ascii="Franklin Gothic Book" w:hAnsi="Franklin Gothic Book"/>
          <w:sz w:val="22"/>
          <w:szCs w:val="22"/>
        </w:rPr>
        <w:t>.</w:t>
      </w:r>
    </w:p>
    <w:p w14:paraId="6DC57940" w14:textId="78201999" w:rsidR="00CD2B90" w:rsidRPr="00957845" w:rsidRDefault="00CD2B90" w:rsidP="006348B8">
      <w:pPr>
        <w:pStyle w:val="NormalBeforeBullet"/>
        <w:rPr>
          <w:rFonts w:ascii="Franklin Gothic Book" w:hAnsi="Franklin Gothic Book"/>
          <w:sz w:val="22"/>
          <w:szCs w:val="22"/>
        </w:rPr>
      </w:pPr>
      <w:r>
        <w:rPr>
          <w:rFonts w:ascii="Franklin Gothic Book" w:hAnsi="Franklin Gothic Book"/>
          <w:sz w:val="22"/>
          <w:szCs w:val="22"/>
        </w:rPr>
        <w:t xml:space="preserve">For the summary of the consultation feedback from the previous submission  refer to </w:t>
      </w:r>
      <w:hyperlink r:id="rId11" w:history="1">
        <w:r w:rsidRPr="00CD2B90">
          <w:rPr>
            <w:rStyle w:val="Hyperlink"/>
            <w:rFonts w:ascii="Franklin Gothic Book" w:hAnsi="Franklin Gothic Book"/>
            <w:sz w:val="22"/>
            <w:szCs w:val="22"/>
          </w:rPr>
          <w:t>PSD Application 1614, March-April 2021, p5</w:t>
        </w:r>
      </w:hyperlink>
      <w:r>
        <w:rPr>
          <w:rFonts w:ascii="Franklin Gothic Book" w:hAnsi="Franklin Gothic Book"/>
          <w:sz w:val="22"/>
          <w:szCs w:val="22"/>
        </w:rPr>
        <w:t>.</w:t>
      </w:r>
    </w:p>
    <w:p w14:paraId="647036DB" w14:textId="4A83BC04" w:rsidR="00BF0DFE" w:rsidRPr="0089471B" w:rsidRDefault="00065623" w:rsidP="0089471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89471B">
        <w:rPr>
          <w:rFonts w:ascii="Franklin Gothic Medium" w:eastAsia="SimSun" w:hAnsi="Franklin Gothic Medium" w:cs="Times New Roman"/>
          <w:b w:val="0"/>
          <w:bCs w:val="0"/>
          <w:color w:val="000000"/>
          <w:sz w:val="32"/>
          <w:szCs w:val="26"/>
          <w:lang w:eastAsia="en-US"/>
        </w:rPr>
        <w:t>Proposed intervention’s place in clinical management</w:t>
      </w:r>
    </w:p>
    <w:p w14:paraId="37CAAADC" w14:textId="754CEC34" w:rsidR="008F55FD" w:rsidRPr="00957845" w:rsidRDefault="008F55FD" w:rsidP="00F64363">
      <w:pPr>
        <w:pStyle w:val="5Bodytext"/>
        <w:rPr>
          <w:rFonts w:ascii="Franklin Gothic Book" w:hAnsi="Franklin Gothic Book"/>
          <w:sz w:val="22"/>
          <w:szCs w:val="22"/>
        </w:rPr>
      </w:pPr>
      <w:r w:rsidRPr="00957845">
        <w:rPr>
          <w:rFonts w:ascii="Franklin Gothic Book" w:hAnsi="Franklin Gothic Book"/>
          <w:sz w:val="22"/>
          <w:szCs w:val="22"/>
        </w:rPr>
        <w:t xml:space="preserve">This was unchanged from the previous submission; refer to </w:t>
      </w:r>
      <w:hyperlink r:id="rId12" w:history="1">
        <w:r w:rsidRPr="00957845">
          <w:rPr>
            <w:rStyle w:val="Hyperlink"/>
            <w:rFonts w:ascii="Franklin Gothic Book" w:hAnsi="Franklin Gothic Book"/>
            <w:sz w:val="22"/>
            <w:szCs w:val="22"/>
          </w:rPr>
          <w:t>PSD Application 1614, March-April 2021, pp9-10</w:t>
        </w:r>
      </w:hyperlink>
      <w:r w:rsidRPr="00957845">
        <w:rPr>
          <w:rFonts w:ascii="Franklin Gothic Book" w:hAnsi="Franklin Gothic Book"/>
          <w:sz w:val="22"/>
          <w:szCs w:val="22"/>
        </w:rPr>
        <w:t>.</w:t>
      </w:r>
    </w:p>
    <w:p w14:paraId="0C5E8FBE" w14:textId="3B2E0124" w:rsidR="003020C9" w:rsidRPr="00957845" w:rsidRDefault="008F55FD" w:rsidP="003020C9">
      <w:pPr>
        <w:rPr>
          <w:rFonts w:ascii="Franklin Gothic Book" w:hAnsi="Franklin Gothic Book"/>
          <w:color w:val="3366FF"/>
          <w:sz w:val="22"/>
          <w:szCs w:val="22"/>
        </w:rPr>
      </w:pPr>
      <w:r w:rsidRPr="00957845">
        <w:rPr>
          <w:rFonts w:ascii="Franklin Gothic Book" w:hAnsi="Franklin Gothic Book"/>
          <w:iCs/>
          <w:sz w:val="22"/>
          <w:szCs w:val="22"/>
        </w:rPr>
        <w:t xml:space="preserve">The resubmission stated that </w:t>
      </w:r>
      <w:proofErr w:type="spellStart"/>
      <w:r w:rsidRPr="00957845">
        <w:rPr>
          <w:rFonts w:ascii="Franklin Gothic Book" w:hAnsi="Franklin Gothic Book"/>
          <w:iCs/>
          <w:sz w:val="22"/>
          <w:szCs w:val="22"/>
        </w:rPr>
        <w:t>MRgFUS</w:t>
      </w:r>
      <w:proofErr w:type="spellEnd"/>
      <w:r w:rsidRPr="00957845">
        <w:rPr>
          <w:rFonts w:ascii="Franklin Gothic Book" w:hAnsi="Franklin Gothic Book"/>
          <w:iCs/>
          <w:sz w:val="22"/>
          <w:szCs w:val="22"/>
        </w:rPr>
        <w:t xml:space="preserve"> is positioned in line with</w:t>
      </w:r>
      <w:r w:rsidR="00967B88" w:rsidRPr="00957845">
        <w:rPr>
          <w:rFonts w:ascii="Franklin Gothic Book" w:hAnsi="Franklin Gothic Book"/>
          <w:iCs/>
          <w:sz w:val="22"/>
          <w:szCs w:val="22"/>
        </w:rPr>
        <w:t xml:space="preserve"> Deep Brain Stimulation</w:t>
      </w:r>
      <w:r w:rsidRPr="00957845">
        <w:rPr>
          <w:rFonts w:ascii="Franklin Gothic Book" w:hAnsi="Franklin Gothic Book"/>
          <w:iCs/>
          <w:sz w:val="22"/>
          <w:szCs w:val="22"/>
        </w:rPr>
        <w:t xml:space="preserve"> </w:t>
      </w:r>
      <w:r w:rsidR="00967B88" w:rsidRPr="00957845">
        <w:rPr>
          <w:rFonts w:ascii="Franklin Gothic Book" w:hAnsi="Franklin Gothic Book"/>
          <w:iCs/>
          <w:sz w:val="22"/>
          <w:szCs w:val="22"/>
        </w:rPr>
        <w:t>(</w:t>
      </w:r>
      <w:r w:rsidRPr="00957845">
        <w:rPr>
          <w:rFonts w:ascii="Franklin Gothic Book" w:hAnsi="Franklin Gothic Book"/>
          <w:iCs/>
          <w:sz w:val="22"/>
          <w:szCs w:val="22"/>
        </w:rPr>
        <w:t>DBS</w:t>
      </w:r>
      <w:r w:rsidR="00967B88" w:rsidRPr="00957845">
        <w:rPr>
          <w:rFonts w:ascii="Franklin Gothic Book" w:hAnsi="Franklin Gothic Book"/>
          <w:iCs/>
          <w:sz w:val="22"/>
          <w:szCs w:val="22"/>
        </w:rPr>
        <w:t>)</w:t>
      </w:r>
      <w:r w:rsidRPr="00957845">
        <w:rPr>
          <w:rFonts w:ascii="Franklin Gothic Book" w:hAnsi="Franklin Gothic Book"/>
          <w:iCs/>
          <w:sz w:val="22"/>
          <w:szCs w:val="22"/>
        </w:rPr>
        <w:t xml:space="preserve"> and BSC, offering a treatment alternative to patients unwilling to accept the risks associated with DBS or are contraindicated for the procedure, as per the nominated comparators. Patients experiencing tremor recurrence following </w:t>
      </w:r>
      <w:proofErr w:type="spellStart"/>
      <w:r w:rsidRPr="00957845">
        <w:rPr>
          <w:rFonts w:ascii="Franklin Gothic Book" w:hAnsi="Franklin Gothic Book"/>
          <w:iCs/>
          <w:sz w:val="22"/>
          <w:szCs w:val="22"/>
        </w:rPr>
        <w:t>MRgFUS</w:t>
      </w:r>
      <w:proofErr w:type="spellEnd"/>
      <w:r w:rsidRPr="00957845">
        <w:rPr>
          <w:rFonts w:ascii="Franklin Gothic Book" w:hAnsi="Franklin Gothic Book"/>
          <w:iCs/>
          <w:sz w:val="22"/>
          <w:szCs w:val="22"/>
        </w:rPr>
        <w:t xml:space="preserve"> or DBS may seek further treatment depending on the severity of the tremor. These patients may undergo DBS or remain on BSC.</w:t>
      </w:r>
    </w:p>
    <w:p w14:paraId="51428589" w14:textId="743E7A4F" w:rsidR="00D55D87" w:rsidRPr="0089471B" w:rsidRDefault="00065623" w:rsidP="0089471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89471B">
        <w:rPr>
          <w:rFonts w:ascii="Franklin Gothic Medium" w:eastAsia="SimSun" w:hAnsi="Franklin Gothic Medium" w:cs="Times New Roman"/>
          <w:b w:val="0"/>
          <w:bCs w:val="0"/>
          <w:color w:val="000000"/>
          <w:sz w:val="32"/>
          <w:szCs w:val="26"/>
          <w:lang w:eastAsia="en-US"/>
        </w:rPr>
        <w:t>Other options for MSAC consideration</w:t>
      </w:r>
    </w:p>
    <w:p w14:paraId="0D4A4DB5" w14:textId="5CD86169" w:rsidR="00443F1D" w:rsidRPr="00957845" w:rsidRDefault="003020C9" w:rsidP="003020C9">
      <w:pPr>
        <w:tabs>
          <w:tab w:val="left" w:pos="720"/>
          <w:tab w:val="left" w:pos="1140"/>
        </w:tabs>
        <w:rPr>
          <w:rFonts w:ascii="Franklin Gothic Book" w:hAnsi="Franklin Gothic Book"/>
          <w:sz w:val="22"/>
          <w:szCs w:val="22"/>
        </w:rPr>
      </w:pPr>
      <w:r w:rsidRPr="00957845">
        <w:rPr>
          <w:rFonts w:ascii="Franklin Gothic Book" w:hAnsi="Franklin Gothic Book"/>
          <w:sz w:val="22"/>
          <w:szCs w:val="22"/>
        </w:rPr>
        <w:t>N/A</w:t>
      </w:r>
    </w:p>
    <w:p w14:paraId="19EC7DC0" w14:textId="6EEE8C8E" w:rsidR="00D55F83" w:rsidRPr="0089471B" w:rsidRDefault="00065623" w:rsidP="0089471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89471B">
        <w:rPr>
          <w:rFonts w:ascii="Franklin Gothic Medium" w:eastAsia="SimSun" w:hAnsi="Franklin Gothic Medium" w:cs="Times New Roman"/>
          <w:b w:val="0"/>
          <w:bCs w:val="0"/>
          <w:color w:val="000000"/>
          <w:sz w:val="32"/>
          <w:szCs w:val="26"/>
          <w:lang w:eastAsia="en-US"/>
        </w:rPr>
        <w:t>Comparator</w:t>
      </w:r>
    </w:p>
    <w:p w14:paraId="30EA1FA0" w14:textId="72A2D135" w:rsidR="00FB345E" w:rsidRPr="00957845" w:rsidRDefault="00FB345E" w:rsidP="00FB345E">
      <w:pPr>
        <w:rPr>
          <w:rFonts w:ascii="Franklin Gothic Book" w:hAnsi="Franklin Gothic Book"/>
          <w:sz w:val="22"/>
          <w:szCs w:val="22"/>
        </w:rPr>
      </w:pPr>
      <w:r w:rsidRPr="00957845">
        <w:rPr>
          <w:rFonts w:ascii="Franklin Gothic Book" w:hAnsi="Franklin Gothic Book"/>
          <w:sz w:val="22"/>
          <w:szCs w:val="22"/>
        </w:rPr>
        <w:t xml:space="preserve">Unchanged from the previous submission, and consistent with the 1614 ratified PICO confirmation, the resubmission proposed unilateral or bilateral DBS as the main comparator for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w:t>
      </w:r>
      <w:r w:rsidR="001109E1" w:rsidRPr="00957845">
        <w:rPr>
          <w:rFonts w:ascii="Franklin Gothic Book" w:hAnsi="Franklin Gothic Book"/>
          <w:sz w:val="22"/>
          <w:szCs w:val="22"/>
        </w:rPr>
        <w:t xml:space="preserve"> BSC</w:t>
      </w:r>
      <w:r w:rsidRPr="00957845">
        <w:rPr>
          <w:rFonts w:ascii="Franklin Gothic Book" w:hAnsi="Franklin Gothic Book"/>
          <w:sz w:val="22"/>
          <w:szCs w:val="22"/>
        </w:rPr>
        <w:t xml:space="preserve"> is proposed as a second comparator in those unwilling to accept the risks associated with DBS or are contraindicated for the procedure.</w:t>
      </w:r>
    </w:p>
    <w:p w14:paraId="1F1A69EE" w14:textId="4AB6EF7C" w:rsidR="001D7B39" w:rsidRPr="00957845" w:rsidRDefault="001D7B39" w:rsidP="00957845">
      <w:pPr>
        <w:spacing w:before="240"/>
        <w:rPr>
          <w:rFonts w:ascii="Franklin Gothic Book" w:hAnsi="Franklin Gothic Book"/>
          <w:sz w:val="22"/>
          <w:szCs w:val="22"/>
        </w:rPr>
      </w:pPr>
      <w:bookmarkStart w:id="17" w:name="_Ref47448016"/>
      <w:bookmarkStart w:id="18" w:name="_Toc84411355"/>
      <w:r w:rsidRPr="00957845">
        <w:rPr>
          <w:rFonts w:ascii="Franklin Gothic Book" w:hAnsi="Franklin Gothic Book"/>
          <w:sz w:val="22"/>
          <w:szCs w:val="22"/>
        </w:rPr>
        <w:t xml:space="preserve">Unilateral DBS is currently covered by MBS items 40850, 40852, 40854, 40856, 40858, 40860 and 40862 while bilateral DBS is covered by MBS item 40851. </w:t>
      </w:r>
    </w:p>
    <w:bookmarkEnd w:id="17"/>
    <w:bookmarkEnd w:id="18"/>
    <w:p w14:paraId="5C213A63" w14:textId="224A3B43" w:rsidR="008E70C7" w:rsidRPr="0089471B" w:rsidRDefault="00065623" w:rsidP="0089471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89471B">
        <w:rPr>
          <w:rFonts w:ascii="Franklin Gothic Medium" w:eastAsia="SimSun" w:hAnsi="Franklin Gothic Medium" w:cs="Times New Roman"/>
          <w:b w:val="0"/>
          <w:bCs w:val="0"/>
          <w:color w:val="000000"/>
          <w:sz w:val="32"/>
          <w:szCs w:val="26"/>
          <w:lang w:eastAsia="en-US"/>
        </w:rPr>
        <w:t>Comparative safety</w:t>
      </w:r>
    </w:p>
    <w:p w14:paraId="08063248" w14:textId="27E27F6A" w:rsidR="00D0109D" w:rsidRPr="00957845" w:rsidRDefault="00D0109D" w:rsidP="00FB345E">
      <w:pPr>
        <w:pStyle w:val="Heading2"/>
        <w:rPr>
          <w:rFonts w:ascii="Franklin Gothic Book" w:hAnsi="Franklin Gothic Book"/>
          <w:b/>
          <w:bCs w:val="0"/>
          <w:i w:val="0"/>
          <w:iCs/>
        </w:rPr>
      </w:pPr>
      <w:r w:rsidRPr="00957845">
        <w:rPr>
          <w:rFonts w:ascii="Franklin Gothic Book" w:hAnsi="Franklin Gothic Book"/>
          <w:b/>
          <w:bCs w:val="0"/>
          <w:i w:val="0"/>
          <w:iCs/>
        </w:rPr>
        <w:t>Overview of evidence base</w:t>
      </w:r>
    </w:p>
    <w:p w14:paraId="44A03A10" w14:textId="136DA76B" w:rsidR="00D643A1" w:rsidRPr="00957845" w:rsidRDefault="00D643A1" w:rsidP="00957845">
      <w:pPr>
        <w:pStyle w:val="5Bodytext"/>
        <w:spacing w:before="240"/>
        <w:rPr>
          <w:rFonts w:ascii="Franklin Gothic Book" w:hAnsi="Franklin Gothic Book"/>
          <w:sz w:val="22"/>
          <w:szCs w:val="22"/>
        </w:rPr>
      </w:pPr>
      <w:r w:rsidRPr="00957845">
        <w:rPr>
          <w:rFonts w:ascii="Franklin Gothic Book" w:hAnsi="Franklin Gothic Book"/>
          <w:sz w:val="22"/>
          <w:szCs w:val="22"/>
        </w:rPr>
        <w:t xml:space="preserve">Evidence to inform the relative efficacy and safety of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v</w:t>
      </w:r>
      <w:r w:rsidR="001109E1" w:rsidRPr="00957845">
        <w:rPr>
          <w:rFonts w:ascii="Franklin Gothic Book" w:hAnsi="Franklin Gothic Book"/>
          <w:sz w:val="22"/>
          <w:szCs w:val="22"/>
        </w:rPr>
        <w:t xml:space="preserve">s </w:t>
      </w:r>
      <w:r w:rsidRPr="00957845">
        <w:rPr>
          <w:rFonts w:ascii="Franklin Gothic Book" w:hAnsi="Franklin Gothic Book"/>
          <w:sz w:val="22"/>
          <w:szCs w:val="22"/>
        </w:rPr>
        <w:t>DBS comprised:</w:t>
      </w:r>
    </w:p>
    <w:p w14:paraId="51E04F1A" w14:textId="77777777" w:rsidR="00D643A1" w:rsidRPr="00957845" w:rsidRDefault="00D643A1" w:rsidP="00D643A1">
      <w:pPr>
        <w:pStyle w:val="5Bodytext"/>
        <w:numPr>
          <w:ilvl w:val="0"/>
          <w:numId w:val="19"/>
        </w:numPr>
        <w:rPr>
          <w:rFonts w:ascii="Franklin Gothic Book" w:hAnsi="Franklin Gothic Book"/>
          <w:sz w:val="22"/>
          <w:szCs w:val="22"/>
        </w:rPr>
      </w:pPr>
      <w:r w:rsidRPr="00957845">
        <w:rPr>
          <w:rFonts w:ascii="Franklin Gothic Book" w:hAnsi="Franklin Gothic Book"/>
          <w:sz w:val="22"/>
          <w:szCs w:val="22"/>
        </w:rPr>
        <w:lastRenderedPageBreak/>
        <w:t xml:space="preserve"> two retrospective comparative studies (Level III evidence) - </w:t>
      </w:r>
      <w:hyperlink w:anchor="_ENREF_22" w:tooltip="Huss, 2015 #38" w:history="1">
        <w:r w:rsidRPr="00957845">
          <w:rPr>
            <w:rFonts w:ascii="Franklin Gothic Book" w:hAnsi="Franklin Gothic Book"/>
            <w:sz w:val="22"/>
            <w:szCs w:val="22"/>
          </w:rPr>
          <w:fldChar w:fldCharType="begin"/>
        </w:r>
        <w:r w:rsidRPr="00957845">
          <w:rPr>
            <w:rFonts w:ascii="Franklin Gothic Book" w:hAnsi="Franklin Gothic Book"/>
            <w:sz w:val="22"/>
            <w:szCs w:val="22"/>
          </w:rPr>
          <w:instrText xml:space="preserve"> ADDIN EN.CITE &lt;EndNote&gt;&lt;Cite AuthorYear="1"&gt;&lt;Author&gt;Huss&lt;/Author&gt;&lt;Year&gt;2015&lt;/Year&gt;&lt;RecNum&gt;38&lt;/RecNum&gt;&lt;DisplayText&gt;Huss et al. (2015)&lt;/DisplayText&gt;&lt;record&gt;&lt;rec-number&gt;38&lt;/rec-number&gt;&lt;foreign-keys&gt;&lt;key app="EN" db-id="wtze2vx54sp5w4efzxivv20fxr0fpdsf5wzz" timestamp="1606274228"&gt;38&lt;/key&gt;&lt;/foreign-keys&gt;&lt;ref-type name="Journal Article"&gt;17&lt;/ref-type&gt;&lt;contributors&gt;&lt;authors&gt;&lt;author&gt;Huss, Diane S&lt;/author&gt;&lt;author&gt;Dallapiazza, Robert F&lt;/author&gt;&lt;author&gt;Shah, Binit B&lt;/author&gt;&lt;author&gt;Harrison, Madaline B&lt;/author&gt;&lt;author&gt;Diamond, Joshua&lt;/author&gt;&lt;author&gt;Elias, W Jeff&lt;/author&gt;&lt;/authors&gt;&lt;/contributors&gt;&lt;titles&gt;&lt;title&gt;Functional assessment and quality of life in essential tremor with bilateral or unilateral DBS and focused ultrasound thalamotomy&lt;/title&gt;&lt;secondary-title&gt;Movement Disorders&lt;/secondary-title&gt;&lt;/titles&gt;&lt;periodical&gt;&lt;full-title&gt;Movement Disorders&lt;/full-title&gt;&lt;/periodical&gt;&lt;pages&gt;1937-1943&lt;/pages&gt;&lt;volume&gt;30&lt;/volume&gt;&lt;number&gt;14&lt;/number&gt;&lt;dates&gt;&lt;year&gt;2015&lt;/year&gt;&lt;/dates&gt;&lt;isbn&gt;0885-3185&lt;/isbn&gt;&lt;urls&gt;&lt;/urls&gt;&lt;/record&gt;&lt;/Cite&gt;&lt;/EndNote&gt;</w:instrText>
        </w:r>
        <w:r w:rsidRPr="00957845">
          <w:rPr>
            <w:rFonts w:ascii="Franklin Gothic Book" w:hAnsi="Franklin Gothic Book"/>
            <w:sz w:val="22"/>
            <w:szCs w:val="22"/>
          </w:rPr>
          <w:fldChar w:fldCharType="separate"/>
        </w:r>
        <w:r w:rsidRPr="00957845">
          <w:rPr>
            <w:rFonts w:ascii="Franklin Gothic Book" w:hAnsi="Franklin Gothic Book"/>
            <w:noProof/>
            <w:sz w:val="22"/>
            <w:szCs w:val="22"/>
          </w:rPr>
          <w:t>Huss et al. (2015)</w:t>
        </w:r>
        <w:r w:rsidRPr="00957845">
          <w:rPr>
            <w:rFonts w:ascii="Franklin Gothic Book" w:hAnsi="Franklin Gothic Book"/>
            <w:sz w:val="22"/>
            <w:szCs w:val="22"/>
          </w:rPr>
          <w:fldChar w:fldCharType="end"/>
        </w:r>
      </w:hyperlink>
      <w:r w:rsidRPr="00957845">
        <w:rPr>
          <w:rStyle w:val="FootnoteReference"/>
          <w:rFonts w:ascii="Franklin Gothic Book" w:hAnsi="Franklin Gothic Book"/>
          <w:sz w:val="22"/>
          <w:szCs w:val="22"/>
        </w:rPr>
        <w:footnoteReference w:id="7"/>
      </w:r>
      <w:r w:rsidRPr="00957845">
        <w:rPr>
          <w:rFonts w:ascii="Franklin Gothic Book" w:hAnsi="Franklin Gothic Book"/>
          <w:sz w:val="22"/>
          <w:szCs w:val="22"/>
        </w:rPr>
        <w:t xml:space="preserve"> and </w:t>
      </w:r>
      <w:hyperlink w:anchor="_ENREF_26" w:tooltip="Kim, 2017 #27" w:history="1">
        <w:r w:rsidRPr="00957845">
          <w:rPr>
            <w:rFonts w:ascii="Franklin Gothic Book" w:hAnsi="Franklin Gothic Book"/>
            <w:sz w:val="22"/>
            <w:szCs w:val="22"/>
          </w:rPr>
          <w:fldChar w:fldCharType="begin"/>
        </w:r>
        <w:r w:rsidRPr="00957845">
          <w:rPr>
            <w:rFonts w:ascii="Franklin Gothic Book" w:hAnsi="Franklin Gothic Book"/>
            <w:sz w:val="22"/>
            <w:szCs w:val="22"/>
          </w:rPr>
          <w:instrText xml:space="preserve"> ADDIN EN.CITE &lt;EndNote&gt;&lt;Cite AuthorYear="1"&gt;&lt;Author&gt;Kim&lt;/Author&gt;&lt;Year&gt;2017&lt;/Year&gt;&lt;RecNum&gt;27&lt;/RecNum&gt;&lt;DisplayText&gt;Kim et al. (2017)&lt;/DisplayText&gt;&lt;record&gt;&lt;rec-number&gt;27&lt;/rec-number&gt;&lt;foreign-keys&gt;&lt;key app="EN" db-id="wtze2vx54sp5w4efzxivv20fxr0fpdsf5wzz" timestamp="1606273322"&gt;27&lt;/key&gt;&lt;/foreign-keys&gt;&lt;ref-type name="Journal Article"&gt;17&lt;/ref-type&gt;&lt;contributors&gt;&lt;authors&gt;&lt;author&gt;Kim, Minsoo&lt;/author&gt;&lt;author&gt;Jung, Na Young&lt;/author&gt;&lt;author&gt;Park, Chang Kyu&lt;/author&gt;&lt;author&gt;Chang, Won Seok&lt;/author&gt;&lt;author&gt;Jung, Hyun Ho&lt;/author&gt;&lt;author&gt;Chang, Jin Woo&lt;/author&gt;&lt;/authors&gt;&lt;/contributors&gt;&lt;titles&gt;&lt;title&gt;Comparative evaluation of magnetic resonance-guided focused ultrasound surgery for essential tremor&lt;/title&gt;&lt;secondary-title&gt;Stereotactic and functional neurosurgery&lt;/secondary-title&gt;&lt;/titles&gt;&lt;periodical&gt;&lt;full-title&gt;Stereotactic and functional neurosurgery&lt;/full-title&gt;&lt;/periodical&gt;&lt;pages&gt;279-286&lt;/pages&gt;&lt;volume&gt;95&lt;/volume&gt;&lt;number&gt;4&lt;/number&gt;&lt;dates&gt;&lt;year&gt;2017&lt;/year&gt;&lt;/dates&gt;&lt;isbn&gt;1011-6125&lt;/isbn&gt;&lt;urls&gt;&lt;/urls&gt;&lt;/record&gt;&lt;/Cite&gt;&lt;/EndNote&gt;</w:instrText>
        </w:r>
        <w:r w:rsidRPr="00957845">
          <w:rPr>
            <w:rFonts w:ascii="Franklin Gothic Book" w:hAnsi="Franklin Gothic Book"/>
            <w:sz w:val="22"/>
            <w:szCs w:val="22"/>
          </w:rPr>
          <w:fldChar w:fldCharType="separate"/>
        </w:r>
        <w:r w:rsidRPr="00957845">
          <w:rPr>
            <w:rFonts w:ascii="Franklin Gothic Book" w:hAnsi="Franklin Gothic Book"/>
            <w:noProof/>
            <w:sz w:val="22"/>
            <w:szCs w:val="22"/>
          </w:rPr>
          <w:t>Kim et al. (2017)</w:t>
        </w:r>
        <w:r w:rsidRPr="00957845">
          <w:rPr>
            <w:rFonts w:ascii="Franklin Gothic Book" w:hAnsi="Franklin Gothic Book"/>
            <w:sz w:val="22"/>
            <w:szCs w:val="22"/>
          </w:rPr>
          <w:fldChar w:fldCharType="end"/>
        </w:r>
      </w:hyperlink>
      <w:r w:rsidRPr="00957845">
        <w:rPr>
          <w:rStyle w:val="FootnoteReference"/>
          <w:rFonts w:ascii="Franklin Gothic Book" w:hAnsi="Franklin Gothic Book"/>
          <w:sz w:val="22"/>
          <w:szCs w:val="22"/>
        </w:rPr>
        <w:footnoteReference w:id="8"/>
      </w:r>
    </w:p>
    <w:p w14:paraId="254789BD" w14:textId="77777777" w:rsidR="00D643A1" w:rsidRPr="00957845" w:rsidRDefault="00D643A1" w:rsidP="00D643A1">
      <w:pPr>
        <w:pStyle w:val="5Bodytext"/>
        <w:numPr>
          <w:ilvl w:val="0"/>
          <w:numId w:val="19"/>
        </w:numPr>
        <w:rPr>
          <w:rFonts w:ascii="Franklin Gothic Book" w:hAnsi="Franklin Gothic Book"/>
          <w:sz w:val="22"/>
          <w:szCs w:val="22"/>
        </w:rPr>
      </w:pPr>
      <w:proofErr w:type="gramStart"/>
      <w:r w:rsidRPr="00957845">
        <w:rPr>
          <w:rFonts w:ascii="Franklin Gothic Book" w:hAnsi="Franklin Gothic Book"/>
          <w:sz w:val="22"/>
          <w:szCs w:val="22"/>
        </w:rPr>
        <w:t>one  systematic</w:t>
      </w:r>
      <w:proofErr w:type="gramEnd"/>
      <w:r w:rsidRPr="00957845">
        <w:rPr>
          <w:rFonts w:ascii="Franklin Gothic Book" w:hAnsi="Franklin Gothic Book"/>
          <w:sz w:val="22"/>
          <w:szCs w:val="22"/>
        </w:rPr>
        <w:t xml:space="preserve"> review and indirect treatment comparison (ITC) by Langford et al. 2018</w:t>
      </w:r>
      <w:r w:rsidRPr="00957845">
        <w:rPr>
          <w:rStyle w:val="FootnoteReference"/>
          <w:rFonts w:ascii="Franklin Gothic Book" w:hAnsi="Franklin Gothic Book"/>
          <w:sz w:val="22"/>
          <w:szCs w:val="22"/>
        </w:rPr>
        <w:footnoteReference w:id="9"/>
      </w:r>
      <w:r w:rsidRPr="00957845">
        <w:rPr>
          <w:rFonts w:ascii="Franklin Gothic Book" w:hAnsi="Franklin Gothic Book"/>
          <w:sz w:val="22"/>
          <w:szCs w:val="22"/>
        </w:rPr>
        <w:t xml:space="preserve">  (Level III evidence) and </w:t>
      </w:r>
    </w:p>
    <w:p w14:paraId="447BE3B6" w14:textId="494AB236" w:rsidR="00D643A1" w:rsidRPr="00957845" w:rsidRDefault="00D643A1" w:rsidP="00D643A1">
      <w:pPr>
        <w:pStyle w:val="5Bodytext"/>
        <w:numPr>
          <w:ilvl w:val="0"/>
          <w:numId w:val="19"/>
        </w:numPr>
        <w:rPr>
          <w:rFonts w:ascii="Franklin Gothic Book" w:hAnsi="Franklin Gothic Book"/>
          <w:sz w:val="22"/>
          <w:szCs w:val="22"/>
        </w:rPr>
      </w:pPr>
      <w:r w:rsidRPr="00957845">
        <w:rPr>
          <w:rFonts w:ascii="Franklin Gothic Book" w:hAnsi="Franklin Gothic Book"/>
          <w:sz w:val="22"/>
          <w:szCs w:val="22"/>
        </w:rPr>
        <w:t xml:space="preserve">a naïve comparison conducted with two non-comparative DBS studies and 14 non-comparative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studies (Level IV evidence).</w:t>
      </w:r>
    </w:p>
    <w:p w14:paraId="5FDBA4F7" w14:textId="75234EDF" w:rsidR="00D643A1" w:rsidRPr="00957845" w:rsidRDefault="00D643A1" w:rsidP="00FB345E">
      <w:pPr>
        <w:pStyle w:val="5Bodytext"/>
        <w:rPr>
          <w:rFonts w:ascii="Franklin Gothic Book" w:hAnsi="Franklin Gothic Book"/>
          <w:sz w:val="22"/>
          <w:szCs w:val="22"/>
        </w:rPr>
      </w:pPr>
      <w:r w:rsidRPr="00957845">
        <w:rPr>
          <w:rFonts w:ascii="Franklin Gothic Book" w:hAnsi="Franklin Gothic Book"/>
          <w:sz w:val="22"/>
          <w:szCs w:val="22"/>
        </w:rPr>
        <w:t xml:space="preserve">Of the 14 non-comparative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studies, 5 were new to the resubmission – these comprised three prospective</w:t>
      </w:r>
      <w:r w:rsidR="00532E6B" w:rsidRPr="00957845">
        <w:rPr>
          <w:rStyle w:val="FootnoteReference"/>
          <w:rFonts w:ascii="Franklin Gothic Book" w:hAnsi="Franklin Gothic Book"/>
          <w:sz w:val="22"/>
          <w:szCs w:val="22"/>
        </w:rPr>
        <w:footnoteReference w:id="10"/>
      </w:r>
      <w:r w:rsidR="00F53645" w:rsidRPr="00957845">
        <w:rPr>
          <w:rStyle w:val="FootnoteReference"/>
          <w:rFonts w:ascii="Franklin Gothic Book" w:hAnsi="Franklin Gothic Book"/>
          <w:sz w:val="22"/>
          <w:szCs w:val="22"/>
        </w:rPr>
        <w:footnoteReference w:id="11"/>
      </w:r>
      <w:r w:rsidR="00F53645" w:rsidRPr="00957845">
        <w:rPr>
          <w:rStyle w:val="FootnoteReference"/>
          <w:rFonts w:ascii="Franklin Gothic Book" w:hAnsi="Franklin Gothic Book"/>
          <w:sz w:val="22"/>
          <w:szCs w:val="22"/>
        </w:rPr>
        <w:footnoteReference w:id="12"/>
      </w:r>
      <w:r w:rsidRPr="00957845">
        <w:rPr>
          <w:rFonts w:ascii="Franklin Gothic Book" w:hAnsi="Franklin Gothic Book"/>
          <w:sz w:val="22"/>
          <w:szCs w:val="22"/>
        </w:rPr>
        <w:t xml:space="preserve">, and two </w:t>
      </w:r>
      <w:proofErr w:type="gramStart"/>
      <w:r w:rsidRPr="00957845">
        <w:rPr>
          <w:rFonts w:ascii="Franklin Gothic Book" w:hAnsi="Franklin Gothic Book"/>
          <w:sz w:val="22"/>
          <w:szCs w:val="22"/>
        </w:rPr>
        <w:t>retrospective</w:t>
      </w:r>
      <w:proofErr w:type="gramEnd"/>
      <w:r w:rsidR="00532E6B" w:rsidRPr="00957845">
        <w:rPr>
          <w:rStyle w:val="FootnoteReference"/>
          <w:rFonts w:ascii="Franklin Gothic Book" w:hAnsi="Franklin Gothic Book"/>
          <w:sz w:val="22"/>
          <w:szCs w:val="22"/>
        </w:rPr>
        <w:footnoteReference w:id="13"/>
      </w:r>
      <w:r w:rsidR="00F53645" w:rsidRPr="00957845">
        <w:rPr>
          <w:rStyle w:val="FootnoteReference"/>
          <w:rFonts w:ascii="Franklin Gothic Book" w:hAnsi="Franklin Gothic Book"/>
          <w:sz w:val="22"/>
          <w:szCs w:val="22"/>
        </w:rPr>
        <w:footnoteReference w:id="14"/>
      </w:r>
      <w:r w:rsidRPr="00957845">
        <w:rPr>
          <w:rFonts w:ascii="Franklin Gothic Book" w:hAnsi="Franklin Gothic Book"/>
          <w:sz w:val="22"/>
          <w:szCs w:val="22"/>
        </w:rPr>
        <w:t xml:space="preserve"> studies.</w:t>
      </w:r>
    </w:p>
    <w:p w14:paraId="6E39FCE0" w14:textId="71FFB81C" w:rsidR="00E736CF" w:rsidRPr="00957845" w:rsidRDefault="00E736CF" w:rsidP="00D643A1">
      <w:pPr>
        <w:pStyle w:val="5Bodytext"/>
        <w:rPr>
          <w:rFonts w:ascii="Franklin Gothic Book" w:hAnsi="Franklin Gothic Book"/>
          <w:sz w:val="22"/>
          <w:szCs w:val="22"/>
        </w:rPr>
      </w:pPr>
      <w:r w:rsidRPr="00957845">
        <w:rPr>
          <w:rFonts w:ascii="Franklin Gothic Book" w:hAnsi="Franklin Gothic Book"/>
          <w:sz w:val="22"/>
          <w:szCs w:val="22"/>
        </w:rPr>
        <w:t xml:space="preserve">Of the two non-comparative DBS studies, the resubmission considered one to have a low risk of bias and the other to have a moderate risk of bias. The resubmission noted that while the non-comparative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studies were conducted in the USA, Europe and across Asia, the DBS studies included in the ITC and naïve comparison were largely limited to the USA suggesting that there may be some exchangeability issues</w:t>
      </w:r>
      <w:r w:rsidR="00B31172" w:rsidRPr="00957845">
        <w:rPr>
          <w:rFonts w:ascii="Franklin Gothic Book" w:hAnsi="Franklin Gothic Book"/>
          <w:sz w:val="22"/>
          <w:szCs w:val="22"/>
        </w:rPr>
        <w:t>.</w:t>
      </w:r>
    </w:p>
    <w:p w14:paraId="08548E7F" w14:textId="755EB734" w:rsidR="00D643A1" w:rsidRPr="00957845" w:rsidRDefault="00D643A1" w:rsidP="00D643A1">
      <w:pPr>
        <w:pStyle w:val="5Bodytext"/>
        <w:rPr>
          <w:rFonts w:ascii="Franklin Gothic Book" w:hAnsi="Franklin Gothic Book"/>
          <w:sz w:val="22"/>
          <w:szCs w:val="22"/>
        </w:rPr>
      </w:pPr>
      <w:r w:rsidRPr="00957845">
        <w:rPr>
          <w:rFonts w:ascii="Franklin Gothic Book" w:hAnsi="Franklin Gothic Book"/>
          <w:sz w:val="22"/>
          <w:szCs w:val="22"/>
        </w:rPr>
        <w:t>In addition, the updated clinical evaluation present</w:t>
      </w:r>
      <w:r w:rsidR="00CC6B76" w:rsidRPr="00957845">
        <w:rPr>
          <w:rFonts w:ascii="Franklin Gothic Book" w:hAnsi="Franklin Gothic Book"/>
          <w:sz w:val="22"/>
          <w:szCs w:val="22"/>
        </w:rPr>
        <w:t>ed</w:t>
      </w:r>
      <w:r w:rsidRPr="00957845">
        <w:rPr>
          <w:rFonts w:ascii="Franklin Gothic Book" w:hAnsi="Franklin Gothic Book"/>
          <w:sz w:val="22"/>
          <w:szCs w:val="22"/>
        </w:rPr>
        <w:t xml:space="preserve"> the results of a recent systematic review by Giordano (2020</w:t>
      </w:r>
      <w:r w:rsidR="006A5746" w:rsidRPr="00957845">
        <w:rPr>
          <w:rFonts w:ascii="Franklin Gothic Book" w:hAnsi="Franklin Gothic Book"/>
          <w:sz w:val="22"/>
          <w:szCs w:val="22"/>
        </w:rPr>
        <w:t>)</w:t>
      </w:r>
      <w:r w:rsidR="006A5746" w:rsidRPr="00957845">
        <w:rPr>
          <w:rStyle w:val="FootnoteReference"/>
          <w:rFonts w:ascii="Franklin Gothic Book" w:hAnsi="Franklin Gothic Book"/>
          <w:sz w:val="22"/>
          <w:szCs w:val="22"/>
        </w:rPr>
        <w:footnoteReference w:id="15"/>
      </w:r>
      <w:r w:rsidRPr="00957845">
        <w:rPr>
          <w:rFonts w:ascii="Franklin Gothic Book" w:hAnsi="Franklin Gothic Book"/>
          <w:sz w:val="22"/>
          <w:szCs w:val="22"/>
        </w:rPr>
        <w:t xml:space="preserve"> which includes a comparison of safety data from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and DBS studies. The commentary noted that 6 studies’ AE data from Giordano et al. (2020)</w:t>
      </w:r>
      <w:r w:rsidR="003866FE" w:rsidRPr="00957845">
        <w:rPr>
          <w:rFonts w:ascii="Franklin Gothic Book" w:hAnsi="Franklin Gothic Book"/>
          <w:sz w:val="22"/>
          <w:szCs w:val="22"/>
          <w:vertAlign w:val="superscript"/>
        </w:rPr>
        <w:t>9</w:t>
      </w:r>
      <w:r w:rsidR="006A5746" w:rsidRPr="00957845">
        <w:rPr>
          <w:rStyle w:val="FootnoteReference"/>
          <w:rFonts w:ascii="Franklin Gothic Book" w:hAnsi="Franklin Gothic Book"/>
          <w:sz w:val="22"/>
          <w:szCs w:val="22"/>
        </w:rPr>
        <w:t xml:space="preserve"> </w:t>
      </w:r>
      <w:r w:rsidRPr="00957845">
        <w:rPr>
          <w:rFonts w:ascii="Franklin Gothic Book" w:hAnsi="Franklin Gothic Book"/>
          <w:sz w:val="22"/>
          <w:szCs w:val="22"/>
        </w:rPr>
        <w:t xml:space="preserve">was reported </w:t>
      </w:r>
      <w:r w:rsidRPr="00957845">
        <w:rPr>
          <w:rFonts w:ascii="Franklin Gothic Book" w:hAnsi="Franklin Gothic Book"/>
          <w:sz w:val="22"/>
          <w:szCs w:val="22"/>
        </w:rPr>
        <w:lastRenderedPageBreak/>
        <w:t>separately; Elias et al. (2013)</w:t>
      </w:r>
      <w:r w:rsidR="006A5746" w:rsidRPr="00957845">
        <w:rPr>
          <w:rStyle w:val="FootnoteReference"/>
          <w:rFonts w:ascii="Franklin Gothic Book" w:hAnsi="Franklin Gothic Book"/>
          <w:sz w:val="22"/>
          <w:szCs w:val="22"/>
        </w:rPr>
        <w:footnoteReference w:id="16"/>
      </w:r>
      <w:r w:rsidRPr="00957845">
        <w:rPr>
          <w:rFonts w:ascii="Franklin Gothic Book" w:hAnsi="Franklin Gothic Book"/>
          <w:sz w:val="22"/>
          <w:szCs w:val="22"/>
        </w:rPr>
        <w:t>, Elias et al. (2016)</w:t>
      </w:r>
      <w:r w:rsidR="006A5746" w:rsidRPr="00957845">
        <w:rPr>
          <w:rStyle w:val="FootnoteReference"/>
          <w:rFonts w:ascii="Franklin Gothic Book" w:hAnsi="Franklin Gothic Book"/>
          <w:sz w:val="22"/>
          <w:szCs w:val="22"/>
        </w:rPr>
        <w:footnoteReference w:id="17"/>
      </w:r>
      <w:r w:rsidRPr="00957845">
        <w:rPr>
          <w:rFonts w:ascii="Franklin Gothic Book" w:hAnsi="Franklin Gothic Book"/>
          <w:sz w:val="22"/>
          <w:szCs w:val="22"/>
        </w:rPr>
        <w:t>, Huss et al. (2015)</w:t>
      </w:r>
      <w:r w:rsidR="003866FE" w:rsidRPr="00957845">
        <w:rPr>
          <w:rFonts w:ascii="Franklin Gothic Book" w:hAnsi="Franklin Gothic Book"/>
          <w:sz w:val="22"/>
          <w:szCs w:val="22"/>
          <w:vertAlign w:val="superscript"/>
        </w:rPr>
        <w:t>1</w:t>
      </w:r>
      <w:r w:rsidRPr="00957845">
        <w:rPr>
          <w:rFonts w:ascii="Franklin Gothic Book" w:hAnsi="Franklin Gothic Book"/>
          <w:sz w:val="22"/>
          <w:szCs w:val="22"/>
        </w:rPr>
        <w:t>, Krishna et al. (2020)</w:t>
      </w:r>
      <w:r w:rsidR="006A5746" w:rsidRPr="00957845">
        <w:rPr>
          <w:rStyle w:val="FootnoteReference"/>
          <w:rFonts w:ascii="Franklin Gothic Book" w:hAnsi="Franklin Gothic Book"/>
          <w:sz w:val="22"/>
          <w:szCs w:val="22"/>
        </w:rPr>
        <w:footnoteReference w:id="18"/>
      </w:r>
      <w:r w:rsidRPr="00957845">
        <w:rPr>
          <w:rFonts w:ascii="Franklin Gothic Book" w:hAnsi="Franklin Gothic Book"/>
          <w:sz w:val="22"/>
          <w:szCs w:val="22"/>
        </w:rPr>
        <w:t>, Sinai et al. (2019)</w:t>
      </w:r>
      <w:r w:rsidR="006A5746" w:rsidRPr="00957845">
        <w:rPr>
          <w:rStyle w:val="FootnoteReference"/>
          <w:rFonts w:ascii="Franklin Gothic Book" w:hAnsi="Franklin Gothic Book"/>
          <w:sz w:val="22"/>
          <w:szCs w:val="22"/>
        </w:rPr>
        <w:footnoteReference w:id="19"/>
      </w:r>
      <w:r w:rsidRPr="00957845">
        <w:rPr>
          <w:rFonts w:ascii="Franklin Gothic Book" w:hAnsi="Franklin Gothic Book"/>
          <w:sz w:val="22"/>
          <w:szCs w:val="22"/>
        </w:rPr>
        <w:t xml:space="preserve"> and </w:t>
      </w:r>
      <w:proofErr w:type="spellStart"/>
      <w:r w:rsidRPr="00957845">
        <w:rPr>
          <w:rFonts w:ascii="Franklin Gothic Book" w:hAnsi="Franklin Gothic Book"/>
          <w:sz w:val="22"/>
          <w:szCs w:val="22"/>
        </w:rPr>
        <w:t>Wharen</w:t>
      </w:r>
      <w:proofErr w:type="spellEnd"/>
      <w:r w:rsidRPr="00957845">
        <w:rPr>
          <w:rFonts w:ascii="Franklin Gothic Book" w:hAnsi="Franklin Gothic Book"/>
          <w:sz w:val="22"/>
          <w:szCs w:val="22"/>
        </w:rPr>
        <w:t xml:space="preserve"> Jr et al. (2017)</w:t>
      </w:r>
      <w:r w:rsidR="003053BD" w:rsidRPr="00957845">
        <w:rPr>
          <w:rStyle w:val="FootnoteReference"/>
          <w:rFonts w:ascii="Franklin Gothic Book" w:hAnsi="Franklin Gothic Book"/>
          <w:sz w:val="22"/>
          <w:szCs w:val="22"/>
        </w:rPr>
        <w:footnoteReference w:id="20"/>
      </w:r>
      <w:r w:rsidRPr="00957845">
        <w:rPr>
          <w:rFonts w:ascii="Franklin Gothic Book" w:hAnsi="Franklin Gothic Book"/>
          <w:sz w:val="22"/>
          <w:szCs w:val="22"/>
        </w:rPr>
        <w:t>.</w:t>
      </w:r>
    </w:p>
    <w:p w14:paraId="14142C4E" w14:textId="670E549E" w:rsidR="00D643A1" w:rsidRPr="00957845" w:rsidRDefault="00D643A1" w:rsidP="00D643A1">
      <w:pPr>
        <w:spacing w:before="240"/>
        <w:rPr>
          <w:rFonts w:ascii="Franklin Gothic Book" w:hAnsi="Franklin Gothic Book"/>
          <w:sz w:val="22"/>
          <w:szCs w:val="22"/>
        </w:rPr>
      </w:pPr>
      <w:r w:rsidRPr="00957845">
        <w:rPr>
          <w:rFonts w:ascii="Franklin Gothic Book" w:hAnsi="Franklin Gothic Book"/>
          <w:sz w:val="22"/>
          <w:szCs w:val="22"/>
        </w:rPr>
        <w:t xml:space="preserve">A total of 15 studies were considered relevant to the evidence base for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vs BSC. The pivotal evidence is a sham-controlled multicentre randomised controlled trial (RCT) (Level II evidence) by Elias et al. 201</w:t>
      </w:r>
      <w:r w:rsidR="0021332C" w:rsidRPr="00957845">
        <w:rPr>
          <w:rFonts w:ascii="Franklin Gothic Book" w:hAnsi="Franklin Gothic Book"/>
          <w:sz w:val="22"/>
          <w:szCs w:val="22"/>
        </w:rPr>
        <w:t>6</w:t>
      </w:r>
      <w:r w:rsidR="0021332C" w:rsidRPr="00957845">
        <w:rPr>
          <w:rFonts w:ascii="Franklin Gothic Book" w:hAnsi="Franklin Gothic Book"/>
          <w:sz w:val="22"/>
          <w:szCs w:val="22"/>
          <w:vertAlign w:val="superscript"/>
        </w:rPr>
        <w:t>11</w:t>
      </w:r>
      <w:r w:rsidRPr="00957845">
        <w:rPr>
          <w:rFonts w:ascii="Franklin Gothic Book" w:hAnsi="Franklin Gothic Book"/>
          <w:sz w:val="22"/>
          <w:szCs w:val="22"/>
        </w:rPr>
        <w:t xml:space="preserve"> (Level II evidence) considered </w:t>
      </w:r>
      <w:r w:rsidR="00E736CF" w:rsidRPr="00957845">
        <w:rPr>
          <w:rFonts w:ascii="Franklin Gothic Book" w:hAnsi="Franklin Gothic Book"/>
          <w:sz w:val="22"/>
          <w:szCs w:val="22"/>
        </w:rPr>
        <w:t xml:space="preserve">by the resubmission </w:t>
      </w:r>
      <w:r w:rsidRPr="00957845">
        <w:rPr>
          <w:rFonts w:ascii="Franklin Gothic Book" w:hAnsi="Franklin Gothic Book"/>
          <w:sz w:val="22"/>
          <w:szCs w:val="22"/>
        </w:rPr>
        <w:t xml:space="preserve">to have a low risk of bias. The 14 prospectively and retrospectively conducted non-comparative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studies previously mentioned</w:t>
      </w:r>
      <w:r w:rsidR="00493F39" w:rsidRPr="00957845">
        <w:rPr>
          <w:rFonts w:ascii="Franklin Gothic Book" w:hAnsi="Franklin Gothic Book"/>
          <w:sz w:val="22"/>
          <w:szCs w:val="22"/>
        </w:rPr>
        <w:t xml:space="preserve"> for </w:t>
      </w:r>
      <w:proofErr w:type="spellStart"/>
      <w:r w:rsidR="00493F39" w:rsidRPr="00957845">
        <w:rPr>
          <w:rFonts w:ascii="Franklin Gothic Book" w:hAnsi="Franklin Gothic Book"/>
          <w:sz w:val="22"/>
          <w:szCs w:val="22"/>
        </w:rPr>
        <w:t>MRgFUS</w:t>
      </w:r>
      <w:proofErr w:type="spellEnd"/>
      <w:r w:rsidR="00493F39" w:rsidRPr="00957845">
        <w:rPr>
          <w:rFonts w:ascii="Franklin Gothic Book" w:hAnsi="Franklin Gothic Book"/>
          <w:sz w:val="22"/>
          <w:szCs w:val="22"/>
        </w:rPr>
        <w:t xml:space="preserve"> vs DBS </w:t>
      </w:r>
      <w:r w:rsidRPr="00957845">
        <w:rPr>
          <w:rFonts w:ascii="Franklin Gothic Book" w:hAnsi="Franklin Gothic Book"/>
          <w:sz w:val="22"/>
          <w:szCs w:val="22"/>
        </w:rPr>
        <w:t>were included as supportive evidence to demonstrate consistency and durability of effect.</w:t>
      </w:r>
    </w:p>
    <w:p w14:paraId="64F471B8" w14:textId="753DC40E" w:rsidR="00D643A1" w:rsidRPr="00957845" w:rsidRDefault="00D643A1" w:rsidP="00D643A1">
      <w:pPr>
        <w:spacing w:before="240"/>
        <w:rPr>
          <w:rFonts w:ascii="Franklin Gothic Book" w:hAnsi="Franklin Gothic Book"/>
          <w:sz w:val="22"/>
          <w:szCs w:val="22"/>
        </w:rPr>
      </w:pPr>
      <w:r w:rsidRPr="00957845">
        <w:rPr>
          <w:rFonts w:ascii="Franklin Gothic Book" w:hAnsi="Franklin Gothic Book"/>
          <w:sz w:val="22"/>
          <w:szCs w:val="22"/>
        </w:rPr>
        <w:t>The resubmission also included more recent long-term follow-up data up to 5 years (Cosgrove 2021)</w:t>
      </w:r>
      <w:r w:rsidR="008E59CE" w:rsidRPr="00957845">
        <w:rPr>
          <w:rStyle w:val="FootnoteReference"/>
          <w:rFonts w:ascii="Franklin Gothic Book" w:hAnsi="Franklin Gothic Book"/>
          <w:sz w:val="22"/>
          <w:szCs w:val="22"/>
        </w:rPr>
        <w:footnoteReference w:id="21"/>
      </w:r>
      <w:r w:rsidRPr="00957845">
        <w:rPr>
          <w:rFonts w:ascii="Franklin Gothic Book" w:hAnsi="Franklin Gothic Book"/>
          <w:sz w:val="22"/>
          <w:szCs w:val="22"/>
        </w:rPr>
        <w:t xml:space="preserve"> from the pivotal RCT.</w:t>
      </w:r>
    </w:p>
    <w:p w14:paraId="0656EFB9" w14:textId="3A95B7AA" w:rsidR="00D643A1" w:rsidRPr="00957845" w:rsidRDefault="00CA0101" w:rsidP="00957845">
      <w:pPr>
        <w:spacing w:before="240"/>
        <w:rPr>
          <w:rFonts w:ascii="Franklin Gothic Book" w:hAnsi="Franklin Gothic Book"/>
          <w:sz w:val="22"/>
          <w:szCs w:val="22"/>
        </w:rPr>
      </w:pPr>
      <w:r w:rsidRPr="00957845">
        <w:rPr>
          <w:rFonts w:ascii="Franklin Gothic Book" w:hAnsi="Franklin Gothic Book"/>
          <w:sz w:val="22"/>
          <w:szCs w:val="22"/>
        </w:rPr>
        <w:t xml:space="preserve">The </w:t>
      </w:r>
      <w:r w:rsidR="007D10A5" w:rsidRPr="00957845">
        <w:rPr>
          <w:rFonts w:ascii="Franklin Gothic Book" w:hAnsi="Franklin Gothic Book"/>
          <w:sz w:val="22"/>
          <w:szCs w:val="22"/>
        </w:rPr>
        <w:t>commentary</w:t>
      </w:r>
      <w:r w:rsidRPr="00957845">
        <w:rPr>
          <w:rFonts w:ascii="Franklin Gothic Book" w:hAnsi="Franklin Gothic Book"/>
          <w:sz w:val="22"/>
          <w:szCs w:val="22"/>
        </w:rPr>
        <w:t xml:space="preserve"> identified an additional two non-comparative relevant DBS studies in the time period of the applicant literature search, </w:t>
      </w:r>
      <w:proofErr w:type="gramStart"/>
      <w:r w:rsidRPr="00957845">
        <w:rPr>
          <w:rFonts w:ascii="Franklin Gothic Book" w:hAnsi="Franklin Gothic Book"/>
          <w:sz w:val="22"/>
          <w:szCs w:val="22"/>
        </w:rPr>
        <w:t>i.e.</w:t>
      </w:r>
      <w:proofErr w:type="gramEnd"/>
      <w:r w:rsidRPr="00957845">
        <w:rPr>
          <w:rFonts w:ascii="Franklin Gothic Book" w:hAnsi="Franklin Gothic Book"/>
          <w:sz w:val="22"/>
          <w:szCs w:val="22"/>
        </w:rPr>
        <w:t xml:space="preserve"> to the 24 August 2021, and one recently published DBS study (published after the ADAR literature search) but concluded that the results of the additional two non-comparative studies do not impact the assessment of comparative safety and efficacy.</w:t>
      </w:r>
    </w:p>
    <w:p w14:paraId="6D264E9E" w14:textId="1D3351A2" w:rsidR="00DE7EDC" w:rsidRPr="00957845" w:rsidRDefault="00DE7EDC" w:rsidP="00957845">
      <w:pPr>
        <w:spacing w:before="240"/>
        <w:rPr>
          <w:rFonts w:ascii="Franklin Gothic Book" w:hAnsi="Franklin Gothic Book"/>
          <w:sz w:val="22"/>
          <w:szCs w:val="22"/>
        </w:rPr>
      </w:pPr>
      <w:r w:rsidRPr="00957845">
        <w:rPr>
          <w:rFonts w:ascii="Franklin Gothic Book" w:hAnsi="Franklin Gothic Book"/>
          <w:sz w:val="22"/>
          <w:szCs w:val="22"/>
        </w:rPr>
        <w:t xml:space="preserve">The commentary considered the overall quality of the evidence base to be low, and key studies </w:t>
      </w:r>
      <w:proofErr w:type="gramStart"/>
      <w:r w:rsidRPr="00957845">
        <w:rPr>
          <w:rFonts w:ascii="Franklin Gothic Book" w:hAnsi="Franklin Gothic Book"/>
          <w:sz w:val="22"/>
          <w:szCs w:val="22"/>
        </w:rPr>
        <w:t>were considered to be</w:t>
      </w:r>
      <w:proofErr w:type="gramEnd"/>
      <w:r w:rsidRPr="00957845">
        <w:rPr>
          <w:rFonts w:ascii="Franklin Gothic Book" w:hAnsi="Franklin Gothic Book"/>
          <w:sz w:val="22"/>
          <w:szCs w:val="22"/>
        </w:rPr>
        <w:t xml:space="preserve"> at high risk of bias</w:t>
      </w:r>
      <w:r w:rsidR="00A45DCB" w:rsidRPr="00957845">
        <w:rPr>
          <w:rFonts w:ascii="Franklin Gothic Book" w:hAnsi="Franklin Gothic Book"/>
          <w:sz w:val="22"/>
          <w:szCs w:val="22"/>
        </w:rPr>
        <w:t xml:space="preserve"> including </w:t>
      </w:r>
      <w:r w:rsidR="000A6C6D" w:rsidRPr="00957845">
        <w:rPr>
          <w:rFonts w:ascii="Franklin Gothic Book" w:hAnsi="Franklin Gothic Book"/>
          <w:sz w:val="22"/>
          <w:szCs w:val="22"/>
        </w:rPr>
        <w:t>some</w:t>
      </w:r>
      <w:r w:rsidR="00A45DCB" w:rsidRPr="00957845">
        <w:rPr>
          <w:rFonts w:ascii="Franklin Gothic Book" w:hAnsi="Franklin Gothic Book"/>
          <w:sz w:val="22"/>
          <w:szCs w:val="22"/>
        </w:rPr>
        <w:t xml:space="preserve"> that w</w:t>
      </w:r>
      <w:r w:rsidR="000A6C6D" w:rsidRPr="00957845">
        <w:rPr>
          <w:rFonts w:ascii="Franklin Gothic Book" w:hAnsi="Franklin Gothic Book"/>
          <w:sz w:val="22"/>
          <w:szCs w:val="22"/>
        </w:rPr>
        <w:t>ere</w:t>
      </w:r>
      <w:r w:rsidR="00A45DCB" w:rsidRPr="00957845">
        <w:rPr>
          <w:rFonts w:ascii="Franklin Gothic Book" w:hAnsi="Franklin Gothic Book"/>
          <w:sz w:val="22"/>
          <w:szCs w:val="22"/>
        </w:rPr>
        <w:t xml:space="preserve"> rated as being </w:t>
      </w:r>
      <w:r w:rsidR="000A6C6D" w:rsidRPr="00957845">
        <w:rPr>
          <w:rFonts w:ascii="Franklin Gothic Book" w:hAnsi="Franklin Gothic Book"/>
          <w:sz w:val="22"/>
          <w:szCs w:val="22"/>
        </w:rPr>
        <w:t xml:space="preserve">of </w:t>
      </w:r>
      <w:r w:rsidR="00A45DCB" w:rsidRPr="00957845">
        <w:rPr>
          <w:rFonts w:ascii="Franklin Gothic Book" w:hAnsi="Franklin Gothic Book"/>
          <w:sz w:val="22"/>
          <w:szCs w:val="22"/>
        </w:rPr>
        <w:t>moderate risk of bias by the resubmission</w:t>
      </w:r>
      <w:r w:rsidRPr="00957845">
        <w:rPr>
          <w:rFonts w:ascii="Franklin Gothic Book" w:hAnsi="Franklin Gothic Book"/>
          <w:sz w:val="22"/>
          <w:szCs w:val="22"/>
        </w:rPr>
        <w:t>.</w:t>
      </w:r>
    </w:p>
    <w:p w14:paraId="2BC164FA" w14:textId="2DE27018" w:rsidR="00D643A1" w:rsidRPr="00957845" w:rsidRDefault="00D643A1" w:rsidP="00957845">
      <w:pPr>
        <w:pStyle w:val="Heading2"/>
        <w:spacing w:before="240" w:after="240"/>
        <w:rPr>
          <w:rFonts w:ascii="Franklin Gothic Book" w:hAnsi="Franklin Gothic Book"/>
          <w:b/>
          <w:bCs w:val="0"/>
          <w:i w:val="0"/>
          <w:iCs/>
        </w:rPr>
      </w:pPr>
      <w:r w:rsidRPr="00957845">
        <w:rPr>
          <w:rFonts w:ascii="Franklin Gothic Book" w:hAnsi="Franklin Gothic Book"/>
          <w:b/>
          <w:bCs w:val="0"/>
          <w:i w:val="0"/>
          <w:iCs/>
        </w:rPr>
        <w:t>Adverse events</w:t>
      </w:r>
    </w:p>
    <w:p w14:paraId="4C51E79E" w14:textId="69D3FEC3" w:rsidR="00B51F1B" w:rsidRPr="00957845" w:rsidRDefault="007315E6" w:rsidP="00F64363">
      <w:pPr>
        <w:pStyle w:val="Heading3"/>
        <w:rPr>
          <w:rFonts w:ascii="Franklin Gothic Book" w:hAnsi="Franklin Gothic Book"/>
          <w:i/>
          <w:iCs/>
          <w:u w:val="none"/>
        </w:rPr>
      </w:pPr>
      <w:proofErr w:type="spellStart"/>
      <w:r w:rsidRPr="00957845">
        <w:rPr>
          <w:rFonts w:ascii="Franklin Gothic Book" w:hAnsi="Franklin Gothic Book"/>
          <w:i/>
          <w:iCs/>
          <w:u w:val="none"/>
        </w:rPr>
        <w:t>M</w:t>
      </w:r>
      <w:r w:rsidR="00B51F1B" w:rsidRPr="00957845">
        <w:rPr>
          <w:rFonts w:ascii="Franklin Gothic Book" w:hAnsi="Franklin Gothic Book"/>
          <w:i/>
          <w:iCs/>
          <w:u w:val="none"/>
        </w:rPr>
        <w:t>RgFUS</w:t>
      </w:r>
      <w:proofErr w:type="spellEnd"/>
      <w:r w:rsidR="00B51F1B" w:rsidRPr="00957845">
        <w:rPr>
          <w:rFonts w:ascii="Franklin Gothic Book" w:hAnsi="Franklin Gothic Book"/>
          <w:i/>
          <w:iCs/>
          <w:u w:val="none"/>
        </w:rPr>
        <w:t xml:space="preserve"> v</w:t>
      </w:r>
      <w:r w:rsidRPr="00957845">
        <w:rPr>
          <w:rFonts w:ascii="Franklin Gothic Book" w:hAnsi="Franklin Gothic Book"/>
          <w:i/>
          <w:iCs/>
          <w:u w:val="none"/>
        </w:rPr>
        <w:t xml:space="preserve">s </w:t>
      </w:r>
      <w:r w:rsidR="00B51F1B" w:rsidRPr="00957845">
        <w:rPr>
          <w:rFonts w:ascii="Franklin Gothic Book" w:hAnsi="Franklin Gothic Book"/>
          <w:i/>
          <w:iCs/>
          <w:u w:val="none"/>
        </w:rPr>
        <w:t>DBS</w:t>
      </w:r>
    </w:p>
    <w:p w14:paraId="7683CD6B" w14:textId="54CF6B73" w:rsidR="00B51F1B" w:rsidRPr="00957845" w:rsidRDefault="00D44E5F" w:rsidP="00B51F1B">
      <w:pPr>
        <w:spacing w:before="240"/>
        <w:rPr>
          <w:rFonts w:ascii="Franklin Gothic Book" w:hAnsi="Franklin Gothic Book"/>
          <w:sz w:val="22"/>
          <w:szCs w:val="22"/>
        </w:rPr>
      </w:pPr>
      <w:r w:rsidRPr="00957845">
        <w:rPr>
          <w:rFonts w:ascii="Franklin Gothic Book" w:hAnsi="Franklin Gothic Book"/>
          <w:sz w:val="22"/>
          <w:szCs w:val="22"/>
        </w:rPr>
        <w:t>W</w:t>
      </w:r>
      <w:r w:rsidR="00B51F1B" w:rsidRPr="00957845">
        <w:rPr>
          <w:rFonts w:ascii="Franklin Gothic Book" w:hAnsi="Franklin Gothic Book"/>
          <w:sz w:val="22"/>
          <w:szCs w:val="22"/>
        </w:rPr>
        <w:t xml:space="preserve">hile AEs related to </w:t>
      </w:r>
      <w:proofErr w:type="spellStart"/>
      <w:r w:rsidR="00B51F1B" w:rsidRPr="00957845">
        <w:rPr>
          <w:rFonts w:ascii="Franklin Gothic Book" w:hAnsi="Franklin Gothic Book"/>
          <w:sz w:val="22"/>
          <w:szCs w:val="22"/>
        </w:rPr>
        <w:t>MRgFUS</w:t>
      </w:r>
      <w:proofErr w:type="spellEnd"/>
      <w:r w:rsidR="00B51F1B" w:rsidRPr="00957845">
        <w:rPr>
          <w:rFonts w:ascii="Franklin Gothic Book" w:hAnsi="Franklin Gothic Book"/>
          <w:sz w:val="22"/>
          <w:szCs w:val="22"/>
        </w:rPr>
        <w:t xml:space="preserve"> are relatively frequent, they are either mild or (less frequently) moderate in severity and transient, with most events resolving within 12 months.</w:t>
      </w:r>
    </w:p>
    <w:p w14:paraId="396C72CA" w14:textId="77777777" w:rsidR="00B51F1B" w:rsidRPr="00957845" w:rsidRDefault="00B51F1B" w:rsidP="00B51F1B">
      <w:pPr>
        <w:spacing w:before="240"/>
        <w:rPr>
          <w:rFonts w:ascii="Franklin Gothic Book" w:hAnsi="Franklin Gothic Book"/>
          <w:sz w:val="22"/>
          <w:szCs w:val="22"/>
        </w:rPr>
      </w:pPr>
      <w:r w:rsidRPr="00957845">
        <w:rPr>
          <w:rFonts w:ascii="Franklin Gothic Book" w:hAnsi="Franklin Gothic Book"/>
          <w:sz w:val="22"/>
          <w:szCs w:val="22"/>
        </w:rPr>
        <w:t xml:space="preserve">The most common intraprocedural AEs for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included dizziness, headache, nausea, and heat sensation, and tended to be limited to the procedure duration (up to a maximum of 3 months post-treatment). AEs related to the placement of the stereotactic frame (pain, scalp injuries from the stereotactic frame pins) were also reported. No intraprocedural AEs were reported for the DBS.</w:t>
      </w:r>
    </w:p>
    <w:p w14:paraId="0F9085FA" w14:textId="3459EC13" w:rsidR="00F664CC" w:rsidRPr="00957845" w:rsidRDefault="00B51F1B" w:rsidP="00B51F1B">
      <w:pPr>
        <w:spacing w:before="240"/>
        <w:rPr>
          <w:rFonts w:ascii="Franklin Gothic Book" w:hAnsi="Franklin Gothic Book"/>
          <w:bCs/>
          <w:iCs/>
          <w:sz w:val="22"/>
          <w:szCs w:val="22"/>
        </w:rPr>
      </w:pPr>
      <w:r w:rsidRPr="00957845">
        <w:rPr>
          <w:rFonts w:ascii="Franklin Gothic Book" w:hAnsi="Franklin Gothic Book"/>
          <w:sz w:val="22"/>
          <w:szCs w:val="22"/>
        </w:rPr>
        <w:t xml:space="preserve">Post-procedural AEs related to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most frequently included </w:t>
      </w:r>
      <w:proofErr w:type="spellStart"/>
      <w:r w:rsidRPr="00957845">
        <w:rPr>
          <w:rFonts w:ascii="Franklin Gothic Book" w:hAnsi="Franklin Gothic Book"/>
          <w:sz w:val="22"/>
          <w:szCs w:val="22"/>
        </w:rPr>
        <w:t>paraesthesias</w:t>
      </w:r>
      <w:proofErr w:type="spellEnd"/>
      <w:r w:rsidRPr="00957845">
        <w:rPr>
          <w:rFonts w:ascii="Franklin Gothic Book" w:hAnsi="Franklin Gothic Book"/>
          <w:sz w:val="22"/>
          <w:szCs w:val="22"/>
        </w:rPr>
        <w:t xml:space="preserve"> and gait disturbances and tended to be either transient or improve with time. AEs related to DBS included balance or gait difficulties and speech disturbances, some resolving after hardware </w:t>
      </w:r>
      <w:r w:rsidRPr="00957845">
        <w:rPr>
          <w:rFonts w:ascii="Franklin Gothic Book" w:hAnsi="Franklin Gothic Book"/>
          <w:sz w:val="22"/>
          <w:szCs w:val="22"/>
        </w:rPr>
        <w:lastRenderedPageBreak/>
        <w:t>programming. Additionally, wound infections at the implant site and other complications related to the DBS hardware were reported, some requiring hardware replacement over time. Longer-term AEs for DBS at 4-6.5 years post-procedure reported long-term neurological issues (</w:t>
      </w:r>
      <w:proofErr w:type="gramStart"/>
      <w:r w:rsidRPr="00957845">
        <w:rPr>
          <w:rFonts w:ascii="Franklin Gothic Book" w:hAnsi="Franklin Gothic Book"/>
          <w:sz w:val="22"/>
          <w:szCs w:val="22"/>
        </w:rPr>
        <w:t>e.g.</w:t>
      </w:r>
      <w:proofErr w:type="gramEnd"/>
      <w:r w:rsidRPr="00957845">
        <w:rPr>
          <w:rFonts w:ascii="Franklin Gothic Book" w:hAnsi="Franklin Gothic Book"/>
          <w:sz w:val="22"/>
          <w:szCs w:val="22"/>
        </w:rPr>
        <w:t xml:space="preserve"> </w:t>
      </w:r>
      <w:proofErr w:type="spellStart"/>
      <w:r w:rsidRPr="00957845">
        <w:rPr>
          <w:rFonts w:ascii="Franklin Gothic Book" w:hAnsi="Franklin Gothic Book"/>
          <w:sz w:val="22"/>
          <w:szCs w:val="22"/>
        </w:rPr>
        <w:t>paresthesia</w:t>
      </w:r>
      <w:proofErr w:type="spellEnd"/>
      <w:r w:rsidRPr="00957845">
        <w:rPr>
          <w:rFonts w:ascii="Franklin Gothic Book" w:hAnsi="Franklin Gothic Book"/>
          <w:sz w:val="22"/>
          <w:szCs w:val="22"/>
        </w:rPr>
        <w:t>, hand ataxia, dysarthria, gait disturbance, dystonia) in 26-37% of patients.</w:t>
      </w:r>
    </w:p>
    <w:p w14:paraId="17FCB8D5" w14:textId="73125179" w:rsidR="00F664CC" w:rsidRPr="00957845" w:rsidRDefault="00F664CC" w:rsidP="00F664CC">
      <w:pPr>
        <w:spacing w:before="240"/>
        <w:rPr>
          <w:rFonts w:ascii="Franklin Gothic Book" w:hAnsi="Franklin Gothic Book"/>
          <w:bCs/>
          <w:iCs/>
          <w:sz w:val="22"/>
          <w:szCs w:val="22"/>
        </w:rPr>
      </w:pPr>
      <w:r w:rsidRPr="00957845">
        <w:rPr>
          <w:rFonts w:ascii="Franklin Gothic Book" w:hAnsi="Franklin Gothic Book"/>
          <w:bCs/>
          <w:iCs/>
          <w:sz w:val="22"/>
          <w:szCs w:val="22"/>
        </w:rPr>
        <w:t xml:space="preserve">The </w:t>
      </w:r>
      <w:r w:rsidR="00B51F1B" w:rsidRPr="00957845">
        <w:rPr>
          <w:rFonts w:ascii="Franklin Gothic Book" w:hAnsi="Franklin Gothic Book"/>
          <w:bCs/>
          <w:iCs/>
          <w:sz w:val="22"/>
          <w:szCs w:val="22"/>
        </w:rPr>
        <w:t>r</w:t>
      </w:r>
      <w:r w:rsidRPr="00957845">
        <w:rPr>
          <w:rFonts w:ascii="Franklin Gothic Book" w:hAnsi="Franklin Gothic Book"/>
          <w:bCs/>
          <w:iCs/>
          <w:sz w:val="22"/>
          <w:szCs w:val="22"/>
        </w:rPr>
        <w:t xml:space="preserve">esubmission also presented evidence for the long-term safety of DBS. The </w:t>
      </w:r>
      <w:r w:rsidR="00B51F1B" w:rsidRPr="00957845">
        <w:rPr>
          <w:rFonts w:ascii="Franklin Gothic Book" w:hAnsi="Franklin Gothic Book"/>
          <w:bCs/>
          <w:iCs/>
          <w:sz w:val="22"/>
          <w:szCs w:val="22"/>
        </w:rPr>
        <w:t>r</w:t>
      </w:r>
      <w:r w:rsidRPr="00957845">
        <w:rPr>
          <w:rFonts w:ascii="Franklin Gothic Book" w:hAnsi="Franklin Gothic Book"/>
          <w:bCs/>
          <w:iCs/>
          <w:sz w:val="22"/>
          <w:szCs w:val="22"/>
        </w:rPr>
        <w:t xml:space="preserve">esubmission concluded that DBS is associated with a range of long-term safety issues, that are unlikely to be less significant than those associated with </w:t>
      </w:r>
      <w:proofErr w:type="spellStart"/>
      <w:r w:rsidRPr="00957845">
        <w:rPr>
          <w:rFonts w:ascii="Franklin Gothic Book" w:hAnsi="Franklin Gothic Book"/>
          <w:bCs/>
          <w:iCs/>
          <w:sz w:val="22"/>
          <w:szCs w:val="22"/>
        </w:rPr>
        <w:t>MRgFUS</w:t>
      </w:r>
      <w:proofErr w:type="spellEnd"/>
      <w:r w:rsidRPr="00957845">
        <w:rPr>
          <w:rFonts w:ascii="Franklin Gothic Book" w:hAnsi="Franklin Gothic Book"/>
          <w:bCs/>
          <w:iCs/>
          <w:sz w:val="22"/>
          <w:szCs w:val="22"/>
        </w:rPr>
        <w:t xml:space="preserve"> (primarily paraesthesia of low to moderate severity).</w:t>
      </w:r>
    </w:p>
    <w:p w14:paraId="20CC898B" w14:textId="564183CB" w:rsidR="005B5538" w:rsidRPr="00957845" w:rsidRDefault="005B5538" w:rsidP="00957845">
      <w:pPr>
        <w:spacing w:before="240" w:after="360"/>
        <w:rPr>
          <w:rFonts w:ascii="Franklin Gothic Book" w:hAnsi="Franklin Gothic Book"/>
          <w:sz w:val="22"/>
          <w:szCs w:val="22"/>
        </w:rPr>
      </w:pPr>
      <w:r w:rsidRPr="00957845">
        <w:rPr>
          <w:rFonts w:ascii="Franklin Gothic Book" w:hAnsi="Franklin Gothic Book"/>
          <w:bCs/>
          <w:iCs/>
          <w:sz w:val="22"/>
          <w:szCs w:val="22"/>
        </w:rPr>
        <w:t>The resubmission stated that the results from Giordano (2020)</w:t>
      </w:r>
      <w:r w:rsidR="003866FE" w:rsidRPr="00957845">
        <w:rPr>
          <w:rFonts w:ascii="Franklin Gothic Book" w:hAnsi="Franklin Gothic Book"/>
          <w:sz w:val="22"/>
          <w:szCs w:val="22"/>
          <w:vertAlign w:val="superscript"/>
        </w:rPr>
        <w:t xml:space="preserve"> 9</w:t>
      </w:r>
      <w:r w:rsidRPr="00957845">
        <w:rPr>
          <w:rFonts w:ascii="Franklin Gothic Book" w:hAnsi="Franklin Gothic Book"/>
          <w:bCs/>
          <w:iCs/>
          <w:sz w:val="22"/>
          <w:szCs w:val="22"/>
        </w:rPr>
        <w:t xml:space="preserve"> showed that the overall </w:t>
      </w:r>
      <w:r w:rsidRPr="00957845">
        <w:rPr>
          <w:rFonts w:ascii="Franklin Gothic Book" w:hAnsi="Franklin Gothic Book"/>
          <w:sz w:val="22"/>
          <w:szCs w:val="22"/>
        </w:rPr>
        <w:t xml:space="preserve">the overall complication rate was similar between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and DBS, the distribution of complications was significantly different among the two groups. The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group had a higher prevalence of gait disturbances/muscle problems (p&lt;0.001), paraesthesia (p&lt;0.001) and nausea (p&lt;0.001), while the DBS group had a higher prevalence of speech disturbances (p&lt;0.001) and local adverse symptoms (p&lt;0.001). Note that the analysis of “all” DBS procedures presented in </w:t>
      </w:r>
      <w:r w:rsidR="004359E1" w:rsidRPr="00957845">
        <w:rPr>
          <w:rFonts w:ascii="Franklin Gothic Book" w:hAnsi="Franklin Gothic Book"/>
          <w:sz w:val="22"/>
          <w:szCs w:val="22"/>
        </w:rPr>
        <w:t xml:space="preserve">Table 7 </w:t>
      </w:r>
      <w:r w:rsidRPr="00957845">
        <w:rPr>
          <w:rFonts w:ascii="Franklin Gothic Book" w:hAnsi="Franklin Gothic Book"/>
          <w:sz w:val="22"/>
          <w:szCs w:val="22"/>
        </w:rPr>
        <w:t>includes unilateral DBS and bilateral DBS. The rate of complications specifically associated with bilateral procedures would be expected to be higher.</w:t>
      </w:r>
    </w:p>
    <w:p w14:paraId="4D4909D2" w14:textId="0159C55C" w:rsidR="005B5538" w:rsidRPr="00957845" w:rsidRDefault="005B5538" w:rsidP="00957845">
      <w:pPr>
        <w:pStyle w:val="Caption"/>
        <w:spacing w:before="240"/>
      </w:pPr>
      <w:bookmarkStart w:id="19" w:name="_Ref83909066"/>
      <w:bookmarkStart w:id="20" w:name="_Toc84411386"/>
      <w:r w:rsidRPr="00957845">
        <w:t>Table</w:t>
      </w:r>
      <w:bookmarkEnd w:id="19"/>
      <w:r w:rsidR="0006350E" w:rsidRPr="00957845">
        <w:t xml:space="preserve"> 7</w:t>
      </w:r>
      <w:r w:rsidR="003478E8">
        <w:tab/>
      </w:r>
      <w:r w:rsidRPr="00957845">
        <w:t xml:space="preserve">Prevalence of complications for </w:t>
      </w:r>
      <w:proofErr w:type="spellStart"/>
      <w:r w:rsidRPr="00957845">
        <w:t>MRgFUS</w:t>
      </w:r>
      <w:proofErr w:type="spellEnd"/>
      <w:r w:rsidRPr="00957845">
        <w:t xml:space="preserve"> and DBS (Giordano, 2020)</w:t>
      </w:r>
      <w:bookmarkEnd w:id="20"/>
    </w:p>
    <w:tbl>
      <w:tblPr>
        <w:tblStyle w:val="TableGrid2"/>
        <w:tblW w:w="5000" w:type="pct"/>
        <w:tblLook w:val="04A0" w:firstRow="1" w:lastRow="0" w:firstColumn="1" w:lastColumn="0" w:noHBand="0" w:noVBand="1"/>
        <w:tblDescription w:val="Prevalence of complications for MRgFUS and DBS (Giordano, 2020)"/>
      </w:tblPr>
      <w:tblGrid>
        <w:gridCol w:w="3911"/>
        <w:gridCol w:w="1821"/>
        <w:gridCol w:w="1643"/>
        <w:gridCol w:w="1641"/>
      </w:tblGrid>
      <w:tr w:rsidR="005B5538" w:rsidRPr="008E752A" w14:paraId="59530F8A" w14:textId="77777777" w:rsidTr="00F64363">
        <w:trPr>
          <w:cnfStyle w:val="100000000000" w:firstRow="1" w:lastRow="0" w:firstColumn="0" w:lastColumn="0" w:oddVBand="0" w:evenVBand="0" w:oddHBand="0" w:evenHBand="0" w:firstRowFirstColumn="0" w:firstRowLastColumn="0" w:lastRowFirstColumn="0" w:lastRowLastColumn="0"/>
          <w:trHeight w:val="290"/>
          <w:tblHeader/>
        </w:trPr>
        <w:tc>
          <w:tcPr>
            <w:tcW w:w="216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0A9449" w14:textId="77777777" w:rsidR="005B5538" w:rsidRPr="008E752A" w:rsidRDefault="005B5538" w:rsidP="00715ED2">
            <w:pPr>
              <w:pStyle w:val="Tabletext"/>
              <w:rPr>
                <w:b/>
                <w:bCs/>
                <w:szCs w:val="20"/>
              </w:rPr>
            </w:pPr>
            <w:r w:rsidRPr="008E752A">
              <w:rPr>
                <w:b/>
                <w:bCs/>
                <w:szCs w:val="20"/>
              </w:rPr>
              <w:t>Complication</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EE76393" w14:textId="77777777" w:rsidR="005B5538" w:rsidRPr="008E752A" w:rsidRDefault="005B5538" w:rsidP="00715ED2">
            <w:pPr>
              <w:pStyle w:val="Tabletext"/>
              <w:rPr>
                <w:b/>
                <w:bCs/>
                <w:szCs w:val="20"/>
              </w:rPr>
            </w:pPr>
            <w:proofErr w:type="spellStart"/>
            <w:r w:rsidRPr="008E752A">
              <w:rPr>
                <w:b/>
                <w:bCs/>
                <w:szCs w:val="20"/>
              </w:rPr>
              <w:t>MRgFUS</w:t>
            </w:r>
            <w:proofErr w:type="spellEnd"/>
          </w:p>
        </w:tc>
        <w:tc>
          <w:tcPr>
            <w:tcW w:w="1821" w:type="pct"/>
            <w:gridSpan w:val="2"/>
            <w:tcBorders>
              <w:top w:val="single" w:sz="4" w:space="0" w:color="auto"/>
              <w:left w:val="nil"/>
              <w:bottom w:val="single" w:sz="4" w:space="0" w:color="auto"/>
              <w:right w:val="single" w:sz="4" w:space="0" w:color="auto"/>
            </w:tcBorders>
            <w:shd w:val="clear" w:color="auto" w:fill="auto"/>
            <w:noWrap/>
            <w:vAlign w:val="bottom"/>
            <w:hideMark/>
          </w:tcPr>
          <w:p w14:paraId="6DE3DAF0" w14:textId="77777777" w:rsidR="005B5538" w:rsidRPr="008E752A" w:rsidRDefault="005B5538" w:rsidP="00715ED2">
            <w:pPr>
              <w:pStyle w:val="Tabletext"/>
              <w:rPr>
                <w:b/>
                <w:bCs/>
                <w:szCs w:val="20"/>
              </w:rPr>
            </w:pPr>
            <w:r w:rsidRPr="008E752A">
              <w:rPr>
                <w:b/>
                <w:bCs/>
                <w:szCs w:val="20"/>
              </w:rPr>
              <w:t>DBS</w:t>
            </w:r>
          </w:p>
        </w:tc>
      </w:tr>
      <w:tr w:rsidR="005B5538" w:rsidRPr="008E752A" w14:paraId="23283A9A" w14:textId="77777777" w:rsidTr="00F64363">
        <w:trPr>
          <w:cnfStyle w:val="100000000000" w:firstRow="1" w:lastRow="0" w:firstColumn="0" w:lastColumn="0" w:oddVBand="0" w:evenVBand="0" w:oddHBand="0" w:evenHBand="0" w:firstRowFirstColumn="0" w:firstRowLastColumn="0" w:lastRowFirstColumn="0" w:lastRowLastColumn="0"/>
          <w:trHeight w:val="290"/>
          <w:tblHeader/>
        </w:trPr>
        <w:tc>
          <w:tcPr>
            <w:tcW w:w="2169" w:type="pct"/>
            <w:vMerge/>
            <w:tcBorders>
              <w:top w:val="single" w:sz="4" w:space="0" w:color="auto"/>
              <w:left w:val="single" w:sz="4" w:space="0" w:color="auto"/>
              <w:bottom w:val="single" w:sz="4" w:space="0" w:color="auto"/>
              <w:right w:val="single" w:sz="4" w:space="0" w:color="auto"/>
            </w:tcBorders>
            <w:vAlign w:val="center"/>
            <w:hideMark/>
          </w:tcPr>
          <w:p w14:paraId="6287FFC4" w14:textId="77777777" w:rsidR="005B5538" w:rsidRPr="008E752A" w:rsidRDefault="005B5538" w:rsidP="00715ED2">
            <w:pPr>
              <w:pStyle w:val="Tabletext"/>
              <w:rPr>
                <w:b/>
                <w:bCs/>
                <w:szCs w:val="20"/>
              </w:rPr>
            </w:pPr>
          </w:p>
        </w:tc>
        <w:tc>
          <w:tcPr>
            <w:tcW w:w="1010" w:type="pct"/>
            <w:vMerge/>
            <w:tcBorders>
              <w:top w:val="single" w:sz="4" w:space="0" w:color="auto"/>
              <w:left w:val="single" w:sz="4" w:space="0" w:color="auto"/>
              <w:bottom w:val="single" w:sz="4" w:space="0" w:color="auto"/>
              <w:right w:val="single" w:sz="4" w:space="0" w:color="auto"/>
            </w:tcBorders>
            <w:vAlign w:val="center"/>
            <w:hideMark/>
          </w:tcPr>
          <w:p w14:paraId="166BEBDB" w14:textId="77777777" w:rsidR="005B5538" w:rsidRPr="008E752A" w:rsidRDefault="005B5538" w:rsidP="00715ED2">
            <w:pPr>
              <w:pStyle w:val="Tabletext"/>
              <w:rPr>
                <w:b/>
                <w:bCs/>
                <w:szCs w:val="20"/>
              </w:rPr>
            </w:pPr>
          </w:p>
        </w:tc>
        <w:tc>
          <w:tcPr>
            <w:tcW w:w="911" w:type="pct"/>
            <w:tcBorders>
              <w:top w:val="nil"/>
              <w:left w:val="nil"/>
              <w:bottom w:val="single" w:sz="4" w:space="0" w:color="auto"/>
              <w:right w:val="single" w:sz="4" w:space="0" w:color="auto"/>
            </w:tcBorders>
            <w:shd w:val="clear" w:color="auto" w:fill="auto"/>
            <w:noWrap/>
            <w:vAlign w:val="bottom"/>
            <w:hideMark/>
          </w:tcPr>
          <w:p w14:paraId="4543E861" w14:textId="77777777" w:rsidR="005B5538" w:rsidRPr="008E752A" w:rsidRDefault="005B5538" w:rsidP="00715ED2">
            <w:pPr>
              <w:pStyle w:val="Tabletext"/>
              <w:rPr>
                <w:b/>
                <w:bCs/>
                <w:szCs w:val="20"/>
              </w:rPr>
            </w:pPr>
            <w:r w:rsidRPr="008E752A">
              <w:rPr>
                <w:b/>
                <w:bCs/>
                <w:szCs w:val="20"/>
              </w:rPr>
              <w:t>Unilateral</w:t>
            </w:r>
          </w:p>
        </w:tc>
        <w:tc>
          <w:tcPr>
            <w:tcW w:w="910" w:type="pct"/>
            <w:tcBorders>
              <w:top w:val="nil"/>
              <w:left w:val="nil"/>
              <w:bottom w:val="single" w:sz="4" w:space="0" w:color="auto"/>
              <w:right w:val="single" w:sz="4" w:space="0" w:color="auto"/>
            </w:tcBorders>
            <w:shd w:val="clear" w:color="auto" w:fill="auto"/>
            <w:noWrap/>
            <w:vAlign w:val="bottom"/>
            <w:hideMark/>
          </w:tcPr>
          <w:p w14:paraId="5936B770" w14:textId="77777777" w:rsidR="005B5538" w:rsidRPr="008E752A" w:rsidRDefault="005B5538" w:rsidP="00715ED2">
            <w:pPr>
              <w:pStyle w:val="Tabletext"/>
              <w:rPr>
                <w:b/>
                <w:bCs/>
                <w:szCs w:val="20"/>
              </w:rPr>
            </w:pPr>
            <w:r w:rsidRPr="008E752A">
              <w:rPr>
                <w:b/>
                <w:bCs/>
                <w:szCs w:val="20"/>
              </w:rPr>
              <w:t>All</w:t>
            </w:r>
          </w:p>
        </w:tc>
      </w:tr>
      <w:tr w:rsidR="005B5538" w:rsidRPr="008E752A" w14:paraId="72EDD6AE"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tcPr>
          <w:p w14:paraId="595CE389" w14:textId="77777777" w:rsidR="005B5538" w:rsidRPr="008E752A" w:rsidRDefault="005B5538" w:rsidP="00715ED2">
            <w:pPr>
              <w:pStyle w:val="Tabletext"/>
              <w:rPr>
                <w:szCs w:val="20"/>
              </w:rPr>
            </w:pPr>
            <w:r w:rsidRPr="008E752A">
              <w:rPr>
                <w:szCs w:val="20"/>
              </w:rPr>
              <w:t>N</w:t>
            </w:r>
          </w:p>
        </w:tc>
        <w:tc>
          <w:tcPr>
            <w:tcW w:w="1010" w:type="pct"/>
            <w:tcBorders>
              <w:top w:val="nil"/>
              <w:left w:val="nil"/>
              <w:bottom w:val="single" w:sz="4" w:space="0" w:color="auto"/>
              <w:right w:val="single" w:sz="4" w:space="0" w:color="auto"/>
            </w:tcBorders>
            <w:shd w:val="clear" w:color="auto" w:fill="auto"/>
            <w:noWrap/>
            <w:vAlign w:val="bottom"/>
          </w:tcPr>
          <w:p w14:paraId="5B91E472" w14:textId="77777777" w:rsidR="005B5538" w:rsidRPr="008E752A" w:rsidRDefault="005B5538" w:rsidP="00715ED2">
            <w:pPr>
              <w:pStyle w:val="Tabletext"/>
              <w:rPr>
                <w:szCs w:val="20"/>
              </w:rPr>
            </w:pPr>
            <w:r w:rsidRPr="008E752A">
              <w:rPr>
                <w:szCs w:val="20"/>
              </w:rPr>
              <w:t>477</w:t>
            </w:r>
          </w:p>
        </w:tc>
        <w:tc>
          <w:tcPr>
            <w:tcW w:w="911" w:type="pct"/>
            <w:tcBorders>
              <w:top w:val="nil"/>
              <w:left w:val="nil"/>
              <w:bottom w:val="single" w:sz="4" w:space="0" w:color="auto"/>
              <w:right w:val="single" w:sz="4" w:space="0" w:color="auto"/>
            </w:tcBorders>
            <w:shd w:val="clear" w:color="auto" w:fill="auto"/>
            <w:noWrap/>
            <w:vAlign w:val="bottom"/>
          </w:tcPr>
          <w:p w14:paraId="06F5D5EA" w14:textId="77777777" w:rsidR="005B5538" w:rsidRPr="008E752A" w:rsidRDefault="005B5538" w:rsidP="00715ED2">
            <w:pPr>
              <w:pStyle w:val="Tabletext"/>
              <w:rPr>
                <w:szCs w:val="20"/>
              </w:rPr>
            </w:pPr>
            <w:r w:rsidRPr="008E752A">
              <w:rPr>
                <w:szCs w:val="20"/>
              </w:rPr>
              <w:t>247</w:t>
            </w:r>
          </w:p>
        </w:tc>
        <w:tc>
          <w:tcPr>
            <w:tcW w:w="910" w:type="pct"/>
            <w:tcBorders>
              <w:top w:val="nil"/>
              <w:left w:val="nil"/>
              <w:bottom w:val="single" w:sz="4" w:space="0" w:color="auto"/>
              <w:right w:val="single" w:sz="4" w:space="0" w:color="auto"/>
            </w:tcBorders>
            <w:shd w:val="clear" w:color="auto" w:fill="auto"/>
            <w:noWrap/>
            <w:vAlign w:val="bottom"/>
          </w:tcPr>
          <w:p w14:paraId="201C2616" w14:textId="77777777" w:rsidR="005B5538" w:rsidRPr="008E752A" w:rsidRDefault="005B5538" w:rsidP="00715ED2">
            <w:pPr>
              <w:pStyle w:val="Tabletext"/>
              <w:rPr>
                <w:szCs w:val="20"/>
              </w:rPr>
            </w:pPr>
            <w:r w:rsidRPr="008E752A">
              <w:rPr>
                <w:szCs w:val="20"/>
              </w:rPr>
              <w:t>731</w:t>
            </w:r>
          </w:p>
        </w:tc>
      </w:tr>
      <w:tr w:rsidR="005B5538" w:rsidRPr="008E752A" w14:paraId="5265C2DE"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2951D65C" w14:textId="77777777" w:rsidR="005B5538" w:rsidRPr="008E752A" w:rsidRDefault="005B5538" w:rsidP="00715ED2">
            <w:pPr>
              <w:pStyle w:val="Tabletext"/>
              <w:rPr>
                <w:szCs w:val="20"/>
              </w:rPr>
            </w:pPr>
            <w:r w:rsidRPr="008E752A">
              <w:rPr>
                <w:szCs w:val="20"/>
              </w:rPr>
              <w:t xml:space="preserve">gait disturbance </w:t>
            </w:r>
          </w:p>
        </w:tc>
        <w:tc>
          <w:tcPr>
            <w:tcW w:w="1010" w:type="pct"/>
            <w:tcBorders>
              <w:top w:val="nil"/>
              <w:left w:val="nil"/>
              <w:bottom w:val="single" w:sz="4" w:space="0" w:color="auto"/>
              <w:right w:val="single" w:sz="4" w:space="0" w:color="auto"/>
            </w:tcBorders>
            <w:shd w:val="clear" w:color="auto" w:fill="auto"/>
            <w:noWrap/>
            <w:vAlign w:val="bottom"/>
            <w:hideMark/>
          </w:tcPr>
          <w:p w14:paraId="439958B8" w14:textId="77777777" w:rsidR="005B5538" w:rsidRPr="008E752A" w:rsidRDefault="005B5538" w:rsidP="00715ED2">
            <w:pPr>
              <w:pStyle w:val="Tabletext"/>
              <w:rPr>
                <w:szCs w:val="20"/>
              </w:rPr>
            </w:pPr>
            <w:r w:rsidRPr="008E752A">
              <w:rPr>
                <w:szCs w:val="20"/>
              </w:rPr>
              <w:t>164 (34.4%)</w:t>
            </w:r>
          </w:p>
        </w:tc>
        <w:tc>
          <w:tcPr>
            <w:tcW w:w="911" w:type="pct"/>
            <w:tcBorders>
              <w:top w:val="nil"/>
              <w:left w:val="nil"/>
              <w:bottom w:val="single" w:sz="4" w:space="0" w:color="auto"/>
              <w:right w:val="single" w:sz="4" w:space="0" w:color="auto"/>
            </w:tcBorders>
            <w:shd w:val="clear" w:color="auto" w:fill="auto"/>
            <w:noWrap/>
            <w:vAlign w:val="bottom"/>
            <w:hideMark/>
          </w:tcPr>
          <w:p w14:paraId="6CED67C1" w14:textId="77777777" w:rsidR="005B5538" w:rsidRPr="008E752A" w:rsidRDefault="005B5538" w:rsidP="00715ED2">
            <w:pPr>
              <w:pStyle w:val="Tabletext"/>
              <w:rPr>
                <w:szCs w:val="20"/>
              </w:rPr>
            </w:pPr>
            <w:r w:rsidRPr="008E752A">
              <w:rPr>
                <w:szCs w:val="20"/>
              </w:rPr>
              <w:t>30 (12.1%)</w:t>
            </w:r>
          </w:p>
        </w:tc>
        <w:tc>
          <w:tcPr>
            <w:tcW w:w="910" w:type="pct"/>
            <w:tcBorders>
              <w:top w:val="nil"/>
              <w:left w:val="nil"/>
              <w:bottom w:val="single" w:sz="4" w:space="0" w:color="auto"/>
              <w:right w:val="single" w:sz="4" w:space="0" w:color="auto"/>
            </w:tcBorders>
            <w:shd w:val="clear" w:color="auto" w:fill="auto"/>
            <w:noWrap/>
            <w:vAlign w:val="bottom"/>
            <w:hideMark/>
          </w:tcPr>
          <w:p w14:paraId="6AB239F1" w14:textId="77777777" w:rsidR="005B5538" w:rsidRPr="008E752A" w:rsidRDefault="005B5538" w:rsidP="00715ED2">
            <w:pPr>
              <w:pStyle w:val="Tabletext"/>
              <w:rPr>
                <w:szCs w:val="20"/>
              </w:rPr>
            </w:pPr>
            <w:r w:rsidRPr="008E752A">
              <w:rPr>
                <w:szCs w:val="20"/>
              </w:rPr>
              <w:t>80 (10.9%)</w:t>
            </w:r>
          </w:p>
        </w:tc>
      </w:tr>
      <w:tr w:rsidR="005B5538" w:rsidRPr="008E752A" w14:paraId="37E46584"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24F1A334" w14:textId="77777777" w:rsidR="005B5538" w:rsidRPr="008E752A" w:rsidRDefault="005B5538" w:rsidP="00715ED2">
            <w:pPr>
              <w:pStyle w:val="Tabletext"/>
              <w:rPr>
                <w:szCs w:val="20"/>
              </w:rPr>
            </w:pPr>
            <w:proofErr w:type="spellStart"/>
            <w:r w:rsidRPr="008E752A">
              <w:rPr>
                <w:szCs w:val="20"/>
              </w:rPr>
              <w:t>Paresthesias</w:t>
            </w:r>
            <w:proofErr w:type="spellEnd"/>
            <w:r w:rsidRPr="008E752A">
              <w:rPr>
                <w:szCs w:val="20"/>
              </w:rPr>
              <w:t>/numbness</w:t>
            </w:r>
          </w:p>
        </w:tc>
        <w:tc>
          <w:tcPr>
            <w:tcW w:w="1010" w:type="pct"/>
            <w:tcBorders>
              <w:top w:val="nil"/>
              <w:left w:val="nil"/>
              <w:bottom w:val="single" w:sz="4" w:space="0" w:color="auto"/>
              <w:right w:val="single" w:sz="4" w:space="0" w:color="auto"/>
            </w:tcBorders>
            <w:shd w:val="clear" w:color="auto" w:fill="auto"/>
            <w:noWrap/>
            <w:vAlign w:val="bottom"/>
            <w:hideMark/>
          </w:tcPr>
          <w:p w14:paraId="650ED296" w14:textId="77777777" w:rsidR="005B5538" w:rsidRPr="008E752A" w:rsidRDefault="005B5538" w:rsidP="00715ED2">
            <w:pPr>
              <w:pStyle w:val="Tabletext"/>
              <w:rPr>
                <w:szCs w:val="20"/>
              </w:rPr>
            </w:pPr>
            <w:r w:rsidRPr="008E752A">
              <w:rPr>
                <w:szCs w:val="20"/>
              </w:rPr>
              <w:t>175 (36.7%)</w:t>
            </w:r>
          </w:p>
        </w:tc>
        <w:tc>
          <w:tcPr>
            <w:tcW w:w="911" w:type="pct"/>
            <w:tcBorders>
              <w:top w:val="nil"/>
              <w:left w:val="nil"/>
              <w:bottom w:val="single" w:sz="4" w:space="0" w:color="auto"/>
              <w:right w:val="single" w:sz="4" w:space="0" w:color="auto"/>
            </w:tcBorders>
            <w:shd w:val="clear" w:color="auto" w:fill="auto"/>
            <w:noWrap/>
            <w:vAlign w:val="bottom"/>
            <w:hideMark/>
          </w:tcPr>
          <w:p w14:paraId="04B1B663" w14:textId="77777777" w:rsidR="005B5538" w:rsidRPr="008E752A" w:rsidRDefault="005B5538" w:rsidP="00715ED2">
            <w:pPr>
              <w:pStyle w:val="Tabletext"/>
              <w:rPr>
                <w:szCs w:val="20"/>
              </w:rPr>
            </w:pPr>
            <w:r w:rsidRPr="008E752A">
              <w:rPr>
                <w:szCs w:val="20"/>
              </w:rPr>
              <w:t>35 (14.2%)</w:t>
            </w:r>
          </w:p>
        </w:tc>
        <w:tc>
          <w:tcPr>
            <w:tcW w:w="910" w:type="pct"/>
            <w:tcBorders>
              <w:top w:val="nil"/>
              <w:left w:val="nil"/>
              <w:bottom w:val="single" w:sz="4" w:space="0" w:color="auto"/>
              <w:right w:val="single" w:sz="4" w:space="0" w:color="auto"/>
            </w:tcBorders>
            <w:shd w:val="clear" w:color="auto" w:fill="auto"/>
            <w:noWrap/>
            <w:vAlign w:val="bottom"/>
            <w:hideMark/>
          </w:tcPr>
          <w:p w14:paraId="30AEAB0A" w14:textId="77777777" w:rsidR="005B5538" w:rsidRPr="008E752A" w:rsidRDefault="005B5538" w:rsidP="00715ED2">
            <w:pPr>
              <w:pStyle w:val="Tabletext"/>
              <w:rPr>
                <w:szCs w:val="20"/>
              </w:rPr>
            </w:pPr>
            <w:r w:rsidRPr="008E752A">
              <w:rPr>
                <w:szCs w:val="20"/>
              </w:rPr>
              <w:t>64 (8.8%)</w:t>
            </w:r>
          </w:p>
        </w:tc>
      </w:tr>
      <w:tr w:rsidR="005B5538" w:rsidRPr="008E752A" w14:paraId="728639B1"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50174C59" w14:textId="77777777" w:rsidR="005B5538" w:rsidRPr="008E752A" w:rsidRDefault="005B5538" w:rsidP="00715ED2">
            <w:pPr>
              <w:pStyle w:val="Tabletext"/>
              <w:rPr>
                <w:szCs w:val="20"/>
              </w:rPr>
            </w:pPr>
            <w:r w:rsidRPr="008E752A">
              <w:rPr>
                <w:szCs w:val="20"/>
              </w:rPr>
              <w:t>Speech disturbance</w:t>
            </w:r>
          </w:p>
        </w:tc>
        <w:tc>
          <w:tcPr>
            <w:tcW w:w="1010" w:type="pct"/>
            <w:tcBorders>
              <w:top w:val="nil"/>
              <w:left w:val="nil"/>
              <w:bottom w:val="single" w:sz="4" w:space="0" w:color="auto"/>
              <w:right w:val="single" w:sz="4" w:space="0" w:color="auto"/>
            </w:tcBorders>
            <w:shd w:val="clear" w:color="auto" w:fill="auto"/>
            <w:noWrap/>
            <w:vAlign w:val="bottom"/>
            <w:hideMark/>
          </w:tcPr>
          <w:p w14:paraId="28D8D28B" w14:textId="77777777" w:rsidR="005B5538" w:rsidRPr="008E752A" w:rsidRDefault="005B5538" w:rsidP="00715ED2">
            <w:pPr>
              <w:pStyle w:val="Tabletext"/>
              <w:rPr>
                <w:szCs w:val="20"/>
              </w:rPr>
            </w:pPr>
            <w:r w:rsidRPr="008E752A">
              <w:rPr>
                <w:szCs w:val="20"/>
              </w:rPr>
              <w:t>26 (5.5%)</w:t>
            </w:r>
          </w:p>
        </w:tc>
        <w:tc>
          <w:tcPr>
            <w:tcW w:w="911" w:type="pct"/>
            <w:tcBorders>
              <w:top w:val="nil"/>
              <w:left w:val="nil"/>
              <w:bottom w:val="single" w:sz="4" w:space="0" w:color="auto"/>
              <w:right w:val="single" w:sz="4" w:space="0" w:color="auto"/>
            </w:tcBorders>
            <w:shd w:val="clear" w:color="auto" w:fill="auto"/>
            <w:noWrap/>
            <w:vAlign w:val="bottom"/>
            <w:hideMark/>
          </w:tcPr>
          <w:p w14:paraId="2111DAAA" w14:textId="77777777" w:rsidR="005B5538" w:rsidRPr="008E752A" w:rsidRDefault="005B5538" w:rsidP="00715ED2">
            <w:pPr>
              <w:pStyle w:val="Tabletext"/>
              <w:rPr>
                <w:szCs w:val="20"/>
              </w:rPr>
            </w:pPr>
            <w:r w:rsidRPr="008E752A">
              <w:rPr>
                <w:szCs w:val="20"/>
              </w:rPr>
              <w:t>16 (6.5%)</w:t>
            </w:r>
          </w:p>
        </w:tc>
        <w:tc>
          <w:tcPr>
            <w:tcW w:w="910" w:type="pct"/>
            <w:tcBorders>
              <w:top w:val="nil"/>
              <w:left w:val="nil"/>
              <w:bottom w:val="single" w:sz="4" w:space="0" w:color="auto"/>
              <w:right w:val="single" w:sz="4" w:space="0" w:color="auto"/>
            </w:tcBorders>
            <w:shd w:val="clear" w:color="auto" w:fill="auto"/>
            <w:noWrap/>
            <w:vAlign w:val="bottom"/>
            <w:hideMark/>
          </w:tcPr>
          <w:p w14:paraId="44FE8021" w14:textId="77777777" w:rsidR="005B5538" w:rsidRPr="008E752A" w:rsidRDefault="005B5538" w:rsidP="00715ED2">
            <w:pPr>
              <w:pStyle w:val="Tabletext"/>
              <w:rPr>
                <w:szCs w:val="20"/>
              </w:rPr>
            </w:pPr>
            <w:r w:rsidRPr="008E752A">
              <w:rPr>
                <w:szCs w:val="20"/>
              </w:rPr>
              <w:t>81 (11.1%)</w:t>
            </w:r>
          </w:p>
        </w:tc>
      </w:tr>
      <w:tr w:rsidR="005B5538" w:rsidRPr="008E752A" w14:paraId="70CC98E9"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226034FD" w14:textId="77777777" w:rsidR="005B5538" w:rsidRPr="008E752A" w:rsidRDefault="005B5538" w:rsidP="00715ED2">
            <w:pPr>
              <w:pStyle w:val="Tabletext"/>
              <w:rPr>
                <w:szCs w:val="20"/>
              </w:rPr>
            </w:pPr>
            <w:r w:rsidRPr="008E752A">
              <w:rPr>
                <w:szCs w:val="20"/>
              </w:rPr>
              <w:t>Lead problems</w:t>
            </w:r>
          </w:p>
        </w:tc>
        <w:tc>
          <w:tcPr>
            <w:tcW w:w="1010" w:type="pct"/>
            <w:tcBorders>
              <w:top w:val="nil"/>
              <w:left w:val="nil"/>
              <w:bottom w:val="single" w:sz="4" w:space="0" w:color="auto"/>
              <w:right w:val="single" w:sz="4" w:space="0" w:color="auto"/>
            </w:tcBorders>
            <w:shd w:val="clear" w:color="auto" w:fill="auto"/>
            <w:noWrap/>
            <w:vAlign w:val="bottom"/>
            <w:hideMark/>
          </w:tcPr>
          <w:p w14:paraId="5FDD80C9" w14:textId="77777777" w:rsidR="005B5538" w:rsidRPr="008E752A" w:rsidRDefault="005B5538" w:rsidP="00715ED2">
            <w:pPr>
              <w:pStyle w:val="Tabletext"/>
              <w:rPr>
                <w:szCs w:val="20"/>
              </w:rPr>
            </w:pPr>
            <w:r w:rsidRPr="008E752A">
              <w:rPr>
                <w:szCs w:val="20"/>
              </w:rPr>
              <w:t>0 (0%)</w:t>
            </w:r>
          </w:p>
        </w:tc>
        <w:tc>
          <w:tcPr>
            <w:tcW w:w="911" w:type="pct"/>
            <w:tcBorders>
              <w:top w:val="nil"/>
              <w:left w:val="nil"/>
              <w:bottom w:val="single" w:sz="4" w:space="0" w:color="auto"/>
              <w:right w:val="single" w:sz="4" w:space="0" w:color="auto"/>
            </w:tcBorders>
            <w:shd w:val="clear" w:color="auto" w:fill="auto"/>
            <w:noWrap/>
            <w:vAlign w:val="bottom"/>
            <w:hideMark/>
          </w:tcPr>
          <w:p w14:paraId="4FA285AC" w14:textId="77777777" w:rsidR="005B5538" w:rsidRPr="008E752A" w:rsidRDefault="005B5538" w:rsidP="00715ED2">
            <w:pPr>
              <w:pStyle w:val="Tabletext"/>
              <w:rPr>
                <w:szCs w:val="20"/>
              </w:rPr>
            </w:pPr>
            <w:r w:rsidRPr="008E752A">
              <w:rPr>
                <w:szCs w:val="20"/>
              </w:rPr>
              <w:t>36 (14.6%)</w:t>
            </w:r>
          </w:p>
        </w:tc>
        <w:tc>
          <w:tcPr>
            <w:tcW w:w="910" w:type="pct"/>
            <w:tcBorders>
              <w:top w:val="nil"/>
              <w:left w:val="nil"/>
              <w:bottom w:val="single" w:sz="4" w:space="0" w:color="auto"/>
              <w:right w:val="single" w:sz="4" w:space="0" w:color="auto"/>
            </w:tcBorders>
            <w:shd w:val="clear" w:color="auto" w:fill="auto"/>
            <w:noWrap/>
            <w:vAlign w:val="bottom"/>
            <w:hideMark/>
          </w:tcPr>
          <w:p w14:paraId="28EEEB7B" w14:textId="77777777" w:rsidR="005B5538" w:rsidRPr="008E752A" w:rsidRDefault="005B5538" w:rsidP="00715ED2">
            <w:pPr>
              <w:pStyle w:val="Tabletext"/>
              <w:rPr>
                <w:szCs w:val="20"/>
              </w:rPr>
            </w:pPr>
            <w:r w:rsidRPr="008E752A">
              <w:rPr>
                <w:szCs w:val="20"/>
              </w:rPr>
              <w:t>83 (11.4%)</w:t>
            </w:r>
          </w:p>
        </w:tc>
      </w:tr>
      <w:tr w:rsidR="005B5538" w:rsidRPr="008E752A" w14:paraId="449B3766"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74130A91" w14:textId="77777777" w:rsidR="005B5538" w:rsidRPr="008E752A" w:rsidRDefault="005B5538" w:rsidP="00715ED2">
            <w:pPr>
              <w:pStyle w:val="Tabletext"/>
              <w:rPr>
                <w:szCs w:val="20"/>
              </w:rPr>
            </w:pPr>
            <w:r w:rsidRPr="008E752A">
              <w:rPr>
                <w:szCs w:val="20"/>
              </w:rPr>
              <w:t>Infection</w:t>
            </w:r>
          </w:p>
        </w:tc>
        <w:tc>
          <w:tcPr>
            <w:tcW w:w="1010" w:type="pct"/>
            <w:tcBorders>
              <w:top w:val="nil"/>
              <w:left w:val="nil"/>
              <w:bottom w:val="single" w:sz="4" w:space="0" w:color="auto"/>
              <w:right w:val="single" w:sz="4" w:space="0" w:color="auto"/>
            </w:tcBorders>
            <w:shd w:val="clear" w:color="auto" w:fill="auto"/>
            <w:noWrap/>
            <w:vAlign w:val="bottom"/>
            <w:hideMark/>
          </w:tcPr>
          <w:p w14:paraId="19895A7C" w14:textId="77777777" w:rsidR="005B5538" w:rsidRPr="008E752A" w:rsidRDefault="005B5538" w:rsidP="00715ED2">
            <w:pPr>
              <w:pStyle w:val="Tabletext"/>
              <w:rPr>
                <w:szCs w:val="20"/>
              </w:rPr>
            </w:pPr>
            <w:r w:rsidRPr="008E752A">
              <w:rPr>
                <w:szCs w:val="20"/>
              </w:rPr>
              <w:t>0 (0%)</w:t>
            </w:r>
          </w:p>
        </w:tc>
        <w:tc>
          <w:tcPr>
            <w:tcW w:w="911" w:type="pct"/>
            <w:tcBorders>
              <w:top w:val="nil"/>
              <w:left w:val="nil"/>
              <w:bottom w:val="single" w:sz="4" w:space="0" w:color="auto"/>
              <w:right w:val="single" w:sz="4" w:space="0" w:color="auto"/>
            </w:tcBorders>
            <w:shd w:val="clear" w:color="auto" w:fill="auto"/>
            <w:noWrap/>
            <w:vAlign w:val="bottom"/>
            <w:hideMark/>
          </w:tcPr>
          <w:p w14:paraId="4560F9A0" w14:textId="77777777" w:rsidR="005B5538" w:rsidRPr="008E752A" w:rsidRDefault="005B5538" w:rsidP="00715ED2">
            <w:pPr>
              <w:pStyle w:val="Tabletext"/>
              <w:rPr>
                <w:szCs w:val="20"/>
              </w:rPr>
            </w:pPr>
            <w:r w:rsidRPr="008E752A">
              <w:rPr>
                <w:szCs w:val="20"/>
              </w:rPr>
              <w:t>2 (0.8%)</w:t>
            </w:r>
          </w:p>
        </w:tc>
        <w:tc>
          <w:tcPr>
            <w:tcW w:w="910" w:type="pct"/>
            <w:tcBorders>
              <w:top w:val="nil"/>
              <w:left w:val="nil"/>
              <w:bottom w:val="single" w:sz="4" w:space="0" w:color="auto"/>
              <w:right w:val="single" w:sz="4" w:space="0" w:color="auto"/>
            </w:tcBorders>
            <w:shd w:val="clear" w:color="auto" w:fill="auto"/>
            <w:noWrap/>
            <w:vAlign w:val="bottom"/>
            <w:hideMark/>
          </w:tcPr>
          <w:p w14:paraId="345539E8" w14:textId="77777777" w:rsidR="005B5538" w:rsidRPr="008E752A" w:rsidRDefault="005B5538" w:rsidP="00715ED2">
            <w:pPr>
              <w:pStyle w:val="Tabletext"/>
              <w:rPr>
                <w:szCs w:val="20"/>
              </w:rPr>
            </w:pPr>
            <w:r w:rsidRPr="008E752A">
              <w:rPr>
                <w:szCs w:val="20"/>
              </w:rPr>
              <w:t>13 (1.8%)</w:t>
            </w:r>
          </w:p>
        </w:tc>
      </w:tr>
      <w:tr w:rsidR="005B5538" w:rsidRPr="008E752A" w14:paraId="2C77F953"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11A90DCA" w14:textId="77777777" w:rsidR="005B5538" w:rsidRPr="008E752A" w:rsidRDefault="005B5538" w:rsidP="00715ED2">
            <w:pPr>
              <w:pStyle w:val="Tabletext"/>
              <w:rPr>
                <w:szCs w:val="20"/>
              </w:rPr>
            </w:pPr>
            <w:r w:rsidRPr="008E752A">
              <w:rPr>
                <w:szCs w:val="20"/>
              </w:rPr>
              <w:t>Intracranial haemorrhage</w:t>
            </w:r>
          </w:p>
        </w:tc>
        <w:tc>
          <w:tcPr>
            <w:tcW w:w="1010" w:type="pct"/>
            <w:tcBorders>
              <w:top w:val="nil"/>
              <w:left w:val="nil"/>
              <w:bottom w:val="single" w:sz="4" w:space="0" w:color="auto"/>
              <w:right w:val="single" w:sz="4" w:space="0" w:color="auto"/>
            </w:tcBorders>
            <w:shd w:val="clear" w:color="auto" w:fill="auto"/>
            <w:noWrap/>
            <w:vAlign w:val="bottom"/>
            <w:hideMark/>
          </w:tcPr>
          <w:p w14:paraId="1D82A7AC" w14:textId="77777777" w:rsidR="005B5538" w:rsidRPr="008E752A" w:rsidRDefault="005B5538" w:rsidP="00715ED2">
            <w:pPr>
              <w:pStyle w:val="Tabletext"/>
              <w:rPr>
                <w:szCs w:val="20"/>
              </w:rPr>
            </w:pPr>
            <w:r w:rsidRPr="008E752A">
              <w:rPr>
                <w:szCs w:val="20"/>
              </w:rPr>
              <w:t>0 (0%)</w:t>
            </w:r>
          </w:p>
        </w:tc>
        <w:tc>
          <w:tcPr>
            <w:tcW w:w="911" w:type="pct"/>
            <w:tcBorders>
              <w:top w:val="nil"/>
              <w:left w:val="nil"/>
              <w:bottom w:val="single" w:sz="4" w:space="0" w:color="auto"/>
              <w:right w:val="single" w:sz="4" w:space="0" w:color="auto"/>
            </w:tcBorders>
            <w:shd w:val="clear" w:color="auto" w:fill="auto"/>
            <w:noWrap/>
            <w:vAlign w:val="bottom"/>
            <w:hideMark/>
          </w:tcPr>
          <w:p w14:paraId="3867282F" w14:textId="77777777" w:rsidR="005B5538" w:rsidRPr="008E752A" w:rsidRDefault="005B5538" w:rsidP="00715ED2">
            <w:pPr>
              <w:pStyle w:val="Tabletext"/>
              <w:rPr>
                <w:szCs w:val="20"/>
              </w:rPr>
            </w:pPr>
            <w:r w:rsidRPr="008E752A">
              <w:rPr>
                <w:szCs w:val="20"/>
              </w:rPr>
              <w:t>3 (1.2%)</w:t>
            </w:r>
          </w:p>
        </w:tc>
        <w:tc>
          <w:tcPr>
            <w:tcW w:w="910" w:type="pct"/>
            <w:tcBorders>
              <w:top w:val="nil"/>
              <w:left w:val="nil"/>
              <w:bottom w:val="single" w:sz="4" w:space="0" w:color="auto"/>
              <w:right w:val="single" w:sz="4" w:space="0" w:color="auto"/>
            </w:tcBorders>
            <w:shd w:val="clear" w:color="auto" w:fill="auto"/>
            <w:noWrap/>
            <w:vAlign w:val="bottom"/>
            <w:hideMark/>
          </w:tcPr>
          <w:p w14:paraId="687D5D7A" w14:textId="77777777" w:rsidR="005B5538" w:rsidRPr="008E752A" w:rsidRDefault="005B5538" w:rsidP="00715ED2">
            <w:pPr>
              <w:pStyle w:val="Tabletext"/>
              <w:rPr>
                <w:szCs w:val="20"/>
              </w:rPr>
            </w:pPr>
            <w:r w:rsidRPr="008E752A">
              <w:rPr>
                <w:szCs w:val="20"/>
              </w:rPr>
              <w:t>8 (1.1%)</w:t>
            </w:r>
          </w:p>
        </w:tc>
      </w:tr>
      <w:tr w:rsidR="005B5538" w:rsidRPr="008E752A" w14:paraId="4B730B26"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11A49D20" w14:textId="77777777" w:rsidR="005B5538" w:rsidRPr="008E752A" w:rsidRDefault="005B5538" w:rsidP="00715ED2">
            <w:pPr>
              <w:pStyle w:val="Tabletext"/>
              <w:rPr>
                <w:szCs w:val="20"/>
              </w:rPr>
            </w:pPr>
            <w:r w:rsidRPr="008E752A">
              <w:rPr>
                <w:szCs w:val="20"/>
              </w:rPr>
              <w:t>Seizures</w:t>
            </w:r>
          </w:p>
        </w:tc>
        <w:tc>
          <w:tcPr>
            <w:tcW w:w="1010" w:type="pct"/>
            <w:tcBorders>
              <w:top w:val="nil"/>
              <w:left w:val="nil"/>
              <w:bottom w:val="single" w:sz="4" w:space="0" w:color="auto"/>
              <w:right w:val="single" w:sz="4" w:space="0" w:color="auto"/>
            </w:tcBorders>
            <w:shd w:val="clear" w:color="auto" w:fill="auto"/>
            <w:noWrap/>
            <w:vAlign w:val="bottom"/>
            <w:hideMark/>
          </w:tcPr>
          <w:p w14:paraId="732CA266" w14:textId="77777777" w:rsidR="005B5538" w:rsidRPr="008E752A" w:rsidRDefault="005B5538" w:rsidP="00715ED2">
            <w:pPr>
              <w:pStyle w:val="Tabletext"/>
              <w:rPr>
                <w:szCs w:val="20"/>
              </w:rPr>
            </w:pPr>
            <w:r w:rsidRPr="008E752A">
              <w:rPr>
                <w:szCs w:val="20"/>
              </w:rPr>
              <w:t>0 (0%)</w:t>
            </w:r>
          </w:p>
        </w:tc>
        <w:tc>
          <w:tcPr>
            <w:tcW w:w="911" w:type="pct"/>
            <w:tcBorders>
              <w:top w:val="nil"/>
              <w:left w:val="nil"/>
              <w:bottom w:val="single" w:sz="4" w:space="0" w:color="auto"/>
              <w:right w:val="single" w:sz="4" w:space="0" w:color="auto"/>
            </w:tcBorders>
            <w:shd w:val="clear" w:color="auto" w:fill="auto"/>
            <w:noWrap/>
            <w:vAlign w:val="bottom"/>
            <w:hideMark/>
          </w:tcPr>
          <w:p w14:paraId="125F11BA" w14:textId="77777777" w:rsidR="005B5538" w:rsidRPr="008E752A" w:rsidRDefault="005B5538" w:rsidP="00715ED2">
            <w:pPr>
              <w:pStyle w:val="Tabletext"/>
              <w:rPr>
                <w:szCs w:val="20"/>
              </w:rPr>
            </w:pPr>
            <w:r w:rsidRPr="008E752A">
              <w:rPr>
                <w:szCs w:val="20"/>
              </w:rPr>
              <w:t>1 (0.4%)</w:t>
            </w:r>
          </w:p>
        </w:tc>
        <w:tc>
          <w:tcPr>
            <w:tcW w:w="910" w:type="pct"/>
            <w:tcBorders>
              <w:top w:val="nil"/>
              <w:left w:val="nil"/>
              <w:bottom w:val="single" w:sz="4" w:space="0" w:color="auto"/>
              <w:right w:val="single" w:sz="4" w:space="0" w:color="auto"/>
            </w:tcBorders>
            <w:shd w:val="clear" w:color="auto" w:fill="auto"/>
            <w:noWrap/>
            <w:vAlign w:val="bottom"/>
            <w:hideMark/>
          </w:tcPr>
          <w:p w14:paraId="6437CAFC" w14:textId="77777777" w:rsidR="005B5538" w:rsidRPr="008E752A" w:rsidRDefault="005B5538" w:rsidP="00715ED2">
            <w:pPr>
              <w:pStyle w:val="Tabletext"/>
              <w:rPr>
                <w:szCs w:val="20"/>
              </w:rPr>
            </w:pPr>
            <w:r w:rsidRPr="008E752A">
              <w:rPr>
                <w:szCs w:val="20"/>
              </w:rPr>
              <w:t>4 (0.5%)</w:t>
            </w:r>
          </w:p>
        </w:tc>
      </w:tr>
      <w:tr w:rsidR="005B5538" w:rsidRPr="008E752A" w14:paraId="49601FF8"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177F9656" w14:textId="77777777" w:rsidR="005B5538" w:rsidRPr="008E752A" w:rsidRDefault="005B5538" w:rsidP="00715ED2">
            <w:pPr>
              <w:pStyle w:val="Tabletext"/>
              <w:rPr>
                <w:szCs w:val="20"/>
              </w:rPr>
            </w:pPr>
            <w:r w:rsidRPr="008E752A">
              <w:rPr>
                <w:szCs w:val="20"/>
              </w:rPr>
              <w:t>Oedema/haematoma</w:t>
            </w:r>
          </w:p>
        </w:tc>
        <w:tc>
          <w:tcPr>
            <w:tcW w:w="1010" w:type="pct"/>
            <w:tcBorders>
              <w:top w:val="nil"/>
              <w:left w:val="nil"/>
              <w:bottom w:val="single" w:sz="4" w:space="0" w:color="auto"/>
              <w:right w:val="single" w:sz="4" w:space="0" w:color="auto"/>
            </w:tcBorders>
            <w:shd w:val="clear" w:color="auto" w:fill="auto"/>
            <w:noWrap/>
            <w:vAlign w:val="bottom"/>
            <w:hideMark/>
          </w:tcPr>
          <w:p w14:paraId="14B71971" w14:textId="77777777" w:rsidR="005B5538" w:rsidRPr="008E752A" w:rsidRDefault="005B5538" w:rsidP="00715ED2">
            <w:pPr>
              <w:pStyle w:val="Tabletext"/>
              <w:rPr>
                <w:szCs w:val="20"/>
              </w:rPr>
            </w:pPr>
            <w:r w:rsidRPr="008E752A">
              <w:rPr>
                <w:szCs w:val="20"/>
              </w:rPr>
              <w:t>0 (0%)</w:t>
            </w:r>
          </w:p>
        </w:tc>
        <w:tc>
          <w:tcPr>
            <w:tcW w:w="911" w:type="pct"/>
            <w:tcBorders>
              <w:top w:val="nil"/>
              <w:left w:val="nil"/>
              <w:bottom w:val="single" w:sz="4" w:space="0" w:color="auto"/>
              <w:right w:val="single" w:sz="4" w:space="0" w:color="auto"/>
            </w:tcBorders>
            <w:shd w:val="clear" w:color="auto" w:fill="auto"/>
            <w:noWrap/>
            <w:vAlign w:val="bottom"/>
            <w:hideMark/>
          </w:tcPr>
          <w:p w14:paraId="4F57C05E" w14:textId="77777777" w:rsidR="005B5538" w:rsidRPr="008E752A" w:rsidRDefault="005B5538" w:rsidP="00715ED2">
            <w:pPr>
              <w:pStyle w:val="Tabletext"/>
              <w:rPr>
                <w:szCs w:val="20"/>
              </w:rPr>
            </w:pPr>
            <w:r w:rsidRPr="008E752A">
              <w:rPr>
                <w:szCs w:val="20"/>
              </w:rPr>
              <w:t>0 (0%)</w:t>
            </w:r>
          </w:p>
        </w:tc>
        <w:tc>
          <w:tcPr>
            <w:tcW w:w="910" w:type="pct"/>
            <w:tcBorders>
              <w:top w:val="nil"/>
              <w:left w:val="nil"/>
              <w:bottom w:val="single" w:sz="4" w:space="0" w:color="auto"/>
              <w:right w:val="single" w:sz="4" w:space="0" w:color="auto"/>
            </w:tcBorders>
            <w:shd w:val="clear" w:color="auto" w:fill="auto"/>
            <w:noWrap/>
            <w:vAlign w:val="bottom"/>
            <w:hideMark/>
          </w:tcPr>
          <w:p w14:paraId="747BB874" w14:textId="77777777" w:rsidR="005B5538" w:rsidRPr="008E752A" w:rsidRDefault="005B5538" w:rsidP="00715ED2">
            <w:pPr>
              <w:pStyle w:val="Tabletext"/>
              <w:rPr>
                <w:szCs w:val="20"/>
              </w:rPr>
            </w:pPr>
            <w:r w:rsidRPr="008E752A">
              <w:rPr>
                <w:szCs w:val="20"/>
              </w:rPr>
              <w:t>1 (0.1%)</w:t>
            </w:r>
          </w:p>
        </w:tc>
      </w:tr>
      <w:tr w:rsidR="005B5538" w:rsidRPr="008E752A" w14:paraId="701F70C6"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07B7413E" w14:textId="77777777" w:rsidR="005B5538" w:rsidRPr="008E752A" w:rsidRDefault="005B5538" w:rsidP="00715ED2">
            <w:pPr>
              <w:pStyle w:val="Tabletext"/>
              <w:rPr>
                <w:szCs w:val="20"/>
              </w:rPr>
            </w:pPr>
            <w:r w:rsidRPr="008E752A">
              <w:rPr>
                <w:szCs w:val="20"/>
              </w:rPr>
              <w:t>Local adverse symptoms</w:t>
            </w:r>
          </w:p>
        </w:tc>
        <w:tc>
          <w:tcPr>
            <w:tcW w:w="1010" w:type="pct"/>
            <w:tcBorders>
              <w:top w:val="nil"/>
              <w:left w:val="nil"/>
              <w:bottom w:val="single" w:sz="4" w:space="0" w:color="auto"/>
              <w:right w:val="single" w:sz="4" w:space="0" w:color="auto"/>
            </w:tcBorders>
            <w:shd w:val="clear" w:color="auto" w:fill="auto"/>
            <w:noWrap/>
            <w:vAlign w:val="bottom"/>
            <w:hideMark/>
          </w:tcPr>
          <w:p w14:paraId="1C4E9A54" w14:textId="77777777" w:rsidR="005B5538" w:rsidRPr="008E752A" w:rsidRDefault="005B5538" w:rsidP="00715ED2">
            <w:pPr>
              <w:pStyle w:val="Tabletext"/>
              <w:rPr>
                <w:szCs w:val="20"/>
              </w:rPr>
            </w:pPr>
            <w:r w:rsidRPr="008E752A">
              <w:rPr>
                <w:szCs w:val="20"/>
              </w:rPr>
              <w:t>26 (5.5%)</w:t>
            </w:r>
          </w:p>
        </w:tc>
        <w:tc>
          <w:tcPr>
            <w:tcW w:w="911" w:type="pct"/>
            <w:tcBorders>
              <w:top w:val="nil"/>
              <w:left w:val="nil"/>
              <w:bottom w:val="single" w:sz="4" w:space="0" w:color="auto"/>
              <w:right w:val="single" w:sz="4" w:space="0" w:color="auto"/>
            </w:tcBorders>
            <w:shd w:val="clear" w:color="auto" w:fill="auto"/>
            <w:noWrap/>
            <w:vAlign w:val="bottom"/>
            <w:hideMark/>
          </w:tcPr>
          <w:p w14:paraId="0E8341D7" w14:textId="77777777" w:rsidR="005B5538" w:rsidRPr="008E752A" w:rsidRDefault="005B5538" w:rsidP="00715ED2">
            <w:pPr>
              <w:pStyle w:val="Tabletext"/>
              <w:rPr>
                <w:szCs w:val="20"/>
              </w:rPr>
            </w:pPr>
            <w:r w:rsidRPr="008E752A">
              <w:rPr>
                <w:szCs w:val="20"/>
              </w:rPr>
              <w:t>36 (14.6%)</w:t>
            </w:r>
          </w:p>
        </w:tc>
        <w:tc>
          <w:tcPr>
            <w:tcW w:w="910" w:type="pct"/>
            <w:tcBorders>
              <w:top w:val="nil"/>
              <w:left w:val="nil"/>
              <w:bottom w:val="single" w:sz="4" w:space="0" w:color="auto"/>
              <w:right w:val="single" w:sz="4" w:space="0" w:color="auto"/>
            </w:tcBorders>
            <w:shd w:val="clear" w:color="auto" w:fill="auto"/>
            <w:noWrap/>
            <w:vAlign w:val="bottom"/>
            <w:hideMark/>
          </w:tcPr>
          <w:p w14:paraId="5C8186DB" w14:textId="77777777" w:rsidR="005B5538" w:rsidRPr="008E752A" w:rsidRDefault="005B5538" w:rsidP="00715ED2">
            <w:pPr>
              <w:pStyle w:val="Tabletext"/>
              <w:rPr>
                <w:szCs w:val="20"/>
              </w:rPr>
            </w:pPr>
            <w:r w:rsidRPr="008E752A">
              <w:rPr>
                <w:szCs w:val="20"/>
              </w:rPr>
              <w:t>80 (10.9%)</w:t>
            </w:r>
          </w:p>
        </w:tc>
      </w:tr>
      <w:tr w:rsidR="005B5538" w:rsidRPr="008E752A" w14:paraId="1E5007CD"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01364762" w14:textId="77777777" w:rsidR="005B5538" w:rsidRPr="008E752A" w:rsidRDefault="005B5538" w:rsidP="00715ED2">
            <w:pPr>
              <w:pStyle w:val="Tabletext"/>
              <w:rPr>
                <w:szCs w:val="20"/>
              </w:rPr>
            </w:pPr>
            <w:r w:rsidRPr="008E752A">
              <w:rPr>
                <w:szCs w:val="20"/>
              </w:rPr>
              <w:t>Nausea</w:t>
            </w:r>
          </w:p>
        </w:tc>
        <w:tc>
          <w:tcPr>
            <w:tcW w:w="1010" w:type="pct"/>
            <w:tcBorders>
              <w:top w:val="nil"/>
              <w:left w:val="nil"/>
              <w:bottom w:val="single" w:sz="4" w:space="0" w:color="auto"/>
              <w:right w:val="single" w:sz="4" w:space="0" w:color="auto"/>
            </w:tcBorders>
            <w:shd w:val="clear" w:color="auto" w:fill="auto"/>
            <w:noWrap/>
            <w:vAlign w:val="bottom"/>
            <w:hideMark/>
          </w:tcPr>
          <w:p w14:paraId="1A5D1A00" w14:textId="77777777" w:rsidR="005B5538" w:rsidRPr="008E752A" w:rsidRDefault="005B5538" w:rsidP="00715ED2">
            <w:pPr>
              <w:pStyle w:val="Tabletext"/>
              <w:rPr>
                <w:szCs w:val="20"/>
              </w:rPr>
            </w:pPr>
            <w:r w:rsidRPr="008E752A">
              <w:rPr>
                <w:szCs w:val="20"/>
              </w:rPr>
              <w:t>29 (6.1%)</w:t>
            </w:r>
          </w:p>
        </w:tc>
        <w:tc>
          <w:tcPr>
            <w:tcW w:w="911" w:type="pct"/>
            <w:tcBorders>
              <w:top w:val="nil"/>
              <w:left w:val="nil"/>
              <w:bottom w:val="single" w:sz="4" w:space="0" w:color="auto"/>
              <w:right w:val="single" w:sz="4" w:space="0" w:color="auto"/>
            </w:tcBorders>
            <w:shd w:val="clear" w:color="auto" w:fill="auto"/>
            <w:noWrap/>
            <w:vAlign w:val="bottom"/>
            <w:hideMark/>
          </w:tcPr>
          <w:p w14:paraId="00BB299A" w14:textId="77777777" w:rsidR="005B5538" w:rsidRPr="008E752A" w:rsidRDefault="005B5538" w:rsidP="00715ED2">
            <w:pPr>
              <w:pStyle w:val="Tabletext"/>
              <w:rPr>
                <w:szCs w:val="20"/>
              </w:rPr>
            </w:pPr>
            <w:r w:rsidRPr="008E752A">
              <w:rPr>
                <w:szCs w:val="20"/>
              </w:rPr>
              <w:t>4 (1.6%)</w:t>
            </w:r>
          </w:p>
        </w:tc>
        <w:tc>
          <w:tcPr>
            <w:tcW w:w="910" w:type="pct"/>
            <w:tcBorders>
              <w:top w:val="nil"/>
              <w:left w:val="nil"/>
              <w:bottom w:val="single" w:sz="4" w:space="0" w:color="auto"/>
              <w:right w:val="single" w:sz="4" w:space="0" w:color="auto"/>
            </w:tcBorders>
            <w:shd w:val="clear" w:color="auto" w:fill="auto"/>
            <w:noWrap/>
            <w:vAlign w:val="bottom"/>
            <w:hideMark/>
          </w:tcPr>
          <w:p w14:paraId="2737AF62" w14:textId="77777777" w:rsidR="005B5538" w:rsidRPr="008E752A" w:rsidRDefault="005B5538" w:rsidP="00715ED2">
            <w:pPr>
              <w:pStyle w:val="Tabletext"/>
              <w:rPr>
                <w:szCs w:val="20"/>
              </w:rPr>
            </w:pPr>
            <w:r w:rsidRPr="008E752A">
              <w:rPr>
                <w:szCs w:val="20"/>
              </w:rPr>
              <w:t>4 (0.5%)</w:t>
            </w:r>
          </w:p>
        </w:tc>
      </w:tr>
      <w:tr w:rsidR="005B5538" w:rsidRPr="008E752A" w14:paraId="45E1D1ED"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7F480BDA" w14:textId="77777777" w:rsidR="005B5538" w:rsidRPr="008E752A" w:rsidRDefault="005B5538" w:rsidP="00715ED2">
            <w:pPr>
              <w:pStyle w:val="Tabletext"/>
              <w:rPr>
                <w:szCs w:val="20"/>
              </w:rPr>
            </w:pPr>
            <w:r w:rsidRPr="008E752A">
              <w:rPr>
                <w:szCs w:val="20"/>
              </w:rPr>
              <w:t>Mental deficits</w:t>
            </w:r>
          </w:p>
        </w:tc>
        <w:tc>
          <w:tcPr>
            <w:tcW w:w="1010" w:type="pct"/>
            <w:tcBorders>
              <w:top w:val="nil"/>
              <w:left w:val="nil"/>
              <w:bottom w:val="single" w:sz="4" w:space="0" w:color="auto"/>
              <w:right w:val="single" w:sz="4" w:space="0" w:color="auto"/>
            </w:tcBorders>
            <w:shd w:val="clear" w:color="auto" w:fill="auto"/>
            <w:noWrap/>
            <w:vAlign w:val="bottom"/>
            <w:hideMark/>
          </w:tcPr>
          <w:p w14:paraId="09FB95DF" w14:textId="77777777" w:rsidR="005B5538" w:rsidRPr="008E752A" w:rsidRDefault="005B5538" w:rsidP="00715ED2">
            <w:pPr>
              <w:pStyle w:val="Tabletext"/>
              <w:rPr>
                <w:szCs w:val="20"/>
              </w:rPr>
            </w:pPr>
            <w:r w:rsidRPr="008E752A">
              <w:rPr>
                <w:szCs w:val="20"/>
              </w:rPr>
              <w:t>0 (0%)</w:t>
            </w:r>
          </w:p>
        </w:tc>
        <w:tc>
          <w:tcPr>
            <w:tcW w:w="911" w:type="pct"/>
            <w:tcBorders>
              <w:top w:val="nil"/>
              <w:left w:val="nil"/>
              <w:bottom w:val="single" w:sz="4" w:space="0" w:color="auto"/>
              <w:right w:val="single" w:sz="4" w:space="0" w:color="auto"/>
            </w:tcBorders>
            <w:shd w:val="clear" w:color="auto" w:fill="auto"/>
            <w:noWrap/>
            <w:vAlign w:val="bottom"/>
            <w:hideMark/>
          </w:tcPr>
          <w:p w14:paraId="13B1403D" w14:textId="77777777" w:rsidR="005B5538" w:rsidRPr="008E752A" w:rsidRDefault="005B5538" w:rsidP="00715ED2">
            <w:pPr>
              <w:pStyle w:val="Tabletext"/>
              <w:rPr>
                <w:szCs w:val="20"/>
              </w:rPr>
            </w:pPr>
            <w:r w:rsidRPr="008E752A">
              <w:rPr>
                <w:szCs w:val="20"/>
              </w:rPr>
              <w:t>15 (6.1%)</w:t>
            </w:r>
          </w:p>
        </w:tc>
        <w:tc>
          <w:tcPr>
            <w:tcW w:w="910" w:type="pct"/>
            <w:tcBorders>
              <w:top w:val="nil"/>
              <w:left w:val="nil"/>
              <w:bottom w:val="single" w:sz="4" w:space="0" w:color="auto"/>
              <w:right w:val="single" w:sz="4" w:space="0" w:color="auto"/>
            </w:tcBorders>
            <w:shd w:val="clear" w:color="auto" w:fill="auto"/>
            <w:noWrap/>
            <w:vAlign w:val="bottom"/>
            <w:hideMark/>
          </w:tcPr>
          <w:p w14:paraId="11FA2ECB" w14:textId="77777777" w:rsidR="005B5538" w:rsidRPr="008E752A" w:rsidRDefault="005B5538" w:rsidP="00715ED2">
            <w:pPr>
              <w:pStyle w:val="Tabletext"/>
              <w:rPr>
                <w:szCs w:val="20"/>
              </w:rPr>
            </w:pPr>
            <w:r w:rsidRPr="008E752A">
              <w:rPr>
                <w:szCs w:val="20"/>
              </w:rPr>
              <w:t>37 (5.1%)</w:t>
            </w:r>
          </w:p>
        </w:tc>
      </w:tr>
      <w:tr w:rsidR="005B5538" w:rsidRPr="008E752A" w14:paraId="5FA12F56" w14:textId="77777777" w:rsidTr="00715ED2">
        <w:trPr>
          <w:trHeight w:val="290"/>
        </w:trPr>
        <w:tc>
          <w:tcPr>
            <w:tcW w:w="2169" w:type="pct"/>
            <w:tcBorders>
              <w:top w:val="nil"/>
              <w:left w:val="single" w:sz="4" w:space="0" w:color="auto"/>
              <w:bottom w:val="single" w:sz="4" w:space="0" w:color="auto"/>
              <w:right w:val="single" w:sz="4" w:space="0" w:color="auto"/>
            </w:tcBorders>
            <w:shd w:val="clear" w:color="auto" w:fill="auto"/>
            <w:noWrap/>
            <w:vAlign w:val="bottom"/>
            <w:hideMark/>
          </w:tcPr>
          <w:p w14:paraId="033F4313" w14:textId="77777777" w:rsidR="005B5538" w:rsidRPr="008E752A" w:rsidRDefault="005B5538" w:rsidP="00715ED2">
            <w:pPr>
              <w:pStyle w:val="Tabletext"/>
              <w:rPr>
                <w:szCs w:val="20"/>
              </w:rPr>
            </w:pPr>
            <w:r w:rsidRPr="008E752A">
              <w:rPr>
                <w:szCs w:val="20"/>
              </w:rPr>
              <w:t>Other</w:t>
            </w:r>
          </w:p>
        </w:tc>
        <w:tc>
          <w:tcPr>
            <w:tcW w:w="1010" w:type="pct"/>
            <w:tcBorders>
              <w:top w:val="nil"/>
              <w:left w:val="nil"/>
              <w:bottom w:val="single" w:sz="4" w:space="0" w:color="auto"/>
              <w:right w:val="single" w:sz="4" w:space="0" w:color="auto"/>
            </w:tcBorders>
            <w:shd w:val="clear" w:color="auto" w:fill="auto"/>
            <w:noWrap/>
            <w:vAlign w:val="bottom"/>
            <w:hideMark/>
          </w:tcPr>
          <w:p w14:paraId="2CFCD871" w14:textId="77777777" w:rsidR="005B5538" w:rsidRPr="008E752A" w:rsidRDefault="005B5538" w:rsidP="00715ED2">
            <w:pPr>
              <w:pStyle w:val="Tabletext"/>
              <w:rPr>
                <w:szCs w:val="20"/>
              </w:rPr>
            </w:pPr>
            <w:r w:rsidRPr="008E752A">
              <w:rPr>
                <w:szCs w:val="20"/>
              </w:rPr>
              <w:t>64 (13.4%)</w:t>
            </w:r>
          </w:p>
        </w:tc>
        <w:tc>
          <w:tcPr>
            <w:tcW w:w="911" w:type="pct"/>
            <w:tcBorders>
              <w:top w:val="nil"/>
              <w:left w:val="nil"/>
              <w:bottom w:val="single" w:sz="4" w:space="0" w:color="auto"/>
              <w:right w:val="single" w:sz="4" w:space="0" w:color="auto"/>
            </w:tcBorders>
            <w:shd w:val="clear" w:color="auto" w:fill="auto"/>
            <w:noWrap/>
            <w:vAlign w:val="bottom"/>
            <w:hideMark/>
          </w:tcPr>
          <w:p w14:paraId="7B0824CA" w14:textId="77777777" w:rsidR="005B5538" w:rsidRPr="008E752A" w:rsidRDefault="005B5538" w:rsidP="00715ED2">
            <w:pPr>
              <w:pStyle w:val="Tabletext"/>
              <w:rPr>
                <w:szCs w:val="20"/>
              </w:rPr>
            </w:pPr>
            <w:r w:rsidRPr="008E752A">
              <w:rPr>
                <w:szCs w:val="20"/>
              </w:rPr>
              <w:t>23 (9.3%)</w:t>
            </w:r>
          </w:p>
        </w:tc>
        <w:tc>
          <w:tcPr>
            <w:tcW w:w="910" w:type="pct"/>
            <w:tcBorders>
              <w:top w:val="nil"/>
              <w:left w:val="nil"/>
              <w:bottom w:val="single" w:sz="4" w:space="0" w:color="auto"/>
              <w:right w:val="single" w:sz="4" w:space="0" w:color="auto"/>
            </w:tcBorders>
            <w:shd w:val="clear" w:color="auto" w:fill="auto"/>
            <w:noWrap/>
            <w:vAlign w:val="bottom"/>
            <w:hideMark/>
          </w:tcPr>
          <w:p w14:paraId="02786401" w14:textId="77777777" w:rsidR="005B5538" w:rsidRPr="008E752A" w:rsidRDefault="005B5538" w:rsidP="00715ED2">
            <w:pPr>
              <w:pStyle w:val="Tabletext"/>
              <w:rPr>
                <w:szCs w:val="20"/>
              </w:rPr>
            </w:pPr>
            <w:r w:rsidRPr="008E752A">
              <w:rPr>
                <w:szCs w:val="20"/>
              </w:rPr>
              <w:t>61 (8.3%)</w:t>
            </w:r>
          </w:p>
        </w:tc>
      </w:tr>
      <w:tr w:rsidR="005B5538" w:rsidRPr="008E752A" w14:paraId="1EE3914C" w14:textId="77777777" w:rsidTr="00715ED2">
        <w:trPr>
          <w:trHeight w:val="290"/>
        </w:trPr>
        <w:tc>
          <w:tcPr>
            <w:tcW w:w="2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1E031" w14:textId="77777777" w:rsidR="005B5538" w:rsidRPr="008E752A" w:rsidRDefault="005B5538" w:rsidP="00715ED2">
            <w:pPr>
              <w:pStyle w:val="Tabletext"/>
              <w:rPr>
                <w:szCs w:val="20"/>
              </w:rPr>
            </w:pPr>
            <w:r w:rsidRPr="008E752A">
              <w:rPr>
                <w:szCs w:val="20"/>
              </w:rPr>
              <w:t>Death</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6E22A27F" w14:textId="77777777" w:rsidR="005B5538" w:rsidRPr="008E752A" w:rsidRDefault="005B5538" w:rsidP="00715ED2">
            <w:pPr>
              <w:pStyle w:val="Tabletext"/>
              <w:rPr>
                <w:szCs w:val="20"/>
              </w:rPr>
            </w:pPr>
            <w:r w:rsidRPr="008E752A">
              <w:rPr>
                <w:szCs w:val="20"/>
              </w:rPr>
              <w:t>0 (0%)</w:t>
            </w:r>
          </w:p>
        </w:tc>
        <w:tc>
          <w:tcPr>
            <w:tcW w:w="911" w:type="pct"/>
            <w:tcBorders>
              <w:top w:val="single" w:sz="4" w:space="0" w:color="auto"/>
              <w:left w:val="nil"/>
              <w:bottom w:val="single" w:sz="4" w:space="0" w:color="auto"/>
              <w:right w:val="single" w:sz="4" w:space="0" w:color="auto"/>
            </w:tcBorders>
            <w:shd w:val="clear" w:color="auto" w:fill="auto"/>
            <w:noWrap/>
            <w:vAlign w:val="bottom"/>
            <w:hideMark/>
          </w:tcPr>
          <w:p w14:paraId="41C0D527" w14:textId="77777777" w:rsidR="005B5538" w:rsidRPr="008E752A" w:rsidRDefault="005B5538" w:rsidP="00715ED2">
            <w:pPr>
              <w:pStyle w:val="Tabletext"/>
              <w:rPr>
                <w:szCs w:val="20"/>
              </w:rPr>
            </w:pPr>
            <w:r w:rsidRPr="008E752A">
              <w:rPr>
                <w:szCs w:val="20"/>
              </w:rPr>
              <w:t>1 (0.4%)</w:t>
            </w:r>
          </w:p>
        </w:tc>
        <w:tc>
          <w:tcPr>
            <w:tcW w:w="910" w:type="pct"/>
            <w:tcBorders>
              <w:top w:val="single" w:sz="4" w:space="0" w:color="auto"/>
              <w:left w:val="nil"/>
              <w:bottom w:val="single" w:sz="4" w:space="0" w:color="auto"/>
              <w:right w:val="single" w:sz="4" w:space="0" w:color="auto"/>
            </w:tcBorders>
            <w:shd w:val="clear" w:color="auto" w:fill="auto"/>
            <w:noWrap/>
            <w:vAlign w:val="bottom"/>
            <w:hideMark/>
          </w:tcPr>
          <w:p w14:paraId="1DBE0C1E" w14:textId="77777777" w:rsidR="005B5538" w:rsidRPr="008E752A" w:rsidRDefault="005B5538" w:rsidP="00715ED2">
            <w:pPr>
              <w:pStyle w:val="Tabletext"/>
              <w:rPr>
                <w:szCs w:val="20"/>
              </w:rPr>
            </w:pPr>
            <w:r w:rsidRPr="008E752A">
              <w:rPr>
                <w:szCs w:val="20"/>
              </w:rPr>
              <w:t>1 (0.1%)</w:t>
            </w:r>
          </w:p>
        </w:tc>
      </w:tr>
      <w:tr w:rsidR="005B5538" w:rsidRPr="008E752A" w14:paraId="3F6C551A" w14:textId="77777777" w:rsidTr="00715ED2">
        <w:trPr>
          <w:trHeight w:val="290"/>
        </w:trPr>
        <w:tc>
          <w:tcPr>
            <w:tcW w:w="21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9E581" w14:textId="77777777" w:rsidR="005B5538" w:rsidRPr="008E752A" w:rsidRDefault="005B5538" w:rsidP="00715ED2">
            <w:pPr>
              <w:pStyle w:val="Tabletext"/>
              <w:rPr>
                <w:szCs w:val="20"/>
              </w:rPr>
            </w:pPr>
            <w:r w:rsidRPr="008E752A">
              <w:rPr>
                <w:szCs w:val="20"/>
              </w:rPr>
              <w:t>Total complications</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7CF657FB" w14:textId="77777777" w:rsidR="005B5538" w:rsidRPr="008E752A" w:rsidRDefault="005B5538" w:rsidP="00715ED2">
            <w:pPr>
              <w:pStyle w:val="Tabletext"/>
              <w:rPr>
                <w:szCs w:val="20"/>
              </w:rPr>
            </w:pPr>
            <w:r w:rsidRPr="008E752A">
              <w:rPr>
                <w:szCs w:val="20"/>
              </w:rPr>
              <w:t>484</w:t>
            </w:r>
          </w:p>
        </w:tc>
        <w:tc>
          <w:tcPr>
            <w:tcW w:w="911" w:type="pct"/>
            <w:tcBorders>
              <w:top w:val="single" w:sz="4" w:space="0" w:color="auto"/>
              <w:left w:val="nil"/>
              <w:bottom w:val="single" w:sz="4" w:space="0" w:color="auto"/>
              <w:right w:val="single" w:sz="4" w:space="0" w:color="auto"/>
            </w:tcBorders>
            <w:shd w:val="clear" w:color="auto" w:fill="auto"/>
            <w:noWrap/>
            <w:vAlign w:val="bottom"/>
          </w:tcPr>
          <w:p w14:paraId="119A3B63" w14:textId="77777777" w:rsidR="005B5538" w:rsidRPr="008E752A" w:rsidRDefault="005B5538" w:rsidP="00715ED2">
            <w:pPr>
              <w:pStyle w:val="Tabletext"/>
              <w:rPr>
                <w:szCs w:val="20"/>
              </w:rPr>
            </w:pPr>
            <w:r w:rsidRPr="008E752A">
              <w:rPr>
                <w:szCs w:val="20"/>
              </w:rPr>
              <w:t>202</w:t>
            </w:r>
          </w:p>
        </w:tc>
        <w:tc>
          <w:tcPr>
            <w:tcW w:w="910" w:type="pct"/>
            <w:tcBorders>
              <w:top w:val="single" w:sz="4" w:space="0" w:color="auto"/>
              <w:left w:val="nil"/>
              <w:bottom w:val="single" w:sz="4" w:space="0" w:color="auto"/>
              <w:right w:val="single" w:sz="4" w:space="0" w:color="auto"/>
            </w:tcBorders>
            <w:shd w:val="clear" w:color="auto" w:fill="auto"/>
            <w:noWrap/>
            <w:vAlign w:val="bottom"/>
          </w:tcPr>
          <w:p w14:paraId="64E4FA89" w14:textId="77777777" w:rsidR="005B5538" w:rsidRPr="008E752A" w:rsidRDefault="005B5538" w:rsidP="00715ED2">
            <w:pPr>
              <w:pStyle w:val="Tabletext"/>
              <w:rPr>
                <w:szCs w:val="20"/>
              </w:rPr>
            </w:pPr>
            <w:r w:rsidRPr="008E752A">
              <w:rPr>
                <w:szCs w:val="20"/>
              </w:rPr>
              <w:t>517</w:t>
            </w:r>
          </w:p>
        </w:tc>
      </w:tr>
    </w:tbl>
    <w:p w14:paraId="56426C7E" w14:textId="16B81E80" w:rsidR="005B5538" w:rsidRPr="008E752A" w:rsidRDefault="005B5538" w:rsidP="00957845">
      <w:pPr>
        <w:pStyle w:val="TableNote"/>
      </w:pPr>
      <w:r w:rsidRPr="008E752A">
        <w:t>Source: Giordano (2020)</w:t>
      </w:r>
    </w:p>
    <w:p w14:paraId="3757B759" w14:textId="3B219059" w:rsidR="00B03054" w:rsidRDefault="00D44E5F" w:rsidP="00B03054">
      <w:pPr>
        <w:spacing w:before="240"/>
        <w:rPr>
          <w:rFonts w:ascii="Franklin Gothic Book" w:hAnsi="Franklin Gothic Book"/>
          <w:bCs/>
          <w:iCs/>
          <w:sz w:val="22"/>
          <w:szCs w:val="22"/>
        </w:rPr>
      </w:pPr>
      <w:proofErr w:type="gramStart"/>
      <w:r w:rsidRPr="008E752A">
        <w:rPr>
          <w:rFonts w:ascii="Franklin Gothic Book" w:hAnsi="Franklin Gothic Book"/>
          <w:bCs/>
          <w:iCs/>
          <w:sz w:val="22"/>
          <w:szCs w:val="22"/>
        </w:rPr>
        <w:t>Overall</w:t>
      </w:r>
      <w:proofErr w:type="gramEnd"/>
      <w:r w:rsidRPr="008E752A">
        <w:rPr>
          <w:rFonts w:ascii="Franklin Gothic Book" w:hAnsi="Franklin Gothic Book"/>
          <w:bCs/>
          <w:iCs/>
          <w:sz w:val="22"/>
          <w:szCs w:val="22"/>
        </w:rPr>
        <w:t xml:space="preserve"> the resubmission claimed that for </w:t>
      </w:r>
      <w:proofErr w:type="spellStart"/>
      <w:r w:rsidR="007315E6" w:rsidRPr="008E752A">
        <w:rPr>
          <w:rFonts w:ascii="Franklin Gothic Book" w:hAnsi="Franklin Gothic Book"/>
          <w:bCs/>
          <w:iCs/>
          <w:sz w:val="22"/>
          <w:szCs w:val="22"/>
        </w:rPr>
        <w:t>MRgFUS</w:t>
      </w:r>
      <w:proofErr w:type="spellEnd"/>
      <w:r w:rsidR="007315E6" w:rsidRPr="008E752A">
        <w:rPr>
          <w:rFonts w:ascii="Franklin Gothic Book" w:hAnsi="Franklin Gothic Book"/>
          <w:bCs/>
          <w:iCs/>
          <w:sz w:val="22"/>
          <w:szCs w:val="22"/>
        </w:rPr>
        <w:t xml:space="preserve"> vs DBS</w:t>
      </w:r>
      <w:r w:rsidRPr="008E752A">
        <w:rPr>
          <w:rFonts w:ascii="Franklin Gothic Book" w:hAnsi="Franklin Gothic Book"/>
          <w:bCs/>
          <w:iCs/>
          <w:sz w:val="22"/>
          <w:szCs w:val="22"/>
        </w:rPr>
        <w:t>, the safety was “different, yet non-</w:t>
      </w:r>
      <w:r w:rsidRPr="00957845">
        <w:rPr>
          <w:rFonts w:ascii="Franklin Gothic Book" w:hAnsi="Franklin Gothic Book"/>
          <w:bCs/>
          <w:iCs/>
          <w:sz w:val="22"/>
          <w:szCs w:val="22"/>
        </w:rPr>
        <w:t xml:space="preserve">inferior”. However the commentary concluded that there is uncertainty around this claim  based on the following concerns: (1) the identified comparative evidence was very limited, (2) existing evidence base was found to be at a high risk of bias, and (3) the two procedures have a different safety profile, particularly in terms of transient adverse events (AEs, e.g. no intraprocedural sensations for DBS as inserted under general anaesthesia, potential hardware-related complications for DBS, irreversibility of </w:t>
      </w:r>
      <w:proofErr w:type="spellStart"/>
      <w:r w:rsidRPr="00957845">
        <w:rPr>
          <w:rFonts w:ascii="Franklin Gothic Book" w:hAnsi="Franklin Gothic Book"/>
          <w:bCs/>
          <w:iCs/>
          <w:sz w:val="22"/>
          <w:szCs w:val="22"/>
        </w:rPr>
        <w:t>MRgFUS</w:t>
      </w:r>
      <w:proofErr w:type="spellEnd"/>
      <w:r w:rsidRPr="00957845">
        <w:rPr>
          <w:rFonts w:ascii="Franklin Gothic Book" w:hAnsi="Franklin Gothic Book"/>
          <w:bCs/>
          <w:iCs/>
          <w:sz w:val="22"/>
          <w:szCs w:val="22"/>
        </w:rPr>
        <w:t xml:space="preserve"> v</w:t>
      </w:r>
      <w:r w:rsidR="001109E1" w:rsidRPr="00957845">
        <w:rPr>
          <w:rFonts w:ascii="Franklin Gothic Book" w:hAnsi="Franklin Gothic Book"/>
          <w:bCs/>
          <w:iCs/>
          <w:sz w:val="22"/>
          <w:szCs w:val="22"/>
        </w:rPr>
        <w:t xml:space="preserve">s </w:t>
      </w:r>
      <w:r w:rsidRPr="00957845">
        <w:rPr>
          <w:rFonts w:ascii="Franklin Gothic Book" w:hAnsi="Franklin Gothic Book"/>
          <w:bCs/>
          <w:iCs/>
          <w:sz w:val="22"/>
          <w:szCs w:val="22"/>
        </w:rPr>
        <w:t>fully-reversible DBS).</w:t>
      </w:r>
      <w:r w:rsidR="00B75179" w:rsidRPr="00957845">
        <w:rPr>
          <w:rFonts w:ascii="Franklin Gothic Book" w:hAnsi="Franklin Gothic Book"/>
          <w:bCs/>
          <w:iCs/>
          <w:sz w:val="22"/>
          <w:szCs w:val="22"/>
        </w:rPr>
        <w:t xml:space="preserve"> </w:t>
      </w:r>
      <w:r w:rsidR="00114251" w:rsidRPr="00957845">
        <w:rPr>
          <w:rFonts w:ascii="Franklin Gothic Book" w:hAnsi="Franklin Gothic Book"/>
          <w:bCs/>
          <w:iCs/>
          <w:sz w:val="22"/>
          <w:szCs w:val="22"/>
        </w:rPr>
        <w:t>The safety profile of the two procedures is different so a meaningful comparison of adverse events as reported in the evidence base is difficult to carry out.</w:t>
      </w:r>
      <w:r w:rsidRPr="00957845">
        <w:rPr>
          <w:rFonts w:ascii="Franklin Gothic Book" w:hAnsi="Franklin Gothic Book"/>
          <w:bCs/>
          <w:iCs/>
          <w:sz w:val="22"/>
          <w:szCs w:val="22"/>
        </w:rPr>
        <w:t xml:space="preserve"> The commentary therefore argued that the clinical claim for safety for </w:t>
      </w:r>
      <w:proofErr w:type="spellStart"/>
      <w:r w:rsidR="007315E6" w:rsidRPr="00957845">
        <w:rPr>
          <w:rFonts w:ascii="Franklin Gothic Book" w:hAnsi="Franklin Gothic Book"/>
          <w:bCs/>
          <w:iCs/>
          <w:sz w:val="22"/>
          <w:szCs w:val="22"/>
        </w:rPr>
        <w:t>MRgFUS</w:t>
      </w:r>
      <w:proofErr w:type="spellEnd"/>
      <w:r w:rsidR="007315E6" w:rsidRPr="00957845">
        <w:rPr>
          <w:rFonts w:ascii="Franklin Gothic Book" w:hAnsi="Franklin Gothic Book"/>
          <w:bCs/>
          <w:iCs/>
          <w:sz w:val="22"/>
          <w:szCs w:val="22"/>
        </w:rPr>
        <w:t xml:space="preserve"> vs DBS</w:t>
      </w:r>
      <w:r w:rsidRPr="00957845">
        <w:rPr>
          <w:rFonts w:ascii="Franklin Gothic Book" w:hAnsi="Franklin Gothic Book"/>
          <w:bCs/>
          <w:iCs/>
          <w:sz w:val="22"/>
          <w:szCs w:val="22"/>
        </w:rPr>
        <w:t xml:space="preserve"> may need to be revised to “somewhat uncertain”. </w:t>
      </w:r>
      <w:r w:rsidR="00B03054">
        <w:rPr>
          <w:rFonts w:ascii="Franklin Gothic Book" w:hAnsi="Franklin Gothic Book"/>
          <w:bCs/>
          <w:iCs/>
          <w:sz w:val="22"/>
          <w:szCs w:val="22"/>
        </w:rPr>
        <w:br w:type="page"/>
      </w:r>
    </w:p>
    <w:p w14:paraId="27A53FD0" w14:textId="5655DEF8" w:rsidR="00B75179" w:rsidRPr="00957845" w:rsidRDefault="00B75179" w:rsidP="00114251">
      <w:pPr>
        <w:spacing w:before="240"/>
        <w:rPr>
          <w:rFonts w:ascii="Franklin Gothic Book" w:hAnsi="Franklin Gothic Book"/>
          <w:bCs/>
          <w:iCs/>
          <w:sz w:val="22"/>
          <w:szCs w:val="22"/>
        </w:rPr>
      </w:pPr>
      <w:r w:rsidRPr="00957845">
        <w:rPr>
          <w:rFonts w:ascii="Franklin Gothic Book" w:hAnsi="Franklin Gothic Book"/>
          <w:bCs/>
          <w:iCs/>
          <w:sz w:val="22"/>
          <w:szCs w:val="22"/>
        </w:rPr>
        <w:lastRenderedPageBreak/>
        <w:t>In response to the commentary’s conclusions about the uncertainty of the evidence on safety the applicant argued that:</w:t>
      </w:r>
    </w:p>
    <w:p w14:paraId="682D76AB" w14:textId="44F2A810" w:rsidR="00B75179" w:rsidRPr="00957845" w:rsidRDefault="00B75179" w:rsidP="00B75179">
      <w:pPr>
        <w:pStyle w:val="ListParagraph"/>
        <w:numPr>
          <w:ilvl w:val="0"/>
          <w:numId w:val="19"/>
        </w:numPr>
        <w:spacing w:before="240"/>
        <w:rPr>
          <w:rFonts w:ascii="Franklin Gothic Book" w:hAnsi="Franklin Gothic Book"/>
          <w:bCs/>
          <w:iCs/>
          <w:sz w:val="22"/>
          <w:szCs w:val="22"/>
        </w:rPr>
      </w:pPr>
      <w:r w:rsidRPr="00957845">
        <w:rPr>
          <w:rFonts w:ascii="Franklin Gothic Book" w:hAnsi="Franklin Gothic Book"/>
          <w:bCs/>
          <w:iCs/>
          <w:sz w:val="22"/>
          <w:szCs w:val="22"/>
        </w:rPr>
        <w:t xml:space="preserve">limitations of the comparative evidence were addressed in the resubmission by including the best practice matched adjusted indirect comparison (MAIC) and updated naïve comparison between </w:t>
      </w:r>
      <w:proofErr w:type="spellStart"/>
      <w:r w:rsidRPr="00957845">
        <w:rPr>
          <w:rFonts w:ascii="Franklin Gothic Book" w:hAnsi="Franklin Gothic Book"/>
          <w:bCs/>
          <w:iCs/>
          <w:sz w:val="22"/>
          <w:szCs w:val="22"/>
        </w:rPr>
        <w:t>MRgFUS</w:t>
      </w:r>
      <w:proofErr w:type="spellEnd"/>
      <w:r w:rsidRPr="00957845">
        <w:rPr>
          <w:rFonts w:ascii="Franklin Gothic Book" w:hAnsi="Franklin Gothic Book"/>
          <w:bCs/>
          <w:iCs/>
          <w:sz w:val="22"/>
          <w:szCs w:val="22"/>
        </w:rPr>
        <w:t xml:space="preserve"> and DBS</w:t>
      </w:r>
    </w:p>
    <w:p w14:paraId="2C2651B2" w14:textId="73DF910B" w:rsidR="00B75179" w:rsidRPr="00957845" w:rsidRDefault="007D7AF8" w:rsidP="00B75179">
      <w:pPr>
        <w:pStyle w:val="ListParagraph"/>
        <w:numPr>
          <w:ilvl w:val="0"/>
          <w:numId w:val="19"/>
        </w:numPr>
        <w:spacing w:before="240"/>
        <w:rPr>
          <w:rFonts w:ascii="Franklin Gothic Book" w:hAnsi="Franklin Gothic Book"/>
          <w:bCs/>
          <w:iCs/>
          <w:sz w:val="22"/>
          <w:szCs w:val="22"/>
        </w:rPr>
      </w:pPr>
      <w:proofErr w:type="spellStart"/>
      <w:r w:rsidRPr="00957845">
        <w:rPr>
          <w:rFonts w:ascii="Franklin Gothic Book" w:hAnsi="Franklin Gothic Book"/>
          <w:bCs/>
          <w:iCs/>
          <w:sz w:val="22"/>
          <w:szCs w:val="22"/>
        </w:rPr>
        <w:t>MRgFUS</w:t>
      </w:r>
      <w:proofErr w:type="spellEnd"/>
      <w:r w:rsidRPr="00957845">
        <w:rPr>
          <w:rFonts w:ascii="Franklin Gothic Book" w:hAnsi="Franklin Gothic Book"/>
          <w:bCs/>
          <w:iCs/>
          <w:sz w:val="22"/>
          <w:szCs w:val="22"/>
        </w:rPr>
        <w:t xml:space="preserve"> having a "different” AE profile to DBS does not mean it has a worse AE </w:t>
      </w:r>
      <w:proofErr w:type="gramStart"/>
      <w:r w:rsidRPr="00957845">
        <w:rPr>
          <w:rFonts w:ascii="Franklin Gothic Book" w:hAnsi="Franklin Gothic Book"/>
          <w:bCs/>
          <w:iCs/>
          <w:sz w:val="22"/>
          <w:szCs w:val="22"/>
        </w:rPr>
        <w:t>profile</w:t>
      </w:r>
      <w:r w:rsidRPr="00957845">
        <w:rPr>
          <w:rFonts w:ascii="Franklin Gothic Book" w:hAnsi="Franklin Gothic Book"/>
          <w:sz w:val="22"/>
          <w:szCs w:val="22"/>
        </w:rPr>
        <w:t xml:space="preserve">  and</w:t>
      </w:r>
      <w:proofErr w:type="gramEnd"/>
      <w:r w:rsidRPr="00957845">
        <w:rPr>
          <w:rFonts w:ascii="Franklin Gothic Book" w:hAnsi="Franklin Gothic Book"/>
          <w:sz w:val="22"/>
          <w:szCs w:val="22"/>
        </w:rPr>
        <w:t xml:space="preserve"> </w:t>
      </w:r>
      <w:r w:rsidRPr="00957845">
        <w:rPr>
          <w:rFonts w:ascii="Franklin Gothic Book" w:hAnsi="Franklin Gothic Book"/>
          <w:bCs/>
          <w:iCs/>
          <w:sz w:val="22"/>
          <w:szCs w:val="22"/>
        </w:rPr>
        <w:t xml:space="preserve">having both </w:t>
      </w:r>
      <w:proofErr w:type="spellStart"/>
      <w:r w:rsidRPr="00957845">
        <w:rPr>
          <w:rFonts w:ascii="Franklin Gothic Book" w:hAnsi="Franklin Gothic Book"/>
          <w:bCs/>
          <w:iCs/>
          <w:sz w:val="22"/>
          <w:szCs w:val="22"/>
        </w:rPr>
        <w:t>MRgFUS</w:t>
      </w:r>
      <w:proofErr w:type="spellEnd"/>
      <w:r w:rsidRPr="00957845">
        <w:rPr>
          <w:rFonts w:ascii="Franklin Gothic Book" w:hAnsi="Franklin Gothic Book"/>
          <w:bCs/>
          <w:iCs/>
          <w:sz w:val="22"/>
          <w:szCs w:val="22"/>
        </w:rPr>
        <w:t xml:space="preserve"> and DBS funded on the MBS would allow patients the option to choose the AE and risk-profile that is most suitable for their circumstances and well-being.</w:t>
      </w:r>
    </w:p>
    <w:p w14:paraId="62CC469C" w14:textId="1153D1FD" w:rsidR="007D7AF8" w:rsidRPr="00957845" w:rsidRDefault="007D7AF8" w:rsidP="00957845">
      <w:pPr>
        <w:pStyle w:val="ListParagraph"/>
        <w:numPr>
          <w:ilvl w:val="0"/>
          <w:numId w:val="19"/>
        </w:numPr>
        <w:spacing w:before="240" w:after="240"/>
        <w:rPr>
          <w:rFonts w:ascii="Franklin Gothic Book" w:hAnsi="Franklin Gothic Book"/>
          <w:bCs/>
          <w:iCs/>
          <w:sz w:val="22"/>
          <w:szCs w:val="22"/>
        </w:rPr>
      </w:pPr>
      <w:r w:rsidRPr="00957845">
        <w:rPr>
          <w:rFonts w:ascii="Franklin Gothic Book" w:hAnsi="Franklin Gothic Book"/>
          <w:bCs/>
          <w:iCs/>
          <w:sz w:val="22"/>
          <w:szCs w:val="22"/>
        </w:rPr>
        <w:t>The claim of serious risk of bias in studies cited is inconsistent with other health technology assessments (HTAs) including the OHTAS</w:t>
      </w:r>
      <w:r w:rsidR="00D0109D" w:rsidRPr="00957845">
        <w:rPr>
          <w:rFonts w:ascii="Franklin Gothic Book" w:hAnsi="Franklin Gothic Book"/>
          <w:bCs/>
          <w:iCs/>
          <w:sz w:val="22"/>
          <w:szCs w:val="22"/>
        </w:rPr>
        <w:t xml:space="preserve"> model cited by ESC in response to the previous submission</w:t>
      </w:r>
      <w:r w:rsidRPr="00957845">
        <w:rPr>
          <w:rFonts w:ascii="Franklin Gothic Book" w:hAnsi="Franklin Gothic Book"/>
          <w:bCs/>
          <w:iCs/>
          <w:sz w:val="22"/>
          <w:szCs w:val="22"/>
        </w:rPr>
        <w:t>.</w:t>
      </w:r>
    </w:p>
    <w:p w14:paraId="03EFA84A" w14:textId="38D760BA" w:rsidR="00B51F1B" w:rsidRPr="00957845" w:rsidRDefault="00B51F1B" w:rsidP="00957845">
      <w:pPr>
        <w:pStyle w:val="Heading3"/>
        <w:spacing w:after="240"/>
        <w:rPr>
          <w:rFonts w:ascii="Franklin Gothic Book" w:hAnsi="Franklin Gothic Book"/>
          <w:i/>
          <w:iCs/>
          <w:u w:val="none"/>
        </w:rPr>
      </w:pPr>
      <w:proofErr w:type="spellStart"/>
      <w:r w:rsidRPr="00957845">
        <w:rPr>
          <w:rFonts w:ascii="Franklin Gothic Book" w:hAnsi="Franklin Gothic Book"/>
          <w:i/>
          <w:iCs/>
          <w:u w:val="none"/>
        </w:rPr>
        <w:t>MRgFUS</w:t>
      </w:r>
      <w:proofErr w:type="spellEnd"/>
      <w:r w:rsidRPr="00957845">
        <w:rPr>
          <w:rFonts w:ascii="Franklin Gothic Book" w:hAnsi="Franklin Gothic Book"/>
          <w:i/>
          <w:iCs/>
          <w:u w:val="none"/>
        </w:rPr>
        <w:t xml:space="preserve"> v</w:t>
      </w:r>
      <w:r w:rsidR="007315E6" w:rsidRPr="00957845">
        <w:rPr>
          <w:rFonts w:ascii="Franklin Gothic Book" w:hAnsi="Franklin Gothic Book"/>
          <w:i/>
          <w:iCs/>
          <w:u w:val="none"/>
        </w:rPr>
        <w:t xml:space="preserve">s </w:t>
      </w:r>
      <w:r w:rsidRPr="00957845">
        <w:rPr>
          <w:rFonts w:ascii="Franklin Gothic Book" w:hAnsi="Franklin Gothic Book"/>
          <w:i/>
          <w:iCs/>
          <w:u w:val="none"/>
        </w:rPr>
        <w:t>BSC</w:t>
      </w:r>
    </w:p>
    <w:p w14:paraId="45DB548D" w14:textId="43F9C99D" w:rsidR="00B51F1B" w:rsidRPr="00A600C8" w:rsidRDefault="00B51F1B" w:rsidP="00B51F1B">
      <w:pPr>
        <w:pStyle w:val="5Bodytext"/>
        <w:rPr>
          <w:rFonts w:ascii="Franklin Gothic Book" w:hAnsi="Franklin Gothic Book"/>
          <w:sz w:val="22"/>
          <w:szCs w:val="22"/>
        </w:rPr>
      </w:pPr>
      <w:r w:rsidRPr="00957845">
        <w:rPr>
          <w:rFonts w:ascii="Franklin Gothic Book" w:hAnsi="Franklin Gothic Book"/>
          <w:sz w:val="22"/>
          <w:szCs w:val="22"/>
        </w:rPr>
        <w:t xml:space="preserve">AEs related to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were </w:t>
      </w:r>
      <w:proofErr w:type="gramStart"/>
      <w:r w:rsidRPr="00957845">
        <w:rPr>
          <w:rFonts w:ascii="Franklin Gothic Book" w:hAnsi="Franklin Gothic Book"/>
          <w:sz w:val="22"/>
          <w:szCs w:val="22"/>
        </w:rPr>
        <w:t>similar to</w:t>
      </w:r>
      <w:proofErr w:type="gramEnd"/>
      <w:r w:rsidRPr="00957845">
        <w:rPr>
          <w:rFonts w:ascii="Franklin Gothic Book" w:hAnsi="Franklin Gothic Book"/>
          <w:sz w:val="22"/>
          <w:szCs w:val="22"/>
        </w:rPr>
        <w:t xml:space="preserve"> those reported in </w:t>
      </w:r>
      <w:proofErr w:type="spellStart"/>
      <w:r w:rsidR="007315E6" w:rsidRPr="00957845">
        <w:rPr>
          <w:rFonts w:ascii="Franklin Gothic Book" w:hAnsi="Franklin Gothic Book"/>
          <w:bCs/>
          <w:iCs/>
          <w:sz w:val="22"/>
          <w:szCs w:val="22"/>
        </w:rPr>
        <w:t>MRgFUS</w:t>
      </w:r>
      <w:proofErr w:type="spellEnd"/>
      <w:r w:rsidR="007315E6" w:rsidRPr="00957845">
        <w:rPr>
          <w:rFonts w:ascii="Franklin Gothic Book" w:hAnsi="Franklin Gothic Book"/>
          <w:bCs/>
          <w:iCs/>
          <w:sz w:val="22"/>
          <w:szCs w:val="22"/>
        </w:rPr>
        <w:t xml:space="preserve"> vs DBS</w:t>
      </w:r>
      <w:r w:rsidRPr="00957845">
        <w:rPr>
          <w:rFonts w:ascii="Franklin Gothic Book" w:hAnsi="Franklin Gothic Book"/>
          <w:sz w:val="22"/>
          <w:szCs w:val="22"/>
        </w:rPr>
        <w:t xml:space="preserve">. Some AEs (intraprocedural or post-procedural) were experienced by 50/56 (91%) of patients who received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Of note, 12/20 (60%) of patients who received a sham procedure also reported procedure-related AEs. Longer-term data to 6 </w:t>
      </w:r>
      <w:r w:rsidRPr="00A600C8">
        <w:rPr>
          <w:rFonts w:ascii="Franklin Gothic Book" w:hAnsi="Franklin Gothic Book"/>
          <w:sz w:val="22"/>
          <w:szCs w:val="22"/>
        </w:rPr>
        <w:t xml:space="preserve">years follow-up for </w:t>
      </w:r>
      <w:proofErr w:type="spellStart"/>
      <w:r w:rsidRPr="00A600C8">
        <w:rPr>
          <w:rFonts w:ascii="Franklin Gothic Book" w:hAnsi="Franklin Gothic Book"/>
          <w:sz w:val="22"/>
          <w:szCs w:val="22"/>
        </w:rPr>
        <w:t>MRgFUS</w:t>
      </w:r>
      <w:proofErr w:type="spellEnd"/>
      <w:r w:rsidRPr="00A600C8">
        <w:rPr>
          <w:rFonts w:ascii="Franklin Gothic Book" w:hAnsi="Franklin Gothic Book"/>
          <w:sz w:val="22"/>
          <w:szCs w:val="22"/>
        </w:rPr>
        <w:t xml:space="preserve"> reported that most AEs had resolved (</w:t>
      </w:r>
      <w:proofErr w:type="gramStart"/>
      <w:r w:rsidRPr="00A600C8">
        <w:rPr>
          <w:rFonts w:ascii="Franklin Gothic Book" w:hAnsi="Franklin Gothic Book"/>
          <w:sz w:val="22"/>
          <w:szCs w:val="22"/>
        </w:rPr>
        <w:t>e.g.</w:t>
      </w:r>
      <w:proofErr w:type="gramEnd"/>
      <w:r w:rsidRPr="00A600C8">
        <w:rPr>
          <w:rFonts w:ascii="Franklin Gothic Book" w:hAnsi="Franklin Gothic Book"/>
          <w:sz w:val="22"/>
          <w:szCs w:val="22"/>
        </w:rPr>
        <w:t xml:space="preserve"> unsteadiness, </w:t>
      </w:r>
      <w:proofErr w:type="spellStart"/>
      <w:r w:rsidRPr="00A600C8">
        <w:rPr>
          <w:rFonts w:ascii="Franklin Gothic Book" w:hAnsi="Franklin Gothic Book"/>
          <w:sz w:val="22"/>
          <w:szCs w:val="22"/>
        </w:rPr>
        <w:t>dysarthia</w:t>
      </w:r>
      <w:proofErr w:type="spellEnd"/>
      <w:r w:rsidRPr="00A600C8">
        <w:rPr>
          <w:rFonts w:ascii="Franklin Gothic Book" w:hAnsi="Franklin Gothic Book"/>
          <w:sz w:val="22"/>
          <w:szCs w:val="22"/>
        </w:rPr>
        <w:t xml:space="preserve">, taste disturbances and fatigue) or subsided (e.g. paraesthesia, imbalance, and muscle weakness). However, the </w:t>
      </w:r>
      <w:proofErr w:type="gramStart"/>
      <w:r w:rsidRPr="00A600C8">
        <w:rPr>
          <w:rFonts w:ascii="Franklin Gothic Book" w:hAnsi="Franklin Gothic Book"/>
          <w:sz w:val="22"/>
          <w:szCs w:val="22"/>
        </w:rPr>
        <w:t>5 year</w:t>
      </w:r>
      <w:proofErr w:type="gramEnd"/>
      <w:r w:rsidRPr="00A600C8">
        <w:rPr>
          <w:rFonts w:ascii="Franklin Gothic Book" w:hAnsi="Franklin Gothic Book"/>
          <w:sz w:val="22"/>
          <w:szCs w:val="22"/>
        </w:rPr>
        <w:t xml:space="preserve"> Elias et al. (2016)</w:t>
      </w:r>
      <w:r w:rsidR="00715ED2" w:rsidRPr="00A600C8">
        <w:rPr>
          <w:rFonts w:ascii="Franklin Gothic Book" w:hAnsi="Franklin Gothic Book"/>
          <w:sz w:val="22"/>
          <w:szCs w:val="22"/>
          <w:vertAlign w:val="superscript"/>
        </w:rPr>
        <w:t xml:space="preserve"> 11</w:t>
      </w:r>
      <w:r w:rsidRPr="00A600C8">
        <w:rPr>
          <w:rFonts w:ascii="Franklin Gothic Book" w:hAnsi="Franklin Gothic Book"/>
          <w:sz w:val="22"/>
          <w:szCs w:val="22"/>
        </w:rPr>
        <w:t xml:space="preserve"> data reported in the unpublished Cosgrove (2021)</w:t>
      </w:r>
      <w:r w:rsidR="0021332C" w:rsidRPr="00A600C8">
        <w:rPr>
          <w:rFonts w:ascii="Franklin Gothic Book" w:hAnsi="Franklin Gothic Book"/>
          <w:sz w:val="22"/>
          <w:szCs w:val="22"/>
          <w:vertAlign w:val="superscript"/>
        </w:rPr>
        <w:t>15</w:t>
      </w:r>
      <w:r w:rsidRPr="00A600C8">
        <w:rPr>
          <w:rFonts w:ascii="Franklin Gothic Book" w:hAnsi="Franklin Gothic Book"/>
          <w:sz w:val="22"/>
          <w:szCs w:val="22"/>
        </w:rPr>
        <w:t xml:space="preserve"> manuscript noted the </w:t>
      </w:r>
      <w:proofErr w:type="spellStart"/>
      <w:r w:rsidRPr="00A600C8">
        <w:rPr>
          <w:rFonts w:ascii="Franklin Gothic Book" w:hAnsi="Franklin Gothic Book"/>
          <w:sz w:val="22"/>
          <w:szCs w:val="22"/>
        </w:rPr>
        <w:t>MRgFUS</w:t>
      </w:r>
      <w:proofErr w:type="spellEnd"/>
      <w:r w:rsidRPr="00A600C8">
        <w:rPr>
          <w:rFonts w:ascii="Franklin Gothic Book" w:hAnsi="Franklin Gothic Book"/>
          <w:sz w:val="22"/>
          <w:szCs w:val="22"/>
        </w:rPr>
        <w:t xml:space="preserve"> rate of ataxia had doubled from 1.3% at 3 years to 2.6% at 5 years.</w:t>
      </w:r>
    </w:p>
    <w:p w14:paraId="6339CE43" w14:textId="60B86E1D" w:rsidR="00896D20" w:rsidRPr="00A600C8" w:rsidRDefault="009E4714" w:rsidP="00896D20">
      <w:pPr>
        <w:pStyle w:val="5Bodytext"/>
        <w:rPr>
          <w:rFonts w:ascii="Franklin Gothic Book" w:hAnsi="Franklin Gothic Book"/>
          <w:sz w:val="22"/>
          <w:szCs w:val="22"/>
        </w:rPr>
      </w:pPr>
      <w:r w:rsidRPr="00A600C8">
        <w:rPr>
          <w:rFonts w:ascii="Franklin Gothic Book" w:hAnsi="Franklin Gothic Book"/>
          <w:sz w:val="22"/>
          <w:szCs w:val="22"/>
        </w:rPr>
        <w:t xml:space="preserve">The resubmission concluded that although </w:t>
      </w:r>
      <w:proofErr w:type="spellStart"/>
      <w:r w:rsidRPr="00A600C8">
        <w:rPr>
          <w:rFonts w:ascii="Franklin Gothic Book" w:hAnsi="Franklin Gothic Book"/>
          <w:sz w:val="22"/>
          <w:szCs w:val="22"/>
        </w:rPr>
        <w:t>MRgFUS</w:t>
      </w:r>
      <w:proofErr w:type="spellEnd"/>
      <w:r w:rsidRPr="00A600C8">
        <w:rPr>
          <w:rFonts w:ascii="Franklin Gothic Book" w:hAnsi="Franklin Gothic Book"/>
          <w:sz w:val="22"/>
          <w:szCs w:val="22"/>
        </w:rPr>
        <w:t xml:space="preserve"> is considered to have an inferior safety profile relative to BSC, the evidence demonstrates the procedure to be safe and well tolerated.</w:t>
      </w:r>
    </w:p>
    <w:p w14:paraId="76AAC184" w14:textId="2BC8AF48" w:rsidR="00CA0101" w:rsidRPr="00957845" w:rsidRDefault="00CA0101" w:rsidP="00B51F1B">
      <w:pPr>
        <w:pStyle w:val="5Bodytext"/>
        <w:rPr>
          <w:rFonts w:ascii="Franklin Gothic Book" w:hAnsi="Franklin Gothic Book"/>
          <w:sz w:val="22"/>
          <w:szCs w:val="22"/>
        </w:rPr>
      </w:pPr>
      <w:proofErr w:type="gramStart"/>
      <w:r w:rsidRPr="00A600C8">
        <w:rPr>
          <w:rFonts w:ascii="Franklin Gothic Book" w:hAnsi="Franklin Gothic Book"/>
          <w:sz w:val="22"/>
          <w:szCs w:val="22"/>
        </w:rPr>
        <w:t>Overall</w:t>
      </w:r>
      <w:proofErr w:type="gramEnd"/>
      <w:r w:rsidRPr="00A600C8">
        <w:rPr>
          <w:rFonts w:ascii="Franklin Gothic Book" w:hAnsi="Franklin Gothic Book"/>
          <w:sz w:val="22"/>
          <w:szCs w:val="22"/>
        </w:rPr>
        <w:t xml:space="preserve"> the commentary concluded that the data presented</w:t>
      </w:r>
      <w:r w:rsidRPr="00957845">
        <w:rPr>
          <w:rFonts w:ascii="Franklin Gothic Book" w:hAnsi="Franklin Gothic Book"/>
          <w:sz w:val="22"/>
          <w:szCs w:val="22"/>
        </w:rPr>
        <w:t xml:space="preserve"> does not provide sufficient additional evidence to refute the MSAC concern regarding the claim of short-term AEs for </w:t>
      </w:r>
      <w:proofErr w:type="spellStart"/>
      <w:r w:rsidRPr="00957845">
        <w:rPr>
          <w:rFonts w:ascii="Franklin Gothic Book" w:hAnsi="Franklin Gothic Book"/>
          <w:sz w:val="22"/>
          <w:szCs w:val="22"/>
        </w:rPr>
        <w:t>MRgFUS</w:t>
      </w:r>
      <w:proofErr w:type="spellEnd"/>
      <w:r w:rsidRPr="00957845">
        <w:rPr>
          <w:rFonts w:ascii="Franklin Gothic Book" w:hAnsi="Franklin Gothic Book"/>
          <w:sz w:val="22"/>
          <w:szCs w:val="22"/>
        </w:rPr>
        <w:t xml:space="preserve">. </w:t>
      </w:r>
      <w:r w:rsidR="00896D20" w:rsidRPr="00957845">
        <w:rPr>
          <w:rFonts w:ascii="Franklin Gothic Book" w:hAnsi="Franklin Gothic Book"/>
          <w:sz w:val="22"/>
          <w:szCs w:val="22"/>
        </w:rPr>
        <w:t>Clarification was sought from the applicant on the implications of the finding on ataxia. In response the applicant noted that the doubling of the rate of ataxia referred to in Cosgrove (202</w:t>
      </w:r>
      <w:r w:rsidR="0006350E" w:rsidRPr="00957845">
        <w:rPr>
          <w:rFonts w:ascii="Franklin Gothic Book" w:hAnsi="Franklin Gothic Book"/>
          <w:sz w:val="22"/>
          <w:szCs w:val="22"/>
        </w:rPr>
        <w:t>1</w:t>
      </w:r>
      <w:r w:rsidR="00896D20" w:rsidRPr="00957845">
        <w:rPr>
          <w:rFonts w:ascii="Franklin Gothic Book" w:hAnsi="Franklin Gothic Book"/>
          <w:sz w:val="22"/>
          <w:szCs w:val="22"/>
        </w:rPr>
        <w:t>)</w:t>
      </w:r>
      <w:r w:rsidR="0021332C" w:rsidRPr="00957845">
        <w:rPr>
          <w:rFonts w:ascii="Franklin Gothic Book" w:hAnsi="Franklin Gothic Book"/>
          <w:sz w:val="22"/>
          <w:szCs w:val="22"/>
          <w:vertAlign w:val="superscript"/>
        </w:rPr>
        <w:t>15</w:t>
      </w:r>
      <w:r w:rsidR="00896D20" w:rsidRPr="00957845">
        <w:rPr>
          <w:rFonts w:ascii="Franklin Gothic Book" w:hAnsi="Franklin Gothic Book"/>
          <w:sz w:val="22"/>
          <w:szCs w:val="22"/>
        </w:rPr>
        <w:t xml:space="preserve"> is due to one additional patient with ataxia and the study investigators did not consider this additional case to be related to the procedure. </w:t>
      </w:r>
      <w:r w:rsidR="009808DF" w:rsidRPr="00957845">
        <w:rPr>
          <w:rFonts w:ascii="Franklin Gothic Book" w:hAnsi="Franklin Gothic Book"/>
          <w:sz w:val="22"/>
          <w:szCs w:val="22"/>
        </w:rPr>
        <w:t xml:space="preserve">The applicant reiterated that </w:t>
      </w:r>
      <w:proofErr w:type="gramStart"/>
      <w:r w:rsidR="009808DF" w:rsidRPr="00957845">
        <w:rPr>
          <w:rFonts w:ascii="Franklin Gothic Book" w:hAnsi="Franklin Gothic Book"/>
          <w:sz w:val="22"/>
          <w:szCs w:val="22"/>
        </w:rPr>
        <w:t>overall</w:t>
      </w:r>
      <w:proofErr w:type="gramEnd"/>
      <w:r w:rsidR="009808DF" w:rsidRPr="00957845">
        <w:rPr>
          <w:rFonts w:ascii="Franklin Gothic Book" w:hAnsi="Franklin Gothic Book"/>
          <w:sz w:val="22"/>
          <w:szCs w:val="22"/>
        </w:rPr>
        <w:t xml:space="preserve"> the 5-year data it cited support the conclusion that AEs associated with the </w:t>
      </w:r>
      <w:proofErr w:type="spellStart"/>
      <w:r w:rsidR="009808DF" w:rsidRPr="00957845">
        <w:rPr>
          <w:rFonts w:ascii="Franklin Gothic Book" w:hAnsi="Franklin Gothic Book"/>
          <w:sz w:val="22"/>
          <w:szCs w:val="22"/>
        </w:rPr>
        <w:t>MRgFUS</w:t>
      </w:r>
      <w:proofErr w:type="spellEnd"/>
      <w:r w:rsidR="009808DF" w:rsidRPr="00957845">
        <w:rPr>
          <w:rFonts w:ascii="Franklin Gothic Book" w:hAnsi="Franklin Gothic Book"/>
          <w:sz w:val="22"/>
          <w:szCs w:val="22"/>
        </w:rPr>
        <w:t xml:space="preserve"> procedure continue to resolve over time.</w:t>
      </w:r>
    </w:p>
    <w:p w14:paraId="56F2AE84" w14:textId="2274FF1A" w:rsidR="00206760" w:rsidRPr="0089471B" w:rsidRDefault="00065623" w:rsidP="0089471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89471B">
        <w:rPr>
          <w:rFonts w:ascii="Franklin Gothic Medium" w:eastAsia="SimSun" w:hAnsi="Franklin Gothic Medium" w:cs="Times New Roman"/>
          <w:b w:val="0"/>
          <w:bCs w:val="0"/>
          <w:color w:val="000000"/>
          <w:sz w:val="32"/>
          <w:szCs w:val="26"/>
          <w:lang w:eastAsia="en-US"/>
        </w:rPr>
        <w:t>Comparative effectiveness</w:t>
      </w:r>
    </w:p>
    <w:p w14:paraId="4A73519B" w14:textId="0D138517" w:rsidR="00F664CC" w:rsidRPr="006431C1" w:rsidRDefault="00F664CC" w:rsidP="00F64363">
      <w:pPr>
        <w:pStyle w:val="Heading2"/>
        <w:rPr>
          <w:rFonts w:ascii="Franklin Gothic Book" w:hAnsi="Franklin Gothic Book"/>
        </w:rPr>
      </w:pPr>
      <w:proofErr w:type="spellStart"/>
      <w:r w:rsidRPr="006431C1">
        <w:rPr>
          <w:rFonts w:ascii="Franklin Gothic Book" w:hAnsi="Franklin Gothic Book"/>
        </w:rPr>
        <w:t>MRgFUS</w:t>
      </w:r>
      <w:proofErr w:type="spellEnd"/>
      <w:r w:rsidRPr="006431C1">
        <w:rPr>
          <w:rFonts w:ascii="Franklin Gothic Book" w:hAnsi="Franklin Gothic Book"/>
        </w:rPr>
        <w:t xml:space="preserve"> v</w:t>
      </w:r>
      <w:r w:rsidR="007315E6" w:rsidRPr="006431C1">
        <w:rPr>
          <w:rFonts w:ascii="Franklin Gothic Book" w:hAnsi="Franklin Gothic Book"/>
        </w:rPr>
        <w:t>s</w:t>
      </w:r>
      <w:r w:rsidRPr="006431C1">
        <w:rPr>
          <w:rFonts w:ascii="Franklin Gothic Book" w:hAnsi="Franklin Gothic Book"/>
        </w:rPr>
        <w:t xml:space="preserve"> DBS</w:t>
      </w:r>
    </w:p>
    <w:p w14:paraId="5367C9B9" w14:textId="06A7EA4C" w:rsidR="00644201" w:rsidRPr="00234DD6" w:rsidRDefault="00F664CC" w:rsidP="00234DD6">
      <w:pPr>
        <w:pStyle w:val="5Bodytext"/>
        <w:spacing w:before="240"/>
        <w:rPr>
          <w:rFonts w:ascii="Franklin Gothic Book" w:hAnsi="Franklin Gothic Book"/>
          <w:sz w:val="22"/>
          <w:szCs w:val="22"/>
        </w:rPr>
      </w:pPr>
      <w:r w:rsidRPr="00234DD6">
        <w:rPr>
          <w:rFonts w:ascii="Franklin Gothic Book" w:hAnsi="Franklin Gothic Book"/>
          <w:sz w:val="22"/>
          <w:szCs w:val="22"/>
        </w:rPr>
        <w:t xml:space="preserve">Both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and DBS achieved statistically significant improvements from baseline to the last follow-up in total tremor (CRST total, percentage change from baseline, range, 32.5-78.3% for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and 22.5-84.2% for DBS); hand tremor (range, 39.8-80% for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and 44.8-78.9% for DBS); tremor-related disability (Part C of the CRST, range 38-85.4% for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and 49.3-88.4% for DBS), and quality of life (QUEST-SI, range 37.1-67.6% for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not interpretable for DBS). </w:t>
      </w:r>
      <w:r w:rsidR="009E68CA" w:rsidRPr="00234DD6">
        <w:rPr>
          <w:rFonts w:ascii="Franklin Gothic Book" w:hAnsi="Franklin Gothic Book"/>
          <w:sz w:val="22"/>
          <w:szCs w:val="22"/>
        </w:rPr>
        <w:t xml:space="preserve">The commentary noted that the pooled results of the </w:t>
      </w:r>
      <w:proofErr w:type="spellStart"/>
      <w:r w:rsidR="009E68CA" w:rsidRPr="00234DD6">
        <w:rPr>
          <w:rFonts w:ascii="Franklin Gothic Book" w:hAnsi="Franklin Gothic Book"/>
          <w:sz w:val="22"/>
          <w:szCs w:val="22"/>
        </w:rPr>
        <w:t>MRgFUS</w:t>
      </w:r>
      <w:proofErr w:type="spellEnd"/>
      <w:r w:rsidR="009E68CA" w:rsidRPr="00234DD6">
        <w:rPr>
          <w:rFonts w:ascii="Franklin Gothic Book" w:hAnsi="Franklin Gothic Book"/>
          <w:sz w:val="22"/>
          <w:szCs w:val="22"/>
        </w:rPr>
        <w:t xml:space="preserve"> non-comparative studies should therefore read 72.5% (range, 56.5-78.9%; k=7studies) at 3 months and 68.9% (range, 42.4-80%; k=11 studies) at 12 months post-treatment.</w:t>
      </w:r>
    </w:p>
    <w:p w14:paraId="4A3C6748" w14:textId="40E58C1C" w:rsidR="00DB1DC9" w:rsidRPr="00234DD6" w:rsidRDefault="00DB1DC9" w:rsidP="00DB1DC9">
      <w:pPr>
        <w:pStyle w:val="5Bodytext"/>
        <w:rPr>
          <w:rFonts w:ascii="Franklin Gothic Book" w:hAnsi="Franklin Gothic Book"/>
          <w:sz w:val="22"/>
          <w:szCs w:val="22"/>
        </w:rPr>
      </w:pPr>
      <w:r w:rsidRPr="00234DD6">
        <w:rPr>
          <w:rFonts w:ascii="Franklin Gothic Book" w:hAnsi="Franklin Gothic Book"/>
          <w:sz w:val="22"/>
          <w:szCs w:val="22"/>
        </w:rPr>
        <w:t xml:space="preserve">The commentary concluded that the existing evidence base for </w:t>
      </w:r>
      <w:proofErr w:type="spellStart"/>
      <w:r w:rsidR="007315E6" w:rsidRPr="00234DD6">
        <w:rPr>
          <w:rFonts w:ascii="Franklin Gothic Book" w:hAnsi="Franklin Gothic Book"/>
          <w:bCs/>
          <w:iCs/>
          <w:sz w:val="22"/>
          <w:szCs w:val="22"/>
        </w:rPr>
        <w:t>MRgFUS</w:t>
      </w:r>
      <w:proofErr w:type="spellEnd"/>
      <w:r w:rsidR="007315E6" w:rsidRPr="00234DD6">
        <w:rPr>
          <w:rFonts w:ascii="Franklin Gothic Book" w:hAnsi="Franklin Gothic Book"/>
          <w:bCs/>
          <w:iCs/>
          <w:sz w:val="22"/>
          <w:szCs w:val="22"/>
        </w:rPr>
        <w:t xml:space="preserve"> vs DBS </w:t>
      </w:r>
      <w:r w:rsidRPr="00234DD6">
        <w:rPr>
          <w:rFonts w:ascii="Franklin Gothic Book" w:hAnsi="Franklin Gothic Book"/>
          <w:sz w:val="22"/>
          <w:szCs w:val="22"/>
        </w:rPr>
        <w:t xml:space="preserve">was at high risk of bias with limited comparative evidence exists. </w:t>
      </w:r>
      <w:proofErr w:type="gramStart"/>
      <w:r w:rsidRPr="00234DD6">
        <w:rPr>
          <w:rFonts w:ascii="Franklin Gothic Book" w:hAnsi="Franklin Gothic Book"/>
          <w:sz w:val="22"/>
          <w:szCs w:val="22"/>
        </w:rPr>
        <w:t>However</w:t>
      </w:r>
      <w:proofErr w:type="gramEnd"/>
      <w:r w:rsidRPr="00234DD6">
        <w:rPr>
          <w:rFonts w:ascii="Franklin Gothic Book" w:hAnsi="Franklin Gothic Book"/>
          <w:sz w:val="22"/>
          <w:szCs w:val="22"/>
        </w:rPr>
        <w:t xml:space="preserve"> both procedures appear to be effective at significantly reducing tremor (total and hand tremor), tremor-related disability and improving quality of life, at least in short- to medium term (up to </w:t>
      </w:r>
      <w:proofErr w:type="spellStart"/>
      <w:r w:rsidRPr="00234DD6">
        <w:rPr>
          <w:rFonts w:ascii="Franklin Gothic Book" w:hAnsi="Franklin Gothic Book"/>
          <w:sz w:val="22"/>
          <w:szCs w:val="22"/>
        </w:rPr>
        <w:t>sixyears</w:t>
      </w:r>
      <w:proofErr w:type="spellEnd"/>
      <w:r w:rsidRPr="00234DD6">
        <w:rPr>
          <w:rFonts w:ascii="Franklin Gothic Book" w:hAnsi="Franklin Gothic Book"/>
          <w:sz w:val="22"/>
          <w:szCs w:val="22"/>
        </w:rPr>
        <w:t xml:space="preserve"> of follow-up for DBS and 5 years for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and the evidence suggests that the clinical effectiveness of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is similar to DBS. Across both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and DBS overall motor, activities of daily living (ADL) and hand function scores were also durable over the longer-term.</w:t>
      </w:r>
    </w:p>
    <w:p w14:paraId="45292DBB" w14:textId="75B6EF58" w:rsidR="000160F4" w:rsidRPr="00234DD6" w:rsidRDefault="00B607CF" w:rsidP="00B607CF">
      <w:pPr>
        <w:pStyle w:val="5Bodytext"/>
        <w:rPr>
          <w:rFonts w:ascii="Franklin Gothic Book" w:hAnsi="Franklin Gothic Book"/>
          <w:sz w:val="22"/>
          <w:szCs w:val="22"/>
        </w:rPr>
      </w:pPr>
      <w:r w:rsidRPr="00234DD6">
        <w:rPr>
          <w:rFonts w:ascii="Franklin Gothic Book" w:hAnsi="Franklin Gothic Book"/>
          <w:sz w:val="22"/>
          <w:szCs w:val="22"/>
        </w:rPr>
        <w:lastRenderedPageBreak/>
        <w:t xml:space="preserve">No minimum clinically important difference (MCID) threshold has been determined for essential tremor. The </w:t>
      </w:r>
      <w:r w:rsidR="007D10A5" w:rsidRPr="00234DD6">
        <w:rPr>
          <w:rFonts w:ascii="Franklin Gothic Book" w:hAnsi="Franklin Gothic Book"/>
          <w:sz w:val="22"/>
          <w:szCs w:val="22"/>
        </w:rPr>
        <w:t>commentary</w:t>
      </w:r>
      <w:r w:rsidRPr="00234DD6">
        <w:rPr>
          <w:rFonts w:ascii="Franklin Gothic Book" w:hAnsi="Franklin Gothic Book"/>
          <w:sz w:val="22"/>
          <w:szCs w:val="22"/>
        </w:rPr>
        <w:t xml:space="preserve"> completed a MCID for QUEST and CRST (quality of life and tremor scales respectively) using a distribution-based method and determined that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compared to Sham met the 0.5 standard deviation MCID threshold and appeared to demonstrate a MCID. They were unable to complete one against DBS. The </w:t>
      </w:r>
      <w:r w:rsidR="007D10A5" w:rsidRPr="00234DD6">
        <w:rPr>
          <w:rFonts w:ascii="Franklin Gothic Book" w:hAnsi="Franklin Gothic Book"/>
          <w:sz w:val="22"/>
          <w:szCs w:val="22"/>
        </w:rPr>
        <w:t>commentary</w:t>
      </w:r>
      <w:r w:rsidRPr="00234DD6">
        <w:rPr>
          <w:rFonts w:ascii="Franklin Gothic Book" w:hAnsi="Franklin Gothic Book"/>
          <w:sz w:val="22"/>
          <w:szCs w:val="22"/>
        </w:rPr>
        <w:t xml:space="preserve"> concluded that the evidence available does not allow for unequivocal conclusions regarding the clinical effectiveness of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compared to DBS.</w:t>
      </w:r>
    </w:p>
    <w:p w14:paraId="287ADBEC" w14:textId="70725C0B" w:rsidR="000160F4" w:rsidRPr="00234DD6" w:rsidRDefault="000160F4" w:rsidP="003478E8">
      <w:pPr>
        <w:pStyle w:val="5Bodytext"/>
        <w:spacing w:after="40"/>
        <w:rPr>
          <w:rFonts w:ascii="Arial Narrow" w:hAnsi="Arial Narrow"/>
          <w:b/>
          <w:bCs/>
          <w:sz w:val="20"/>
          <w:szCs w:val="20"/>
        </w:rPr>
      </w:pPr>
      <w:bookmarkStart w:id="21" w:name="_Ref421184437"/>
      <w:bookmarkStart w:id="22" w:name="_Toc444869019"/>
      <w:bookmarkStart w:id="23" w:name="_Toc52801223"/>
      <w:bookmarkStart w:id="24" w:name="_Toc84411345"/>
      <w:r w:rsidRPr="00234DD6">
        <w:rPr>
          <w:rFonts w:ascii="Arial Narrow" w:hAnsi="Arial Narrow"/>
          <w:b/>
          <w:bCs/>
          <w:sz w:val="20"/>
          <w:szCs w:val="20"/>
        </w:rPr>
        <w:t xml:space="preserve">Table </w:t>
      </w:r>
      <w:bookmarkEnd w:id="21"/>
      <w:r w:rsidRPr="00234DD6">
        <w:rPr>
          <w:rFonts w:ascii="Arial Narrow" w:hAnsi="Arial Narrow"/>
          <w:b/>
          <w:bCs/>
          <w:sz w:val="20"/>
          <w:szCs w:val="20"/>
        </w:rPr>
        <w:t>8</w:t>
      </w:r>
      <w:r w:rsidRPr="00234DD6">
        <w:rPr>
          <w:rFonts w:ascii="Arial Narrow" w:hAnsi="Arial Narrow"/>
          <w:b/>
          <w:bCs/>
          <w:sz w:val="20"/>
          <w:szCs w:val="20"/>
        </w:rPr>
        <w:tab/>
        <w:t xml:space="preserve">Balance of clinical benefits and harms of </w:t>
      </w:r>
      <w:proofErr w:type="spellStart"/>
      <w:r w:rsidRPr="00234DD6">
        <w:rPr>
          <w:rFonts w:ascii="Arial Narrow" w:hAnsi="Arial Narrow"/>
          <w:b/>
          <w:bCs/>
          <w:sz w:val="20"/>
          <w:szCs w:val="20"/>
        </w:rPr>
        <w:t>MRgFUS</w:t>
      </w:r>
      <w:proofErr w:type="spellEnd"/>
      <w:r w:rsidRPr="00234DD6">
        <w:rPr>
          <w:rFonts w:ascii="Arial Narrow" w:hAnsi="Arial Narrow"/>
          <w:b/>
          <w:bCs/>
          <w:sz w:val="20"/>
          <w:szCs w:val="20"/>
        </w:rPr>
        <w:t xml:space="preserve">, relative to DBS, and as measured by the </w:t>
      </w:r>
      <w:r w:rsidRPr="00234DD6">
        <w:rPr>
          <w:rFonts w:ascii="Arial Narrow" w:hAnsi="Arial Narrow"/>
          <w:b/>
          <w:bCs/>
          <w:sz w:val="20"/>
          <w:szCs w:val="20"/>
          <w:u w:val="single"/>
        </w:rPr>
        <w:t>critical</w:t>
      </w:r>
      <w:r w:rsidRPr="00234DD6">
        <w:rPr>
          <w:rFonts w:ascii="Arial Narrow" w:hAnsi="Arial Narrow"/>
          <w:b/>
          <w:bCs/>
          <w:sz w:val="20"/>
          <w:szCs w:val="20"/>
        </w:rPr>
        <w:t xml:space="preserve"> patient-relevant outcomes in the key studies</w:t>
      </w:r>
      <w:bookmarkEnd w:id="22"/>
      <w:bookmarkEnd w:id="23"/>
      <w:bookmarkEnd w:id="24"/>
      <w:r w:rsidRPr="00234DD6">
        <w:rPr>
          <w:rFonts w:ascii="Arial Narrow" w:hAnsi="Arial Narrow"/>
          <w:b/>
          <w:bCs/>
          <w:sz w:val="20"/>
          <w:szCs w:val="20"/>
        </w:rPr>
        <w:t xml:space="preserve"> </w:t>
      </w:r>
    </w:p>
    <w:tbl>
      <w:tblPr>
        <w:tblStyle w:val="TableGrid2"/>
        <w:tblW w:w="5000" w:type="pct"/>
        <w:tblLook w:val="04A0" w:firstRow="1" w:lastRow="0" w:firstColumn="1" w:lastColumn="0" w:noHBand="0" w:noVBand="1"/>
        <w:tblDescription w:val="Balance of clinical benefits and harms of MRgFUS, relative to DBS, and as measured by the critical patient-relevant outcomes in the key studies "/>
      </w:tblPr>
      <w:tblGrid>
        <w:gridCol w:w="1305"/>
        <w:gridCol w:w="1306"/>
        <w:gridCol w:w="224"/>
        <w:gridCol w:w="41"/>
        <w:gridCol w:w="222"/>
        <w:gridCol w:w="519"/>
        <w:gridCol w:w="1019"/>
        <w:gridCol w:w="1158"/>
        <w:gridCol w:w="2052"/>
        <w:gridCol w:w="1170"/>
      </w:tblGrid>
      <w:tr w:rsidR="000160F4" w:rsidRPr="00234DD6" w14:paraId="09028685" w14:textId="77777777" w:rsidTr="00F64363">
        <w:trPr>
          <w:cnfStyle w:val="100000000000" w:firstRow="1" w:lastRow="0" w:firstColumn="0" w:lastColumn="0" w:oddVBand="0" w:evenVBand="0" w:oddHBand="0" w:evenHBand="0" w:firstRowFirstColumn="0" w:firstRowLastColumn="0" w:lastRowFirstColumn="0" w:lastRowLastColumn="0"/>
          <w:tblHeader/>
        </w:trPr>
        <w:tc>
          <w:tcPr>
            <w:tcW w:w="724" w:type="pct"/>
            <w:tcBorders>
              <w:top w:val="single" w:sz="4" w:space="0" w:color="auto"/>
              <w:left w:val="single" w:sz="4" w:space="0" w:color="auto"/>
              <w:bottom w:val="single" w:sz="4" w:space="0" w:color="auto"/>
              <w:right w:val="single" w:sz="4" w:space="0" w:color="auto"/>
            </w:tcBorders>
            <w:hideMark/>
          </w:tcPr>
          <w:p w14:paraId="0C53B904" w14:textId="77777777" w:rsidR="000160F4" w:rsidRPr="00234DD6" w:rsidRDefault="000160F4" w:rsidP="000160F4">
            <w:pPr>
              <w:pStyle w:val="5Bodytext"/>
              <w:rPr>
                <w:rFonts w:ascii="Arial Narrow" w:hAnsi="Arial Narrow"/>
                <w:b/>
                <w:szCs w:val="20"/>
              </w:rPr>
            </w:pPr>
            <w:r w:rsidRPr="00234DD6">
              <w:rPr>
                <w:rFonts w:ascii="Arial Narrow" w:hAnsi="Arial Narrow"/>
                <w:b/>
                <w:szCs w:val="20"/>
              </w:rPr>
              <w:t>Outcomes (units)</w:t>
            </w:r>
          </w:p>
          <w:p w14:paraId="02ED7E7C" w14:textId="77777777" w:rsidR="000160F4" w:rsidRPr="00234DD6" w:rsidRDefault="000160F4" w:rsidP="000160F4">
            <w:pPr>
              <w:pStyle w:val="5Bodytext"/>
              <w:rPr>
                <w:rFonts w:ascii="Arial Narrow" w:hAnsi="Arial Narrow"/>
                <w:b/>
                <w:szCs w:val="20"/>
              </w:rPr>
            </w:pPr>
            <w:r w:rsidRPr="00234DD6">
              <w:rPr>
                <w:rFonts w:ascii="Arial Narrow" w:hAnsi="Arial Narrow"/>
                <w:b/>
                <w:szCs w:val="20"/>
              </w:rPr>
              <w:t>Follow-up</w:t>
            </w:r>
          </w:p>
        </w:tc>
        <w:tc>
          <w:tcPr>
            <w:tcW w:w="724" w:type="pct"/>
            <w:tcBorders>
              <w:top w:val="single" w:sz="4" w:space="0" w:color="auto"/>
              <w:left w:val="single" w:sz="4" w:space="0" w:color="auto"/>
              <w:bottom w:val="single" w:sz="4" w:space="0" w:color="auto"/>
              <w:right w:val="single" w:sz="4" w:space="0" w:color="auto"/>
            </w:tcBorders>
          </w:tcPr>
          <w:p w14:paraId="6C1A1F14" w14:textId="77777777" w:rsidR="000160F4" w:rsidRPr="00234DD6" w:rsidRDefault="000160F4" w:rsidP="000160F4">
            <w:pPr>
              <w:pStyle w:val="5Bodytext"/>
              <w:rPr>
                <w:rFonts w:ascii="Arial Narrow" w:hAnsi="Arial Narrow"/>
                <w:b/>
                <w:szCs w:val="20"/>
              </w:rPr>
            </w:pPr>
            <w:r w:rsidRPr="00234DD6">
              <w:rPr>
                <w:rFonts w:ascii="Arial Narrow" w:hAnsi="Arial Narrow"/>
                <w:b/>
                <w:szCs w:val="20"/>
              </w:rPr>
              <w:t>Participants (studies)</w:t>
            </w:r>
          </w:p>
          <w:p w14:paraId="41273FC6" w14:textId="77777777" w:rsidR="000160F4" w:rsidRPr="00234DD6" w:rsidRDefault="000160F4" w:rsidP="000160F4">
            <w:pPr>
              <w:pStyle w:val="5Bodytext"/>
              <w:rPr>
                <w:rFonts w:ascii="Arial Narrow" w:hAnsi="Arial Narrow"/>
                <w:b/>
                <w:szCs w:val="20"/>
              </w:rPr>
            </w:pPr>
          </w:p>
        </w:tc>
        <w:tc>
          <w:tcPr>
            <w:tcW w:w="558" w:type="pct"/>
            <w:gridSpan w:val="4"/>
            <w:tcBorders>
              <w:top w:val="single" w:sz="4" w:space="0" w:color="auto"/>
              <w:left w:val="single" w:sz="4" w:space="0" w:color="auto"/>
              <w:bottom w:val="single" w:sz="4" w:space="0" w:color="auto"/>
              <w:right w:val="single" w:sz="4" w:space="0" w:color="auto"/>
            </w:tcBorders>
            <w:hideMark/>
          </w:tcPr>
          <w:p w14:paraId="19C662ED" w14:textId="77777777" w:rsidR="000160F4" w:rsidRPr="00234DD6" w:rsidRDefault="000160F4" w:rsidP="000160F4">
            <w:pPr>
              <w:pStyle w:val="5Bodytext"/>
              <w:rPr>
                <w:rFonts w:ascii="Arial Narrow" w:hAnsi="Arial Narrow"/>
                <w:b/>
                <w:szCs w:val="20"/>
              </w:rPr>
            </w:pPr>
            <w:r w:rsidRPr="00234DD6">
              <w:rPr>
                <w:rFonts w:ascii="Arial Narrow" w:hAnsi="Arial Narrow"/>
                <w:b/>
                <w:szCs w:val="20"/>
              </w:rPr>
              <w:t>Quality of evidence (GRADE)</w:t>
            </w:r>
          </w:p>
        </w:tc>
        <w:tc>
          <w:tcPr>
            <w:tcW w:w="565" w:type="pct"/>
            <w:tcBorders>
              <w:top w:val="single" w:sz="4" w:space="0" w:color="auto"/>
              <w:left w:val="single" w:sz="4" w:space="0" w:color="auto"/>
              <w:bottom w:val="single" w:sz="4" w:space="0" w:color="auto"/>
              <w:right w:val="single" w:sz="4" w:space="0" w:color="auto"/>
            </w:tcBorders>
            <w:hideMark/>
          </w:tcPr>
          <w:p w14:paraId="6ACDE953" w14:textId="77777777" w:rsidR="000160F4" w:rsidRPr="00234DD6" w:rsidRDefault="000160F4" w:rsidP="000160F4">
            <w:pPr>
              <w:pStyle w:val="5Bodytext"/>
              <w:rPr>
                <w:rFonts w:ascii="Arial Narrow" w:hAnsi="Arial Narrow"/>
                <w:b/>
                <w:szCs w:val="20"/>
              </w:rPr>
            </w:pPr>
            <w:r w:rsidRPr="00234DD6">
              <w:rPr>
                <w:rFonts w:ascii="Arial Narrow" w:hAnsi="Arial Narrow"/>
                <w:b/>
                <w:szCs w:val="20"/>
              </w:rPr>
              <w:t xml:space="preserve">Reduction with </w:t>
            </w:r>
            <w:proofErr w:type="spellStart"/>
            <w:r w:rsidRPr="00234DD6">
              <w:rPr>
                <w:rFonts w:ascii="Arial Narrow" w:hAnsi="Arial Narrow"/>
                <w:b/>
                <w:szCs w:val="20"/>
              </w:rPr>
              <w:t>MrgFUS</w:t>
            </w:r>
            <w:proofErr w:type="spellEnd"/>
          </w:p>
        </w:tc>
        <w:tc>
          <w:tcPr>
            <w:tcW w:w="642" w:type="pct"/>
            <w:tcBorders>
              <w:top w:val="single" w:sz="4" w:space="0" w:color="auto"/>
              <w:left w:val="single" w:sz="4" w:space="0" w:color="auto"/>
              <w:bottom w:val="single" w:sz="4" w:space="0" w:color="auto"/>
              <w:right w:val="single" w:sz="4" w:space="0" w:color="auto"/>
            </w:tcBorders>
            <w:hideMark/>
          </w:tcPr>
          <w:p w14:paraId="787CFD13" w14:textId="77777777" w:rsidR="000160F4" w:rsidRPr="00234DD6" w:rsidRDefault="000160F4" w:rsidP="000160F4">
            <w:pPr>
              <w:pStyle w:val="5Bodytext"/>
              <w:rPr>
                <w:rFonts w:ascii="Arial Narrow" w:hAnsi="Arial Narrow"/>
                <w:b/>
                <w:szCs w:val="20"/>
              </w:rPr>
            </w:pPr>
            <w:r w:rsidRPr="00234DD6">
              <w:rPr>
                <w:rFonts w:ascii="Arial Narrow" w:hAnsi="Arial Narrow"/>
                <w:b/>
                <w:szCs w:val="20"/>
              </w:rPr>
              <w:t>Reduction with DBS</w:t>
            </w:r>
          </w:p>
        </w:tc>
        <w:tc>
          <w:tcPr>
            <w:tcW w:w="1138" w:type="pct"/>
            <w:tcBorders>
              <w:top w:val="single" w:sz="4" w:space="0" w:color="auto"/>
              <w:left w:val="single" w:sz="4" w:space="0" w:color="auto"/>
              <w:bottom w:val="single" w:sz="4" w:space="0" w:color="auto"/>
              <w:right w:val="single" w:sz="4" w:space="0" w:color="auto"/>
            </w:tcBorders>
            <w:hideMark/>
          </w:tcPr>
          <w:p w14:paraId="6E05BFB4" w14:textId="77777777" w:rsidR="000160F4" w:rsidRPr="00234DD6" w:rsidRDefault="000160F4" w:rsidP="000160F4">
            <w:pPr>
              <w:pStyle w:val="5Bodytext"/>
              <w:rPr>
                <w:rFonts w:ascii="Arial Narrow" w:hAnsi="Arial Narrow"/>
                <w:b/>
                <w:szCs w:val="20"/>
              </w:rPr>
            </w:pPr>
            <w:r w:rsidRPr="00234DD6">
              <w:rPr>
                <w:rFonts w:ascii="Arial Narrow" w:hAnsi="Arial Narrow"/>
                <w:b/>
                <w:szCs w:val="20"/>
              </w:rPr>
              <w:t>Mean difference</w:t>
            </w:r>
          </w:p>
        </w:tc>
        <w:tc>
          <w:tcPr>
            <w:tcW w:w="649" w:type="pct"/>
            <w:tcBorders>
              <w:top w:val="single" w:sz="4" w:space="0" w:color="auto"/>
              <w:left w:val="single" w:sz="4" w:space="0" w:color="auto"/>
              <w:bottom w:val="single" w:sz="4" w:space="0" w:color="auto"/>
              <w:right w:val="single" w:sz="4" w:space="0" w:color="auto"/>
            </w:tcBorders>
            <w:hideMark/>
          </w:tcPr>
          <w:p w14:paraId="6D985BB1" w14:textId="77777777" w:rsidR="000160F4" w:rsidRPr="00234DD6" w:rsidRDefault="000160F4" w:rsidP="000160F4">
            <w:pPr>
              <w:pStyle w:val="5Bodytext"/>
              <w:rPr>
                <w:rFonts w:ascii="Arial Narrow" w:hAnsi="Arial Narrow"/>
                <w:b/>
                <w:szCs w:val="20"/>
              </w:rPr>
            </w:pPr>
            <w:r w:rsidRPr="00234DD6">
              <w:rPr>
                <w:rFonts w:ascii="Arial Narrow" w:hAnsi="Arial Narrow"/>
                <w:b/>
                <w:szCs w:val="20"/>
              </w:rPr>
              <w:t>Comments</w:t>
            </w:r>
          </w:p>
        </w:tc>
      </w:tr>
      <w:tr w:rsidR="000160F4" w:rsidRPr="00234DD6" w14:paraId="222A87A7" w14:textId="77777777" w:rsidTr="007C6178">
        <w:tc>
          <w:tcPr>
            <w:tcW w:w="1595" w:type="pct"/>
            <w:gridSpan w:val="4"/>
            <w:tcBorders>
              <w:top w:val="single" w:sz="4" w:space="0" w:color="auto"/>
              <w:left w:val="single" w:sz="4" w:space="0" w:color="auto"/>
              <w:bottom w:val="single" w:sz="4" w:space="0" w:color="auto"/>
              <w:right w:val="nil"/>
            </w:tcBorders>
            <w:hideMark/>
          </w:tcPr>
          <w:p w14:paraId="40EF617A" w14:textId="77777777" w:rsidR="000160F4" w:rsidRPr="00234DD6" w:rsidRDefault="000160F4" w:rsidP="000160F4">
            <w:pPr>
              <w:pStyle w:val="5Bodytext"/>
              <w:rPr>
                <w:rFonts w:ascii="Arial Narrow" w:hAnsi="Arial Narrow"/>
                <w:bCs/>
                <w:szCs w:val="20"/>
              </w:rPr>
            </w:pPr>
            <w:r w:rsidRPr="00234DD6">
              <w:rPr>
                <w:rFonts w:ascii="Arial Narrow" w:hAnsi="Arial Narrow"/>
                <w:bCs/>
                <w:szCs w:val="20"/>
              </w:rPr>
              <w:t>Retrospective comparative studies</w:t>
            </w:r>
          </w:p>
        </w:tc>
        <w:tc>
          <w:tcPr>
            <w:tcW w:w="123" w:type="pct"/>
            <w:tcBorders>
              <w:top w:val="single" w:sz="4" w:space="0" w:color="auto"/>
              <w:left w:val="nil"/>
              <w:bottom w:val="single" w:sz="4" w:space="0" w:color="auto"/>
              <w:right w:val="nil"/>
            </w:tcBorders>
          </w:tcPr>
          <w:p w14:paraId="3A7B51E6" w14:textId="77777777" w:rsidR="000160F4" w:rsidRPr="00234DD6" w:rsidRDefault="000160F4" w:rsidP="000160F4">
            <w:pPr>
              <w:pStyle w:val="5Bodytext"/>
              <w:rPr>
                <w:rFonts w:ascii="Arial Narrow" w:hAnsi="Arial Narrow"/>
                <w:bCs/>
                <w:szCs w:val="20"/>
              </w:rPr>
            </w:pPr>
          </w:p>
        </w:tc>
        <w:tc>
          <w:tcPr>
            <w:tcW w:w="288" w:type="pct"/>
            <w:tcBorders>
              <w:top w:val="single" w:sz="4" w:space="0" w:color="auto"/>
              <w:left w:val="nil"/>
              <w:bottom w:val="single" w:sz="4" w:space="0" w:color="auto"/>
              <w:right w:val="nil"/>
            </w:tcBorders>
          </w:tcPr>
          <w:p w14:paraId="2801B075" w14:textId="77777777" w:rsidR="000160F4" w:rsidRPr="00234DD6" w:rsidRDefault="000160F4" w:rsidP="000160F4">
            <w:pPr>
              <w:pStyle w:val="5Bodytext"/>
              <w:rPr>
                <w:rFonts w:ascii="Arial Narrow" w:hAnsi="Arial Narrow"/>
                <w:szCs w:val="20"/>
                <w:lang w:val="en-US"/>
              </w:rPr>
            </w:pPr>
          </w:p>
        </w:tc>
        <w:tc>
          <w:tcPr>
            <w:tcW w:w="565" w:type="pct"/>
            <w:tcBorders>
              <w:top w:val="single" w:sz="4" w:space="0" w:color="auto"/>
              <w:left w:val="nil"/>
              <w:bottom w:val="single" w:sz="4" w:space="0" w:color="auto"/>
              <w:right w:val="nil"/>
            </w:tcBorders>
          </w:tcPr>
          <w:p w14:paraId="63DB526A" w14:textId="77777777" w:rsidR="000160F4" w:rsidRPr="00234DD6" w:rsidRDefault="000160F4" w:rsidP="000160F4">
            <w:pPr>
              <w:pStyle w:val="5Bodytext"/>
              <w:rPr>
                <w:rFonts w:ascii="Arial Narrow" w:hAnsi="Arial Narrow"/>
                <w:bCs/>
                <w:szCs w:val="20"/>
              </w:rPr>
            </w:pPr>
          </w:p>
        </w:tc>
        <w:tc>
          <w:tcPr>
            <w:tcW w:w="642" w:type="pct"/>
            <w:tcBorders>
              <w:top w:val="single" w:sz="4" w:space="0" w:color="auto"/>
              <w:left w:val="nil"/>
              <w:bottom w:val="single" w:sz="4" w:space="0" w:color="auto"/>
              <w:right w:val="nil"/>
            </w:tcBorders>
          </w:tcPr>
          <w:p w14:paraId="6FF5AB82" w14:textId="77777777" w:rsidR="000160F4" w:rsidRPr="00234DD6" w:rsidRDefault="000160F4" w:rsidP="000160F4">
            <w:pPr>
              <w:pStyle w:val="5Bodytext"/>
              <w:rPr>
                <w:rFonts w:ascii="Arial Narrow" w:hAnsi="Arial Narrow"/>
                <w:bCs/>
                <w:szCs w:val="20"/>
              </w:rPr>
            </w:pPr>
          </w:p>
        </w:tc>
        <w:tc>
          <w:tcPr>
            <w:tcW w:w="1138" w:type="pct"/>
            <w:tcBorders>
              <w:top w:val="single" w:sz="4" w:space="0" w:color="auto"/>
              <w:left w:val="nil"/>
              <w:bottom w:val="single" w:sz="4" w:space="0" w:color="auto"/>
              <w:right w:val="nil"/>
            </w:tcBorders>
          </w:tcPr>
          <w:p w14:paraId="3EC195DC" w14:textId="77777777" w:rsidR="000160F4" w:rsidRPr="00234DD6" w:rsidRDefault="000160F4" w:rsidP="000160F4">
            <w:pPr>
              <w:pStyle w:val="5Bodytext"/>
              <w:rPr>
                <w:rFonts w:ascii="Arial Narrow" w:hAnsi="Arial Narrow"/>
                <w:bCs/>
                <w:szCs w:val="20"/>
              </w:rPr>
            </w:pPr>
          </w:p>
        </w:tc>
        <w:tc>
          <w:tcPr>
            <w:tcW w:w="649" w:type="pct"/>
            <w:tcBorders>
              <w:top w:val="single" w:sz="4" w:space="0" w:color="auto"/>
              <w:left w:val="nil"/>
              <w:bottom w:val="single" w:sz="4" w:space="0" w:color="auto"/>
              <w:right w:val="single" w:sz="4" w:space="0" w:color="auto"/>
            </w:tcBorders>
          </w:tcPr>
          <w:p w14:paraId="239EE7AC" w14:textId="77777777" w:rsidR="000160F4" w:rsidRPr="00234DD6" w:rsidRDefault="000160F4" w:rsidP="000160F4">
            <w:pPr>
              <w:pStyle w:val="5Bodytext"/>
              <w:rPr>
                <w:rFonts w:ascii="Arial Narrow" w:hAnsi="Arial Narrow"/>
                <w:bCs/>
                <w:szCs w:val="20"/>
              </w:rPr>
            </w:pPr>
          </w:p>
        </w:tc>
      </w:tr>
      <w:tr w:rsidR="000160F4" w:rsidRPr="00234DD6" w14:paraId="1A901ECE" w14:textId="77777777" w:rsidTr="007C6178">
        <w:trPr>
          <w:trHeight w:val="263"/>
        </w:trPr>
        <w:tc>
          <w:tcPr>
            <w:tcW w:w="724" w:type="pct"/>
            <w:tcBorders>
              <w:top w:val="single" w:sz="4" w:space="0" w:color="auto"/>
              <w:left w:val="single" w:sz="4" w:space="0" w:color="auto"/>
              <w:bottom w:val="single" w:sz="4" w:space="0" w:color="auto"/>
              <w:right w:val="single" w:sz="4" w:space="0" w:color="auto"/>
            </w:tcBorders>
            <w:hideMark/>
          </w:tcPr>
          <w:p w14:paraId="54A2E729" w14:textId="77777777" w:rsidR="000160F4" w:rsidRPr="00234DD6" w:rsidRDefault="000160F4" w:rsidP="000160F4">
            <w:pPr>
              <w:pStyle w:val="5Bodytext"/>
              <w:rPr>
                <w:rFonts w:ascii="Arial Narrow" w:hAnsi="Arial Narrow"/>
                <w:szCs w:val="20"/>
                <w:vertAlign w:val="superscript"/>
                <w:lang w:val="en-US"/>
              </w:rPr>
            </w:pPr>
            <w:r w:rsidRPr="00234DD6">
              <w:rPr>
                <w:rFonts w:ascii="Arial Narrow" w:hAnsi="Arial Narrow"/>
                <w:szCs w:val="20"/>
                <w:lang w:val="en-US"/>
              </w:rPr>
              <w:t>Total CRST, 12 months</w:t>
            </w:r>
          </w:p>
        </w:tc>
        <w:tc>
          <w:tcPr>
            <w:tcW w:w="724" w:type="pct"/>
            <w:tcBorders>
              <w:top w:val="single" w:sz="4" w:space="0" w:color="auto"/>
              <w:left w:val="single" w:sz="4" w:space="0" w:color="auto"/>
              <w:bottom w:val="single" w:sz="4" w:space="0" w:color="auto"/>
              <w:right w:val="single" w:sz="4" w:space="0" w:color="auto"/>
            </w:tcBorders>
            <w:hideMark/>
          </w:tcPr>
          <w:p w14:paraId="088AF367" w14:textId="77777777" w:rsidR="000160F4" w:rsidRPr="00234DD6" w:rsidRDefault="000160F4" w:rsidP="000160F4">
            <w:pPr>
              <w:pStyle w:val="5Bodytext"/>
              <w:rPr>
                <w:rFonts w:ascii="Arial Narrow" w:hAnsi="Arial Narrow"/>
                <w:szCs w:val="20"/>
                <w:vertAlign w:val="superscript"/>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xml:space="preserve">=15; </w:t>
            </w:r>
            <w:proofErr w:type="spellStart"/>
            <w:r w:rsidRPr="00234DD6">
              <w:rPr>
                <w:rFonts w:ascii="Arial Narrow" w:hAnsi="Arial Narrow"/>
                <w:szCs w:val="20"/>
                <w:lang w:val="en-US"/>
              </w:rPr>
              <w:t>uDBS</w:t>
            </w:r>
            <w:proofErr w:type="spellEnd"/>
            <w:r w:rsidRPr="00234DD6">
              <w:rPr>
                <w:rFonts w:ascii="Arial Narrow" w:hAnsi="Arial Narrow"/>
                <w:szCs w:val="20"/>
                <w:lang w:val="en-US"/>
              </w:rPr>
              <w:t xml:space="preserve">=13; </w:t>
            </w:r>
            <w:proofErr w:type="spellStart"/>
            <w:r w:rsidRPr="00234DD6">
              <w:rPr>
                <w:rFonts w:ascii="Arial Narrow" w:hAnsi="Arial Narrow"/>
                <w:szCs w:val="20"/>
                <w:lang w:val="en-US"/>
              </w:rPr>
              <w:t>bDBS</w:t>
            </w:r>
            <w:proofErr w:type="spellEnd"/>
            <w:r w:rsidRPr="00234DD6">
              <w:rPr>
                <w:rFonts w:ascii="Arial Narrow" w:hAnsi="Arial Narrow"/>
                <w:szCs w:val="20"/>
                <w:lang w:val="en-US"/>
              </w:rPr>
              <w:t>=57; k=1</w:t>
            </w:r>
          </w:p>
        </w:tc>
        <w:tc>
          <w:tcPr>
            <w:tcW w:w="558" w:type="pct"/>
            <w:gridSpan w:val="4"/>
            <w:tcBorders>
              <w:top w:val="single" w:sz="4" w:space="0" w:color="auto"/>
              <w:left w:val="single" w:sz="4" w:space="0" w:color="auto"/>
              <w:bottom w:val="single" w:sz="4" w:space="0" w:color="auto"/>
              <w:right w:val="single" w:sz="4" w:space="0" w:color="auto"/>
            </w:tcBorders>
            <w:hideMark/>
          </w:tcPr>
          <w:p w14:paraId="55A87249" w14:textId="77777777" w:rsidR="000160F4" w:rsidRPr="00234DD6" w:rsidRDefault="000160F4" w:rsidP="000160F4">
            <w:pPr>
              <w:pStyle w:val="5Bodytext"/>
              <w:rPr>
                <w:rFonts w:ascii="Arial Narrow" w:hAnsi="Arial Narrow"/>
                <w:szCs w:val="20"/>
                <w:vertAlign w:val="superscript"/>
                <w:lang w:val="en-US"/>
              </w:rPr>
            </w:pPr>
            <w:r w:rsidRPr="00234DD6">
              <w:rPr>
                <w:rFonts w:ascii="Cambria Math" w:hAnsi="Cambria Math" w:cs="Cambria Math"/>
                <w:szCs w:val="20"/>
                <w:lang w:val="en-US"/>
              </w:rPr>
              <w:t>⨁⨁⨀⨀</w:t>
            </w:r>
          </w:p>
        </w:tc>
        <w:tc>
          <w:tcPr>
            <w:tcW w:w="565" w:type="pct"/>
            <w:tcBorders>
              <w:top w:val="single" w:sz="4" w:space="0" w:color="auto"/>
              <w:left w:val="single" w:sz="4" w:space="0" w:color="auto"/>
              <w:bottom w:val="single" w:sz="4" w:space="0" w:color="auto"/>
              <w:right w:val="single" w:sz="4" w:space="0" w:color="auto"/>
            </w:tcBorders>
            <w:hideMark/>
          </w:tcPr>
          <w:p w14:paraId="3A353961" w14:textId="77777777" w:rsidR="000160F4" w:rsidRPr="00234DD6" w:rsidRDefault="000160F4" w:rsidP="000160F4">
            <w:pPr>
              <w:pStyle w:val="5Bodytext"/>
              <w:rPr>
                <w:rFonts w:ascii="Arial Narrow" w:hAnsi="Arial Narrow"/>
                <w:szCs w:val="20"/>
                <w:vertAlign w:val="superscript"/>
                <w:lang w:val="en-US"/>
              </w:rPr>
            </w:pPr>
            <w:r w:rsidRPr="00234DD6">
              <w:rPr>
                <w:rFonts w:ascii="Arial Narrow" w:hAnsi="Arial Narrow"/>
                <w:szCs w:val="20"/>
                <w:lang w:val="en-US"/>
              </w:rPr>
              <w:t>55.7%</w:t>
            </w:r>
          </w:p>
        </w:tc>
        <w:tc>
          <w:tcPr>
            <w:tcW w:w="642" w:type="pct"/>
            <w:tcBorders>
              <w:top w:val="single" w:sz="4" w:space="0" w:color="auto"/>
              <w:left w:val="single" w:sz="4" w:space="0" w:color="auto"/>
              <w:bottom w:val="single" w:sz="4" w:space="0" w:color="auto"/>
              <w:right w:val="single" w:sz="4" w:space="0" w:color="auto"/>
            </w:tcBorders>
            <w:hideMark/>
          </w:tcPr>
          <w:p w14:paraId="26E7166E"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uDBS</w:t>
            </w:r>
            <w:proofErr w:type="spellEnd"/>
            <w:r w:rsidRPr="00234DD6">
              <w:rPr>
                <w:rFonts w:ascii="Arial Narrow" w:hAnsi="Arial Narrow"/>
                <w:szCs w:val="20"/>
                <w:lang w:val="en-US"/>
              </w:rPr>
              <w:t>: 73.4%</w:t>
            </w:r>
          </w:p>
          <w:p w14:paraId="0A544BC9" w14:textId="77777777" w:rsidR="000160F4" w:rsidRPr="00234DD6" w:rsidRDefault="000160F4" w:rsidP="000160F4">
            <w:pPr>
              <w:pStyle w:val="5Bodytext"/>
              <w:rPr>
                <w:rFonts w:ascii="Arial Narrow" w:hAnsi="Arial Narrow"/>
                <w:szCs w:val="20"/>
                <w:vertAlign w:val="superscript"/>
                <w:lang w:val="en-US"/>
              </w:rPr>
            </w:pPr>
            <w:proofErr w:type="spellStart"/>
            <w:r w:rsidRPr="00234DD6">
              <w:rPr>
                <w:rFonts w:ascii="Arial Narrow" w:hAnsi="Arial Narrow"/>
                <w:szCs w:val="20"/>
                <w:lang w:val="en-US"/>
              </w:rPr>
              <w:t>bDBS</w:t>
            </w:r>
            <w:proofErr w:type="spellEnd"/>
            <w:r w:rsidRPr="00234DD6">
              <w:rPr>
                <w:rFonts w:ascii="Arial Narrow" w:hAnsi="Arial Narrow"/>
                <w:szCs w:val="20"/>
                <w:lang w:val="en-US"/>
              </w:rPr>
              <w:t>: 79.5%</w:t>
            </w:r>
          </w:p>
        </w:tc>
        <w:tc>
          <w:tcPr>
            <w:tcW w:w="1138" w:type="pct"/>
            <w:tcBorders>
              <w:top w:val="single" w:sz="4" w:space="0" w:color="auto"/>
              <w:left w:val="single" w:sz="4" w:space="0" w:color="auto"/>
              <w:bottom w:val="single" w:sz="4" w:space="0" w:color="auto"/>
              <w:right w:val="single" w:sz="4" w:space="0" w:color="auto"/>
            </w:tcBorders>
            <w:hideMark/>
          </w:tcPr>
          <w:p w14:paraId="5EEC1EFB"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xml:space="preserve"> vs </w:t>
            </w:r>
            <w:proofErr w:type="spellStart"/>
            <w:r w:rsidRPr="00234DD6">
              <w:rPr>
                <w:rFonts w:ascii="Arial Narrow" w:hAnsi="Arial Narrow"/>
                <w:szCs w:val="20"/>
                <w:lang w:val="en-US"/>
              </w:rPr>
              <w:t>uDBS</w:t>
            </w:r>
            <w:proofErr w:type="spellEnd"/>
            <w:r w:rsidRPr="00234DD6">
              <w:rPr>
                <w:rFonts w:ascii="Arial Narrow" w:hAnsi="Arial Narrow"/>
                <w:szCs w:val="20"/>
                <w:lang w:val="en-US"/>
              </w:rPr>
              <w:t xml:space="preserve">: 17% </w:t>
            </w:r>
          </w:p>
          <w:p w14:paraId="236D6F88"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xml:space="preserve"> vs </w:t>
            </w:r>
            <w:proofErr w:type="spellStart"/>
            <w:r w:rsidRPr="00234DD6">
              <w:rPr>
                <w:rFonts w:ascii="Arial Narrow" w:hAnsi="Arial Narrow"/>
                <w:szCs w:val="20"/>
                <w:lang w:val="en-US"/>
              </w:rPr>
              <w:t>bDBS</w:t>
            </w:r>
            <w:proofErr w:type="spellEnd"/>
            <w:r w:rsidRPr="00234DD6">
              <w:rPr>
                <w:rFonts w:ascii="Arial Narrow" w:hAnsi="Arial Narrow"/>
                <w:szCs w:val="20"/>
                <w:lang w:val="en-US"/>
              </w:rPr>
              <w:t xml:space="preserve">: 23.8% </w:t>
            </w:r>
          </w:p>
        </w:tc>
        <w:tc>
          <w:tcPr>
            <w:tcW w:w="649" w:type="pct"/>
            <w:tcBorders>
              <w:top w:val="single" w:sz="4" w:space="0" w:color="auto"/>
              <w:left w:val="single" w:sz="4" w:space="0" w:color="auto"/>
              <w:bottom w:val="single" w:sz="4" w:space="0" w:color="auto"/>
              <w:right w:val="single" w:sz="4" w:space="0" w:color="auto"/>
            </w:tcBorders>
            <w:hideMark/>
          </w:tcPr>
          <w:p w14:paraId="385C80E9"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 xml:space="preserve">Numerically </w:t>
            </w:r>
            <w:proofErr w:type="spellStart"/>
            <w:r w:rsidRPr="00234DD6">
              <w:rPr>
                <w:rFonts w:ascii="Arial Narrow" w:hAnsi="Arial Narrow"/>
                <w:szCs w:val="20"/>
                <w:lang w:val="en-US"/>
              </w:rPr>
              <w:t>favours</w:t>
            </w:r>
            <w:proofErr w:type="spellEnd"/>
            <w:r w:rsidRPr="00234DD6">
              <w:rPr>
                <w:rFonts w:ascii="Arial Narrow" w:hAnsi="Arial Narrow"/>
                <w:szCs w:val="20"/>
                <w:lang w:val="en-US"/>
              </w:rPr>
              <w:t xml:space="preserve"> </w:t>
            </w:r>
            <w:proofErr w:type="spellStart"/>
            <w:r w:rsidRPr="00234DD6">
              <w:rPr>
                <w:rFonts w:ascii="Arial Narrow" w:hAnsi="Arial Narrow"/>
                <w:szCs w:val="20"/>
                <w:lang w:val="en-US"/>
              </w:rPr>
              <w:t>uDBS</w:t>
            </w:r>
            <w:proofErr w:type="spellEnd"/>
          </w:p>
          <w:p w14:paraId="4FCA2F94" w14:textId="77777777" w:rsidR="000160F4" w:rsidRPr="00234DD6" w:rsidRDefault="000160F4" w:rsidP="000160F4">
            <w:pPr>
              <w:pStyle w:val="5Bodytext"/>
              <w:rPr>
                <w:rFonts w:ascii="Arial Narrow" w:hAnsi="Arial Narrow"/>
                <w:szCs w:val="20"/>
                <w:vertAlign w:val="superscript"/>
                <w:lang w:val="en-US"/>
              </w:rPr>
            </w:pPr>
            <w:r w:rsidRPr="00234DD6">
              <w:rPr>
                <w:rFonts w:ascii="Arial Narrow" w:hAnsi="Arial Narrow"/>
                <w:szCs w:val="20"/>
                <w:lang w:val="en-US"/>
              </w:rPr>
              <w:t xml:space="preserve">Statistically </w:t>
            </w:r>
            <w:proofErr w:type="spellStart"/>
            <w:r w:rsidRPr="00234DD6">
              <w:rPr>
                <w:rFonts w:ascii="Arial Narrow" w:hAnsi="Arial Narrow"/>
                <w:szCs w:val="20"/>
                <w:lang w:val="en-US"/>
              </w:rPr>
              <w:t>favours</w:t>
            </w:r>
            <w:proofErr w:type="spellEnd"/>
            <w:r w:rsidRPr="00234DD6">
              <w:rPr>
                <w:rFonts w:ascii="Arial Narrow" w:hAnsi="Arial Narrow"/>
                <w:szCs w:val="20"/>
                <w:lang w:val="en-US"/>
              </w:rPr>
              <w:t xml:space="preserve"> </w:t>
            </w:r>
            <w:proofErr w:type="spellStart"/>
            <w:r w:rsidRPr="00234DD6">
              <w:rPr>
                <w:rFonts w:ascii="Arial Narrow" w:hAnsi="Arial Narrow"/>
                <w:szCs w:val="20"/>
                <w:lang w:val="en-US"/>
              </w:rPr>
              <w:t>dDBS</w:t>
            </w:r>
            <w:proofErr w:type="spellEnd"/>
            <w:r w:rsidRPr="00234DD6">
              <w:rPr>
                <w:rFonts w:ascii="Arial Narrow" w:hAnsi="Arial Narrow"/>
                <w:szCs w:val="20"/>
                <w:lang w:val="en-US"/>
              </w:rPr>
              <w:t xml:space="preserve"> (p&lt;0.05)</w:t>
            </w:r>
          </w:p>
        </w:tc>
      </w:tr>
      <w:tr w:rsidR="000160F4" w:rsidRPr="00234DD6" w14:paraId="3742CDC1" w14:textId="77777777" w:rsidTr="007C6178">
        <w:trPr>
          <w:trHeight w:val="263"/>
        </w:trPr>
        <w:tc>
          <w:tcPr>
            <w:tcW w:w="724" w:type="pct"/>
            <w:tcBorders>
              <w:top w:val="single" w:sz="4" w:space="0" w:color="auto"/>
              <w:left w:val="single" w:sz="4" w:space="0" w:color="auto"/>
              <w:bottom w:val="single" w:sz="4" w:space="0" w:color="auto"/>
              <w:right w:val="single" w:sz="4" w:space="0" w:color="auto"/>
            </w:tcBorders>
            <w:hideMark/>
          </w:tcPr>
          <w:p w14:paraId="25FA76BD"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Hand tremor, 12 months</w:t>
            </w:r>
          </w:p>
        </w:tc>
        <w:tc>
          <w:tcPr>
            <w:tcW w:w="724" w:type="pct"/>
            <w:tcBorders>
              <w:top w:val="single" w:sz="4" w:space="0" w:color="auto"/>
              <w:left w:val="single" w:sz="4" w:space="0" w:color="auto"/>
              <w:bottom w:val="single" w:sz="4" w:space="0" w:color="auto"/>
              <w:right w:val="single" w:sz="4" w:space="0" w:color="auto"/>
            </w:tcBorders>
            <w:hideMark/>
          </w:tcPr>
          <w:p w14:paraId="14AA0974"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xml:space="preserve">=15; </w:t>
            </w:r>
            <w:proofErr w:type="spellStart"/>
            <w:r w:rsidRPr="00234DD6">
              <w:rPr>
                <w:rFonts w:ascii="Arial Narrow" w:hAnsi="Arial Narrow"/>
                <w:szCs w:val="20"/>
                <w:lang w:val="en-US"/>
              </w:rPr>
              <w:t>uDBS</w:t>
            </w:r>
            <w:proofErr w:type="spellEnd"/>
            <w:r w:rsidRPr="00234DD6">
              <w:rPr>
                <w:rFonts w:ascii="Arial Narrow" w:hAnsi="Arial Narrow"/>
                <w:szCs w:val="20"/>
                <w:lang w:val="en-US"/>
              </w:rPr>
              <w:t xml:space="preserve">=13; </w:t>
            </w:r>
            <w:proofErr w:type="spellStart"/>
            <w:r w:rsidRPr="00234DD6">
              <w:rPr>
                <w:rFonts w:ascii="Arial Narrow" w:hAnsi="Arial Narrow"/>
                <w:szCs w:val="20"/>
                <w:lang w:val="en-US"/>
              </w:rPr>
              <w:t>bDBS</w:t>
            </w:r>
            <w:proofErr w:type="spellEnd"/>
            <w:r w:rsidRPr="00234DD6">
              <w:rPr>
                <w:rFonts w:ascii="Arial Narrow" w:hAnsi="Arial Narrow"/>
                <w:szCs w:val="20"/>
                <w:lang w:val="en-US"/>
              </w:rPr>
              <w:t>=57; k=1</w:t>
            </w:r>
          </w:p>
        </w:tc>
        <w:tc>
          <w:tcPr>
            <w:tcW w:w="558" w:type="pct"/>
            <w:gridSpan w:val="4"/>
            <w:tcBorders>
              <w:top w:val="single" w:sz="4" w:space="0" w:color="auto"/>
              <w:left w:val="single" w:sz="4" w:space="0" w:color="auto"/>
              <w:bottom w:val="single" w:sz="4" w:space="0" w:color="auto"/>
              <w:right w:val="single" w:sz="4" w:space="0" w:color="auto"/>
            </w:tcBorders>
            <w:hideMark/>
          </w:tcPr>
          <w:p w14:paraId="5A3963FB" w14:textId="77777777" w:rsidR="000160F4" w:rsidRPr="00234DD6" w:rsidRDefault="000160F4" w:rsidP="000160F4">
            <w:pPr>
              <w:pStyle w:val="5Bodytext"/>
              <w:rPr>
                <w:rFonts w:ascii="Arial Narrow" w:hAnsi="Arial Narrow"/>
                <w:szCs w:val="20"/>
                <w:lang w:val="en-US"/>
              </w:rPr>
            </w:pPr>
            <w:r w:rsidRPr="00234DD6">
              <w:rPr>
                <w:rFonts w:ascii="Cambria Math" w:hAnsi="Cambria Math" w:cs="Cambria Math"/>
                <w:szCs w:val="20"/>
                <w:lang w:val="en-US"/>
              </w:rPr>
              <w:t>⨁⨁⨀⨀</w:t>
            </w:r>
          </w:p>
        </w:tc>
        <w:tc>
          <w:tcPr>
            <w:tcW w:w="565" w:type="pct"/>
            <w:tcBorders>
              <w:top w:val="single" w:sz="4" w:space="0" w:color="auto"/>
              <w:left w:val="single" w:sz="4" w:space="0" w:color="auto"/>
              <w:bottom w:val="single" w:sz="4" w:space="0" w:color="auto"/>
              <w:right w:val="single" w:sz="4" w:space="0" w:color="auto"/>
            </w:tcBorders>
            <w:hideMark/>
          </w:tcPr>
          <w:p w14:paraId="66BD80E7"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74.5%</w:t>
            </w:r>
          </w:p>
        </w:tc>
        <w:tc>
          <w:tcPr>
            <w:tcW w:w="642" w:type="pct"/>
            <w:tcBorders>
              <w:top w:val="single" w:sz="4" w:space="0" w:color="auto"/>
              <w:left w:val="single" w:sz="4" w:space="0" w:color="auto"/>
              <w:bottom w:val="single" w:sz="4" w:space="0" w:color="auto"/>
              <w:right w:val="single" w:sz="4" w:space="0" w:color="auto"/>
            </w:tcBorders>
            <w:hideMark/>
          </w:tcPr>
          <w:p w14:paraId="0F070D44"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uDBS</w:t>
            </w:r>
            <w:proofErr w:type="spellEnd"/>
            <w:r w:rsidRPr="00234DD6">
              <w:rPr>
                <w:rFonts w:ascii="Arial Narrow" w:hAnsi="Arial Narrow"/>
                <w:szCs w:val="20"/>
                <w:lang w:val="en-US"/>
              </w:rPr>
              <w:t>: 78.9%</w:t>
            </w:r>
          </w:p>
          <w:p w14:paraId="1C949A09"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bDBS</w:t>
            </w:r>
            <w:proofErr w:type="spellEnd"/>
            <w:r w:rsidRPr="00234DD6">
              <w:rPr>
                <w:rFonts w:ascii="Arial Narrow" w:hAnsi="Arial Narrow"/>
                <w:szCs w:val="20"/>
                <w:lang w:val="en-US"/>
              </w:rPr>
              <w:t>: 74.5%</w:t>
            </w:r>
          </w:p>
        </w:tc>
        <w:tc>
          <w:tcPr>
            <w:tcW w:w="1138" w:type="pct"/>
            <w:tcBorders>
              <w:top w:val="single" w:sz="4" w:space="0" w:color="auto"/>
              <w:left w:val="single" w:sz="4" w:space="0" w:color="auto"/>
              <w:bottom w:val="single" w:sz="4" w:space="0" w:color="auto"/>
              <w:right w:val="single" w:sz="4" w:space="0" w:color="auto"/>
            </w:tcBorders>
            <w:hideMark/>
          </w:tcPr>
          <w:p w14:paraId="0BE604D1"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xml:space="preserve"> vs </w:t>
            </w:r>
            <w:proofErr w:type="spellStart"/>
            <w:r w:rsidRPr="00234DD6">
              <w:rPr>
                <w:rFonts w:ascii="Arial Narrow" w:hAnsi="Arial Narrow"/>
                <w:szCs w:val="20"/>
                <w:lang w:val="en-US"/>
              </w:rPr>
              <w:t>uDBS</w:t>
            </w:r>
            <w:proofErr w:type="spellEnd"/>
            <w:r w:rsidRPr="00234DD6">
              <w:rPr>
                <w:rFonts w:ascii="Arial Narrow" w:hAnsi="Arial Narrow"/>
                <w:szCs w:val="20"/>
                <w:lang w:val="en-US"/>
              </w:rPr>
              <w:t>: 3.4%</w:t>
            </w:r>
          </w:p>
          <w:p w14:paraId="12538C96"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xml:space="preserve"> vs </w:t>
            </w:r>
            <w:proofErr w:type="spellStart"/>
            <w:r w:rsidRPr="00234DD6">
              <w:rPr>
                <w:rFonts w:ascii="Arial Narrow" w:hAnsi="Arial Narrow"/>
                <w:szCs w:val="20"/>
                <w:lang w:val="en-US"/>
              </w:rPr>
              <w:t>bDBS</w:t>
            </w:r>
            <w:proofErr w:type="spellEnd"/>
            <w:r w:rsidRPr="00234DD6">
              <w:rPr>
                <w:rFonts w:ascii="Arial Narrow" w:hAnsi="Arial Narrow"/>
                <w:szCs w:val="20"/>
                <w:lang w:val="en-US"/>
              </w:rPr>
              <w:t>: 0.0%</w:t>
            </w:r>
          </w:p>
        </w:tc>
        <w:tc>
          <w:tcPr>
            <w:tcW w:w="649" w:type="pct"/>
            <w:tcBorders>
              <w:top w:val="single" w:sz="4" w:space="0" w:color="auto"/>
              <w:left w:val="single" w:sz="4" w:space="0" w:color="auto"/>
              <w:bottom w:val="single" w:sz="4" w:space="0" w:color="auto"/>
              <w:right w:val="single" w:sz="4" w:space="0" w:color="auto"/>
            </w:tcBorders>
            <w:hideMark/>
          </w:tcPr>
          <w:p w14:paraId="2A4514FC"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No significant difference</w:t>
            </w:r>
          </w:p>
        </w:tc>
      </w:tr>
      <w:tr w:rsidR="000160F4" w:rsidRPr="00234DD6" w14:paraId="58CA719D" w14:textId="77777777" w:rsidTr="007C6178">
        <w:tc>
          <w:tcPr>
            <w:tcW w:w="724" w:type="pct"/>
            <w:tcBorders>
              <w:top w:val="single" w:sz="4" w:space="0" w:color="auto"/>
              <w:left w:val="single" w:sz="4" w:space="0" w:color="auto"/>
              <w:bottom w:val="single" w:sz="4" w:space="0" w:color="auto"/>
              <w:right w:val="single" w:sz="4" w:space="0" w:color="auto"/>
            </w:tcBorders>
            <w:hideMark/>
          </w:tcPr>
          <w:p w14:paraId="18DC4686" w14:textId="77777777" w:rsidR="000160F4" w:rsidRPr="00234DD6" w:rsidRDefault="000160F4" w:rsidP="000160F4">
            <w:pPr>
              <w:pStyle w:val="5Bodytext"/>
              <w:rPr>
                <w:rFonts w:ascii="Arial Narrow" w:hAnsi="Arial Narrow"/>
                <w:szCs w:val="20"/>
                <w:vertAlign w:val="superscript"/>
                <w:lang w:val="en-US"/>
              </w:rPr>
            </w:pPr>
            <w:r w:rsidRPr="00234DD6">
              <w:rPr>
                <w:rFonts w:ascii="Arial Narrow" w:hAnsi="Arial Narrow"/>
                <w:szCs w:val="20"/>
                <w:lang w:val="en-US"/>
              </w:rPr>
              <w:t xml:space="preserve">CRST Part C, 12 months </w:t>
            </w:r>
          </w:p>
        </w:tc>
        <w:tc>
          <w:tcPr>
            <w:tcW w:w="724" w:type="pct"/>
            <w:tcBorders>
              <w:top w:val="single" w:sz="4" w:space="0" w:color="auto"/>
              <w:left w:val="single" w:sz="4" w:space="0" w:color="auto"/>
              <w:bottom w:val="single" w:sz="4" w:space="0" w:color="auto"/>
              <w:right w:val="single" w:sz="4" w:space="0" w:color="auto"/>
            </w:tcBorders>
            <w:hideMark/>
          </w:tcPr>
          <w:p w14:paraId="558A3B40" w14:textId="77777777" w:rsidR="000160F4" w:rsidRPr="00234DD6" w:rsidRDefault="000160F4" w:rsidP="000160F4">
            <w:pPr>
              <w:pStyle w:val="5Bodytext"/>
              <w:rPr>
                <w:rFonts w:ascii="Arial Narrow" w:hAnsi="Arial Narrow"/>
                <w:szCs w:val="20"/>
                <w:vertAlign w:val="superscript"/>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xml:space="preserve">=15; </w:t>
            </w:r>
            <w:proofErr w:type="spellStart"/>
            <w:r w:rsidRPr="00234DD6">
              <w:rPr>
                <w:rFonts w:ascii="Arial Narrow" w:hAnsi="Arial Narrow"/>
                <w:szCs w:val="20"/>
                <w:lang w:val="en-US"/>
              </w:rPr>
              <w:t>uDBS</w:t>
            </w:r>
            <w:proofErr w:type="spellEnd"/>
            <w:r w:rsidRPr="00234DD6">
              <w:rPr>
                <w:rFonts w:ascii="Arial Narrow" w:hAnsi="Arial Narrow"/>
                <w:szCs w:val="20"/>
                <w:lang w:val="en-US"/>
              </w:rPr>
              <w:t xml:space="preserve">=13; </w:t>
            </w:r>
            <w:proofErr w:type="spellStart"/>
            <w:r w:rsidRPr="00234DD6">
              <w:rPr>
                <w:rFonts w:ascii="Arial Narrow" w:hAnsi="Arial Narrow"/>
                <w:szCs w:val="20"/>
                <w:lang w:val="en-US"/>
              </w:rPr>
              <w:t>bDBS</w:t>
            </w:r>
            <w:proofErr w:type="spellEnd"/>
            <w:r w:rsidRPr="00234DD6">
              <w:rPr>
                <w:rFonts w:ascii="Arial Narrow" w:hAnsi="Arial Narrow"/>
                <w:szCs w:val="20"/>
                <w:lang w:val="en-US"/>
              </w:rPr>
              <w:t>=57; k=1</w:t>
            </w:r>
          </w:p>
        </w:tc>
        <w:tc>
          <w:tcPr>
            <w:tcW w:w="558" w:type="pct"/>
            <w:gridSpan w:val="4"/>
            <w:tcBorders>
              <w:top w:val="single" w:sz="4" w:space="0" w:color="auto"/>
              <w:left w:val="single" w:sz="4" w:space="0" w:color="auto"/>
              <w:bottom w:val="single" w:sz="4" w:space="0" w:color="auto"/>
              <w:right w:val="single" w:sz="4" w:space="0" w:color="auto"/>
            </w:tcBorders>
            <w:hideMark/>
          </w:tcPr>
          <w:p w14:paraId="330FE569" w14:textId="77777777" w:rsidR="000160F4" w:rsidRPr="00234DD6" w:rsidRDefault="000160F4" w:rsidP="000160F4">
            <w:pPr>
              <w:pStyle w:val="5Bodytext"/>
              <w:rPr>
                <w:rFonts w:ascii="Arial Narrow" w:hAnsi="Arial Narrow"/>
                <w:szCs w:val="20"/>
                <w:vertAlign w:val="superscript"/>
                <w:lang w:val="en-US"/>
              </w:rPr>
            </w:pPr>
            <w:r w:rsidRPr="00234DD6">
              <w:rPr>
                <w:rFonts w:ascii="Cambria Math" w:hAnsi="Cambria Math" w:cs="Cambria Math"/>
                <w:szCs w:val="20"/>
                <w:lang w:val="en-US"/>
              </w:rPr>
              <w:t>⨁⨁⨀⨀</w:t>
            </w:r>
          </w:p>
        </w:tc>
        <w:tc>
          <w:tcPr>
            <w:tcW w:w="565" w:type="pct"/>
            <w:tcBorders>
              <w:top w:val="single" w:sz="4" w:space="0" w:color="auto"/>
              <w:left w:val="single" w:sz="4" w:space="0" w:color="auto"/>
              <w:bottom w:val="single" w:sz="4" w:space="0" w:color="auto"/>
              <w:right w:val="single" w:sz="4" w:space="0" w:color="auto"/>
            </w:tcBorders>
            <w:hideMark/>
          </w:tcPr>
          <w:p w14:paraId="03E0BAD9" w14:textId="77777777" w:rsidR="000160F4" w:rsidRPr="00234DD6" w:rsidRDefault="000160F4" w:rsidP="000160F4">
            <w:pPr>
              <w:pStyle w:val="5Bodytext"/>
              <w:rPr>
                <w:rFonts w:ascii="Arial Narrow" w:hAnsi="Arial Narrow"/>
                <w:szCs w:val="20"/>
                <w:vertAlign w:val="superscript"/>
                <w:lang w:val="en-US"/>
              </w:rPr>
            </w:pPr>
            <w:r w:rsidRPr="00234DD6">
              <w:rPr>
                <w:rFonts w:ascii="Arial Narrow" w:hAnsi="Arial Narrow"/>
                <w:szCs w:val="20"/>
                <w:lang w:val="en-US"/>
              </w:rPr>
              <w:t>88.4%</w:t>
            </w:r>
          </w:p>
        </w:tc>
        <w:tc>
          <w:tcPr>
            <w:tcW w:w="642" w:type="pct"/>
            <w:tcBorders>
              <w:top w:val="single" w:sz="4" w:space="0" w:color="auto"/>
              <w:left w:val="single" w:sz="4" w:space="0" w:color="auto"/>
              <w:bottom w:val="single" w:sz="4" w:space="0" w:color="auto"/>
              <w:right w:val="single" w:sz="4" w:space="0" w:color="auto"/>
            </w:tcBorders>
            <w:hideMark/>
          </w:tcPr>
          <w:p w14:paraId="5F6CD82B"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uDBS</w:t>
            </w:r>
            <w:proofErr w:type="spellEnd"/>
            <w:r w:rsidRPr="00234DD6">
              <w:rPr>
                <w:rFonts w:ascii="Arial Narrow" w:hAnsi="Arial Narrow"/>
                <w:szCs w:val="20"/>
                <w:lang w:val="en-US"/>
              </w:rPr>
              <w:t>: 83.1%</w:t>
            </w:r>
          </w:p>
          <w:p w14:paraId="6DADD271" w14:textId="77777777" w:rsidR="000160F4" w:rsidRPr="00234DD6" w:rsidRDefault="000160F4" w:rsidP="000160F4">
            <w:pPr>
              <w:pStyle w:val="5Bodytext"/>
              <w:rPr>
                <w:rFonts w:ascii="Arial Narrow" w:hAnsi="Arial Narrow"/>
                <w:szCs w:val="20"/>
                <w:vertAlign w:val="superscript"/>
                <w:lang w:val="en-US"/>
              </w:rPr>
            </w:pPr>
            <w:proofErr w:type="spellStart"/>
            <w:r w:rsidRPr="00234DD6">
              <w:rPr>
                <w:rFonts w:ascii="Arial Narrow" w:hAnsi="Arial Narrow"/>
                <w:szCs w:val="20"/>
                <w:lang w:val="en-US"/>
              </w:rPr>
              <w:t>bDBS</w:t>
            </w:r>
            <w:proofErr w:type="spellEnd"/>
            <w:r w:rsidRPr="00234DD6">
              <w:rPr>
                <w:rFonts w:ascii="Arial Narrow" w:hAnsi="Arial Narrow"/>
                <w:szCs w:val="20"/>
                <w:lang w:val="en-US"/>
              </w:rPr>
              <w:t>: 85.4%</w:t>
            </w:r>
          </w:p>
        </w:tc>
        <w:tc>
          <w:tcPr>
            <w:tcW w:w="1138" w:type="pct"/>
            <w:tcBorders>
              <w:top w:val="single" w:sz="4" w:space="0" w:color="auto"/>
              <w:left w:val="single" w:sz="4" w:space="0" w:color="auto"/>
              <w:bottom w:val="single" w:sz="4" w:space="0" w:color="auto"/>
              <w:right w:val="single" w:sz="4" w:space="0" w:color="auto"/>
            </w:tcBorders>
            <w:hideMark/>
          </w:tcPr>
          <w:p w14:paraId="406F3DAD"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xml:space="preserve"> vs </w:t>
            </w:r>
            <w:proofErr w:type="spellStart"/>
            <w:r w:rsidRPr="00234DD6">
              <w:rPr>
                <w:rFonts w:ascii="Arial Narrow" w:hAnsi="Arial Narrow"/>
                <w:szCs w:val="20"/>
                <w:lang w:val="en-US"/>
              </w:rPr>
              <w:t>uDBS</w:t>
            </w:r>
            <w:proofErr w:type="spellEnd"/>
            <w:r w:rsidRPr="00234DD6">
              <w:rPr>
                <w:rFonts w:ascii="Arial Narrow" w:hAnsi="Arial Narrow"/>
                <w:szCs w:val="20"/>
                <w:lang w:val="en-US"/>
              </w:rPr>
              <w:t>: 5.3%</w:t>
            </w:r>
          </w:p>
          <w:p w14:paraId="069DDCCF"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xml:space="preserve"> vs </w:t>
            </w:r>
            <w:proofErr w:type="spellStart"/>
            <w:r w:rsidRPr="00234DD6">
              <w:rPr>
                <w:rFonts w:ascii="Arial Narrow" w:hAnsi="Arial Narrow"/>
                <w:szCs w:val="20"/>
                <w:lang w:val="en-US"/>
              </w:rPr>
              <w:t>bDBS</w:t>
            </w:r>
            <w:proofErr w:type="spellEnd"/>
            <w:r w:rsidRPr="00234DD6">
              <w:rPr>
                <w:rFonts w:ascii="Arial Narrow" w:hAnsi="Arial Narrow"/>
                <w:szCs w:val="20"/>
                <w:lang w:val="en-US"/>
              </w:rPr>
              <w:t>: 3.0%</w:t>
            </w:r>
          </w:p>
        </w:tc>
        <w:tc>
          <w:tcPr>
            <w:tcW w:w="649" w:type="pct"/>
            <w:tcBorders>
              <w:top w:val="single" w:sz="4" w:space="0" w:color="auto"/>
              <w:left w:val="single" w:sz="4" w:space="0" w:color="auto"/>
              <w:bottom w:val="single" w:sz="4" w:space="0" w:color="auto"/>
              <w:right w:val="single" w:sz="4" w:space="0" w:color="auto"/>
            </w:tcBorders>
            <w:hideMark/>
          </w:tcPr>
          <w:p w14:paraId="712CA532"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No significant difference</w:t>
            </w:r>
          </w:p>
        </w:tc>
      </w:tr>
      <w:tr w:rsidR="000160F4" w:rsidRPr="00234DD6" w14:paraId="52F2B966" w14:textId="77777777" w:rsidTr="007C6178">
        <w:tc>
          <w:tcPr>
            <w:tcW w:w="724" w:type="pct"/>
            <w:tcBorders>
              <w:top w:val="single" w:sz="4" w:space="0" w:color="auto"/>
              <w:left w:val="single" w:sz="4" w:space="0" w:color="auto"/>
              <w:bottom w:val="single" w:sz="4" w:space="0" w:color="auto"/>
              <w:right w:val="single" w:sz="4" w:space="0" w:color="auto"/>
            </w:tcBorders>
            <w:hideMark/>
          </w:tcPr>
          <w:p w14:paraId="69757703"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QUEST, 12 months</w:t>
            </w:r>
          </w:p>
        </w:tc>
        <w:tc>
          <w:tcPr>
            <w:tcW w:w="724" w:type="pct"/>
            <w:tcBorders>
              <w:top w:val="single" w:sz="4" w:space="0" w:color="auto"/>
              <w:left w:val="single" w:sz="4" w:space="0" w:color="auto"/>
              <w:bottom w:val="single" w:sz="4" w:space="0" w:color="auto"/>
              <w:right w:val="single" w:sz="4" w:space="0" w:color="auto"/>
            </w:tcBorders>
            <w:hideMark/>
          </w:tcPr>
          <w:p w14:paraId="5A63AC45"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xml:space="preserve">=15; </w:t>
            </w:r>
            <w:proofErr w:type="spellStart"/>
            <w:r w:rsidRPr="00234DD6">
              <w:rPr>
                <w:rFonts w:ascii="Arial Narrow" w:hAnsi="Arial Narrow"/>
                <w:szCs w:val="20"/>
                <w:lang w:val="en-US"/>
              </w:rPr>
              <w:t>uDBS</w:t>
            </w:r>
            <w:proofErr w:type="spellEnd"/>
            <w:r w:rsidRPr="00234DD6">
              <w:rPr>
                <w:rFonts w:ascii="Arial Narrow" w:hAnsi="Arial Narrow"/>
                <w:szCs w:val="20"/>
                <w:lang w:val="en-US"/>
              </w:rPr>
              <w:t xml:space="preserve">=13; </w:t>
            </w:r>
            <w:proofErr w:type="spellStart"/>
            <w:r w:rsidRPr="00234DD6">
              <w:rPr>
                <w:rFonts w:ascii="Arial Narrow" w:hAnsi="Arial Narrow"/>
                <w:szCs w:val="20"/>
                <w:lang w:val="en-US"/>
              </w:rPr>
              <w:t>bDBS</w:t>
            </w:r>
            <w:proofErr w:type="spellEnd"/>
            <w:r w:rsidRPr="00234DD6">
              <w:rPr>
                <w:rFonts w:ascii="Arial Narrow" w:hAnsi="Arial Narrow"/>
                <w:szCs w:val="20"/>
                <w:lang w:val="en-US"/>
              </w:rPr>
              <w:t>=57; k=1</w:t>
            </w:r>
          </w:p>
        </w:tc>
        <w:tc>
          <w:tcPr>
            <w:tcW w:w="558" w:type="pct"/>
            <w:gridSpan w:val="4"/>
            <w:tcBorders>
              <w:top w:val="single" w:sz="4" w:space="0" w:color="auto"/>
              <w:left w:val="single" w:sz="4" w:space="0" w:color="auto"/>
              <w:bottom w:val="single" w:sz="4" w:space="0" w:color="auto"/>
              <w:right w:val="single" w:sz="4" w:space="0" w:color="auto"/>
            </w:tcBorders>
            <w:hideMark/>
          </w:tcPr>
          <w:p w14:paraId="3CD4A869" w14:textId="77777777" w:rsidR="000160F4" w:rsidRPr="00234DD6" w:rsidRDefault="000160F4" w:rsidP="000160F4">
            <w:pPr>
              <w:pStyle w:val="5Bodytext"/>
              <w:rPr>
                <w:rFonts w:ascii="Arial Narrow" w:hAnsi="Arial Narrow"/>
                <w:szCs w:val="20"/>
                <w:lang w:val="en-US"/>
              </w:rPr>
            </w:pPr>
            <w:r w:rsidRPr="00234DD6">
              <w:rPr>
                <w:rFonts w:ascii="Cambria Math" w:hAnsi="Cambria Math" w:cs="Cambria Math"/>
                <w:szCs w:val="20"/>
                <w:lang w:val="en-US"/>
              </w:rPr>
              <w:t>⨁⨁⨀⨀</w:t>
            </w:r>
          </w:p>
        </w:tc>
        <w:tc>
          <w:tcPr>
            <w:tcW w:w="565" w:type="pct"/>
            <w:tcBorders>
              <w:top w:val="single" w:sz="4" w:space="0" w:color="auto"/>
              <w:left w:val="single" w:sz="4" w:space="0" w:color="auto"/>
              <w:bottom w:val="single" w:sz="4" w:space="0" w:color="auto"/>
              <w:right w:val="single" w:sz="4" w:space="0" w:color="auto"/>
            </w:tcBorders>
            <w:hideMark/>
          </w:tcPr>
          <w:p w14:paraId="454D99B6"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68.0%</w:t>
            </w:r>
          </w:p>
        </w:tc>
        <w:tc>
          <w:tcPr>
            <w:tcW w:w="642" w:type="pct"/>
            <w:tcBorders>
              <w:top w:val="single" w:sz="4" w:space="0" w:color="auto"/>
              <w:left w:val="single" w:sz="4" w:space="0" w:color="auto"/>
              <w:bottom w:val="single" w:sz="4" w:space="0" w:color="auto"/>
              <w:right w:val="single" w:sz="4" w:space="0" w:color="auto"/>
            </w:tcBorders>
            <w:hideMark/>
          </w:tcPr>
          <w:p w14:paraId="4D0EC597"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bDBS</w:t>
            </w:r>
            <w:proofErr w:type="spellEnd"/>
            <w:r w:rsidRPr="00234DD6">
              <w:rPr>
                <w:rFonts w:ascii="Arial Narrow" w:hAnsi="Arial Narrow"/>
                <w:szCs w:val="20"/>
                <w:lang w:val="en-US"/>
              </w:rPr>
              <w:t>: 72.0%</w:t>
            </w:r>
          </w:p>
        </w:tc>
        <w:tc>
          <w:tcPr>
            <w:tcW w:w="1138" w:type="pct"/>
            <w:tcBorders>
              <w:top w:val="single" w:sz="4" w:space="0" w:color="auto"/>
              <w:left w:val="single" w:sz="4" w:space="0" w:color="auto"/>
              <w:bottom w:val="single" w:sz="4" w:space="0" w:color="auto"/>
              <w:right w:val="single" w:sz="4" w:space="0" w:color="auto"/>
            </w:tcBorders>
            <w:hideMark/>
          </w:tcPr>
          <w:p w14:paraId="4ABF0FF7"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xml:space="preserve"> vs </w:t>
            </w:r>
            <w:proofErr w:type="spellStart"/>
            <w:r w:rsidRPr="00234DD6">
              <w:rPr>
                <w:rFonts w:ascii="Arial Narrow" w:hAnsi="Arial Narrow"/>
                <w:szCs w:val="20"/>
                <w:lang w:val="en-US"/>
              </w:rPr>
              <w:t>bDBS</w:t>
            </w:r>
            <w:proofErr w:type="spellEnd"/>
            <w:r w:rsidRPr="00234DD6">
              <w:rPr>
                <w:rFonts w:ascii="Arial Narrow" w:hAnsi="Arial Narrow"/>
                <w:szCs w:val="20"/>
                <w:lang w:val="en-US"/>
              </w:rPr>
              <w:t>: 4.0%</w:t>
            </w:r>
          </w:p>
        </w:tc>
        <w:tc>
          <w:tcPr>
            <w:tcW w:w="649" w:type="pct"/>
            <w:tcBorders>
              <w:top w:val="single" w:sz="4" w:space="0" w:color="auto"/>
              <w:left w:val="single" w:sz="4" w:space="0" w:color="auto"/>
              <w:bottom w:val="single" w:sz="4" w:space="0" w:color="auto"/>
              <w:right w:val="single" w:sz="4" w:space="0" w:color="auto"/>
            </w:tcBorders>
            <w:hideMark/>
          </w:tcPr>
          <w:p w14:paraId="1ED455F7"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No significant difference</w:t>
            </w:r>
          </w:p>
        </w:tc>
      </w:tr>
      <w:tr w:rsidR="000160F4" w:rsidRPr="00234DD6" w14:paraId="4DD8CC91" w14:textId="77777777" w:rsidTr="007C6178">
        <w:tc>
          <w:tcPr>
            <w:tcW w:w="1448" w:type="pct"/>
            <w:gridSpan w:val="2"/>
            <w:tcBorders>
              <w:top w:val="single" w:sz="4" w:space="0" w:color="auto"/>
              <w:left w:val="single" w:sz="4" w:space="0" w:color="auto"/>
              <w:bottom w:val="single" w:sz="4" w:space="0" w:color="auto"/>
              <w:right w:val="nil"/>
            </w:tcBorders>
            <w:hideMark/>
          </w:tcPr>
          <w:p w14:paraId="44BF61A2"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Indirect treatment comparison</w:t>
            </w:r>
          </w:p>
        </w:tc>
        <w:tc>
          <w:tcPr>
            <w:tcW w:w="124" w:type="pct"/>
            <w:tcBorders>
              <w:top w:val="single" w:sz="4" w:space="0" w:color="auto"/>
              <w:left w:val="nil"/>
              <w:bottom w:val="single" w:sz="4" w:space="0" w:color="auto"/>
              <w:right w:val="nil"/>
            </w:tcBorders>
          </w:tcPr>
          <w:p w14:paraId="7D116D0C" w14:textId="77777777" w:rsidR="000160F4" w:rsidRPr="00234DD6" w:rsidRDefault="000160F4" w:rsidP="000160F4">
            <w:pPr>
              <w:pStyle w:val="5Bodytext"/>
              <w:rPr>
                <w:rFonts w:ascii="Arial Narrow" w:hAnsi="Arial Narrow"/>
                <w:szCs w:val="20"/>
                <w:lang w:val="en-US"/>
              </w:rPr>
            </w:pPr>
          </w:p>
        </w:tc>
        <w:tc>
          <w:tcPr>
            <w:tcW w:w="434" w:type="pct"/>
            <w:gridSpan w:val="3"/>
            <w:tcBorders>
              <w:top w:val="single" w:sz="4" w:space="0" w:color="auto"/>
              <w:left w:val="nil"/>
              <w:bottom w:val="single" w:sz="4" w:space="0" w:color="auto"/>
              <w:right w:val="nil"/>
            </w:tcBorders>
          </w:tcPr>
          <w:p w14:paraId="20916677" w14:textId="77777777" w:rsidR="000160F4" w:rsidRPr="00234DD6" w:rsidRDefault="000160F4" w:rsidP="000160F4">
            <w:pPr>
              <w:pStyle w:val="5Bodytext"/>
              <w:rPr>
                <w:rFonts w:ascii="Arial Narrow" w:hAnsi="Arial Narrow"/>
                <w:szCs w:val="20"/>
                <w:lang w:val="en-US"/>
              </w:rPr>
            </w:pPr>
          </w:p>
        </w:tc>
        <w:tc>
          <w:tcPr>
            <w:tcW w:w="565" w:type="pct"/>
            <w:tcBorders>
              <w:top w:val="single" w:sz="4" w:space="0" w:color="auto"/>
              <w:left w:val="nil"/>
              <w:bottom w:val="single" w:sz="4" w:space="0" w:color="auto"/>
              <w:right w:val="nil"/>
            </w:tcBorders>
          </w:tcPr>
          <w:p w14:paraId="05149583" w14:textId="77777777" w:rsidR="000160F4" w:rsidRPr="00234DD6" w:rsidRDefault="000160F4" w:rsidP="000160F4">
            <w:pPr>
              <w:pStyle w:val="5Bodytext"/>
              <w:rPr>
                <w:rFonts w:ascii="Arial Narrow" w:hAnsi="Arial Narrow"/>
                <w:szCs w:val="20"/>
                <w:lang w:val="en-US"/>
              </w:rPr>
            </w:pPr>
          </w:p>
        </w:tc>
        <w:tc>
          <w:tcPr>
            <w:tcW w:w="642" w:type="pct"/>
            <w:tcBorders>
              <w:top w:val="single" w:sz="4" w:space="0" w:color="auto"/>
              <w:left w:val="nil"/>
              <w:bottom w:val="single" w:sz="4" w:space="0" w:color="auto"/>
              <w:right w:val="nil"/>
            </w:tcBorders>
          </w:tcPr>
          <w:p w14:paraId="01B87180" w14:textId="77777777" w:rsidR="000160F4" w:rsidRPr="00234DD6" w:rsidRDefault="000160F4" w:rsidP="000160F4">
            <w:pPr>
              <w:pStyle w:val="5Bodytext"/>
              <w:rPr>
                <w:rFonts w:ascii="Arial Narrow" w:hAnsi="Arial Narrow"/>
                <w:szCs w:val="20"/>
                <w:lang w:val="en-US"/>
              </w:rPr>
            </w:pPr>
          </w:p>
        </w:tc>
        <w:tc>
          <w:tcPr>
            <w:tcW w:w="1138" w:type="pct"/>
            <w:tcBorders>
              <w:top w:val="single" w:sz="4" w:space="0" w:color="auto"/>
              <w:left w:val="nil"/>
              <w:bottom w:val="single" w:sz="4" w:space="0" w:color="auto"/>
              <w:right w:val="nil"/>
            </w:tcBorders>
          </w:tcPr>
          <w:p w14:paraId="1BE6E3BD" w14:textId="77777777" w:rsidR="000160F4" w:rsidRPr="00234DD6" w:rsidRDefault="000160F4" w:rsidP="000160F4">
            <w:pPr>
              <w:pStyle w:val="5Bodytext"/>
              <w:rPr>
                <w:rFonts w:ascii="Arial Narrow" w:hAnsi="Arial Narrow"/>
                <w:szCs w:val="20"/>
                <w:lang w:val="en-US"/>
              </w:rPr>
            </w:pPr>
          </w:p>
        </w:tc>
        <w:tc>
          <w:tcPr>
            <w:tcW w:w="649" w:type="pct"/>
            <w:tcBorders>
              <w:top w:val="single" w:sz="4" w:space="0" w:color="auto"/>
              <w:left w:val="nil"/>
              <w:bottom w:val="single" w:sz="4" w:space="0" w:color="auto"/>
              <w:right w:val="single" w:sz="4" w:space="0" w:color="auto"/>
            </w:tcBorders>
          </w:tcPr>
          <w:p w14:paraId="03BB91E6" w14:textId="77777777" w:rsidR="000160F4" w:rsidRPr="00234DD6" w:rsidRDefault="000160F4" w:rsidP="000160F4">
            <w:pPr>
              <w:pStyle w:val="5Bodytext"/>
              <w:rPr>
                <w:rFonts w:ascii="Arial Narrow" w:hAnsi="Arial Narrow"/>
                <w:szCs w:val="20"/>
                <w:lang w:val="en-US"/>
              </w:rPr>
            </w:pPr>
          </w:p>
        </w:tc>
      </w:tr>
      <w:tr w:rsidR="000160F4" w:rsidRPr="00234DD6" w14:paraId="61A59EC0" w14:textId="77777777" w:rsidTr="007C6178">
        <w:tc>
          <w:tcPr>
            <w:tcW w:w="724" w:type="pct"/>
            <w:tcBorders>
              <w:top w:val="single" w:sz="4" w:space="0" w:color="auto"/>
              <w:left w:val="single" w:sz="4" w:space="0" w:color="auto"/>
              <w:bottom w:val="single" w:sz="4" w:space="0" w:color="auto"/>
              <w:right w:val="single" w:sz="4" w:space="0" w:color="auto"/>
            </w:tcBorders>
            <w:hideMark/>
          </w:tcPr>
          <w:p w14:paraId="112CB05E" w14:textId="77777777" w:rsidR="000160F4" w:rsidRPr="00234DD6" w:rsidRDefault="000160F4" w:rsidP="000160F4">
            <w:pPr>
              <w:pStyle w:val="5Bodytext"/>
              <w:rPr>
                <w:rFonts w:ascii="Arial Narrow" w:hAnsi="Arial Narrow"/>
                <w:szCs w:val="20"/>
                <w:vertAlign w:val="superscript"/>
                <w:lang w:val="en-US"/>
              </w:rPr>
            </w:pPr>
            <w:r w:rsidRPr="00234DD6">
              <w:rPr>
                <w:rFonts w:ascii="Arial Narrow" w:hAnsi="Arial Narrow"/>
                <w:szCs w:val="20"/>
                <w:lang w:val="en-US"/>
              </w:rPr>
              <w:t>Total CRST, 12 months</w:t>
            </w:r>
          </w:p>
        </w:tc>
        <w:tc>
          <w:tcPr>
            <w:tcW w:w="724" w:type="pct"/>
            <w:tcBorders>
              <w:top w:val="single" w:sz="4" w:space="0" w:color="auto"/>
              <w:left w:val="single" w:sz="4" w:space="0" w:color="auto"/>
              <w:bottom w:val="single" w:sz="4" w:space="0" w:color="auto"/>
              <w:right w:val="single" w:sz="4" w:space="0" w:color="auto"/>
            </w:tcBorders>
            <w:hideMark/>
          </w:tcPr>
          <w:p w14:paraId="7A76C9E1"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 48 DBS=97; k=3</w:t>
            </w:r>
          </w:p>
        </w:tc>
        <w:tc>
          <w:tcPr>
            <w:tcW w:w="558" w:type="pct"/>
            <w:gridSpan w:val="4"/>
            <w:tcBorders>
              <w:top w:val="single" w:sz="4" w:space="0" w:color="auto"/>
              <w:left w:val="single" w:sz="4" w:space="0" w:color="auto"/>
              <w:bottom w:val="single" w:sz="4" w:space="0" w:color="auto"/>
              <w:right w:val="single" w:sz="4" w:space="0" w:color="auto"/>
            </w:tcBorders>
            <w:hideMark/>
          </w:tcPr>
          <w:p w14:paraId="3A2BC4BC" w14:textId="77777777" w:rsidR="000160F4" w:rsidRPr="00234DD6" w:rsidRDefault="000160F4" w:rsidP="000160F4">
            <w:pPr>
              <w:pStyle w:val="5Bodytext"/>
              <w:rPr>
                <w:rFonts w:ascii="Arial Narrow" w:hAnsi="Arial Narrow"/>
                <w:szCs w:val="20"/>
                <w:lang w:val="en-US"/>
              </w:rPr>
            </w:pPr>
            <w:r w:rsidRPr="00234DD6">
              <w:rPr>
                <w:rFonts w:ascii="Cambria Math" w:hAnsi="Cambria Math" w:cs="Cambria Math"/>
                <w:szCs w:val="20"/>
                <w:lang w:val="en-US"/>
              </w:rPr>
              <w:t>⨁⨀⨀⨀</w:t>
            </w:r>
          </w:p>
        </w:tc>
        <w:tc>
          <w:tcPr>
            <w:tcW w:w="565" w:type="pct"/>
            <w:tcBorders>
              <w:top w:val="single" w:sz="4" w:space="0" w:color="auto"/>
              <w:left w:val="single" w:sz="4" w:space="0" w:color="auto"/>
              <w:bottom w:val="single" w:sz="4" w:space="0" w:color="auto"/>
              <w:right w:val="single" w:sz="4" w:space="0" w:color="auto"/>
            </w:tcBorders>
            <w:hideMark/>
          </w:tcPr>
          <w:p w14:paraId="3C272DD9"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NA</w:t>
            </w:r>
          </w:p>
        </w:tc>
        <w:tc>
          <w:tcPr>
            <w:tcW w:w="642" w:type="pct"/>
            <w:tcBorders>
              <w:top w:val="single" w:sz="4" w:space="0" w:color="auto"/>
              <w:left w:val="single" w:sz="4" w:space="0" w:color="auto"/>
              <w:bottom w:val="single" w:sz="4" w:space="0" w:color="auto"/>
              <w:right w:val="single" w:sz="4" w:space="0" w:color="auto"/>
            </w:tcBorders>
            <w:hideMark/>
          </w:tcPr>
          <w:p w14:paraId="4616B799"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NA</w:t>
            </w:r>
          </w:p>
        </w:tc>
        <w:tc>
          <w:tcPr>
            <w:tcW w:w="1138" w:type="pct"/>
            <w:tcBorders>
              <w:top w:val="single" w:sz="4" w:space="0" w:color="auto"/>
              <w:left w:val="single" w:sz="4" w:space="0" w:color="auto"/>
              <w:bottom w:val="single" w:sz="4" w:space="0" w:color="auto"/>
              <w:right w:val="single" w:sz="4" w:space="0" w:color="auto"/>
            </w:tcBorders>
            <w:hideMark/>
          </w:tcPr>
          <w:p w14:paraId="708E3348"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MAIC</w:t>
            </w:r>
            <w:r w:rsidRPr="00234DD6">
              <w:rPr>
                <w:rFonts w:ascii="Arial Narrow" w:hAnsi="Arial Narrow"/>
                <w:szCs w:val="20"/>
                <w:vertAlign w:val="superscript"/>
                <w:lang w:val="en-US"/>
              </w:rPr>
              <w:t>a</w:t>
            </w:r>
            <w:proofErr w:type="spellEnd"/>
            <w:r w:rsidRPr="00234DD6">
              <w:rPr>
                <w:rFonts w:ascii="Arial Narrow" w:hAnsi="Arial Narrow"/>
                <w:szCs w:val="20"/>
                <w:lang w:val="en-US"/>
              </w:rPr>
              <w:t>: 0% (0)</w:t>
            </w:r>
          </w:p>
          <w:p w14:paraId="1A525508"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STC</w:t>
            </w:r>
            <w:r w:rsidRPr="00234DD6">
              <w:rPr>
                <w:rFonts w:ascii="Arial Narrow" w:hAnsi="Arial Narrow"/>
                <w:szCs w:val="20"/>
                <w:vertAlign w:val="superscript"/>
                <w:lang w:val="en-US"/>
              </w:rPr>
              <w:t>a</w:t>
            </w:r>
            <w:proofErr w:type="spellEnd"/>
            <w:r w:rsidRPr="00234DD6">
              <w:rPr>
                <w:rFonts w:ascii="Arial Narrow" w:hAnsi="Arial Narrow"/>
                <w:szCs w:val="20"/>
                <w:lang w:val="en-US"/>
              </w:rPr>
              <w:t xml:space="preserve">: 0.31% </w:t>
            </w:r>
            <w:r w:rsidRPr="00234DD6">
              <w:rPr>
                <w:rFonts w:ascii="Arial Narrow" w:hAnsi="Arial Narrow"/>
                <w:szCs w:val="20"/>
                <w:lang w:val="en-US"/>
              </w:rPr>
              <w:br/>
              <w:t>(-2.53 to 3.16)</w:t>
            </w:r>
          </w:p>
        </w:tc>
        <w:tc>
          <w:tcPr>
            <w:tcW w:w="649" w:type="pct"/>
            <w:tcBorders>
              <w:top w:val="single" w:sz="4" w:space="0" w:color="auto"/>
              <w:left w:val="single" w:sz="4" w:space="0" w:color="auto"/>
              <w:bottom w:val="single" w:sz="4" w:space="0" w:color="auto"/>
              <w:right w:val="single" w:sz="4" w:space="0" w:color="auto"/>
            </w:tcBorders>
            <w:hideMark/>
          </w:tcPr>
          <w:p w14:paraId="6394E1C1"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No significant difference</w:t>
            </w:r>
          </w:p>
        </w:tc>
      </w:tr>
      <w:tr w:rsidR="000160F4" w:rsidRPr="00234DD6" w14:paraId="0D1BBD1B" w14:textId="77777777" w:rsidTr="007C6178">
        <w:tc>
          <w:tcPr>
            <w:tcW w:w="724" w:type="pct"/>
            <w:tcBorders>
              <w:top w:val="single" w:sz="4" w:space="0" w:color="auto"/>
              <w:left w:val="single" w:sz="4" w:space="0" w:color="auto"/>
              <w:bottom w:val="single" w:sz="4" w:space="0" w:color="auto"/>
              <w:right w:val="single" w:sz="4" w:space="0" w:color="auto"/>
            </w:tcBorders>
            <w:hideMark/>
          </w:tcPr>
          <w:p w14:paraId="29C80C56" w14:textId="77777777" w:rsidR="000160F4" w:rsidRPr="00234DD6" w:rsidRDefault="000160F4" w:rsidP="000160F4">
            <w:pPr>
              <w:pStyle w:val="5Bodytext"/>
              <w:rPr>
                <w:rFonts w:ascii="Arial Narrow" w:hAnsi="Arial Narrow"/>
                <w:szCs w:val="20"/>
                <w:vertAlign w:val="superscript"/>
                <w:lang w:val="en-US"/>
              </w:rPr>
            </w:pPr>
            <w:r w:rsidRPr="00234DD6">
              <w:rPr>
                <w:rFonts w:ascii="Arial Narrow" w:hAnsi="Arial Narrow"/>
                <w:szCs w:val="20"/>
                <w:lang w:val="en-US"/>
              </w:rPr>
              <w:t xml:space="preserve">CRST Part C, 12 months </w:t>
            </w:r>
          </w:p>
        </w:tc>
        <w:tc>
          <w:tcPr>
            <w:tcW w:w="724" w:type="pct"/>
            <w:tcBorders>
              <w:top w:val="single" w:sz="4" w:space="0" w:color="auto"/>
              <w:left w:val="single" w:sz="4" w:space="0" w:color="auto"/>
              <w:bottom w:val="single" w:sz="4" w:space="0" w:color="auto"/>
              <w:right w:val="single" w:sz="4" w:space="0" w:color="auto"/>
            </w:tcBorders>
            <w:hideMark/>
          </w:tcPr>
          <w:p w14:paraId="7A8DF7E2"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=48 DBS=28; k=2</w:t>
            </w:r>
          </w:p>
        </w:tc>
        <w:tc>
          <w:tcPr>
            <w:tcW w:w="558" w:type="pct"/>
            <w:gridSpan w:val="4"/>
            <w:tcBorders>
              <w:top w:val="single" w:sz="4" w:space="0" w:color="auto"/>
              <w:left w:val="single" w:sz="4" w:space="0" w:color="auto"/>
              <w:bottom w:val="single" w:sz="4" w:space="0" w:color="auto"/>
              <w:right w:val="single" w:sz="4" w:space="0" w:color="auto"/>
            </w:tcBorders>
            <w:hideMark/>
          </w:tcPr>
          <w:p w14:paraId="336BA598" w14:textId="77777777" w:rsidR="000160F4" w:rsidRPr="00234DD6" w:rsidRDefault="000160F4" w:rsidP="000160F4">
            <w:pPr>
              <w:pStyle w:val="5Bodytext"/>
              <w:rPr>
                <w:rFonts w:ascii="Arial Narrow" w:hAnsi="Arial Narrow"/>
                <w:szCs w:val="20"/>
                <w:lang w:val="en-US"/>
              </w:rPr>
            </w:pPr>
            <w:r w:rsidRPr="00234DD6">
              <w:rPr>
                <w:rFonts w:ascii="Cambria Math" w:hAnsi="Cambria Math" w:cs="Cambria Math"/>
                <w:szCs w:val="20"/>
                <w:lang w:val="en-US"/>
              </w:rPr>
              <w:t>⨁⨀⨀⨀</w:t>
            </w:r>
          </w:p>
        </w:tc>
        <w:tc>
          <w:tcPr>
            <w:tcW w:w="565" w:type="pct"/>
            <w:tcBorders>
              <w:top w:val="single" w:sz="4" w:space="0" w:color="auto"/>
              <w:left w:val="single" w:sz="4" w:space="0" w:color="auto"/>
              <w:bottom w:val="single" w:sz="4" w:space="0" w:color="auto"/>
              <w:right w:val="single" w:sz="4" w:space="0" w:color="auto"/>
            </w:tcBorders>
            <w:hideMark/>
          </w:tcPr>
          <w:p w14:paraId="43BC81E0"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NA</w:t>
            </w:r>
          </w:p>
        </w:tc>
        <w:tc>
          <w:tcPr>
            <w:tcW w:w="642" w:type="pct"/>
            <w:tcBorders>
              <w:top w:val="single" w:sz="4" w:space="0" w:color="auto"/>
              <w:left w:val="single" w:sz="4" w:space="0" w:color="auto"/>
              <w:bottom w:val="single" w:sz="4" w:space="0" w:color="auto"/>
              <w:right w:val="single" w:sz="4" w:space="0" w:color="auto"/>
            </w:tcBorders>
            <w:hideMark/>
          </w:tcPr>
          <w:p w14:paraId="31CF370E"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NA</w:t>
            </w:r>
          </w:p>
        </w:tc>
        <w:tc>
          <w:tcPr>
            <w:tcW w:w="1138" w:type="pct"/>
            <w:tcBorders>
              <w:top w:val="single" w:sz="4" w:space="0" w:color="auto"/>
              <w:left w:val="single" w:sz="4" w:space="0" w:color="auto"/>
              <w:bottom w:val="single" w:sz="4" w:space="0" w:color="auto"/>
              <w:right w:val="single" w:sz="4" w:space="0" w:color="auto"/>
            </w:tcBorders>
            <w:hideMark/>
          </w:tcPr>
          <w:p w14:paraId="757FF544"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MAIC</w:t>
            </w:r>
            <w:r w:rsidRPr="00234DD6">
              <w:rPr>
                <w:rFonts w:ascii="Arial Narrow" w:hAnsi="Arial Narrow"/>
                <w:szCs w:val="20"/>
                <w:vertAlign w:val="superscript"/>
                <w:lang w:val="en-US"/>
              </w:rPr>
              <w:t>a</w:t>
            </w:r>
            <w:proofErr w:type="spellEnd"/>
            <w:r w:rsidRPr="00234DD6">
              <w:rPr>
                <w:rFonts w:ascii="Arial Narrow" w:hAnsi="Arial Narrow"/>
                <w:szCs w:val="20"/>
                <w:lang w:val="en-US"/>
              </w:rPr>
              <w:t>: 0% (0)</w:t>
            </w:r>
          </w:p>
          <w:p w14:paraId="48F12218"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STC</w:t>
            </w:r>
            <w:r w:rsidRPr="00234DD6">
              <w:rPr>
                <w:rFonts w:ascii="Arial Narrow" w:hAnsi="Arial Narrow"/>
                <w:szCs w:val="20"/>
                <w:vertAlign w:val="superscript"/>
                <w:lang w:val="en-US"/>
              </w:rPr>
              <w:t>a</w:t>
            </w:r>
            <w:proofErr w:type="spellEnd"/>
            <w:r w:rsidRPr="00234DD6">
              <w:rPr>
                <w:rFonts w:ascii="Arial Narrow" w:hAnsi="Arial Narrow"/>
                <w:szCs w:val="20"/>
                <w:lang w:val="en-US"/>
              </w:rPr>
              <w:t>: -4.35%</w:t>
            </w:r>
            <w:r w:rsidRPr="00234DD6">
              <w:rPr>
                <w:rFonts w:ascii="Arial Narrow" w:hAnsi="Arial Narrow"/>
                <w:szCs w:val="20"/>
                <w:lang w:val="en-US"/>
              </w:rPr>
              <w:br/>
              <w:t>(-12.82 to 4.13)</w:t>
            </w:r>
          </w:p>
        </w:tc>
        <w:tc>
          <w:tcPr>
            <w:tcW w:w="649" w:type="pct"/>
            <w:tcBorders>
              <w:top w:val="single" w:sz="4" w:space="0" w:color="auto"/>
              <w:left w:val="single" w:sz="4" w:space="0" w:color="auto"/>
              <w:bottom w:val="single" w:sz="4" w:space="0" w:color="auto"/>
              <w:right w:val="single" w:sz="4" w:space="0" w:color="auto"/>
            </w:tcBorders>
            <w:hideMark/>
          </w:tcPr>
          <w:p w14:paraId="65B5DE3D"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No significant difference</w:t>
            </w:r>
          </w:p>
        </w:tc>
      </w:tr>
      <w:tr w:rsidR="000160F4" w:rsidRPr="00234DD6" w14:paraId="32C0E23F" w14:textId="77777777" w:rsidTr="007C6178">
        <w:tc>
          <w:tcPr>
            <w:tcW w:w="5000" w:type="pct"/>
            <w:gridSpan w:val="10"/>
            <w:tcBorders>
              <w:top w:val="single" w:sz="4" w:space="0" w:color="auto"/>
              <w:left w:val="single" w:sz="4" w:space="0" w:color="auto"/>
              <w:bottom w:val="single" w:sz="4" w:space="0" w:color="auto"/>
              <w:right w:val="single" w:sz="4" w:space="0" w:color="auto"/>
            </w:tcBorders>
            <w:hideMark/>
          </w:tcPr>
          <w:p w14:paraId="7C325A58"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Naïve comparison</w:t>
            </w:r>
          </w:p>
        </w:tc>
      </w:tr>
      <w:tr w:rsidR="000160F4" w:rsidRPr="00234DD6" w14:paraId="39DADEF6" w14:textId="77777777" w:rsidTr="007C6178">
        <w:tc>
          <w:tcPr>
            <w:tcW w:w="724" w:type="pct"/>
            <w:tcBorders>
              <w:top w:val="single" w:sz="4" w:space="0" w:color="auto"/>
              <w:left w:val="single" w:sz="4" w:space="0" w:color="auto"/>
              <w:bottom w:val="single" w:sz="4" w:space="0" w:color="auto"/>
              <w:right w:val="single" w:sz="4" w:space="0" w:color="auto"/>
            </w:tcBorders>
            <w:hideMark/>
          </w:tcPr>
          <w:p w14:paraId="2CB46387"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lastRenderedPageBreak/>
              <w:t>Total CRST, 12 months</w:t>
            </w:r>
          </w:p>
        </w:tc>
        <w:tc>
          <w:tcPr>
            <w:tcW w:w="724" w:type="pct"/>
            <w:tcBorders>
              <w:top w:val="single" w:sz="4" w:space="0" w:color="auto"/>
              <w:left w:val="single" w:sz="4" w:space="0" w:color="auto"/>
              <w:bottom w:val="single" w:sz="4" w:space="0" w:color="auto"/>
              <w:right w:val="single" w:sz="4" w:space="0" w:color="auto"/>
            </w:tcBorders>
            <w:hideMark/>
          </w:tcPr>
          <w:p w14:paraId="1F5B0750"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=208; k=8</w:t>
            </w:r>
          </w:p>
          <w:p w14:paraId="023456AB"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DBS=215; k=2</w:t>
            </w:r>
          </w:p>
        </w:tc>
        <w:tc>
          <w:tcPr>
            <w:tcW w:w="558" w:type="pct"/>
            <w:gridSpan w:val="4"/>
            <w:tcBorders>
              <w:top w:val="single" w:sz="4" w:space="0" w:color="auto"/>
              <w:left w:val="single" w:sz="4" w:space="0" w:color="auto"/>
              <w:bottom w:val="single" w:sz="4" w:space="0" w:color="auto"/>
              <w:right w:val="single" w:sz="4" w:space="0" w:color="auto"/>
            </w:tcBorders>
            <w:hideMark/>
          </w:tcPr>
          <w:p w14:paraId="2CED7FFD" w14:textId="77777777" w:rsidR="000160F4" w:rsidRPr="00234DD6" w:rsidRDefault="000160F4" w:rsidP="000160F4">
            <w:pPr>
              <w:pStyle w:val="5Bodytext"/>
              <w:rPr>
                <w:rFonts w:ascii="Arial Narrow" w:hAnsi="Arial Narrow"/>
                <w:szCs w:val="20"/>
                <w:lang w:val="en-US"/>
              </w:rPr>
            </w:pPr>
            <w:r w:rsidRPr="00234DD6">
              <w:rPr>
                <w:rFonts w:ascii="Cambria Math" w:hAnsi="Cambria Math" w:cs="Cambria Math"/>
                <w:szCs w:val="20"/>
                <w:lang w:val="en-US"/>
              </w:rPr>
              <w:t>⨁⨀⨀⨀</w:t>
            </w:r>
          </w:p>
        </w:tc>
        <w:tc>
          <w:tcPr>
            <w:tcW w:w="565" w:type="pct"/>
            <w:tcBorders>
              <w:top w:val="single" w:sz="4" w:space="0" w:color="auto"/>
              <w:left w:val="single" w:sz="4" w:space="0" w:color="auto"/>
              <w:bottom w:val="single" w:sz="4" w:space="0" w:color="auto"/>
              <w:right w:val="single" w:sz="4" w:space="0" w:color="auto"/>
            </w:tcBorders>
            <w:hideMark/>
          </w:tcPr>
          <w:p w14:paraId="2E53EAA6"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56.5%</w:t>
            </w:r>
          </w:p>
        </w:tc>
        <w:tc>
          <w:tcPr>
            <w:tcW w:w="642" w:type="pct"/>
            <w:tcBorders>
              <w:top w:val="single" w:sz="4" w:space="0" w:color="auto"/>
              <w:left w:val="single" w:sz="4" w:space="0" w:color="auto"/>
              <w:bottom w:val="single" w:sz="4" w:space="0" w:color="auto"/>
              <w:right w:val="single" w:sz="4" w:space="0" w:color="auto"/>
            </w:tcBorders>
            <w:hideMark/>
          </w:tcPr>
          <w:p w14:paraId="645DB5B3"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55.1%</w:t>
            </w:r>
          </w:p>
        </w:tc>
        <w:tc>
          <w:tcPr>
            <w:tcW w:w="1138" w:type="pct"/>
            <w:tcBorders>
              <w:top w:val="single" w:sz="4" w:space="0" w:color="auto"/>
              <w:left w:val="single" w:sz="4" w:space="0" w:color="auto"/>
              <w:bottom w:val="single" w:sz="4" w:space="0" w:color="auto"/>
              <w:right w:val="single" w:sz="4" w:space="0" w:color="auto"/>
            </w:tcBorders>
            <w:hideMark/>
          </w:tcPr>
          <w:p w14:paraId="7A10743B" w14:textId="77777777" w:rsidR="000160F4" w:rsidRPr="00234DD6" w:rsidRDefault="000160F4" w:rsidP="000160F4">
            <w:pPr>
              <w:pStyle w:val="5Bodytext"/>
              <w:rPr>
                <w:rFonts w:ascii="Arial Narrow" w:hAnsi="Arial Narrow"/>
                <w:b/>
                <w:bCs/>
                <w:szCs w:val="20"/>
                <w:lang w:val="en-US"/>
              </w:rPr>
            </w:pPr>
            <w:r w:rsidRPr="00234DD6">
              <w:rPr>
                <w:rFonts w:ascii="Arial Narrow" w:hAnsi="Arial Narrow"/>
                <w:szCs w:val="20"/>
                <w:lang w:val="en-US"/>
              </w:rPr>
              <w:t>2.4%</w:t>
            </w:r>
          </w:p>
        </w:tc>
        <w:tc>
          <w:tcPr>
            <w:tcW w:w="649" w:type="pct"/>
            <w:tcBorders>
              <w:top w:val="single" w:sz="4" w:space="0" w:color="auto"/>
              <w:left w:val="single" w:sz="4" w:space="0" w:color="auto"/>
              <w:bottom w:val="single" w:sz="4" w:space="0" w:color="auto"/>
              <w:right w:val="single" w:sz="4" w:space="0" w:color="auto"/>
            </w:tcBorders>
            <w:hideMark/>
          </w:tcPr>
          <w:p w14:paraId="64480453"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No significant difference</w:t>
            </w:r>
          </w:p>
        </w:tc>
      </w:tr>
      <w:tr w:rsidR="000160F4" w:rsidRPr="00234DD6" w14:paraId="4D7E28CE" w14:textId="77777777" w:rsidTr="007C6178">
        <w:tc>
          <w:tcPr>
            <w:tcW w:w="724" w:type="pct"/>
            <w:tcBorders>
              <w:top w:val="single" w:sz="4" w:space="0" w:color="auto"/>
              <w:left w:val="single" w:sz="4" w:space="0" w:color="auto"/>
              <w:bottom w:val="single" w:sz="4" w:space="0" w:color="auto"/>
              <w:right w:val="single" w:sz="4" w:space="0" w:color="auto"/>
            </w:tcBorders>
            <w:hideMark/>
          </w:tcPr>
          <w:p w14:paraId="1CA8520B"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 xml:space="preserve">CRST Part C, 12 months </w:t>
            </w:r>
          </w:p>
        </w:tc>
        <w:tc>
          <w:tcPr>
            <w:tcW w:w="724" w:type="pct"/>
            <w:tcBorders>
              <w:top w:val="single" w:sz="4" w:space="0" w:color="auto"/>
              <w:left w:val="single" w:sz="4" w:space="0" w:color="auto"/>
              <w:bottom w:val="single" w:sz="4" w:space="0" w:color="auto"/>
              <w:right w:val="single" w:sz="4" w:space="0" w:color="auto"/>
            </w:tcBorders>
            <w:hideMark/>
          </w:tcPr>
          <w:p w14:paraId="00603F33" w14:textId="77777777" w:rsidR="000160F4" w:rsidRPr="00234DD6" w:rsidRDefault="000160F4" w:rsidP="000160F4">
            <w:pPr>
              <w:pStyle w:val="5Bodytext"/>
              <w:rPr>
                <w:rFonts w:ascii="Arial Narrow" w:hAnsi="Arial Narrow"/>
                <w:szCs w:val="20"/>
                <w:lang w:val="en-US"/>
              </w:rPr>
            </w:pPr>
            <w:proofErr w:type="spellStart"/>
            <w:r w:rsidRPr="00234DD6">
              <w:rPr>
                <w:rFonts w:ascii="Arial Narrow" w:hAnsi="Arial Narrow"/>
                <w:szCs w:val="20"/>
                <w:lang w:val="en-US"/>
              </w:rPr>
              <w:t>MRgFUS</w:t>
            </w:r>
            <w:proofErr w:type="spellEnd"/>
            <w:r w:rsidRPr="00234DD6">
              <w:rPr>
                <w:rFonts w:ascii="Arial Narrow" w:hAnsi="Arial Narrow"/>
                <w:szCs w:val="20"/>
                <w:lang w:val="en-US"/>
              </w:rPr>
              <w:t>=269; k=7</w:t>
            </w:r>
          </w:p>
          <w:p w14:paraId="07653AC8"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DBS=97; k=1</w:t>
            </w:r>
          </w:p>
        </w:tc>
        <w:tc>
          <w:tcPr>
            <w:tcW w:w="558" w:type="pct"/>
            <w:gridSpan w:val="4"/>
            <w:tcBorders>
              <w:top w:val="single" w:sz="4" w:space="0" w:color="auto"/>
              <w:left w:val="single" w:sz="4" w:space="0" w:color="auto"/>
              <w:bottom w:val="single" w:sz="4" w:space="0" w:color="auto"/>
              <w:right w:val="single" w:sz="4" w:space="0" w:color="auto"/>
            </w:tcBorders>
            <w:hideMark/>
          </w:tcPr>
          <w:p w14:paraId="518CC76C" w14:textId="77777777" w:rsidR="000160F4" w:rsidRPr="00234DD6" w:rsidRDefault="000160F4" w:rsidP="000160F4">
            <w:pPr>
              <w:pStyle w:val="5Bodytext"/>
              <w:rPr>
                <w:rFonts w:ascii="Arial Narrow" w:hAnsi="Arial Narrow"/>
                <w:szCs w:val="20"/>
                <w:lang w:val="en-US"/>
              </w:rPr>
            </w:pPr>
            <w:r w:rsidRPr="00234DD6">
              <w:rPr>
                <w:rFonts w:ascii="Cambria Math" w:hAnsi="Cambria Math" w:cs="Cambria Math"/>
                <w:szCs w:val="20"/>
                <w:lang w:val="en-US"/>
              </w:rPr>
              <w:t>⨁⨀⨀⨀</w:t>
            </w:r>
          </w:p>
        </w:tc>
        <w:tc>
          <w:tcPr>
            <w:tcW w:w="565" w:type="pct"/>
            <w:tcBorders>
              <w:top w:val="single" w:sz="4" w:space="0" w:color="auto"/>
              <w:left w:val="single" w:sz="4" w:space="0" w:color="auto"/>
              <w:bottom w:val="single" w:sz="4" w:space="0" w:color="auto"/>
              <w:right w:val="single" w:sz="4" w:space="0" w:color="auto"/>
            </w:tcBorders>
            <w:hideMark/>
          </w:tcPr>
          <w:p w14:paraId="20CB6E5E"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68.2%</w:t>
            </w:r>
          </w:p>
        </w:tc>
        <w:tc>
          <w:tcPr>
            <w:tcW w:w="642" w:type="pct"/>
            <w:tcBorders>
              <w:top w:val="single" w:sz="4" w:space="0" w:color="auto"/>
              <w:left w:val="single" w:sz="4" w:space="0" w:color="auto"/>
              <w:bottom w:val="single" w:sz="4" w:space="0" w:color="auto"/>
              <w:right w:val="single" w:sz="4" w:space="0" w:color="auto"/>
            </w:tcBorders>
            <w:hideMark/>
          </w:tcPr>
          <w:p w14:paraId="3755C52B"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71.4%</w:t>
            </w:r>
          </w:p>
        </w:tc>
        <w:tc>
          <w:tcPr>
            <w:tcW w:w="1138" w:type="pct"/>
            <w:tcBorders>
              <w:top w:val="single" w:sz="4" w:space="0" w:color="auto"/>
              <w:left w:val="single" w:sz="4" w:space="0" w:color="auto"/>
              <w:bottom w:val="single" w:sz="4" w:space="0" w:color="auto"/>
              <w:right w:val="single" w:sz="4" w:space="0" w:color="auto"/>
            </w:tcBorders>
            <w:hideMark/>
          </w:tcPr>
          <w:p w14:paraId="7079E539"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9.3%</w:t>
            </w:r>
          </w:p>
        </w:tc>
        <w:tc>
          <w:tcPr>
            <w:tcW w:w="649" w:type="pct"/>
            <w:tcBorders>
              <w:top w:val="single" w:sz="4" w:space="0" w:color="auto"/>
              <w:left w:val="single" w:sz="4" w:space="0" w:color="auto"/>
              <w:bottom w:val="single" w:sz="4" w:space="0" w:color="auto"/>
              <w:right w:val="single" w:sz="4" w:space="0" w:color="auto"/>
            </w:tcBorders>
            <w:hideMark/>
          </w:tcPr>
          <w:p w14:paraId="0F5BBD69" w14:textId="77777777" w:rsidR="000160F4" w:rsidRPr="00234DD6" w:rsidRDefault="000160F4" w:rsidP="000160F4">
            <w:pPr>
              <w:pStyle w:val="5Bodytext"/>
              <w:rPr>
                <w:rFonts w:ascii="Arial Narrow" w:hAnsi="Arial Narrow"/>
                <w:szCs w:val="20"/>
                <w:lang w:val="en-US"/>
              </w:rPr>
            </w:pPr>
            <w:r w:rsidRPr="00234DD6">
              <w:rPr>
                <w:rFonts w:ascii="Arial Narrow" w:hAnsi="Arial Narrow"/>
                <w:szCs w:val="20"/>
                <w:lang w:val="en-US"/>
              </w:rPr>
              <w:t>No significant difference</w:t>
            </w:r>
          </w:p>
        </w:tc>
      </w:tr>
    </w:tbl>
    <w:p w14:paraId="118E99B2" w14:textId="77777777" w:rsidR="00A057DF" w:rsidRPr="00234DD6" w:rsidRDefault="006B3B5A" w:rsidP="000160F4">
      <w:pPr>
        <w:pStyle w:val="5Bodytext"/>
        <w:rPr>
          <w:rFonts w:ascii="Arial Narrow" w:hAnsi="Arial Narrow"/>
          <w:sz w:val="18"/>
          <w:szCs w:val="18"/>
        </w:rPr>
      </w:pPr>
      <w:r w:rsidRPr="00234DD6">
        <w:rPr>
          <w:rFonts w:ascii="Arial Narrow" w:hAnsi="Arial Narrow"/>
          <w:sz w:val="18"/>
          <w:szCs w:val="18"/>
        </w:rPr>
        <w:t>Source: Table 3 of resu</w:t>
      </w:r>
      <w:r w:rsidR="004359E1" w:rsidRPr="00234DD6">
        <w:rPr>
          <w:rFonts w:ascii="Arial Narrow" w:hAnsi="Arial Narrow"/>
          <w:sz w:val="18"/>
          <w:szCs w:val="18"/>
        </w:rPr>
        <w:t>b</w:t>
      </w:r>
      <w:r w:rsidRPr="00234DD6">
        <w:rPr>
          <w:rFonts w:ascii="Arial Narrow" w:hAnsi="Arial Narrow"/>
          <w:sz w:val="18"/>
          <w:szCs w:val="18"/>
        </w:rPr>
        <w:t>mission</w:t>
      </w:r>
    </w:p>
    <w:p w14:paraId="7BF0417F" w14:textId="7DE9E8A2" w:rsidR="000160F4" w:rsidRPr="00234DD6" w:rsidRDefault="000160F4" w:rsidP="000160F4">
      <w:pPr>
        <w:pStyle w:val="5Bodytext"/>
        <w:rPr>
          <w:rFonts w:ascii="Arial Narrow" w:hAnsi="Arial Narrow"/>
          <w:sz w:val="18"/>
          <w:szCs w:val="18"/>
        </w:rPr>
      </w:pPr>
      <w:proofErr w:type="gramStart"/>
      <w:r w:rsidRPr="00234DD6">
        <w:rPr>
          <w:rFonts w:ascii="Arial Narrow" w:hAnsi="Arial Narrow"/>
          <w:sz w:val="18"/>
          <w:szCs w:val="18"/>
        </w:rPr>
        <w:t>Abbreviations:,</w:t>
      </w:r>
      <w:proofErr w:type="gramEnd"/>
      <w:r w:rsidRPr="00234DD6">
        <w:rPr>
          <w:rFonts w:ascii="Arial Narrow" w:hAnsi="Arial Narrow"/>
          <w:sz w:val="18"/>
          <w:szCs w:val="18"/>
        </w:rPr>
        <w:t xml:space="preserve"> k= study number; </w:t>
      </w:r>
      <w:proofErr w:type="spellStart"/>
      <w:r w:rsidRPr="00234DD6">
        <w:rPr>
          <w:rFonts w:ascii="Arial Narrow" w:hAnsi="Arial Narrow"/>
          <w:sz w:val="18"/>
          <w:szCs w:val="18"/>
        </w:rPr>
        <w:t>bDBS</w:t>
      </w:r>
      <w:proofErr w:type="spellEnd"/>
      <w:r w:rsidRPr="00234DD6">
        <w:rPr>
          <w:rFonts w:ascii="Arial Narrow" w:hAnsi="Arial Narrow"/>
          <w:sz w:val="18"/>
          <w:szCs w:val="18"/>
        </w:rPr>
        <w:t xml:space="preserve">, bilateral DBS; CRST, clinical rating scale for tremor; DBS, deep brain stimulation; MAIC, Matching-Adjusted Indirect Comparisons; </w:t>
      </w:r>
      <w:proofErr w:type="spellStart"/>
      <w:r w:rsidRPr="00234DD6">
        <w:rPr>
          <w:rFonts w:ascii="Arial Narrow" w:hAnsi="Arial Narrow"/>
          <w:sz w:val="18"/>
          <w:szCs w:val="18"/>
        </w:rPr>
        <w:t>MRgFUS</w:t>
      </w:r>
      <w:proofErr w:type="spellEnd"/>
      <w:r w:rsidRPr="00234DD6">
        <w:rPr>
          <w:rFonts w:ascii="Arial Narrow" w:hAnsi="Arial Narrow"/>
          <w:sz w:val="18"/>
          <w:szCs w:val="18"/>
        </w:rPr>
        <w:t xml:space="preserve">, magnetic resonance-guided focused </w:t>
      </w:r>
      <w:proofErr w:type="spellStart"/>
      <w:r w:rsidRPr="00234DD6">
        <w:rPr>
          <w:rFonts w:ascii="Arial Narrow" w:hAnsi="Arial Narrow"/>
          <w:sz w:val="18"/>
          <w:szCs w:val="18"/>
        </w:rPr>
        <w:t>ultrasound;NA</w:t>
      </w:r>
      <w:proofErr w:type="spellEnd"/>
      <w:r w:rsidRPr="00234DD6">
        <w:rPr>
          <w:rFonts w:ascii="Arial Narrow" w:hAnsi="Arial Narrow"/>
          <w:sz w:val="18"/>
          <w:szCs w:val="18"/>
        </w:rPr>
        <w:t xml:space="preserve">, not applicable; QUEST, quality of life in essential tremor; STC, Simulated Treatment Comparison; </w:t>
      </w:r>
      <w:proofErr w:type="spellStart"/>
      <w:r w:rsidRPr="00234DD6">
        <w:rPr>
          <w:rFonts w:ascii="Arial Narrow" w:hAnsi="Arial Narrow"/>
          <w:sz w:val="18"/>
          <w:szCs w:val="18"/>
        </w:rPr>
        <w:t>uDBS</w:t>
      </w:r>
      <w:proofErr w:type="spellEnd"/>
      <w:r w:rsidRPr="00234DD6">
        <w:rPr>
          <w:rFonts w:ascii="Arial Narrow" w:hAnsi="Arial Narrow"/>
          <w:sz w:val="18"/>
          <w:szCs w:val="18"/>
        </w:rPr>
        <w:t xml:space="preserve">, unilateral DBS; </w:t>
      </w:r>
    </w:p>
    <w:p w14:paraId="4B0D9D19" w14:textId="77777777" w:rsidR="000160F4" w:rsidRPr="00234DD6" w:rsidRDefault="000160F4" w:rsidP="000160F4">
      <w:pPr>
        <w:pStyle w:val="5Bodytext"/>
        <w:rPr>
          <w:rFonts w:ascii="Arial Narrow" w:hAnsi="Arial Narrow"/>
          <w:sz w:val="18"/>
          <w:szCs w:val="18"/>
        </w:rPr>
      </w:pPr>
      <w:r w:rsidRPr="00234DD6">
        <w:rPr>
          <w:rFonts w:ascii="Arial Narrow" w:hAnsi="Arial Narrow"/>
          <w:sz w:val="18"/>
          <w:szCs w:val="18"/>
          <w:vertAlign w:val="superscript"/>
        </w:rPr>
        <w:t xml:space="preserve">a </w:t>
      </w:r>
      <w:r w:rsidRPr="00234DD6">
        <w:rPr>
          <w:rFonts w:ascii="Arial Narrow" w:hAnsi="Arial Narrow"/>
          <w:sz w:val="18"/>
          <w:szCs w:val="18"/>
        </w:rPr>
        <w:t>GRADE Working Group grades of evidence (</w:t>
      </w:r>
      <w:proofErr w:type="spellStart"/>
      <w:r w:rsidRPr="00234DD6">
        <w:rPr>
          <w:rFonts w:ascii="Arial Narrow" w:hAnsi="Arial Narrow"/>
          <w:sz w:val="18"/>
          <w:szCs w:val="18"/>
        </w:rPr>
        <w:t>Guyatt</w:t>
      </w:r>
      <w:proofErr w:type="spellEnd"/>
      <w:r w:rsidRPr="00234DD6">
        <w:rPr>
          <w:rFonts w:ascii="Arial Narrow" w:hAnsi="Arial Narrow"/>
          <w:sz w:val="18"/>
          <w:szCs w:val="18"/>
        </w:rPr>
        <w:t xml:space="preserve"> et al., 2013)</w:t>
      </w:r>
    </w:p>
    <w:p w14:paraId="413282DB" w14:textId="6B7201E0" w:rsidR="00F664CC" w:rsidRPr="006431C1" w:rsidRDefault="00F664CC" w:rsidP="00F64363">
      <w:pPr>
        <w:pStyle w:val="Heading2"/>
        <w:rPr>
          <w:rFonts w:ascii="Franklin Gothic Book" w:hAnsi="Franklin Gothic Book"/>
        </w:rPr>
      </w:pPr>
      <w:proofErr w:type="spellStart"/>
      <w:r w:rsidRPr="006431C1">
        <w:rPr>
          <w:rFonts w:ascii="Franklin Gothic Book" w:hAnsi="Franklin Gothic Book"/>
        </w:rPr>
        <w:t>MRgFUS</w:t>
      </w:r>
      <w:proofErr w:type="spellEnd"/>
      <w:r w:rsidRPr="006431C1">
        <w:rPr>
          <w:rFonts w:ascii="Franklin Gothic Book" w:hAnsi="Franklin Gothic Book"/>
        </w:rPr>
        <w:t xml:space="preserve"> v</w:t>
      </w:r>
      <w:r w:rsidR="007315E6" w:rsidRPr="006431C1">
        <w:rPr>
          <w:rFonts w:ascii="Franklin Gothic Book" w:hAnsi="Franklin Gothic Book"/>
        </w:rPr>
        <w:t>s</w:t>
      </w:r>
      <w:r w:rsidRPr="006431C1">
        <w:rPr>
          <w:rFonts w:ascii="Franklin Gothic Book" w:hAnsi="Franklin Gothic Book"/>
        </w:rPr>
        <w:t xml:space="preserve"> BSC</w:t>
      </w:r>
    </w:p>
    <w:p w14:paraId="48E154D7" w14:textId="0FBEE584" w:rsidR="008E799D" w:rsidRPr="00234DD6" w:rsidRDefault="00F664CC" w:rsidP="00234DD6">
      <w:pPr>
        <w:pStyle w:val="NormalBeforeBullet"/>
        <w:spacing w:before="240"/>
        <w:rPr>
          <w:rFonts w:ascii="Franklin Gothic Book" w:hAnsi="Franklin Gothic Book"/>
          <w:sz w:val="22"/>
          <w:szCs w:val="22"/>
        </w:rPr>
      </w:pPr>
      <w:r w:rsidRPr="00234DD6">
        <w:rPr>
          <w:rFonts w:ascii="Franklin Gothic Book" w:hAnsi="Franklin Gothic Book"/>
          <w:sz w:val="22"/>
          <w:szCs w:val="22"/>
        </w:rPr>
        <w:t xml:space="preserve">Relative to BSC,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significantly reduced total tremor, hand tremor, tremor-related </w:t>
      </w:r>
      <w:proofErr w:type="gramStart"/>
      <w:r w:rsidRPr="00234DD6">
        <w:rPr>
          <w:rFonts w:ascii="Franklin Gothic Book" w:hAnsi="Franklin Gothic Book"/>
          <w:sz w:val="22"/>
          <w:szCs w:val="22"/>
        </w:rPr>
        <w:t>disability</w:t>
      </w:r>
      <w:proofErr w:type="gramEnd"/>
      <w:r w:rsidRPr="00234DD6">
        <w:rPr>
          <w:rFonts w:ascii="Franklin Gothic Book" w:hAnsi="Franklin Gothic Book"/>
          <w:sz w:val="22"/>
          <w:szCs w:val="22"/>
        </w:rPr>
        <w:t xml:space="preserve"> and quality of life. While improvements tended to diminish with time, significant improvements compared to baseline were reported for up to five years post-procedure</w:t>
      </w:r>
      <w:r w:rsidR="00B31172" w:rsidRPr="00234DD6">
        <w:rPr>
          <w:rFonts w:ascii="Franklin Gothic Book" w:hAnsi="Franklin Gothic Book"/>
          <w:sz w:val="22"/>
          <w:szCs w:val="22"/>
        </w:rPr>
        <w:t>.</w:t>
      </w:r>
    </w:p>
    <w:p w14:paraId="13DB0599" w14:textId="2281ED46" w:rsidR="008E799D" w:rsidRPr="00234DD6" w:rsidRDefault="008E799D" w:rsidP="008E799D">
      <w:pPr>
        <w:pStyle w:val="5Bodytext"/>
        <w:rPr>
          <w:rFonts w:ascii="Franklin Gothic Book" w:hAnsi="Franklin Gothic Book"/>
          <w:sz w:val="22"/>
          <w:szCs w:val="22"/>
        </w:rPr>
      </w:pPr>
      <w:r w:rsidRPr="00234DD6">
        <w:rPr>
          <w:rFonts w:ascii="Franklin Gothic Book" w:hAnsi="Franklin Gothic Book"/>
          <w:sz w:val="22"/>
          <w:szCs w:val="22"/>
        </w:rPr>
        <w:t xml:space="preserve">The table summarising the balance of clinical benefits and harms from key studies was unchanged from the previous submission; refer to </w:t>
      </w:r>
      <w:hyperlink r:id="rId13" w:history="1">
        <w:r w:rsidRPr="00234DD6">
          <w:rPr>
            <w:rStyle w:val="Hyperlink"/>
            <w:rFonts w:ascii="Franklin Gothic Book" w:hAnsi="Franklin Gothic Book"/>
            <w:sz w:val="22"/>
            <w:szCs w:val="22"/>
          </w:rPr>
          <w:t>PSD Application 1614, March-April 2021, p. 15, Table 9.</w:t>
        </w:r>
      </w:hyperlink>
    </w:p>
    <w:p w14:paraId="2E35C28B" w14:textId="078C51E5" w:rsidR="00644201" w:rsidRPr="006431C1" w:rsidRDefault="00644201" w:rsidP="00234DD6">
      <w:pPr>
        <w:pStyle w:val="Heading2"/>
        <w:spacing w:after="240"/>
        <w:rPr>
          <w:rFonts w:ascii="Franklin Gothic Book" w:hAnsi="Franklin Gothic Book"/>
          <w:b/>
          <w:bCs w:val="0"/>
          <w:i w:val="0"/>
          <w:iCs/>
        </w:rPr>
      </w:pPr>
      <w:r w:rsidRPr="006431C1">
        <w:rPr>
          <w:rFonts w:ascii="Franklin Gothic Book" w:hAnsi="Franklin Gothic Book"/>
          <w:b/>
          <w:bCs w:val="0"/>
          <w:i w:val="0"/>
          <w:iCs/>
        </w:rPr>
        <w:t>Clinical claim</w:t>
      </w:r>
    </w:p>
    <w:p w14:paraId="244C391E" w14:textId="1CA512B6" w:rsidR="007D3F4F" w:rsidRPr="00234DD6" w:rsidRDefault="00644201" w:rsidP="00F64363">
      <w:pPr>
        <w:pStyle w:val="NormalBeforeBullet"/>
        <w:rPr>
          <w:rFonts w:ascii="Franklin Gothic Book" w:hAnsi="Franklin Gothic Book"/>
          <w:b/>
          <w:bCs/>
          <w:i/>
          <w:iCs/>
          <w:sz w:val="22"/>
          <w:szCs w:val="22"/>
        </w:rPr>
      </w:pPr>
      <w:proofErr w:type="gramStart"/>
      <w:r w:rsidRPr="00234DD6">
        <w:rPr>
          <w:rFonts w:ascii="Franklin Gothic Book" w:hAnsi="Franklin Gothic Book"/>
          <w:sz w:val="22"/>
          <w:szCs w:val="22"/>
        </w:rPr>
        <w:t>On the basis of</w:t>
      </w:r>
      <w:proofErr w:type="gramEnd"/>
      <w:r w:rsidRPr="00234DD6">
        <w:rPr>
          <w:rFonts w:ascii="Franklin Gothic Book" w:hAnsi="Franklin Gothic Book"/>
          <w:sz w:val="22"/>
          <w:szCs w:val="22"/>
        </w:rPr>
        <w:t xml:space="preserve"> the benefits and harms reported in the evidence base, the </w:t>
      </w:r>
      <w:r w:rsidR="007D3F4F" w:rsidRPr="00234DD6">
        <w:rPr>
          <w:rFonts w:ascii="Franklin Gothic Book" w:hAnsi="Franklin Gothic Book"/>
          <w:sz w:val="22"/>
          <w:szCs w:val="22"/>
        </w:rPr>
        <w:t>r</w:t>
      </w:r>
      <w:r w:rsidRPr="00234DD6">
        <w:rPr>
          <w:rFonts w:ascii="Franklin Gothic Book" w:hAnsi="Franklin Gothic Book"/>
          <w:sz w:val="22"/>
          <w:szCs w:val="22"/>
        </w:rPr>
        <w:t xml:space="preserve">esubmission proposes that, relative to DBS,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has</w:t>
      </w:r>
      <w:r w:rsidR="00D15411" w:rsidRPr="00234DD6">
        <w:rPr>
          <w:rFonts w:ascii="Franklin Gothic Book" w:hAnsi="Franklin Gothic Book"/>
          <w:sz w:val="22"/>
          <w:szCs w:val="22"/>
        </w:rPr>
        <w:t xml:space="preserve"> a different yet</w:t>
      </w:r>
      <w:r w:rsidRPr="00234DD6">
        <w:rPr>
          <w:rFonts w:ascii="Franklin Gothic Book" w:hAnsi="Franklin Gothic Book"/>
          <w:sz w:val="22"/>
          <w:szCs w:val="22"/>
        </w:rPr>
        <w:t xml:space="preserve"> non-inferior safety and non-inferior effectiveness</w:t>
      </w:r>
      <w:r w:rsidRPr="00234DD6">
        <w:rPr>
          <w:rFonts w:ascii="Franklin Gothic Book" w:hAnsi="Franklin Gothic Book"/>
          <w:b/>
          <w:bCs/>
          <w:i/>
          <w:iCs/>
          <w:sz w:val="22"/>
          <w:szCs w:val="22"/>
        </w:rPr>
        <w:t>.</w:t>
      </w:r>
      <w:r w:rsidR="00BB0D8D" w:rsidRPr="00234DD6">
        <w:rPr>
          <w:rFonts w:ascii="Franklin Gothic Book" w:hAnsi="Franklin Gothic Book"/>
          <w:b/>
          <w:bCs/>
          <w:i/>
          <w:iCs/>
          <w:sz w:val="22"/>
          <w:szCs w:val="22"/>
        </w:rPr>
        <w:t xml:space="preserve"> </w:t>
      </w:r>
    </w:p>
    <w:p w14:paraId="23984105" w14:textId="0FDABA49" w:rsidR="007D3F4F" w:rsidRPr="00234DD6" w:rsidRDefault="007D3F4F" w:rsidP="00644201">
      <w:pPr>
        <w:pStyle w:val="5Bodytext"/>
        <w:rPr>
          <w:rFonts w:ascii="Franklin Gothic Book" w:hAnsi="Franklin Gothic Book"/>
          <w:sz w:val="22"/>
          <w:szCs w:val="22"/>
        </w:rPr>
      </w:pPr>
      <w:r w:rsidRPr="00234DD6">
        <w:rPr>
          <w:rFonts w:ascii="Franklin Gothic Book" w:hAnsi="Franklin Gothic Book"/>
          <w:sz w:val="22"/>
          <w:szCs w:val="22"/>
        </w:rPr>
        <w:t xml:space="preserve">The commentary concluded that while the clinical claim presented in the resubmission might be reasonable, uncertainties exist around whether the safety of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relative to DBS should be considered non-inferior or somewhat uncertain.</w:t>
      </w:r>
    </w:p>
    <w:p w14:paraId="15BB7485" w14:textId="77777777" w:rsidR="00D15411" w:rsidRPr="00234DD6" w:rsidRDefault="00BB0D8D" w:rsidP="00BB0D8D">
      <w:pPr>
        <w:spacing w:before="240"/>
        <w:rPr>
          <w:rFonts w:ascii="Franklin Gothic Book" w:hAnsi="Franklin Gothic Book"/>
          <w:iCs/>
          <w:sz w:val="22"/>
          <w:szCs w:val="22"/>
        </w:rPr>
      </w:pPr>
      <w:proofErr w:type="gramStart"/>
      <w:r w:rsidRPr="00234DD6">
        <w:rPr>
          <w:rFonts w:ascii="Franklin Gothic Book" w:hAnsi="Franklin Gothic Book"/>
          <w:sz w:val="22"/>
          <w:szCs w:val="22"/>
        </w:rPr>
        <w:t>On the basis of</w:t>
      </w:r>
      <w:proofErr w:type="gramEnd"/>
      <w:r w:rsidRPr="00234DD6">
        <w:rPr>
          <w:rFonts w:ascii="Franklin Gothic Book" w:hAnsi="Franklin Gothic Book"/>
          <w:sz w:val="22"/>
          <w:szCs w:val="22"/>
        </w:rPr>
        <w:t xml:space="preserve"> the benefits and harms reported in the evidence base, the </w:t>
      </w:r>
      <w:r w:rsidR="007D3F4F" w:rsidRPr="00234DD6">
        <w:rPr>
          <w:rFonts w:ascii="Franklin Gothic Book" w:hAnsi="Franklin Gothic Book"/>
          <w:iCs/>
          <w:sz w:val="22"/>
          <w:szCs w:val="22"/>
        </w:rPr>
        <w:t>r</w:t>
      </w:r>
      <w:r w:rsidRPr="00234DD6">
        <w:rPr>
          <w:rFonts w:ascii="Franklin Gothic Book" w:hAnsi="Franklin Gothic Book"/>
          <w:iCs/>
          <w:sz w:val="22"/>
          <w:szCs w:val="22"/>
        </w:rPr>
        <w:t xml:space="preserve">esubmission </w:t>
      </w:r>
      <w:r w:rsidRPr="00234DD6">
        <w:rPr>
          <w:rFonts w:ascii="Franklin Gothic Book" w:hAnsi="Franklin Gothic Book"/>
          <w:sz w:val="22"/>
          <w:szCs w:val="22"/>
        </w:rPr>
        <w:t xml:space="preserve">proposes that, relative to BSC,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has inferior safety and superior effectiveness. </w:t>
      </w:r>
    </w:p>
    <w:p w14:paraId="51C5EB80" w14:textId="62201A3F" w:rsidR="00D15411" w:rsidRPr="00234DD6" w:rsidRDefault="00BB0D8D" w:rsidP="00BB0D8D">
      <w:pPr>
        <w:spacing w:before="240"/>
        <w:rPr>
          <w:rFonts w:ascii="Franklin Gothic Book" w:hAnsi="Franklin Gothic Book"/>
          <w:sz w:val="22"/>
          <w:szCs w:val="22"/>
        </w:rPr>
      </w:pPr>
      <w:r w:rsidRPr="00234DD6">
        <w:rPr>
          <w:rFonts w:ascii="Franklin Gothic Book" w:hAnsi="Franklin Gothic Book"/>
          <w:iCs/>
          <w:sz w:val="22"/>
          <w:szCs w:val="22"/>
        </w:rPr>
        <w:t xml:space="preserve">The commentary concluded that the claim for </w:t>
      </w:r>
      <w:proofErr w:type="spellStart"/>
      <w:r w:rsidR="007315E6" w:rsidRPr="00234DD6">
        <w:rPr>
          <w:rFonts w:ascii="Franklin Gothic Book" w:hAnsi="Franklin Gothic Book"/>
          <w:iCs/>
          <w:sz w:val="22"/>
          <w:szCs w:val="22"/>
        </w:rPr>
        <w:t>MRgFUS</w:t>
      </w:r>
      <w:proofErr w:type="spellEnd"/>
      <w:r w:rsidR="007315E6" w:rsidRPr="00234DD6">
        <w:rPr>
          <w:rFonts w:ascii="Franklin Gothic Book" w:hAnsi="Franklin Gothic Book"/>
          <w:iCs/>
          <w:sz w:val="22"/>
          <w:szCs w:val="22"/>
        </w:rPr>
        <w:t xml:space="preserve"> vs BSC</w:t>
      </w:r>
      <w:r w:rsidRPr="00234DD6">
        <w:rPr>
          <w:rFonts w:ascii="Franklin Gothic Book" w:hAnsi="Franklin Gothic Book"/>
          <w:iCs/>
          <w:sz w:val="22"/>
          <w:szCs w:val="22"/>
        </w:rPr>
        <w:t xml:space="preserve"> presented in the resubmission is reasonable</w:t>
      </w:r>
      <w:r w:rsidR="007D3F4F" w:rsidRPr="00234DD6">
        <w:rPr>
          <w:rFonts w:ascii="Franklin Gothic Book" w:hAnsi="Franklin Gothic Book"/>
          <w:iCs/>
          <w:sz w:val="22"/>
          <w:szCs w:val="22"/>
        </w:rPr>
        <w:t xml:space="preserve"> but noted that t</w:t>
      </w:r>
      <w:r w:rsidRPr="00234DD6">
        <w:rPr>
          <w:rFonts w:ascii="Franklin Gothic Book" w:hAnsi="Franklin Gothic Book"/>
          <w:iCs/>
          <w:sz w:val="22"/>
          <w:szCs w:val="22"/>
        </w:rPr>
        <w:t xml:space="preserve">he quality of evidence is moderate for </w:t>
      </w:r>
      <w:proofErr w:type="spellStart"/>
      <w:r w:rsidR="007315E6" w:rsidRPr="00234DD6">
        <w:rPr>
          <w:rFonts w:ascii="Franklin Gothic Book" w:hAnsi="Franklin Gothic Book"/>
          <w:iCs/>
          <w:sz w:val="22"/>
          <w:szCs w:val="22"/>
        </w:rPr>
        <w:t>MRgFUS</w:t>
      </w:r>
      <w:proofErr w:type="spellEnd"/>
      <w:r w:rsidR="007315E6" w:rsidRPr="00234DD6">
        <w:rPr>
          <w:rFonts w:ascii="Franklin Gothic Book" w:hAnsi="Franklin Gothic Book"/>
          <w:iCs/>
          <w:sz w:val="22"/>
          <w:szCs w:val="22"/>
        </w:rPr>
        <w:t xml:space="preserve"> vs BSC</w:t>
      </w:r>
      <w:r w:rsidRPr="00234DD6">
        <w:rPr>
          <w:rFonts w:ascii="Franklin Gothic Book" w:hAnsi="Franklin Gothic Book"/>
          <w:iCs/>
          <w:sz w:val="22"/>
          <w:szCs w:val="22"/>
        </w:rPr>
        <w:t xml:space="preserve"> due to concerns about the methodological quality (high risk of bias).</w:t>
      </w:r>
    </w:p>
    <w:p w14:paraId="0FCBFB84" w14:textId="049BC8B8" w:rsidR="00BC33B5" w:rsidRPr="006431C1" w:rsidRDefault="00BB0D8D" w:rsidP="00234DD6">
      <w:pPr>
        <w:pStyle w:val="Heading2"/>
        <w:spacing w:before="240" w:after="240"/>
        <w:rPr>
          <w:rFonts w:ascii="Franklin Gothic Book" w:hAnsi="Franklin Gothic Book"/>
        </w:rPr>
      </w:pPr>
      <w:r w:rsidRPr="006431C1">
        <w:rPr>
          <w:rFonts w:ascii="Franklin Gothic Book" w:hAnsi="Franklin Gothic Book"/>
        </w:rPr>
        <w:lastRenderedPageBreak/>
        <w:t>Translation issues</w:t>
      </w:r>
    </w:p>
    <w:p w14:paraId="1A28FA21" w14:textId="322FB8EF" w:rsidR="007D10A5" w:rsidRPr="00234DD6" w:rsidRDefault="00E54B84" w:rsidP="00F64363">
      <w:pPr>
        <w:pStyle w:val="NormalBeforeBullet"/>
        <w:rPr>
          <w:rFonts w:ascii="Franklin Gothic Book" w:hAnsi="Franklin Gothic Book"/>
          <w:sz w:val="22"/>
          <w:szCs w:val="22"/>
        </w:rPr>
      </w:pPr>
      <w:r w:rsidRPr="00234DD6">
        <w:rPr>
          <w:rFonts w:ascii="Franklin Gothic Book" w:hAnsi="Franklin Gothic Book"/>
          <w:sz w:val="22"/>
          <w:szCs w:val="22"/>
        </w:rPr>
        <w:t xml:space="preserve">The </w:t>
      </w:r>
      <w:r w:rsidR="00B31172" w:rsidRPr="00234DD6">
        <w:rPr>
          <w:rFonts w:ascii="Franklin Gothic Book" w:hAnsi="Franklin Gothic Book"/>
          <w:sz w:val="22"/>
          <w:szCs w:val="22"/>
        </w:rPr>
        <w:t>resubmission’s summary of modelling inputs and assumptions derived in Section C pre</w:t>
      </w:r>
      <w:r w:rsidR="00900B3C" w:rsidRPr="00234DD6">
        <w:rPr>
          <w:rFonts w:ascii="Franklin Gothic Book" w:hAnsi="Franklin Gothic Book"/>
          <w:sz w:val="22"/>
          <w:szCs w:val="22"/>
        </w:rPr>
        <w:t>-</w:t>
      </w:r>
      <w:r w:rsidR="00B31172" w:rsidRPr="00234DD6">
        <w:rPr>
          <w:rFonts w:ascii="Franklin Gothic Book" w:hAnsi="Franklin Gothic Book"/>
          <w:sz w:val="22"/>
          <w:szCs w:val="22"/>
        </w:rPr>
        <w:t xml:space="preserve">modelling studies </w:t>
      </w:r>
      <w:r w:rsidRPr="00234DD6">
        <w:rPr>
          <w:rFonts w:ascii="Franklin Gothic Book" w:hAnsi="Franklin Gothic Book"/>
          <w:sz w:val="22"/>
          <w:szCs w:val="22"/>
        </w:rPr>
        <w:t xml:space="preserve">are summarised in Table </w:t>
      </w:r>
      <w:r w:rsidR="000160F4" w:rsidRPr="00234DD6">
        <w:rPr>
          <w:rFonts w:ascii="Franklin Gothic Book" w:hAnsi="Franklin Gothic Book"/>
          <w:sz w:val="22"/>
          <w:szCs w:val="22"/>
        </w:rPr>
        <w:t>9</w:t>
      </w:r>
      <w:r w:rsidRPr="00234DD6">
        <w:rPr>
          <w:rFonts w:ascii="Franklin Gothic Book" w:hAnsi="Franklin Gothic Book"/>
          <w:sz w:val="22"/>
          <w:szCs w:val="22"/>
        </w:rPr>
        <w:t>.</w:t>
      </w:r>
    </w:p>
    <w:p w14:paraId="6F41FDCF" w14:textId="67B68EEE" w:rsidR="00E54B84" w:rsidRPr="00234DD6" w:rsidRDefault="00E54B84" w:rsidP="00234DD6">
      <w:pPr>
        <w:pStyle w:val="Caption"/>
        <w:spacing w:before="240"/>
      </w:pPr>
      <w:bookmarkStart w:id="25" w:name="_Ref59206286"/>
      <w:bookmarkStart w:id="26" w:name="_Toc59543575"/>
      <w:bookmarkStart w:id="27" w:name="_Toc92902639"/>
      <w:r w:rsidRPr="00234DD6">
        <w:t xml:space="preserve">Table </w:t>
      </w:r>
      <w:bookmarkEnd w:id="25"/>
      <w:r w:rsidR="000160F4" w:rsidRPr="00234DD6">
        <w:t>9</w:t>
      </w:r>
      <w:r w:rsidRPr="00234DD6">
        <w:tab/>
      </w:r>
      <w:r w:rsidR="00D933E3" w:rsidRPr="00234DD6">
        <w:t>Summary of t</w:t>
      </w:r>
      <w:r w:rsidRPr="00234DD6">
        <w:t>ranslation issues</w:t>
      </w:r>
      <w:bookmarkEnd w:id="26"/>
      <w:bookmarkEnd w:id="27"/>
    </w:p>
    <w:tbl>
      <w:tblPr>
        <w:tblStyle w:val="TableGrid"/>
        <w:tblW w:w="0" w:type="auto"/>
        <w:tblLook w:val="04A0" w:firstRow="1" w:lastRow="0" w:firstColumn="1" w:lastColumn="0" w:noHBand="0" w:noVBand="1"/>
      </w:tblPr>
      <w:tblGrid>
        <w:gridCol w:w="2044"/>
        <w:gridCol w:w="2233"/>
        <w:gridCol w:w="2386"/>
        <w:gridCol w:w="2353"/>
      </w:tblGrid>
      <w:tr w:rsidR="00B31172" w:rsidRPr="00234DD6" w14:paraId="34FCDDD5" w14:textId="77777777" w:rsidTr="00B31172">
        <w:trPr>
          <w:cantSplit/>
          <w:tblHeader/>
        </w:trPr>
        <w:tc>
          <w:tcPr>
            <w:tcW w:w="2044" w:type="dxa"/>
            <w:vMerge w:val="restart"/>
            <w:tcBorders>
              <w:top w:val="single" w:sz="4" w:space="0" w:color="auto"/>
              <w:left w:val="single" w:sz="4" w:space="0" w:color="auto"/>
              <w:bottom w:val="single" w:sz="4" w:space="0" w:color="auto"/>
              <w:right w:val="single" w:sz="4" w:space="0" w:color="auto"/>
            </w:tcBorders>
            <w:hideMark/>
          </w:tcPr>
          <w:p w14:paraId="43938111" w14:textId="77777777" w:rsidR="00B31172" w:rsidRPr="00234DD6" w:rsidRDefault="00B31172" w:rsidP="007379FE">
            <w:pPr>
              <w:pStyle w:val="Tablenotes"/>
            </w:pPr>
            <w:r w:rsidRPr="00234DD6">
              <w:t>Model Parameter</w:t>
            </w:r>
          </w:p>
        </w:tc>
        <w:tc>
          <w:tcPr>
            <w:tcW w:w="4619" w:type="dxa"/>
            <w:gridSpan w:val="2"/>
            <w:tcBorders>
              <w:top w:val="single" w:sz="4" w:space="0" w:color="auto"/>
              <w:left w:val="single" w:sz="4" w:space="0" w:color="auto"/>
              <w:bottom w:val="single" w:sz="4" w:space="0" w:color="auto"/>
              <w:right w:val="single" w:sz="4" w:space="0" w:color="auto"/>
            </w:tcBorders>
            <w:hideMark/>
          </w:tcPr>
          <w:p w14:paraId="0CCB4950" w14:textId="77777777" w:rsidR="00B31172" w:rsidRPr="00234DD6" w:rsidRDefault="00B31172" w:rsidP="007379FE">
            <w:pPr>
              <w:pStyle w:val="Tablenotes"/>
            </w:pPr>
            <w:r w:rsidRPr="00234DD6">
              <w:t>Base case model input</w:t>
            </w:r>
          </w:p>
        </w:tc>
        <w:tc>
          <w:tcPr>
            <w:tcW w:w="2353" w:type="dxa"/>
            <w:vMerge w:val="restart"/>
            <w:tcBorders>
              <w:top w:val="single" w:sz="4" w:space="0" w:color="auto"/>
              <w:left w:val="single" w:sz="4" w:space="0" w:color="auto"/>
              <w:bottom w:val="single" w:sz="4" w:space="0" w:color="auto"/>
              <w:right w:val="single" w:sz="4" w:space="0" w:color="auto"/>
            </w:tcBorders>
            <w:hideMark/>
          </w:tcPr>
          <w:p w14:paraId="6DC83742" w14:textId="77777777" w:rsidR="00B31172" w:rsidRPr="00234DD6" w:rsidRDefault="00B31172" w:rsidP="007379FE">
            <w:pPr>
              <w:pStyle w:val="Tablenotes"/>
            </w:pPr>
            <w:r w:rsidRPr="00234DD6">
              <w:t>Source/Justification</w:t>
            </w:r>
          </w:p>
        </w:tc>
      </w:tr>
      <w:tr w:rsidR="00B31172" w:rsidRPr="00234DD6" w14:paraId="6E107DA4" w14:textId="77777777" w:rsidTr="00B31172">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6FBC9" w14:textId="77777777" w:rsidR="00B31172" w:rsidRPr="00234DD6" w:rsidRDefault="00B31172">
            <w:pPr>
              <w:rPr>
                <w:rFonts w:ascii="Arial Narrow" w:hAnsi="Arial Narrow" w:cs="Arial"/>
                <w:b/>
                <w:bCs/>
                <w:sz w:val="20"/>
                <w:lang w:eastAsia="en-US"/>
              </w:rPr>
            </w:pPr>
          </w:p>
        </w:tc>
        <w:tc>
          <w:tcPr>
            <w:tcW w:w="2233" w:type="dxa"/>
            <w:tcBorders>
              <w:top w:val="single" w:sz="4" w:space="0" w:color="auto"/>
              <w:left w:val="single" w:sz="4" w:space="0" w:color="auto"/>
              <w:bottom w:val="single" w:sz="4" w:space="0" w:color="auto"/>
              <w:right w:val="single" w:sz="4" w:space="0" w:color="auto"/>
            </w:tcBorders>
            <w:hideMark/>
          </w:tcPr>
          <w:p w14:paraId="49862BD4" w14:textId="77777777" w:rsidR="00B31172" w:rsidRPr="00234DD6" w:rsidRDefault="00B31172" w:rsidP="007379FE">
            <w:pPr>
              <w:pStyle w:val="Tablenotes"/>
            </w:pPr>
            <w:proofErr w:type="spellStart"/>
            <w:r w:rsidRPr="00234DD6">
              <w:t>MRgFUS</w:t>
            </w:r>
            <w:proofErr w:type="spellEnd"/>
          </w:p>
        </w:tc>
        <w:tc>
          <w:tcPr>
            <w:tcW w:w="2386" w:type="dxa"/>
            <w:tcBorders>
              <w:top w:val="single" w:sz="4" w:space="0" w:color="auto"/>
              <w:left w:val="single" w:sz="4" w:space="0" w:color="auto"/>
              <w:bottom w:val="single" w:sz="4" w:space="0" w:color="auto"/>
              <w:right w:val="single" w:sz="4" w:space="0" w:color="auto"/>
            </w:tcBorders>
            <w:hideMark/>
          </w:tcPr>
          <w:p w14:paraId="3B4C4DBD" w14:textId="77777777" w:rsidR="00B31172" w:rsidRPr="00234DD6" w:rsidRDefault="00B31172" w:rsidP="007379FE">
            <w:pPr>
              <w:pStyle w:val="Tablenotes"/>
            </w:pPr>
            <w:r w:rsidRPr="00234DD6">
              <w:t>DBS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F30CF" w14:textId="77777777" w:rsidR="00B31172" w:rsidRPr="00234DD6" w:rsidRDefault="00B31172">
            <w:pPr>
              <w:rPr>
                <w:rFonts w:ascii="Arial Narrow" w:hAnsi="Arial Narrow" w:cs="Arial"/>
                <w:b/>
                <w:bCs/>
                <w:sz w:val="20"/>
                <w:lang w:eastAsia="en-US"/>
              </w:rPr>
            </w:pPr>
          </w:p>
        </w:tc>
      </w:tr>
      <w:tr w:rsidR="00B31172" w:rsidRPr="00234DD6" w14:paraId="648B25A9" w14:textId="77777777" w:rsidTr="00B31172">
        <w:tc>
          <w:tcPr>
            <w:tcW w:w="9016" w:type="dxa"/>
            <w:gridSpan w:val="4"/>
            <w:tcBorders>
              <w:top w:val="single" w:sz="4" w:space="0" w:color="auto"/>
              <w:left w:val="single" w:sz="4" w:space="0" w:color="auto"/>
              <w:bottom w:val="single" w:sz="4" w:space="0" w:color="auto"/>
              <w:right w:val="single" w:sz="4" w:space="0" w:color="auto"/>
            </w:tcBorders>
            <w:hideMark/>
          </w:tcPr>
          <w:p w14:paraId="09B0F3F1" w14:textId="77777777" w:rsidR="00B31172" w:rsidRPr="00234DD6" w:rsidRDefault="00B31172" w:rsidP="007379FE">
            <w:pPr>
              <w:pStyle w:val="Tablenotes"/>
            </w:pPr>
            <w:r w:rsidRPr="00234DD6">
              <w:t>Treatment effect</w:t>
            </w:r>
          </w:p>
        </w:tc>
      </w:tr>
      <w:tr w:rsidR="00B31172" w:rsidRPr="00234DD6" w14:paraId="7A474947" w14:textId="77777777" w:rsidTr="00B31172">
        <w:tc>
          <w:tcPr>
            <w:tcW w:w="2044" w:type="dxa"/>
            <w:tcBorders>
              <w:top w:val="single" w:sz="4" w:space="0" w:color="auto"/>
              <w:left w:val="single" w:sz="4" w:space="0" w:color="auto"/>
              <w:bottom w:val="single" w:sz="4" w:space="0" w:color="auto"/>
              <w:right w:val="single" w:sz="4" w:space="0" w:color="auto"/>
            </w:tcBorders>
            <w:hideMark/>
          </w:tcPr>
          <w:p w14:paraId="4930BEAD" w14:textId="77777777" w:rsidR="00B31172" w:rsidRPr="00234DD6" w:rsidRDefault="00B31172" w:rsidP="007379FE">
            <w:pPr>
              <w:pStyle w:val="Tablenotes"/>
            </w:pPr>
            <w:r w:rsidRPr="00234DD6">
              <w:t xml:space="preserve">Short-term efficacy of </w:t>
            </w:r>
            <w:proofErr w:type="spellStart"/>
            <w:r w:rsidRPr="00234DD6">
              <w:t>MRgFUS</w:t>
            </w:r>
            <w:proofErr w:type="spellEnd"/>
            <w:r w:rsidRPr="00234DD6">
              <w:t xml:space="preserve"> and DBS </w:t>
            </w:r>
          </w:p>
        </w:tc>
        <w:tc>
          <w:tcPr>
            <w:tcW w:w="4619" w:type="dxa"/>
            <w:gridSpan w:val="2"/>
            <w:tcBorders>
              <w:top w:val="single" w:sz="4" w:space="0" w:color="auto"/>
              <w:left w:val="single" w:sz="4" w:space="0" w:color="auto"/>
              <w:bottom w:val="single" w:sz="4" w:space="0" w:color="auto"/>
              <w:right w:val="single" w:sz="4" w:space="0" w:color="auto"/>
            </w:tcBorders>
            <w:hideMark/>
          </w:tcPr>
          <w:p w14:paraId="6E0FDD78" w14:textId="77777777" w:rsidR="00B31172" w:rsidRPr="00234DD6" w:rsidRDefault="00B31172" w:rsidP="007379FE">
            <w:pPr>
              <w:pStyle w:val="Tablenotes"/>
            </w:pPr>
            <w:r w:rsidRPr="00234DD6">
              <w:t xml:space="preserve">Health state occupancy post-treatment with </w:t>
            </w:r>
            <w:proofErr w:type="spellStart"/>
            <w:r w:rsidRPr="00234DD6">
              <w:t>MRgFUS</w:t>
            </w:r>
            <w:proofErr w:type="spellEnd"/>
            <w:r w:rsidRPr="00234DD6">
              <w:t xml:space="preserve"> or DBS procedures for ET:</w:t>
            </w:r>
          </w:p>
          <w:p w14:paraId="71B030A3" w14:textId="77777777" w:rsidR="00B31172" w:rsidRPr="00234DD6" w:rsidRDefault="00B31172" w:rsidP="007379FE">
            <w:pPr>
              <w:pStyle w:val="Tablenotes"/>
            </w:pPr>
            <w:r w:rsidRPr="00234DD6">
              <w:t>• 53% will experience marked improvement in ET</w:t>
            </w:r>
          </w:p>
          <w:p w14:paraId="0F46DAB9" w14:textId="77777777" w:rsidR="00B31172" w:rsidRPr="00234DD6" w:rsidRDefault="00B31172" w:rsidP="007379FE">
            <w:pPr>
              <w:pStyle w:val="Tablenotes"/>
            </w:pPr>
            <w:r w:rsidRPr="00234DD6">
              <w:t>• 47% will experience mild or moderate improvement in ET</w:t>
            </w:r>
          </w:p>
        </w:tc>
        <w:tc>
          <w:tcPr>
            <w:tcW w:w="2353" w:type="dxa"/>
            <w:tcBorders>
              <w:top w:val="single" w:sz="4" w:space="0" w:color="auto"/>
              <w:left w:val="single" w:sz="4" w:space="0" w:color="auto"/>
              <w:bottom w:val="single" w:sz="4" w:space="0" w:color="auto"/>
              <w:right w:val="single" w:sz="4" w:space="0" w:color="auto"/>
            </w:tcBorders>
            <w:hideMark/>
          </w:tcPr>
          <w:p w14:paraId="2C41A846" w14:textId="77777777" w:rsidR="00B31172" w:rsidRPr="00234DD6" w:rsidRDefault="00B31172">
            <w:pPr>
              <w:pStyle w:val="Default"/>
              <w:spacing w:before="40" w:after="40"/>
              <w:jc w:val="both"/>
              <w:rPr>
                <w:sz w:val="20"/>
                <w:szCs w:val="20"/>
              </w:rPr>
            </w:pPr>
            <w:r w:rsidRPr="00234DD6">
              <w:rPr>
                <w:sz w:val="20"/>
                <w:szCs w:val="20"/>
              </w:rPr>
              <w:t xml:space="preserve">Section C.2 </w:t>
            </w:r>
          </w:p>
          <w:p w14:paraId="6DE160B1" w14:textId="77777777" w:rsidR="00B31172" w:rsidRPr="00234DD6" w:rsidRDefault="00B31172" w:rsidP="007379FE">
            <w:pPr>
              <w:pStyle w:val="Tablenotes"/>
            </w:pPr>
            <w:r w:rsidRPr="00234DD6">
              <w:t xml:space="preserve">Based on the assumptions in the OHTAS model </w:t>
            </w:r>
          </w:p>
        </w:tc>
      </w:tr>
      <w:tr w:rsidR="00B31172" w:rsidRPr="00234DD6" w14:paraId="2BCD61EE" w14:textId="77777777" w:rsidTr="00B31172">
        <w:tc>
          <w:tcPr>
            <w:tcW w:w="2044" w:type="dxa"/>
            <w:tcBorders>
              <w:top w:val="single" w:sz="4" w:space="0" w:color="auto"/>
              <w:left w:val="single" w:sz="4" w:space="0" w:color="auto"/>
              <w:bottom w:val="single" w:sz="4" w:space="0" w:color="auto"/>
              <w:right w:val="single" w:sz="4" w:space="0" w:color="auto"/>
            </w:tcBorders>
            <w:hideMark/>
          </w:tcPr>
          <w:p w14:paraId="1BD3270D" w14:textId="77777777" w:rsidR="00B31172" w:rsidRPr="00234DD6" w:rsidRDefault="00B31172" w:rsidP="007379FE">
            <w:pPr>
              <w:pStyle w:val="Tablenotes"/>
            </w:pPr>
            <w:r w:rsidRPr="00234DD6">
              <w:t xml:space="preserve">Rates of recurrence in </w:t>
            </w:r>
            <w:proofErr w:type="spellStart"/>
            <w:r w:rsidRPr="00234DD6">
              <w:t>MRgFUS</w:t>
            </w:r>
            <w:proofErr w:type="spellEnd"/>
            <w:r w:rsidRPr="00234DD6">
              <w:t xml:space="preserve"> and DBS patients </w:t>
            </w:r>
          </w:p>
        </w:tc>
        <w:tc>
          <w:tcPr>
            <w:tcW w:w="4619" w:type="dxa"/>
            <w:gridSpan w:val="2"/>
            <w:tcBorders>
              <w:top w:val="single" w:sz="4" w:space="0" w:color="auto"/>
              <w:left w:val="single" w:sz="4" w:space="0" w:color="auto"/>
              <w:bottom w:val="single" w:sz="4" w:space="0" w:color="auto"/>
              <w:right w:val="single" w:sz="4" w:space="0" w:color="auto"/>
            </w:tcBorders>
            <w:hideMark/>
          </w:tcPr>
          <w:p w14:paraId="0E8DD3C0" w14:textId="77777777" w:rsidR="00B31172" w:rsidRPr="00234DD6" w:rsidRDefault="00B31172" w:rsidP="007379FE">
            <w:pPr>
              <w:pStyle w:val="Tablenotes"/>
            </w:pPr>
            <w:r w:rsidRPr="00234DD6">
              <w:t xml:space="preserve">Rates of recurrence are equal between </w:t>
            </w:r>
            <w:proofErr w:type="spellStart"/>
            <w:r w:rsidRPr="00234DD6">
              <w:t>MRgFUS</w:t>
            </w:r>
            <w:proofErr w:type="spellEnd"/>
            <w:r w:rsidRPr="00234DD6">
              <w:t xml:space="preserve"> and DBS</w:t>
            </w:r>
          </w:p>
          <w:p w14:paraId="72011ECD" w14:textId="77777777" w:rsidR="00B31172" w:rsidRPr="00234DD6" w:rsidRDefault="00B31172" w:rsidP="007379FE">
            <w:pPr>
              <w:pStyle w:val="Tablenotes"/>
            </w:pPr>
            <w:r w:rsidRPr="00234DD6">
              <w:t>• Year 1 = 8.9%</w:t>
            </w:r>
          </w:p>
          <w:p w14:paraId="30078533" w14:textId="77777777" w:rsidR="00B31172" w:rsidRPr="00234DD6" w:rsidRDefault="00B31172" w:rsidP="007379FE">
            <w:pPr>
              <w:pStyle w:val="Tablenotes"/>
            </w:pPr>
            <w:r w:rsidRPr="00234DD6">
              <w:t>• Year 2 – 5 = 1.36%</w:t>
            </w:r>
          </w:p>
        </w:tc>
        <w:tc>
          <w:tcPr>
            <w:tcW w:w="2353" w:type="dxa"/>
            <w:tcBorders>
              <w:top w:val="single" w:sz="4" w:space="0" w:color="auto"/>
              <w:left w:val="single" w:sz="4" w:space="0" w:color="auto"/>
              <w:bottom w:val="single" w:sz="4" w:space="0" w:color="auto"/>
              <w:right w:val="single" w:sz="4" w:space="0" w:color="auto"/>
            </w:tcBorders>
            <w:hideMark/>
          </w:tcPr>
          <w:p w14:paraId="2B8DD091" w14:textId="77777777" w:rsidR="00B31172" w:rsidRPr="00234DD6" w:rsidRDefault="00B31172">
            <w:pPr>
              <w:pStyle w:val="Default"/>
              <w:spacing w:before="40" w:after="40"/>
              <w:jc w:val="both"/>
              <w:rPr>
                <w:sz w:val="20"/>
                <w:szCs w:val="20"/>
              </w:rPr>
            </w:pPr>
            <w:r w:rsidRPr="00234DD6">
              <w:rPr>
                <w:sz w:val="20"/>
                <w:szCs w:val="20"/>
              </w:rPr>
              <w:t xml:space="preserve">Section C.2 </w:t>
            </w:r>
          </w:p>
          <w:p w14:paraId="7A8718BF" w14:textId="77777777" w:rsidR="00B31172" w:rsidRPr="00234DD6" w:rsidRDefault="00B31172" w:rsidP="007379FE">
            <w:pPr>
              <w:pStyle w:val="Tablenotes"/>
            </w:pPr>
            <w:r w:rsidRPr="00234DD6">
              <w:t xml:space="preserve">Section D model applies conservative assumption of equal rates of recurrence based on </w:t>
            </w:r>
            <w:proofErr w:type="spellStart"/>
            <w:r w:rsidRPr="00234DD6">
              <w:t>MRgFUS</w:t>
            </w:r>
            <w:proofErr w:type="spellEnd"/>
            <w:r w:rsidRPr="00234DD6">
              <w:t xml:space="preserve"> RCT data. </w:t>
            </w:r>
          </w:p>
        </w:tc>
      </w:tr>
      <w:tr w:rsidR="00B31172" w:rsidRPr="00234DD6" w14:paraId="25E51468" w14:textId="77777777" w:rsidTr="00B31172">
        <w:tc>
          <w:tcPr>
            <w:tcW w:w="2044" w:type="dxa"/>
            <w:tcBorders>
              <w:top w:val="single" w:sz="4" w:space="0" w:color="auto"/>
              <w:left w:val="single" w:sz="4" w:space="0" w:color="auto"/>
              <w:bottom w:val="single" w:sz="4" w:space="0" w:color="auto"/>
              <w:right w:val="single" w:sz="4" w:space="0" w:color="auto"/>
            </w:tcBorders>
            <w:hideMark/>
          </w:tcPr>
          <w:p w14:paraId="0132BBC2" w14:textId="77777777" w:rsidR="00B31172" w:rsidRPr="00234DD6" w:rsidRDefault="00B31172" w:rsidP="007379FE">
            <w:pPr>
              <w:pStyle w:val="Tablenotes"/>
            </w:pPr>
            <w:r w:rsidRPr="00234DD6">
              <w:t xml:space="preserve">Rates of reoperation in patients that experience a tremor recurrence </w:t>
            </w:r>
          </w:p>
        </w:tc>
        <w:tc>
          <w:tcPr>
            <w:tcW w:w="4619" w:type="dxa"/>
            <w:gridSpan w:val="2"/>
            <w:tcBorders>
              <w:top w:val="single" w:sz="4" w:space="0" w:color="auto"/>
              <w:left w:val="single" w:sz="4" w:space="0" w:color="auto"/>
              <w:bottom w:val="single" w:sz="4" w:space="0" w:color="auto"/>
              <w:right w:val="single" w:sz="4" w:space="0" w:color="auto"/>
            </w:tcBorders>
            <w:hideMark/>
          </w:tcPr>
          <w:p w14:paraId="1259C238" w14:textId="77777777" w:rsidR="00B31172" w:rsidRPr="00234DD6" w:rsidRDefault="00B31172" w:rsidP="007379FE">
            <w:pPr>
              <w:pStyle w:val="Tablenotes"/>
            </w:pPr>
            <w:r w:rsidRPr="00234DD6">
              <w:t>40%</w:t>
            </w:r>
          </w:p>
        </w:tc>
        <w:tc>
          <w:tcPr>
            <w:tcW w:w="2353" w:type="dxa"/>
            <w:tcBorders>
              <w:top w:val="single" w:sz="4" w:space="0" w:color="auto"/>
              <w:left w:val="single" w:sz="4" w:space="0" w:color="auto"/>
              <w:bottom w:val="single" w:sz="4" w:space="0" w:color="auto"/>
              <w:right w:val="single" w:sz="4" w:space="0" w:color="auto"/>
            </w:tcBorders>
            <w:hideMark/>
          </w:tcPr>
          <w:p w14:paraId="187C8F6D" w14:textId="77777777" w:rsidR="00B31172" w:rsidRPr="00234DD6" w:rsidRDefault="00B31172">
            <w:pPr>
              <w:pStyle w:val="Default"/>
              <w:spacing w:before="40" w:after="40"/>
              <w:jc w:val="both"/>
              <w:rPr>
                <w:sz w:val="20"/>
                <w:szCs w:val="20"/>
              </w:rPr>
            </w:pPr>
            <w:r w:rsidRPr="00234DD6">
              <w:rPr>
                <w:sz w:val="20"/>
                <w:szCs w:val="20"/>
              </w:rPr>
              <w:t xml:space="preserve">Section C.2 </w:t>
            </w:r>
          </w:p>
          <w:p w14:paraId="7D970699" w14:textId="77777777" w:rsidR="00B31172" w:rsidRPr="00234DD6" w:rsidRDefault="00B31172" w:rsidP="007379FE">
            <w:pPr>
              <w:pStyle w:val="Tablenotes"/>
            </w:pPr>
            <w:r w:rsidRPr="00234DD6">
              <w:t xml:space="preserve">Based on assumptions in OHTAS model. </w:t>
            </w:r>
          </w:p>
        </w:tc>
      </w:tr>
      <w:tr w:rsidR="00B31172" w:rsidRPr="00234DD6" w14:paraId="761E5443" w14:textId="77777777" w:rsidTr="00B31172">
        <w:tc>
          <w:tcPr>
            <w:tcW w:w="9016" w:type="dxa"/>
            <w:gridSpan w:val="4"/>
            <w:tcBorders>
              <w:top w:val="single" w:sz="4" w:space="0" w:color="auto"/>
              <w:left w:val="single" w:sz="4" w:space="0" w:color="auto"/>
              <w:bottom w:val="single" w:sz="4" w:space="0" w:color="auto"/>
              <w:right w:val="single" w:sz="4" w:space="0" w:color="auto"/>
            </w:tcBorders>
            <w:hideMark/>
          </w:tcPr>
          <w:p w14:paraId="604C9C8A" w14:textId="77777777" w:rsidR="00B31172" w:rsidRPr="00234DD6" w:rsidRDefault="00B31172" w:rsidP="007379FE">
            <w:pPr>
              <w:pStyle w:val="Tablenotes"/>
            </w:pPr>
            <w:r w:rsidRPr="00234DD6">
              <w:t>Short-term treatment-related adverse events – resolve in first year post-treatment</w:t>
            </w:r>
          </w:p>
        </w:tc>
      </w:tr>
      <w:tr w:rsidR="00B31172" w:rsidRPr="00234DD6" w14:paraId="019E3E25" w14:textId="77777777" w:rsidTr="00B31172">
        <w:tc>
          <w:tcPr>
            <w:tcW w:w="2044" w:type="dxa"/>
            <w:tcBorders>
              <w:top w:val="single" w:sz="4" w:space="0" w:color="auto"/>
              <w:left w:val="single" w:sz="4" w:space="0" w:color="auto"/>
              <w:bottom w:val="single" w:sz="4" w:space="0" w:color="auto"/>
              <w:right w:val="single" w:sz="4" w:space="0" w:color="auto"/>
            </w:tcBorders>
            <w:hideMark/>
          </w:tcPr>
          <w:p w14:paraId="04939165" w14:textId="77777777" w:rsidR="00B31172" w:rsidRPr="00A54637" w:rsidRDefault="00B31172" w:rsidP="007379FE">
            <w:pPr>
              <w:pStyle w:val="Tablenotes"/>
            </w:pPr>
            <w:r w:rsidRPr="00A54637">
              <w:t xml:space="preserve">Short-term adverse event rates in </w:t>
            </w:r>
            <w:proofErr w:type="spellStart"/>
            <w:r w:rsidRPr="00A54637">
              <w:t>MRgFUS</w:t>
            </w:r>
            <w:proofErr w:type="spellEnd"/>
            <w:r w:rsidRPr="00A54637">
              <w:t xml:space="preserve"> and DBS patients (resolve in first year) </w:t>
            </w:r>
          </w:p>
        </w:tc>
        <w:tc>
          <w:tcPr>
            <w:tcW w:w="2233" w:type="dxa"/>
            <w:tcBorders>
              <w:top w:val="single" w:sz="4" w:space="0" w:color="auto"/>
              <w:left w:val="single" w:sz="4" w:space="0" w:color="auto"/>
              <w:bottom w:val="single" w:sz="4" w:space="0" w:color="auto"/>
              <w:right w:val="single" w:sz="4" w:space="0" w:color="auto"/>
            </w:tcBorders>
            <w:hideMark/>
          </w:tcPr>
          <w:p w14:paraId="2C3D7754" w14:textId="77777777" w:rsidR="00B31172" w:rsidRPr="00A54637" w:rsidRDefault="00B31172">
            <w:pPr>
              <w:pStyle w:val="Default"/>
              <w:spacing w:before="40" w:after="40"/>
              <w:jc w:val="both"/>
              <w:rPr>
                <w:sz w:val="20"/>
                <w:szCs w:val="20"/>
              </w:rPr>
            </w:pPr>
            <w:r w:rsidRPr="00A54637">
              <w:rPr>
                <w:sz w:val="20"/>
                <w:szCs w:val="20"/>
              </w:rPr>
              <w:t xml:space="preserve">Dysarthria/dysphagia 5.5% </w:t>
            </w:r>
          </w:p>
          <w:p w14:paraId="4D17AEBA" w14:textId="77777777" w:rsidR="00B31172" w:rsidRPr="00A54637" w:rsidRDefault="00B31172">
            <w:pPr>
              <w:pStyle w:val="Default"/>
              <w:spacing w:before="40" w:after="40"/>
              <w:jc w:val="both"/>
              <w:rPr>
                <w:sz w:val="20"/>
                <w:szCs w:val="20"/>
              </w:rPr>
            </w:pPr>
            <w:r w:rsidRPr="00A54637">
              <w:rPr>
                <w:sz w:val="20"/>
                <w:szCs w:val="20"/>
              </w:rPr>
              <w:t xml:space="preserve">Paraesthesia 18.6% </w:t>
            </w:r>
          </w:p>
          <w:p w14:paraId="2096EDEA" w14:textId="77777777" w:rsidR="00B31172" w:rsidRPr="00A54637" w:rsidRDefault="00B31172">
            <w:pPr>
              <w:pStyle w:val="Default"/>
              <w:spacing w:before="40" w:after="40"/>
              <w:jc w:val="both"/>
              <w:rPr>
                <w:sz w:val="20"/>
                <w:szCs w:val="20"/>
              </w:rPr>
            </w:pPr>
            <w:r w:rsidRPr="00A54637">
              <w:rPr>
                <w:sz w:val="20"/>
                <w:szCs w:val="20"/>
              </w:rPr>
              <w:t xml:space="preserve">Gait disturbance 20.9% </w:t>
            </w:r>
          </w:p>
          <w:p w14:paraId="5931E367" w14:textId="77777777" w:rsidR="00B31172" w:rsidRPr="00A54637" w:rsidRDefault="00B31172">
            <w:pPr>
              <w:pStyle w:val="Default"/>
              <w:spacing w:before="40" w:after="40"/>
              <w:jc w:val="both"/>
              <w:rPr>
                <w:sz w:val="20"/>
                <w:szCs w:val="20"/>
              </w:rPr>
            </w:pPr>
            <w:r w:rsidRPr="00A54637">
              <w:rPr>
                <w:sz w:val="20"/>
                <w:szCs w:val="20"/>
              </w:rPr>
              <w:t xml:space="preserve">Headache 5.5% </w:t>
            </w:r>
          </w:p>
          <w:p w14:paraId="69EDC580" w14:textId="77777777" w:rsidR="00B31172" w:rsidRPr="00A54637" w:rsidRDefault="00B31172">
            <w:pPr>
              <w:pStyle w:val="Default"/>
              <w:spacing w:before="40" w:after="40"/>
              <w:jc w:val="both"/>
              <w:rPr>
                <w:sz w:val="20"/>
                <w:szCs w:val="20"/>
              </w:rPr>
            </w:pPr>
            <w:r w:rsidRPr="00A54637">
              <w:rPr>
                <w:sz w:val="20"/>
                <w:szCs w:val="20"/>
              </w:rPr>
              <w:t xml:space="preserve">Lead fracture 0.0% </w:t>
            </w:r>
          </w:p>
          <w:p w14:paraId="61BEAC98" w14:textId="77777777" w:rsidR="00B31172" w:rsidRPr="00A54637" w:rsidRDefault="00B31172">
            <w:pPr>
              <w:pStyle w:val="Default"/>
              <w:spacing w:before="40" w:after="40"/>
              <w:jc w:val="both"/>
              <w:rPr>
                <w:sz w:val="20"/>
                <w:szCs w:val="20"/>
              </w:rPr>
            </w:pPr>
            <w:r w:rsidRPr="00A54637">
              <w:rPr>
                <w:sz w:val="20"/>
                <w:szCs w:val="20"/>
              </w:rPr>
              <w:t xml:space="preserve">Nausea/vomiting 6.1% </w:t>
            </w:r>
          </w:p>
          <w:p w14:paraId="6AF02F0A" w14:textId="77777777" w:rsidR="00B31172" w:rsidRPr="00A54637" w:rsidRDefault="00B31172">
            <w:pPr>
              <w:pStyle w:val="Default"/>
              <w:spacing w:before="40" w:after="40"/>
              <w:jc w:val="both"/>
              <w:rPr>
                <w:sz w:val="20"/>
                <w:szCs w:val="20"/>
              </w:rPr>
            </w:pPr>
            <w:r w:rsidRPr="00A54637">
              <w:rPr>
                <w:sz w:val="20"/>
                <w:szCs w:val="20"/>
              </w:rPr>
              <w:t xml:space="preserve">Mental state change/deficits 0.0% </w:t>
            </w:r>
          </w:p>
          <w:p w14:paraId="1B497B16" w14:textId="77777777" w:rsidR="00B31172" w:rsidRPr="00A54637" w:rsidRDefault="00B31172" w:rsidP="007379FE">
            <w:pPr>
              <w:pStyle w:val="Tablenotes"/>
            </w:pPr>
            <w:r w:rsidRPr="00A54637">
              <w:t xml:space="preserve">Other 10.6% </w:t>
            </w:r>
          </w:p>
        </w:tc>
        <w:tc>
          <w:tcPr>
            <w:tcW w:w="2386" w:type="dxa"/>
            <w:tcBorders>
              <w:top w:val="single" w:sz="4" w:space="0" w:color="auto"/>
              <w:left w:val="single" w:sz="4" w:space="0" w:color="auto"/>
              <w:bottom w:val="single" w:sz="4" w:space="0" w:color="auto"/>
              <w:right w:val="single" w:sz="4" w:space="0" w:color="auto"/>
            </w:tcBorders>
            <w:hideMark/>
          </w:tcPr>
          <w:p w14:paraId="6D03B68F" w14:textId="77777777" w:rsidR="00B31172" w:rsidRPr="00A54637" w:rsidRDefault="00B31172">
            <w:pPr>
              <w:pStyle w:val="Default"/>
              <w:spacing w:before="40" w:after="40"/>
              <w:jc w:val="both"/>
              <w:rPr>
                <w:sz w:val="20"/>
                <w:szCs w:val="20"/>
              </w:rPr>
            </w:pPr>
            <w:r w:rsidRPr="00A54637">
              <w:rPr>
                <w:sz w:val="20"/>
                <w:szCs w:val="20"/>
              </w:rPr>
              <w:t xml:space="preserve">Dysarthria/dysphagia 6.2% </w:t>
            </w:r>
          </w:p>
          <w:p w14:paraId="427F754C" w14:textId="77777777" w:rsidR="00B31172" w:rsidRPr="00A54637" w:rsidRDefault="00B31172">
            <w:pPr>
              <w:pStyle w:val="Default"/>
              <w:spacing w:before="40" w:after="40"/>
              <w:jc w:val="both"/>
              <w:rPr>
                <w:sz w:val="20"/>
                <w:szCs w:val="20"/>
              </w:rPr>
            </w:pPr>
            <w:r w:rsidRPr="00A54637">
              <w:rPr>
                <w:sz w:val="20"/>
                <w:szCs w:val="20"/>
              </w:rPr>
              <w:t xml:space="preserve">intracerebral hematoma/haemorrhage 1.1% </w:t>
            </w:r>
          </w:p>
          <w:p w14:paraId="2EC3CD6F" w14:textId="77777777" w:rsidR="00B31172" w:rsidRPr="00A54637" w:rsidRDefault="00B31172">
            <w:pPr>
              <w:pStyle w:val="Default"/>
              <w:spacing w:before="40" w:after="40"/>
              <w:jc w:val="both"/>
              <w:rPr>
                <w:sz w:val="20"/>
                <w:szCs w:val="20"/>
              </w:rPr>
            </w:pPr>
            <w:r w:rsidRPr="00A54637">
              <w:rPr>
                <w:sz w:val="20"/>
                <w:szCs w:val="20"/>
              </w:rPr>
              <w:t xml:space="preserve">Paraesthesia 6.6% </w:t>
            </w:r>
          </w:p>
          <w:p w14:paraId="28ACF996" w14:textId="77777777" w:rsidR="00B31172" w:rsidRPr="00A54637" w:rsidRDefault="00B31172">
            <w:pPr>
              <w:pStyle w:val="Default"/>
              <w:spacing w:before="40" w:after="40"/>
              <w:jc w:val="both"/>
              <w:rPr>
                <w:sz w:val="20"/>
                <w:szCs w:val="20"/>
              </w:rPr>
            </w:pPr>
            <w:r w:rsidRPr="00A54637">
              <w:rPr>
                <w:sz w:val="20"/>
                <w:szCs w:val="20"/>
              </w:rPr>
              <w:t xml:space="preserve">Gait disturbance 9.1% </w:t>
            </w:r>
          </w:p>
          <w:p w14:paraId="0EEFB64E" w14:textId="77777777" w:rsidR="00B31172" w:rsidRPr="00A54637" w:rsidRDefault="00B31172">
            <w:pPr>
              <w:pStyle w:val="Default"/>
              <w:spacing w:before="40" w:after="40"/>
              <w:jc w:val="both"/>
              <w:rPr>
                <w:sz w:val="20"/>
                <w:szCs w:val="20"/>
              </w:rPr>
            </w:pPr>
            <w:r w:rsidRPr="00A54637">
              <w:rPr>
                <w:sz w:val="20"/>
                <w:szCs w:val="20"/>
              </w:rPr>
              <w:t xml:space="preserve">Headache 8.3% </w:t>
            </w:r>
          </w:p>
          <w:p w14:paraId="1D317467" w14:textId="77777777" w:rsidR="00B31172" w:rsidRPr="00A54637" w:rsidRDefault="00B31172">
            <w:pPr>
              <w:pStyle w:val="Default"/>
              <w:spacing w:before="40" w:after="40"/>
              <w:jc w:val="both"/>
              <w:rPr>
                <w:sz w:val="20"/>
                <w:szCs w:val="20"/>
              </w:rPr>
            </w:pPr>
            <w:r w:rsidRPr="00A54637">
              <w:rPr>
                <w:sz w:val="20"/>
                <w:szCs w:val="20"/>
              </w:rPr>
              <w:t xml:space="preserve">Infection 1.8% </w:t>
            </w:r>
          </w:p>
          <w:p w14:paraId="0D4B5163" w14:textId="77777777" w:rsidR="00B31172" w:rsidRPr="00A54637" w:rsidRDefault="00B31172">
            <w:pPr>
              <w:pStyle w:val="Default"/>
              <w:spacing w:before="40" w:after="40"/>
              <w:jc w:val="both"/>
              <w:rPr>
                <w:sz w:val="20"/>
                <w:szCs w:val="20"/>
              </w:rPr>
            </w:pPr>
            <w:r w:rsidRPr="00A54637">
              <w:rPr>
                <w:sz w:val="20"/>
                <w:szCs w:val="20"/>
              </w:rPr>
              <w:t xml:space="preserve">Lead fracture 11.4% </w:t>
            </w:r>
          </w:p>
          <w:p w14:paraId="1D7DFEC3" w14:textId="77777777" w:rsidR="00B31172" w:rsidRPr="00A54637" w:rsidRDefault="00B31172">
            <w:pPr>
              <w:pStyle w:val="Default"/>
              <w:spacing w:before="40" w:after="40"/>
              <w:jc w:val="both"/>
              <w:rPr>
                <w:sz w:val="20"/>
                <w:szCs w:val="20"/>
              </w:rPr>
            </w:pPr>
            <w:r w:rsidRPr="00A54637">
              <w:rPr>
                <w:sz w:val="20"/>
                <w:szCs w:val="20"/>
              </w:rPr>
              <w:t xml:space="preserve">Nausea/vomiting 0.5% </w:t>
            </w:r>
          </w:p>
          <w:p w14:paraId="05A3305F" w14:textId="77777777" w:rsidR="00B31172" w:rsidRPr="00A54637" w:rsidRDefault="00B31172">
            <w:pPr>
              <w:pStyle w:val="Default"/>
              <w:spacing w:before="40" w:after="40"/>
              <w:jc w:val="both"/>
              <w:rPr>
                <w:sz w:val="20"/>
                <w:szCs w:val="20"/>
              </w:rPr>
            </w:pPr>
            <w:r w:rsidRPr="00A54637">
              <w:rPr>
                <w:sz w:val="20"/>
                <w:szCs w:val="20"/>
              </w:rPr>
              <w:t xml:space="preserve">Mental state change/deficits 3.6% </w:t>
            </w:r>
          </w:p>
          <w:p w14:paraId="60836275" w14:textId="77777777" w:rsidR="00B31172" w:rsidRPr="00A54637" w:rsidRDefault="00B31172">
            <w:pPr>
              <w:pStyle w:val="Default"/>
              <w:spacing w:before="40" w:after="40"/>
              <w:jc w:val="both"/>
              <w:rPr>
                <w:sz w:val="20"/>
                <w:szCs w:val="20"/>
              </w:rPr>
            </w:pPr>
            <w:r w:rsidRPr="00A54637">
              <w:rPr>
                <w:sz w:val="20"/>
                <w:szCs w:val="20"/>
              </w:rPr>
              <w:t xml:space="preserve">Seizures 0.5% </w:t>
            </w:r>
          </w:p>
          <w:p w14:paraId="2B651A51" w14:textId="77777777" w:rsidR="00B31172" w:rsidRPr="00A54637" w:rsidRDefault="00B31172">
            <w:pPr>
              <w:pStyle w:val="Default"/>
              <w:spacing w:before="40" w:after="40"/>
              <w:jc w:val="both"/>
              <w:rPr>
                <w:sz w:val="20"/>
                <w:szCs w:val="20"/>
              </w:rPr>
            </w:pPr>
            <w:r w:rsidRPr="00A54637">
              <w:rPr>
                <w:sz w:val="20"/>
                <w:szCs w:val="20"/>
              </w:rPr>
              <w:t xml:space="preserve">Oedema 0.1% </w:t>
            </w:r>
          </w:p>
          <w:p w14:paraId="60AF59E9" w14:textId="77777777" w:rsidR="00B31172" w:rsidRPr="00A54637" w:rsidRDefault="00B31172" w:rsidP="007379FE">
            <w:pPr>
              <w:pStyle w:val="Tablenotes"/>
            </w:pPr>
            <w:r w:rsidRPr="00A54637">
              <w:t xml:space="preserve">Other 7.1% </w:t>
            </w:r>
          </w:p>
        </w:tc>
        <w:tc>
          <w:tcPr>
            <w:tcW w:w="2353" w:type="dxa"/>
            <w:tcBorders>
              <w:top w:val="single" w:sz="4" w:space="0" w:color="auto"/>
              <w:left w:val="single" w:sz="4" w:space="0" w:color="auto"/>
              <w:bottom w:val="single" w:sz="4" w:space="0" w:color="auto"/>
              <w:right w:val="single" w:sz="4" w:space="0" w:color="auto"/>
            </w:tcBorders>
            <w:hideMark/>
          </w:tcPr>
          <w:p w14:paraId="42191A3C" w14:textId="77777777" w:rsidR="00B31172" w:rsidRPr="00A54637" w:rsidRDefault="00B31172">
            <w:pPr>
              <w:pStyle w:val="Default"/>
              <w:spacing w:before="40" w:after="40"/>
              <w:jc w:val="both"/>
              <w:rPr>
                <w:sz w:val="20"/>
                <w:szCs w:val="20"/>
              </w:rPr>
            </w:pPr>
            <w:r w:rsidRPr="00A54637">
              <w:rPr>
                <w:sz w:val="20"/>
                <w:szCs w:val="20"/>
              </w:rPr>
              <w:t xml:space="preserve">Section C.3 Table 74 </w:t>
            </w:r>
          </w:p>
          <w:p w14:paraId="58103A6D" w14:textId="77777777" w:rsidR="00B31172" w:rsidRPr="00A54637" w:rsidRDefault="00B31172" w:rsidP="007379FE">
            <w:pPr>
              <w:pStyle w:val="Tablenotes"/>
            </w:pPr>
            <w:r w:rsidRPr="00A54637">
              <w:t xml:space="preserve">Based on the Transient AE rates reported in </w:t>
            </w:r>
            <w:hyperlink r:id="rId14" w:anchor="_ENREF_26" w:tooltip="Giordano, 2020 #2" w:history="1">
              <w:r w:rsidRPr="00A54637">
                <w:rPr>
                  <w:rStyle w:val="Hyperlink"/>
                  <w:sz w:val="20"/>
                </w:rPr>
                <w:fldChar w:fldCharType="begin"/>
              </w:r>
              <w:r w:rsidRPr="00A54637">
                <w:rPr>
                  <w:rStyle w:val="Hyperlink"/>
                  <w:sz w:val="20"/>
                </w:rPr>
                <w:instrText xml:space="preserve"> ADDIN EN.CITE &lt;EndNote&gt;&lt;Cite AuthorYear="1"&gt;&lt;Author&gt;Giordano&lt;/Author&gt;&lt;Year&gt;2020&lt;/Year&gt;&lt;RecNum&gt;2&lt;/RecNum&gt;&lt;DisplayText&gt;Giordano et al. (2020)&lt;/DisplayText&gt;&lt;record&gt;&lt;rec-number&gt;2&lt;/rec-number&gt;&lt;foreign-keys&gt;&lt;key app="EN" db-id="r5td5x929d0td3eafwuxew5d0fdavt022vxx" timestamp="1637814206"&gt;2&lt;/key&gt;&lt;/foreign-keys&gt;&lt;ref-type name="Journal Article"&gt;17&lt;/ref-type&gt;&lt;contributors&gt;&lt;authors&gt;&lt;author&gt;Giordano, Martina&lt;/author&gt;&lt;author&gt;Caccavella, Valerio Maria&lt;/author&gt;&lt;author&gt;Zaed, Ismail&lt;/author&gt;&lt;author&gt;Manzillo, Livia Foglia&lt;/author&gt;&lt;author&gt;Montano, Nicola&lt;/author&gt;&lt;author&gt;Olivi, Alessandro&lt;/author&gt;&lt;author&gt;Polli, Filippo Maria&lt;/author&gt;&lt;/authors&gt;&lt;/contributors&gt;&lt;titles&gt;&lt;title&gt;Comparison between deep brain stimulation and magnetic resonance-guided focused ultrasound in the treatment of essential tremor: a systematic review and pooled analysis of functional outcomes&lt;/title&gt;&lt;secondary-title&gt;Journal of Neurology, Neurosurgery &amp;amp; Psychiatry&lt;/secondary-title&gt;&lt;/titles&gt;&lt;periodical&gt;&lt;full-title&gt;Journal of Neurology, Neurosurgery &amp;amp; Psychiatry&lt;/full-title&gt;&lt;/periodical&gt;&lt;pages&gt;1270-1278&lt;/pages&gt;&lt;volume&gt;91&lt;/volume&gt;&lt;number&gt;12&lt;/number&gt;&lt;dates&gt;&lt;year&gt;2020&lt;/year&gt;&lt;/dates&gt;&lt;isbn&gt;0022-3050&lt;/isbn&gt;&lt;urls&gt;&lt;/urls&gt;&lt;/record&gt;&lt;/Cite&gt;&lt;/EndNote&gt;</w:instrText>
              </w:r>
              <w:r w:rsidRPr="00A54637">
                <w:rPr>
                  <w:rStyle w:val="Hyperlink"/>
                  <w:sz w:val="20"/>
                </w:rPr>
                <w:fldChar w:fldCharType="separate"/>
              </w:r>
              <w:r w:rsidRPr="00A54637">
                <w:rPr>
                  <w:rStyle w:val="Hyperlink"/>
                  <w:noProof/>
                  <w:sz w:val="20"/>
                </w:rPr>
                <w:t>Giordano et al. (2020)</w:t>
              </w:r>
              <w:r w:rsidRPr="00A54637">
                <w:rPr>
                  <w:rStyle w:val="Hyperlink"/>
                  <w:sz w:val="20"/>
                </w:rPr>
                <w:fldChar w:fldCharType="end"/>
              </w:r>
            </w:hyperlink>
            <w:r w:rsidRPr="00A54637">
              <w:t xml:space="preserve">. </w:t>
            </w:r>
          </w:p>
        </w:tc>
      </w:tr>
      <w:tr w:rsidR="00B31172" w:rsidRPr="00234DD6" w14:paraId="06627696" w14:textId="77777777" w:rsidTr="00B31172">
        <w:tc>
          <w:tcPr>
            <w:tcW w:w="2044" w:type="dxa"/>
            <w:tcBorders>
              <w:top w:val="single" w:sz="4" w:space="0" w:color="auto"/>
              <w:left w:val="single" w:sz="4" w:space="0" w:color="auto"/>
              <w:bottom w:val="single" w:sz="4" w:space="0" w:color="auto"/>
              <w:right w:val="single" w:sz="4" w:space="0" w:color="auto"/>
            </w:tcBorders>
            <w:hideMark/>
          </w:tcPr>
          <w:p w14:paraId="2EC2BD0D" w14:textId="77777777" w:rsidR="00B31172" w:rsidRPr="00A54637" w:rsidRDefault="00B31172" w:rsidP="007379FE">
            <w:pPr>
              <w:pStyle w:val="Tablenotes"/>
            </w:pPr>
            <w:r w:rsidRPr="00A54637">
              <w:t xml:space="preserve">Transformation of short-term adverse event rates to QALYS </w:t>
            </w:r>
          </w:p>
        </w:tc>
        <w:tc>
          <w:tcPr>
            <w:tcW w:w="2233" w:type="dxa"/>
            <w:tcBorders>
              <w:top w:val="single" w:sz="4" w:space="0" w:color="auto"/>
              <w:left w:val="single" w:sz="4" w:space="0" w:color="auto"/>
              <w:bottom w:val="single" w:sz="4" w:space="0" w:color="auto"/>
              <w:right w:val="single" w:sz="4" w:space="0" w:color="auto"/>
            </w:tcBorders>
          </w:tcPr>
          <w:p w14:paraId="7FDB6A9F" w14:textId="77777777" w:rsidR="00B31172" w:rsidRPr="00A54637" w:rsidRDefault="00B31172">
            <w:pPr>
              <w:pStyle w:val="Default"/>
              <w:spacing w:before="40" w:after="40"/>
              <w:jc w:val="both"/>
              <w:rPr>
                <w:sz w:val="20"/>
                <w:szCs w:val="20"/>
              </w:rPr>
            </w:pPr>
            <w:r w:rsidRPr="00A54637">
              <w:rPr>
                <w:sz w:val="20"/>
                <w:szCs w:val="20"/>
              </w:rPr>
              <w:t xml:space="preserve">QALY loss due to STAE = 0.0277 </w:t>
            </w:r>
          </w:p>
          <w:p w14:paraId="1F96455F" w14:textId="77777777" w:rsidR="00B31172" w:rsidRPr="00A54637" w:rsidRDefault="00B31172" w:rsidP="007379FE">
            <w:pPr>
              <w:pStyle w:val="Tablenotes"/>
            </w:pPr>
          </w:p>
        </w:tc>
        <w:tc>
          <w:tcPr>
            <w:tcW w:w="2386" w:type="dxa"/>
            <w:tcBorders>
              <w:top w:val="single" w:sz="4" w:space="0" w:color="auto"/>
              <w:left w:val="single" w:sz="4" w:space="0" w:color="auto"/>
              <w:bottom w:val="single" w:sz="4" w:space="0" w:color="auto"/>
              <w:right w:val="single" w:sz="4" w:space="0" w:color="auto"/>
            </w:tcBorders>
          </w:tcPr>
          <w:p w14:paraId="62F00315" w14:textId="77777777" w:rsidR="00B31172" w:rsidRPr="00A54637" w:rsidRDefault="00B31172">
            <w:pPr>
              <w:pStyle w:val="Default"/>
              <w:spacing w:before="40" w:after="40"/>
              <w:jc w:val="both"/>
              <w:rPr>
                <w:sz w:val="20"/>
                <w:szCs w:val="20"/>
              </w:rPr>
            </w:pPr>
            <w:r w:rsidRPr="00A54637">
              <w:rPr>
                <w:sz w:val="20"/>
                <w:szCs w:val="20"/>
              </w:rPr>
              <w:t xml:space="preserve">QALY loss due to STAE = 0.0209 </w:t>
            </w:r>
          </w:p>
          <w:p w14:paraId="2CB337F6" w14:textId="77777777" w:rsidR="00B31172" w:rsidRPr="00A54637" w:rsidRDefault="00B31172" w:rsidP="007379FE">
            <w:pPr>
              <w:pStyle w:val="Tablenotes"/>
            </w:pPr>
          </w:p>
        </w:tc>
        <w:tc>
          <w:tcPr>
            <w:tcW w:w="2353" w:type="dxa"/>
            <w:tcBorders>
              <w:top w:val="single" w:sz="4" w:space="0" w:color="auto"/>
              <w:left w:val="single" w:sz="4" w:space="0" w:color="auto"/>
              <w:bottom w:val="single" w:sz="4" w:space="0" w:color="auto"/>
              <w:right w:val="single" w:sz="4" w:space="0" w:color="auto"/>
            </w:tcBorders>
            <w:hideMark/>
          </w:tcPr>
          <w:p w14:paraId="7276B174" w14:textId="77777777" w:rsidR="00B31172" w:rsidRPr="00A54637" w:rsidRDefault="00B31172">
            <w:pPr>
              <w:pStyle w:val="Default"/>
              <w:spacing w:before="40" w:after="40"/>
              <w:jc w:val="both"/>
              <w:rPr>
                <w:sz w:val="20"/>
                <w:szCs w:val="20"/>
              </w:rPr>
            </w:pPr>
            <w:r w:rsidRPr="00A54637">
              <w:rPr>
                <w:sz w:val="20"/>
                <w:szCs w:val="20"/>
              </w:rPr>
              <w:t xml:space="preserve">Section C.3 Table 77 </w:t>
            </w:r>
          </w:p>
          <w:p w14:paraId="4E82AE38" w14:textId="77777777" w:rsidR="00B31172" w:rsidRPr="00A54637" w:rsidRDefault="00B31172" w:rsidP="007379FE">
            <w:pPr>
              <w:pStyle w:val="Tablenotes"/>
            </w:pPr>
            <w:r w:rsidRPr="00A54637">
              <w:t xml:space="preserve">Utility estimates and duration of AE reported in OHTAS model (primary) and </w:t>
            </w:r>
            <w:hyperlink r:id="rId15" w:anchor="_ENREF_59" w:tooltip="Ravikumar, 2017 #10" w:history="1">
              <w:r w:rsidRPr="00A54637">
                <w:rPr>
                  <w:rStyle w:val="Hyperlink"/>
                  <w:sz w:val="20"/>
                </w:rPr>
                <w:fldChar w:fldCharType="begin"/>
              </w:r>
              <w:r w:rsidRPr="00A54637">
                <w:rPr>
                  <w:rStyle w:val="Hyperlink"/>
                  <w:sz w:val="20"/>
                </w:rPr>
                <w:instrText xml:space="preserve"> ADDIN EN.CITE &lt;EndNote&gt;&lt;Cite AuthorYear="1"&gt;&lt;Author&gt;Ravikumar&lt;/Author&gt;&lt;Year&gt;2017&lt;/Year&gt;&lt;RecNum&gt;10&lt;/RecNum&gt;&lt;DisplayText&gt;Ravikumar et al. (2017)&lt;/DisplayText&gt;&lt;record&gt;&lt;rec-number&gt;10&lt;/rec-number&gt;&lt;foreign-keys&gt;&lt;key app="EN" db-id="r5td5x929d0td3eafwuxew5d0fdavt022vxx" timestamp="1637814456"&gt;10&lt;/key&gt;&lt;/foreign-keys&gt;&lt;ref-type name="Journal Article"&gt;17&lt;/ref-type&gt;&lt;contributors&gt;&lt;authors&gt;&lt;author&gt;Ravikumar, Vinod K&lt;/author&gt;&lt;author&gt;Parker, Jonathon J&lt;/author&gt;&lt;author&gt;Hornbeck, Traci S&lt;/author&gt;&lt;author&gt;Santini, Veronica E&lt;/author&gt;&lt;author&gt;Pauly, Kim Butts&lt;/author&gt;&lt;author&gt;Wintermark, Max&lt;/author&gt;&lt;author&gt;Ghanouni, Pejman&lt;/author&gt;&lt;author&gt;Stein, Sherman C&lt;/author&gt;&lt;author&gt;Halpern, Casey H&lt;/author&gt;&lt;/authors&gt;&lt;/contributors&gt;&lt;titles&gt;&lt;title&gt;Cost</w:instrText>
              </w:r>
              <w:r w:rsidRPr="00A54637">
                <w:rPr>
                  <w:rStyle w:val="Hyperlink"/>
                  <w:rFonts w:ascii="Cambria Math" w:hAnsi="Cambria Math" w:cs="Cambria Math"/>
                  <w:sz w:val="20"/>
                </w:rPr>
                <w:instrText>‐</w:instrText>
              </w:r>
              <w:r w:rsidRPr="00A54637">
                <w:rPr>
                  <w:rStyle w:val="Hyperlink"/>
                  <w:sz w:val="20"/>
                </w:rPr>
                <w:instrText>effectiveness of focused ultrasound, radiosurgery, and DBS for essential tremor&lt;/title&gt;&lt;secondary-title&gt;Movement Disorders&lt;/secondary-title&gt;&lt;/titles&gt;&lt;periodical&gt;&lt;full-title&gt;Movement Disorders&lt;/full-title&gt;&lt;/periodical&gt;&lt;pages&gt;1165-1173&lt;/pages&gt;&lt;volume&gt;32&lt;/volume&gt;&lt;number&gt;8&lt;/number&gt;&lt;dates&gt;&lt;year&gt;2017&lt;/year&gt;&lt;/dates&gt;&lt;isbn&gt;0885-3185&lt;/isbn&gt;&lt;urls&gt;&lt;/urls&gt;&lt;/record&gt;&lt;/Cite&gt;&lt;/EndNote&gt;</w:instrText>
              </w:r>
              <w:r w:rsidRPr="00A54637">
                <w:rPr>
                  <w:rStyle w:val="Hyperlink"/>
                  <w:sz w:val="20"/>
                </w:rPr>
                <w:fldChar w:fldCharType="separate"/>
              </w:r>
              <w:r w:rsidRPr="00A54637">
                <w:rPr>
                  <w:rStyle w:val="Hyperlink"/>
                  <w:noProof/>
                  <w:sz w:val="20"/>
                </w:rPr>
                <w:t>Ravikumar et al. (2017)</w:t>
              </w:r>
              <w:r w:rsidRPr="00A54637">
                <w:rPr>
                  <w:rStyle w:val="Hyperlink"/>
                  <w:sz w:val="20"/>
                </w:rPr>
                <w:fldChar w:fldCharType="end"/>
              </w:r>
            </w:hyperlink>
            <w:r w:rsidRPr="00A54637">
              <w:t xml:space="preserve"> model (where OHATS model did not report utility estimates) are applied to AE </w:t>
            </w:r>
            <w:r w:rsidRPr="00A54637">
              <w:lastRenderedPageBreak/>
              <w:t xml:space="preserve">rates reported in </w:t>
            </w:r>
            <w:hyperlink r:id="rId16" w:anchor="_ENREF_26" w:tooltip="Giordano, 2020 #2" w:history="1">
              <w:r w:rsidRPr="00A54637">
                <w:rPr>
                  <w:rStyle w:val="Hyperlink"/>
                  <w:sz w:val="20"/>
                </w:rPr>
                <w:fldChar w:fldCharType="begin"/>
              </w:r>
              <w:r w:rsidRPr="00A54637">
                <w:rPr>
                  <w:rStyle w:val="Hyperlink"/>
                  <w:sz w:val="20"/>
                </w:rPr>
                <w:instrText xml:space="preserve"> ADDIN EN.CITE &lt;EndNote&gt;&lt;Cite AuthorYear="1"&gt;&lt;Author&gt;Giordano&lt;/Author&gt;&lt;Year&gt;2020&lt;/Year&gt;&lt;RecNum&gt;2&lt;/RecNum&gt;&lt;DisplayText&gt;Giordano et al. (2020)&lt;/DisplayText&gt;&lt;record&gt;&lt;rec-number&gt;2&lt;/rec-number&gt;&lt;foreign-keys&gt;&lt;key app="EN" db-id="r5td5x929d0td3eafwuxew5d0fdavt022vxx" timestamp="1637814206"&gt;2&lt;/key&gt;&lt;/foreign-keys&gt;&lt;ref-type name="Journal Article"&gt;17&lt;/ref-type&gt;&lt;contributors&gt;&lt;authors&gt;&lt;author&gt;Giordano, Martina&lt;/author&gt;&lt;author&gt;Caccavella, Valerio Maria&lt;/author&gt;&lt;author&gt;Zaed, Ismail&lt;/author&gt;&lt;author&gt;Manzillo, Livia Foglia&lt;/author&gt;&lt;author&gt;Montano, Nicola&lt;/author&gt;&lt;author&gt;Olivi, Alessandro&lt;/author&gt;&lt;author&gt;Polli, Filippo Maria&lt;/author&gt;&lt;/authors&gt;&lt;/contributors&gt;&lt;titles&gt;&lt;title&gt;Comparison between deep brain stimulation and magnetic resonance-guided focused ultrasound in the treatment of essential tremor: a systematic review and pooled analysis of functional outcomes&lt;/title&gt;&lt;secondary-title&gt;Journal of Neurology, Neurosurgery &amp;amp; Psychiatry&lt;/secondary-title&gt;&lt;/titles&gt;&lt;periodical&gt;&lt;full-title&gt;Journal of Neurology, Neurosurgery &amp;amp; Psychiatry&lt;/full-title&gt;&lt;/periodical&gt;&lt;pages&gt;1270-1278&lt;/pages&gt;&lt;volume&gt;91&lt;/volume&gt;&lt;number&gt;12&lt;/number&gt;&lt;dates&gt;&lt;year&gt;2020&lt;/year&gt;&lt;/dates&gt;&lt;isbn&gt;0022-3050&lt;/isbn&gt;&lt;urls&gt;&lt;/urls&gt;&lt;/record&gt;&lt;/Cite&gt;&lt;/EndNote&gt;</w:instrText>
              </w:r>
              <w:r w:rsidRPr="00A54637">
                <w:rPr>
                  <w:rStyle w:val="Hyperlink"/>
                  <w:sz w:val="20"/>
                </w:rPr>
                <w:fldChar w:fldCharType="separate"/>
              </w:r>
              <w:r w:rsidRPr="00A54637">
                <w:rPr>
                  <w:rStyle w:val="Hyperlink"/>
                  <w:noProof/>
                  <w:sz w:val="20"/>
                </w:rPr>
                <w:t>Giordano et al. (2020)</w:t>
              </w:r>
              <w:r w:rsidRPr="00A54637">
                <w:rPr>
                  <w:rStyle w:val="Hyperlink"/>
                  <w:sz w:val="20"/>
                </w:rPr>
                <w:fldChar w:fldCharType="end"/>
              </w:r>
            </w:hyperlink>
            <w:r w:rsidRPr="00A54637">
              <w:t xml:space="preserve">. </w:t>
            </w:r>
          </w:p>
        </w:tc>
      </w:tr>
      <w:tr w:rsidR="00B31172" w:rsidRPr="00234DD6" w14:paraId="24F13784" w14:textId="77777777" w:rsidTr="00B31172">
        <w:tc>
          <w:tcPr>
            <w:tcW w:w="2044" w:type="dxa"/>
            <w:tcBorders>
              <w:top w:val="single" w:sz="4" w:space="0" w:color="auto"/>
              <w:left w:val="single" w:sz="4" w:space="0" w:color="auto"/>
              <w:bottom w:val="single" w:sz="4" w:space="0" w:color="auto"/>
              <w:right w:val="single" w:sz="4" w:space="0" w:color="auto"/>
            </w:tcBorders>
            <w:hideMark/>
          </w:tcPr>
          <w:p w14:paraId="0A6BFC9C" w14:textId="77777777" w:rsidR="00B31172" w:rsidRPr="00234DD6" w:rsidRDefault="00B31172" w:rsidP="007379FE">
            <w:pPr>
              <w:pStyle w:val="Tablenotes"/>
            </w:pPr>
            <w:r w:rsidRPr="00234DD6">
              <w:lastRenderedPageBreak/>
              <w:t xml:space="preserve">Transformation of short-term adverse event rates to HCRU costs </w:t>
            </w:r>
          </w:p>
        </w:tc>
        <w:tc>
          <w:tcPr>
            <w:tcW w:w="2233" w:type="dxa"/>
            <w:tcBorders>
              <w:top w:val="single" w:sz="4" w:space="0" w:color="auto"/>
              <w:left w:val="single" w:sz="4" w:space="0" w:color="auto"/>
              <w:bottom w:val="single" w:sz="4" w:space="0" w:color="auto"/>
              <w:right w:val="single" w:sz="4" w:space="0" w:color="auto"/>
            </w:tcBorders>
          </w:tcPr>
          <w:p w14:paraId="6BC6B546" w14:textId="77777777" w:rsidR="00B31172" w:rsidRPr="00234DD6" w:rsidRDefault="00B31172">
            <w:pPr>
              <w:pStyle w:val="Default"/>
              <w:keepNext/>
              <w:keepLines/>
              <w:spacing w:before="40" w:after="40"/>
              <w:jc w:val="both"/>
              <w:rPr>
                <w:sz w:val="20"/>
                <w:szCs w:val="20"/>
              </w:rPr>
            </w:pPr>
            <w:r w:rsidRPr="00234DD6">
              <w:rPr>
                <w:sz w:val="20"/>
                <w:szCs w:val="20"/>
              </w:rPr>
              <w:t xml:space="preserve">Cost of STAE = $56.41 </w:t>
            </w:r>
          </w:p>
          <w:p w14:paraId="41253F02" w14:textId="77777777" w:rsidR="00B31172" w:rsidRPr="00234DD6" w:rsidRDefault="00B31172" w:rsidP="007379FE">
            <w:pPr>
              <w:pStyle w:val="Tablenotes"/>
            </w:pPr>
          </w:p>
        </w:tc>
        <w:tc>
          <w:tcPr>
            <w:tcW w:w="2386" w:type="dxa"/>
            <w:tcBorders>
              <w:top w:val="single" w:sz="4" w:space="0" w:color="auto"/>
              <w:left w:val="single" w:sz="4" w:space="0" w:color="auto"/>
              <w:bottom w:val="single" w:sz="4" w:space="0" w:color="auto"/>
              <w:right w:val="single" w:sz="4" w:space="0" w:color="auto"/>
            </w:tcBorders>
          </w:tcPr>
          <w:p w14:paraId="4CEEFDE0" w14:textId="77777777" w:rsidR="00B31172" w:rsidRPr="00234DD6" w:rsidRDefault="00B31172">
            <w:pPr>
              <w:pStyle w:val="Default"/>
              <w:keepNext/>
              <w:keepLines/>
              <w:spacing w:before="40" w:after="40"/>
              <w:jc w:val="both"/>
              <w:rPr>
                <w:sz w:val="20"/>
                <w:szCs w:val="20"/>
              </w:rPr>
            </w:pPr>
            <w:r w:rsidRPr="00234DD6">
              <w:rPr>
                <w:sz w:val="20"/>
                <w:szCs w:val="20"/>
              </w:rPr>
              <w:t xml:space="preserve">Cost of STAE = $2,066.32 </w:t>
            </w:r>
          </w:p>
          <w:p w14:paraId="078E6587" w14:textId="77777777" w:rsidR="00B31172" w:rsidRPr="00234DD6" w:rsidRDefault="00B31172" w:rsidP="007379FE">
            <w:pPr>
              <w:pStyle w:val="Tablenotes"/>
            </w:pPr>
          </w:p>
        </w:tc>
        <w:tc>
          <w:tcPr>
            <w:tcW w:w="2353" w:type="dxa"/>
            <w:tcBorders>
              <w:top w:val="single" w:sz="4" w:space="0" w:color="auto"/>
              <w:left w:val="single" w:sz="4" w:space="0" w:color="auto"/>
              <w:bottom w:val="single" w:sz="4" w:space="0" w:color="auto"/>
              <w:right w:val="single" w:sz="4" w:space="0" w:color="auto"/>
            </w:tcBorders>
            <w:hideMark/>
          </w:tcPr>
          <w:p w14:paraId="7CD995C6" w14:textId="77777777" w:rsidR="00B31172" w:rsidRPr="00234DD6" w:rsidRDefault="00B31172">
            <w:pPr>
              <w:pStyle w:val="Default"/>
              <w:keepNext/>
              <w:keepLines/>
              <w:spacing w:before="40" w:after="40"/>
              <w:jc w:val="both"/>
              <w:rPr>
                <w:sz w:val="20"/>
                <w:szCs w:val="20"/>
              </w:rPr>
            </w:pPr>
            <w:r w:rsidRPr="00234DD6">
              <w:rPr>
                <w:sz w:val="20"/>
                <w:szCs w:val="20"/>
              </w:rPr>
              <w:t xml:space="preserve">Section C.3 Table 79 </w:t>
            </w:r>
          </w:p>
          <w:p w14:paraId="4253D3CD" w14:textId="77777777" w:rsidR="00B31172" w:rsidRPr="00234DD6" w:rsidRDefault="00B31172" w:rsidP="007379FE">
            <w:pPr>
              <w:pStyle w:val="Tablenotes"/>
            </w:pPr>
            <w:r w:rsidRPr="00234DD6">
              <w:t xml:space="preserve">Australian MBS cost estimates are applied to AE rates reported in </w:t>
            </w:r>
            <w:hyperlink r:id="rId17" w:anchor="_ENREF_26" w:tooltip="Giordano, 2020 #2" w:history="1">
              <w:r w:rsidRPr="00234DD6">
                <w:rPr>
                  <w:rStyle w:val="Hyperlink"/>
                  <w:sz w:val="20"/>
                </w:rPr>
                <w:fldChar w:fldCharType="begin"/>
              </w:r>
              <w:r w:rsidRPr="00234DD6">
                <w:rPr>
                  <w:rStyle w:val="Hyperlink"/>
                  <w:sz w:val="20"/>
                </w:rPr>
                <w:instrText xml:space="preserve"> ADDIN EN.CITE &lt;EndNote&gt;&lt;Cite AuthorYear="1"&gt;&lt;Author&gt;Giordano&lt;/Author&gt;&lt;Year&gt;2020&lt;/Year&gt;&lt;RecNum&gt;2&lt;/RecNum&gt;&lt;DisplayText&gt;Giordano et al. (2020)&lt;/DisplayText&gt;&lt;record&gt;&lt;rec-number&gt;2&lt;/rec-number&gt;&lt;foreign-keys&gt;&lt;key app="EN" db-id="r5td5x929d0td3eafwuxew5d0fdavt022vxx" timestamp="1637814206"&gt;2&lt;/key&gt;&lt;/foreign-keys&gt;&lt;ref-type name="Journal Article"&gt;17&lt;/ref-type&gt;&lt;contributors&gt;&lt;authors&gt;&lt;author&gt;Giordano, Martina&lt;/author&gt;&lt;author&gt;Caccavella, Valerio Maria&lt;/author&gt;&lt;author&gt;Zaed, Ismail&lt;/author&gt;&lt;author&gt;Manzillo, Livia Foglia&lt;/author&gt;&lt;author&gt;Montano, Nicola&lt;/author&gt;&lt;author&gt;Olivi, Alessandro&lt;/author&gt;&lt;author&gt;Polli, Filippo Maria&lt;/author&gt;&lt;/authors&gt;&lt;/contributors&gt;&lt;titles&gt;&lt;title&gt;Comparison between deep brain stimulation and magnetic resonance-guided focused ultrasound in the treatment of essential tremor: a systematic review and pooled analysis of functional outcomes&lt;/title&gt;&lt;secondary-title&gt;Journal of Neurology, Neurosurgery &amp;amp; Psychiatry&lt;/secondary-title&gt;&lt;/titles&gt;&lt;periodical&gt;&lt;full-title&gt;Journal of Neurology, Neurosurgery &amp;amp; Psychiatry&lt;/full-title&gt;&lt;/periodical&gt;&lt;pages&gt;1270-1278&lt;/pages&gt;&lt;volume&gt;91&lt;/volume&gt;&lt;number&gt;12&lt;/number&gt;&lt;dates&gt;&lt;year&gt;2020&lt;/year&gt;&lt;/dates&gt;&lt;isbn&gt;0022-3050&lt;/isbn&gt;&lt;urls&gt;&lt;/urls&gt;&lt;/record&gt;&lt;/Cite&gt;&lt;/EndNote&gt;</w:instrText>
              </w:r>
              <w:r w:rsidRPr="00234DD6">
                <w:rPr>
                  <w:rStyle w:val="Hyperlink"/>
                  <w:sz w:val="20"/>
                </w:rPr>
                <w:fldChar w:fldCharType="separate"/>
              </w:r>
              <w:r w:rsidRPr="00234DD6">
                <w:rPr>
                  <w:rStyle w:val="Hyperlink"/>
                  <w:noProof/>
                  <w:sz w:val="20"/>
                </w:rPr>
                <w:t>Giordano et al. (2020)</w:t>
              </w:r>
              <w:r w:rsidRPr="00234DD6">
                <w:rPr>
                  <w:rStyle w:val="Hyperlink"/>
                  <w:sz w:val="20"/>
                </w:rPr>
                <w:fldChar w:fldCharType="end"/>
              </w:r>
            </w:hyperlink>
            <w:r w:rsidRPr="00234DD6">
              <w:t>.</w:t>
            </w:r>
          </w:p>
        </w:tc>
      </w:tr>
      <w:tr w:rsidR="00B31172" w:rsidRPr="00234DD6" w14:paraId="6AA0AF4F" w14:textId="77777777" w:rsidTr="00B31172">
        <w:tc>
          <w:tcPr>
            <w:tcW w:w="9016" w:type="dxa"/>
            <w:gridSpan w:val="4"/>
            <w:tcBorders>
              <w:top w:val="single" w:sz="4" w:space="0" w:color="auto"/>
              <w:left w:val="single" w:sz="4" w:space="0" w:color="auto"/>
              <w:bottom w:val="single" w:sz="4" w:space="0" w:color="auto"/>
              <w:right w:val="single" w:sz="4" w:space="0" w:color="auto"/>
            </w:tcBorders>
            <w:hideMark/>
          </w:tcPr>
          <w:p w14:paraId="54EB86D6" w14:textId="77777777" w:rsidR="00B31172" w:rsidRPr="00234DD6" w:rsidRDefault="00B31172" w:rsidP="007379FE">
            <w:pPr>
              <w:pStyle w:val="Tablenotes"/>
            </w:pPr>
            <w:r w:rsidRPr="00234DD6">
              <w:t xml:space="preserve">Long term treatment-related adverse events </w:t>
            </w:r>
          </w:p>
        </w:tc>
      </w:tr>
      <w:tr w:rsidR="00B31172" w:rsidRPr="00234DD6" w14:paraId="3D37E452" w14:textId="77777777" w:rsidTr="00B31172">
        <w:tc>
          <w:tcPr>
            <w:tcW w:w="2044" w:type="dxa"/>
            <w:tcBorders>
              <w:top w:val="single" w:sz="4" w:space="0" w:color="auto"/>
              <w:left w:val="single" w:sz="4" w:space="0" w:color="auto"/>
              <w:bottom w:val="single" w:sz="4" w:space="0" w:color="auto"/>
              <w:right w:val="single" w:sz="4" w:space="0" w:color="auto"/>
            </w:tcBorders>
            <w:hideMark/>
          </w:tcPr>
          <w:p w14:paraId="3172554C" w14:textId="77777777" w:rsidR="00B31172" w:rsidRPr="00234DD6" w:rsidRDefault="00B31172" w:rsidP="007379FE">
            <w:pPr>
              <w:pStyle w:val="Tablenotes"/>
            </w:pPr>
            <w:r w:rsidRPr="00234DD6">
              <w:t xml:space="preserve">Long-term adverse event rates in </w:t>
            </w:r>
            <w:proofErr w:type="spellStart"/>
            <w:r w:rsidRPr="00234DD6">
              <w:t>MRgFUS</w:t>
            </w:r>
            <w:proofErr w:type="spellEnd"/>
            <w:r w:rsidRPr="00234DD6">
              <w:t xml:space="preserve"> and DBS patients </w:t>
            </w:r>
          </w:p>
        </w:tc>
        <w:tc>
          <w:tcPr>
            <w:tcW w:w="2233" w:type="dxa"/>
            <w:tcBorders>
              <w:top w:val="single" w:sz="4" w:space="0" w:color="auto"/>
              <w:left w:val="single" w:sz="4" w:space="0" w:color="auto"/>
              <w:bottom w:val="single" w:sz="4" w:space="0" w:color="auto"/>
              <w:right w:val="single" w:sz="4" w:space="0" w:color="auto"/>
            </w:tcBorders>
            <w:hideMark/>
          </w:tcPr>
          <w:p w14:paraId="0A3F1828" w14:textId="77777777" w:rsidR="00B31172" w:rsidRPr="00234DD6" w:rsidRDefault="00B31172">
            <w:pPr>
              <w:pStyle w:val="Default"/>
              <w:spacing w:before="40" w:after="40"/>
              <w:jc w:val="both"/>
              <w:rPr>
                <w:sz w:val="20"/>
                <w:szCs w:val="20"/>
              </w:rPr>
            </w:pPr>
            <w:r w:rsidRPr="00234DD6">
              <w:rPr>
                <w:sz w:val="20"/>
                <w:szCs w:val="20"/>
              </w:rPr>
              <w:t xml:space="preserve">Paraesthesia 18.1% </w:t>
            </w:r>
          </w:p>
          <w:p w14:paraId="318E7E50" w14:textId="77777777" w:rsidR="00B31172" w:rsidRPr="00234DD6" w:rsidRDefault="00B31172">
            <w:pPr>
              <w:pStyle w:val="Default"/>
              <w:spacing w:before="40" w:after="40"/>
              <w:jc w:val="both"/>
              <w:rPr>
                <w:sz w:val="20"/>
                <w:szCs w:val="20"/>
              </w:rPr>
            </w:pPr>
            <w:r w:rsidRPr="00234DD6">
              <w:rPr>
                <w:sz w:val="20"/>
                <w:szCs w:val="20"/>
              </w:rPr>
              <w:t xml:space="preserve">Gait disturbance 13.5% </w:t>
            </w:r>
          </w:p>
          <w:p w14:paraId="42909D5A" w14:textId="77777777" w:rsidR="00B31172" w:rsidRPr="00234DD6" w:rsidRDefault="00B31172" w:rsidP="007379FE">
            <w:pPr>
              <w:pStyle w:val="Tablenotes"/>
            </w:pPr>
            <w:r w:rsidRPr="00234DD6">
              <w:t xml:space="preserve">Other 2.8% </w:t>
            </w:r>
          </w:p>
        </w:tc>
        <w:tc>
          <w:tcPr>
            <w:tcW w:w="2386" w:type="dxa"/>
            <w:tcBorders>
              <w:top w:val="single" w:sz="4" w:space="0" w:color="auto"/>
              <w:left w:val="single" w:sz="4" w:space="0" w:color="auto"/>
              <w:bottom w:val="single" w:sz="4" w:space="0" w:color="auto"/>
              <w:right w:val="single" w:sz="4" w:space="0" w:color="auto"/>
            </w:tcBorders>
            <w:hideMark/>
          </w:tcPr>
          <w:p w14:paraId="40F15AD0" w14:textId="77777777" w:rsidR="00B31172" w:rsidRPr="00234DD6" w:rsidRDefault="00B31172">
            <w:pPr>
              <w:pStyle w:val="Default"/>
              <w:spacing w:before="40" w:after="40"/>
              <w:jc w:val="both"/>
              <w:rPr>
                <w:sz w:val="20"/>
                <w:szCs w:val="20"/>
              </w:rPr>
            </w:pPr>
            <w:r w:rsidRPr="00234DD6">
              <w:rPr>
                <w:sz w:val="20"/>
                <w:szCs w:val="20"/>
              </w:rPr>
              <w:t xml:space="preserve">Paraesthesia 2.2% </w:t>
            </w:r>
          </w:p>
          <w:p w14:paraId="0635C498" w14:textId="77777777" w:rsidR="00B31172" w:rsidRPr="00234DD6" w:rsidRDefault="00B31172">
            <w:pPr>
              <w:pStyle w:val="Default"/>
              <w:spacing w:before="40" w:after="40"/>
              <w:jc w:val="both"/>
              <w:rPr>
                <w:sz w:val="20"/>
                <w:szCs w:val="20"/>
              </w:rPr>
            </w:pPr>
            <w:r w:rsidRPr="00234DD6">
              <w:rPr>
                <w:sz w:val="20"/>
                <w:szCs w:val="20"/>
              </w:rPr>
              <w:t xml:space="preserve">Gait disturbance 1.8% </w:t>
            </w:r>
          </w:p>
          <w:p w14:paraId="57C3A554" w14:textId="77777777" w:rsidR="00B31172" w:rsidRPr="00234DD6" w:rsidRDefault="00B31172">
            <w:pPr>
              <w:pStyle w:val="Default"/>
              <w:spacing w:before="40" w:after="40"/>
              <w:jc w:val="both"/>
              <w:rPr>
                <w:sz w:val="20"/>
                <w:szCs w:val="20"/>
              </w:rPr>
            </w:pPr>
            <w:r w:rsidRPr="00234DD6">
              <w:rPr>
                <w:sz w:val="20"/>
                <w:szCs w:val="20"/>
              </w:rPr>
              <w:t xml:space="preserve">Dysarthria/dysphagia 4.9% </w:t>
            </w:r>
          </w:p>
          <w:p w14:paraId="07AA6481" w14:textId="77777777" w:rsidR="00B31172" w:rsidRPr="00234DD6" w:rsidRDefault="00B31172">
            <w:pPr>
              <w:pStyle w:val="Default"/>
              <w:spacing w:before="40" w:after="40"/>
              <w:jc w:val="both"/>
              <w:rPr>
                <w:sz w:val="20"/>
                <w:szCs w:val="20"/>
              </w:rPr>
            </w:pPr>
            <w:r w:rsidRPr="00234DD6">
              <w:rPr>
                <w:sz w:val="20"/>
                <w:szCs w:val="20"/>
              </w:rPr>
              <w:t xml:space="preserve">Headache 2.6% </w:t>
            </w:r>
          </w:p>
          <w:p w14:paraId="2EDE6C4D" w14:textId="77777777" w:rsidR="00B31172" w:rsidRPr="00234DD6" w:rsidRDefault="00B31172">
            <w:pPr>
              <w:pStyle w:val="Default"/>
              <w:spacing w:before="40" w:after="40"/>
              <w:jc w:val="both"/>
              <w:rPr>
                <w:sz w:val="20"/>
                <w:szCs w:val="20"/>
              </w:rPr>
            </w:pPr>
            <w:r w:rsidRPr="00234DD6">
              <w:rPr>
                <w:sz w:val="20"/>
                <w:szCs w:val="20"/>
              </w:rPr>
              <w:t xml:space="preserve">Other 1.2% </w:t>
            </w:r>
          </w:p>
          <w:p w14:paraId="25ED8BBC" w14:textId="77777777" w:rsidR="00B31172" w:rsidRPr="00234DD6" w:rsidRDefault="00B31172" w:rsidP="007379FE">
            <w:pPr>
              <w:pStyle w:val="Tablenotes"/>
            </w:pPr>
            <w:r w:rsidRPr="00234DD6">
              <w:t xml:space="preserve">Mental state change 1.5% </w:t>
            </w:r>
          </w:p>
        </w:tc>
        <w:tc>
          <w:tcPr>
            <w:tcW w:w="2353" w:type="dxa"/>
            <w:tcBorders>
              <w:top w:val="single" w:sz="4" w:space="0" w:color="auto"/>
              <w:left w:val="single" w:sz="4" w:space="0" w:color="auto"/>
              <w:bottom w:val="single" w:sz="4" w:space="0" w:color="auto"/>
              <w:right w:val="single" w:sz="4" w:space="0" w:color="auto"/>
            </w:tcBorders>
            <w:hideMark/>
          </w:tcPr>
          <w:p w14:paraId="251662E5" w14:textId="77777777" w:rsidR="00B31172" w:rsidRPr="00234DD6" w:rsidRDefault="00B31172">
            <w:pPr>
              <w:pStyle w:val="Default"/>
              <w:spacing w:before="40" w:after="40"/>
              <w:jc w:val="both"/>
              <w:rPr>
                <w:sz w:val="20"/>
                <w:szCs w:val="20"/>
              </w:rPr>
            </w:pPr>
            <w:r w:rsidRPr="00234DD6">
              <w:rPr>
                <w:sz w:val="20"/>
                <w:szCs w:val="20"/>
              </w:rPr>
              <w:t xml:space="preserve">Section C.3 Table 75 </w:t>
            </w:r>
          </w:p>
          <w:p w14:paraId="66DCBC7D" w14:textId="77777777" w:rsidR="00B31172" w:rsidRPr="00234DD6" w:rsidRDefault="00D960B0" w:rsidP="007379FE">
            <w:pPr>
              <w:pStyle w:val="Tablenotes"/>
            </w:pPr>
            <w:hyperlink r:id="rId18" w:anchor="_ENREF_26" w:tooltip="Giordano, 2020 #2" w:history="1">
              <w:r w:rsidR="00B31172" w:rsidRPr="00234DD6">
                <w:rPr>
                  <w:rStyle w:val="Hyperlink"/>
                  <w:sz w:val="20"/>
                </w:rPr>
                <w:fldChar w:fldCharType="begin"/>
              </w:r>
              <w:r w:rsidR="00B31172" w:rsidRPr="00234DD6">
                <w:rPr>
                  <w:rStyle w:val="Hyperlink"/>
                  <w:sz w:val="20"/>
                </w:rPr>
                <w:instrText xml:space="preserve"> ADDIN EN.CITE &lt;EndNote&gt;&lt;Cite AuthorYear="1"&gt;&lt;Author&gt;Giordano&lt;/Author&gt;&lt;Year&gt;2020&lt;/Year&gt;&lt;RecNum&gt;2&lt;/RecNum&gt;&lt;DisplayText&gt;Giordano et al. (2020)&lt;/DisplayText&gt;&lt;record&gt;&lt;rec-number&gt;2&lt;/rec-number&gt;&lt;foreign-keys&gt;&lt;key app="EN" db-id="r5td5x929d0td3eafwuxew5d0fdavt022vxx" timestamp="1637814206"&gt;2&lt;/key&gt;&lt;/foreign-keys&gt;&lt;ref-type name="Journal Article"&gt;17&lt;/ref-type&gt;&lt;contributors&gt;&lt;authors&gt;&lt;author&gt;Giordano, Martina&lt;/author&gt;&lt;author&gt;Caccavella, Valerio Maria&lt;/author&gt;&lt;author&gt;Zaed, Ismail&lt;/author&gt;&lt;author&gt;Manzillo, Livia Foglia&lt;/author&gt;&lt;author&gt;Montano, Nicola&lt;/author&gt;&lt;author&gt;Olivi, Alessandro&lt;/author&gt;&lt;author&gt;Polli, Filippo Maria&lt;/author&gt;&lt;/authors&gt;&lt;/contributors&gt;&lt;titles&gt;&lt;title&gt;Comparison between deep brain stimulation and magnetic resonance-guided focused ultrasound in the treatment of essential tremor: a systematic review and pooled analysis of functional outcomes&lt;/title&gt;&lt;secondary-title&gt;Journal of Neurology, Neurosurgery &amp;amp; Psychiatry&lt;/secondary-title&gt;&lt;/titles&gt;&lt;periodical&gt;&lt;full-title&gt;Journal of Neurology, Neurosurgery &amp;amp; Psychiatry&lt;/full-title&gt;&lt;/periodical&gt;&lt;pages&gt;1270-1278&lt;/pages&gt;&lt;volume&gt;91&lt;/volume&gt;&lt;number&gt;12&lt;/number&gt;&lt;dates&gt;&lt;year&gt;2020&lt;/year&gt;&lt;/dates&gt;&lt;isbn&gt;0022-3050&lt;/isbn&gt;&lt;urls&gt;&lt;/urls&gt;&lt;/record&gt;&lt;/Cite&gt;&lt;/EndNote&gt;</w:instrText>
              </w:r>
              <w:r w:rsidR="00B31172" w:rsidRPr="00234DD6">
                <w:rPr>
                  <w:rStyle w:val="Hyperlink"/>
                  <w:sz w:val="20"/>
                </w:rPr>
                <w:fldChar w:fldCharType="separate"/>
              </w:r>
              <w:r w:rsidR="00B31172" w:rsidRPr="00234DD6">
                <w:rPr>
                  <w:rStyle w:val="Hyperlink"/>
                  <w:noProof/>
                  <w:sz w:val="20"/>
                </w:rPr>
                <w:t>Giordano et al. (2020)</w:t>
              </w:r>
              <w:r w:rsidR="00B31172" w:rsidRPr="00234DD6">
                <w:rPr>
                  <w:rStyle w:val="Hyperlink"/>
                  <w:sz w:val="20"/>
                </w:rPr>
                <w:fldChar w:fldCharType="end"/>
              </w:r>
            </w:hyperlink>
            <w:r w:rsidR="00B31172" w:rsidRPr="00234DD6">
              <w:t xml:space="preserve"> </w:t>
            </w:r>
          </w:p>
        </w:tc>
      </w:tr>
      <w:tr w:rsidR="00B31172" w:rsidRPr="00234DD6" w14:paraId="505E5ED9" w14:textId="77777777" w:rsidTr="00B31172">
        <w:tc>
          <w:tcPr>
            <w:tcW w:w="2044" w:type="dxa"/>
            <w:tcBorders>
              <w:top w:val="single" w:sz="4" w:space="0" w:color="auto"/>
              <w:left w:val="single" w:sz="4" w:space="0" w:color="auto"/>
              <w:bottom w:val="single" w:sz="4" w:space="0" w:color="auto"/>
              <w:right w:val="single" w:sz="4" w:space="0" w:color="auto"/>
            </w:tcBorders>
            <w:hideMark/>
          </w:tcPr>
          <w:p w14:paraId="243F009F" w14:textId="77777777" w:rsidR="00B31172" w:rsidRPr="00234DD6" w:rsidRDefault="00B31172" w:rsidP="007379FE">
            <w:pPr>
              <w:pStyle w:val="Tablenotes"/>
            </w:pPr>
            <w:r w:rsidRPr="00234DD6">
              <w:t xml:space="preserve">Transformation of long-term adverse event rates to health state utilities </w:t>
            </w:r>
          </w:p>
        </w:tc>
        <w:tc>
          <w:tcPr>
            <w:tcW w:w="2233" w:type="dxa"/>
            <w:tcBorders>
              <w:top w:val="single" w:sz="4" w:space="0" w:color="auto"/>
              <w:left w:val="single" w:sz="4" w:space="0" w:color="auto"/>
              <w:bottom w:val="single" w:sz="4" w:space="0" w:color="auto"/>
              <w:right w:val="single" w:sz="4" w:space="0" w:color="auto"/>
            </w:tcBorders>
            <w:hideMark/>
          </w:tcPr>
          <w:p w14:paraId="20079DA5" w14:textId="77777777" w:rsidR="00B31172" w:rsidRPr="00921A2C" w:rsidRDefault="00B31172">
            <w:pPr>
              <w:pStyle w:val="Default"/>
              <w:spacing w:before="40" w:after="40"/>
              <w:jc w:val="both"/>
              <w:rPr>
                <w:sz w:val="20"/>
                <w:szCs w:val="20"/>
              </w:rPr>
            </w:pPr>
            <w:r w:rsidRPr="00921A2C">
              <w:rPr>
                <w:sz w:val="20"/>
                <w:szCs w:val="20"/>
              </w:rPr>
              <w:t xml:space="preserve">Utility value in patients with LTAE that have: </w:t>
            </w:r>
          </w:p>
          <w:p w14:paraId="5F377A29" w14:textId="77777777" w:rsidR="00B31172" w:rsidRPr="00921A2C" w:rsidRDefault="00B31172">
            <w:pPr>
              <w:pStyle w:val="Default"/>
              <w:spacing w:before="40" w:after="40"/>
              <w:jc w:val="both"/>
              <w:rPr>
                <w:sz w:val="20"/>
                <w:szCs w:val="20"/>
              </w:rPr>
            </w:pPr>
            <w:r w:rsidRPr="00921A2C">
              <w:rPr>
                <w:sz w:val="20"/>
                <w:szCs w:val="20"/>
              </w:rPr>
              <w:t xml:space="preserve">• Marked improvement: 0.65 </w:t>
            </w:r>
          </w:p>
          <w:p w14:paraId="6E567213" w14:textId="77777777" w:rsidR="00B31172" w:rsidRPr="00921A2C" w:rsidRDefault="00B31172">
            <w:pPr>
              <w:pStyle w:val="Default"/>
              <w:spacing w:before="40" w:after="40"/>
              <w:jc w:val="both"/>
              <w:rPr>
                <w:sz w:val="20"/>
                <w:szCs w:val="20"/>
              </w:rPr>
            </w:pPr>
            <w:r w:rsidRPr="00921A2C">
              <w:rPr>
                <w:sz w:val="20"/>
                <w:szCs w:val="20"/>
              </w:rPr>
              <w:t xml:space="preserve">• Mild/moderate improvement: 0.74 </w:t>
            </w:r>
          </w:p>
          <w:p w14:paraId="0563346C" w14:textId="77777777" w:rsidR="00B31172" w:rsidRPr="00921A2C" w:rsidRDefault="00B31172" w:rsidP="007379FE">
            <w:pPr>
              <w:pStyle w:val="Tablenotes"/>
            </w:pPr>
            <w:r w:rsidRPr="00921A2C">
              <w:t xml:space="preserve">Based on 81.4% LTAE utility multiplier </w:t>
            </w:r>
          </w:p>
        </w:tc>
        <w:tc>
          <w:tcPr>
            <w:tcW w:w="2386" w:type="dxa"/>
            <w:tcBorders>
              <w:top w:val="single" w:sz="4" w:space="0" w:color="auto"/>
              <w:left w:val="single" w:sz="4" w:space="0" w:color="auto"/>
              <w:bottom w:val="single" w:sz="4" w:space="0" w:color="auto"/>
              <w:right w:val="single" w:sz="4" w:space="0" w:color="auto"/>
            </w:tcBorders>
            <w:hideMark/>
          </w:tcPr>
          <w:p w14:paraId="49DECDE7" w14:textId="77777777" w:rsidR="00B31172" w:rsidRPr="00921A2C" w:rsidRDefault="00B31172">
            <w:pPr>
              <w:pStyle w:val="Default"/>
              <w:spacing w:before="40" w:after="40"/>
              <w:jc w:val="both"/>
              <w:rPr>
                <w:sz w:val="20"/>
                <w:szCs w:val="20"/>
              </w:rPr>
            </w:pPr>
            <w:r w:rsidRPr="00921A2C">
              <w:rPr>
                <w:sz w:val="20"/>
                <w:szCs w:val="20"/>
              </w:rPr>
              <w:t xml:space="preserve">Utility value in patients with LTAE that have: </w:t>
            </w:r>
          </w:p>
          <w:p w14:paraId="038DF961" w14:textId="77777777" w:rsidR="00B31172" w:rsidRPr="00921A2C" w:rsidRDefault="00B31172">
            <w:pPr>
              <w:pStyle w:val="Default"/>
              <w:spacing w:before="40" w:after="40"/>
              <w:jc w:val="both"/>
              <w:rPr>
                <w:sz w:val="20"/>
                <w:szCs w:val="20"/>
              </w:rPr>
            </w:pPr>
            <w:r w:rsidRPr="00921A2C">
              <w:rPr>
                <w:sz w:val="20"/>
                <w:szCs w:val="20"/>
              </w:rPr>
              <w:t xml:space="preserve">• Marked improvement: 0.60 </w:t>
            </w:r>
          </w:p>
          <w:p w14:paraId="78A4A546" w14:textId="77777777" w:rsidR="00B31172" w:rsidRPr="00921A2C" w:rsidRDefault="00B31172">
            <w:pPr>
              <w:pStyle w:val="Default"/>
              <w:spacing w:before="40" w:after="40"/>
              <w:jc w:val="both"/>
              <w:rPr>
                <w:sz w:val="20"/>
                <w:szCs w:val="20"/>
              </w:rPr>
            </w:pPr>
            <w:r w:rsidRPr="00921A2C">
              <w:rPr>
                <w:sz w:val="20"/>
                <w:szCs w:val="20"/>
              </w:rPr>
              <w:t xml:space="preserve">• Mild/moderate improvement: 0.69 </w:t>
            </w:r>
          </w:p>
          <w:p w14:paraId="5F65609E" w14:textId="77777777" w:rsidR="00B31172" w:rsidRPr="00921A2C" w:rsidRDefault="00B31172" w:rsidP="007379FE">
            <w:pPr>
              <w:pStyle w:val="Tablenotes"/>
            </w:pPr>
            <w:r w:rsidRPr="00921A2C">
              <w:t xml:space="preserve">Based on 75.6% LTAE utility multiplier </w:t>
            </w:r>
          </w:p>
        </w:tc>
        <w:tc>
          <w:tcPr>
            <w:tcW w:w="2353" w:type="dxa"/>
            <w:tcBorders>
              <w:top w:val="single" w:sz="4" w:space="0" w:color="auto"/>
              <w:left w:val="single" w:sz="4" w:space="0" w:color="auto"/>
              <w:bottom w:val="single" w:sz="4" w:space="0" w:color="auto"/>
              <w:right w:val="single" w:sz="4" w:space="0" w:color="auto"/>
            </w:tcBorders>
            <w:hideMark/>
          </w:tcPr>
          <w:p w14:paraId="4F3886B5" w14:textId="77777777" w:rsidR="00B31172" w:rsidRPr="00234DD6" w:rsidRDefault="00B31172">
            <w:pPr>
              <w:pStyle w:val="Default"/>
              <w:spacing w:before="40" w:after="40"/>
              <w:jc w:val="both"/>
              <w:rPr>
                <w:sz w:val="20"/>
                <w:szCs w:val="20"/>
              </w:rPr>
            </w:pPr>
            <w:r w:rsidRPr="00234DD6">
              <w:rPr>
                <w:sz w:val="20"/>
                <w:szCs w:val="20"/>
              </w:rPr>
              <w:t xml:space="preserve">Section C.3 Table 78 </w:t>
            </w:r>
          </w:p>
          <w:p w14:paraId="4694AA84" w14:textId="77777777" w:rsidR="00B31172" w:rsidRPr="00234DD6" w:rsidRDefault="00B31172" w:rsidP="007379FE">
            <w:pPr>
              <w:pStyle w:val="Tablenotes"/>
            </w:pPr>
            <w:r w:rsidRPr="00234DD6">
              <w:t xml:space="preserve">Weighted average of LTAE and HS utility values published in OHTAS model and </w:t>
            </w:r>
            <w:hyperlink r:id="rId19" w:anchor="_ENREF_59" w:tooltip="Ravikumar, 2017 #10" w:history="1">
              <w:r w:rsidRPr="00234DD6">
                <w:rPr>
                  <w:rStyle w:val="Hyperlink"/>
                  <w:sz w:val="20"/>
                </w:rPr>
                <w:fldChar w:fldCharType="begin"/>
              </w:r>
              <w:r w:rsidRPr="00234DD6">
                <w:rPr>
                  <w:rStyle w:val="Hyperlink"/>
                  <w:sz w:val="20"/>
                </w:rPr>
                <w:instrText xml:space="preserve"> ADDIN EN.CITE &lt;EndNote&gt;&lt;Cite AuthorYear="1"&gt;&lt;Author&gt;Ravikumar&lt;/Author&gt;&lt;Year&gt;2017&lt;/Year&gt;&lt;RecNum&gt;10&lt;/RecNum&gt;&lt;DisplayText&gt;Ravikumar et al. (2017)&lt;/DisplayText&gt;&lt;record&gt;&lt;rec-number&gt;10&lt;/rec-number&gt;&lt;foreign-keys&gt;&lt;key app="EN" db-id="r5td5x929d0td3eafwuxew5d0fdavt022vxx" timestamp="1637814456"&gt;10&lt;/key&gt;&lt;/foreign-keys&gt;&lt;ref-type name="Journal Article"&gt;17&lt;/ref-type&gt;&lt;contributors&gt;&lt;authors&gt;&lt;author&gt;Ravikumar, Vinod K&lt;/author&gt;&lt;author&gt;Parker, Jonathon J&lt;/author&gt;&lt;author&gt;Hornbeck, Traci S&lt;/author&gt;&lt;author&gt;Santini, Veronica E&lt;/author&gt;&lt;author&gt;Pauly, Kim Butts&lt;/author&gt;&lt;author&gt;Wintermark, Max&lt;/author&gt;&lt;author&gt;Ghanouni, Pejman&lt;/author&gt;&lt;author&gt;Stein, Sherman C&lt;/author&gt;&lt;author&gt;Halpern, Casey H&lt;/author&gt;&lt;/authors&gt;&lt;/contributors&gt;&lt;titles&gt;&lt;title&gt;Cost</w:instrText>
              </w:r>
              <w:r w:rsidRPr="00234DD6">
                <w:rPr>
                  <w:rStyle w:val="Hyperlink"/>
                  <w:rFonts w:ascii="Cambria Math" w:hAnsi="Cambria Math" w:cs="Cambria Math"/>
                  <w:sz w:val="20"/>
                </w:rPr>
                <w:instrText>‐</w:instrText>
              </w:r>
              <w:r w:rsidRPr="00234DD6">
                <w:rPr>
                  <w:rStyle w:val="Hyperlink"/>
                  <w:sz w:val="20"/>
                </w:rPr>
                <w:instrText>effectiveness of focused ultrasound, radiosurgery, and DBS for essential tremor&lt;/title&gt;&lt;secondary-title&gt;Movement Disorders&lt;/secondary-title&gt;&lt;/titles&gt;&lt;periodical&gt;&lt;full-title&gt;Movement Disorders&lt;/full-title&gt;&lt;/periodical&gt;&lt;pages&gt;1165-1173&lt;/pages&gt;&lt;volume&gt;32&lt;/volume&gt;&lt;number&gt;8&lt;/number&gt;&lt;dates&gt;&lt;year&gt;2017&lt;/year&gt;&lt;/dates&gt;&lt;isbn&gt;0885-3185&lt;/isbn&gt;&lt;urls&gt;&lt;/urls&gt;&lt;/record&gt;&lt;/Cite&gt;&lt;/EndNote&gt;</w:instrText>
              </w:r>
              <w:r w:rsidRPr="00234DD6">
                <w:rPr>
                  <w:rStyle w:val="Hyperlink"/>
                  <w:sz w:val="20"/>
                </w:rPr>
                <w:fldChar w:fldCharType="separate"/>
              </w:r>
              <w:r w:rsidRPr="00234DD6">
                <w:rPr>
                  <w:rStyle w:val="Hyperlink"/>
                  <w:noProof/>
                  <w:sz w:val="20"/>
                </w:rPr>
                <w:t>Ravikumar et al. (2017)</w:t>
              </w:r>
              <w:r w:rsidRPr="00234DD6">
                <w:rPr>
                  <w:rStyle w:val="Hyperlink"/>
                  <w:sz w:val="20"/>
                </w:rPr>
                <w:fldChar w:fldCharType="end"/>
              </w:r>
            </w:hyperlink>
            <w:r w:rsidRPr="00234DD6">
              <w:t xml:space="preserve"> model where OHTAS model does not provide utility inputs. </w:t>
            </w:r>
          </w:p>
        </w:tc>
      </w:tr>
    </w:tbl>
    <w:p w14:paraId="620A4441" w14:textId="22A16437" w:rsidR="00F664CC" w:rsidRPr="00234DD6" w:rsidRDefault="00B31172" w:rsidP="007379FE">
      <w:pPr>
        <w:pStyle w:val="Tablenotes"/>
      </w:pPr>
      <w:r w:rsidRPr="00234DD6">
        <w:t xml:space="preserve">AE, adverse events; DBS, deep brain stimulation; HS, health state; LTAS, long term adverse event; </w:t>
      </w:r>
      <w:proofErr w:type="spellStart"/>
      <w:r w:rsidRPr="00234DD6">
        <w:t>MRgFUS</w:t>
      </w:r>
      <w:proofErr w:type="spellEnd"/>
      <w:r w:rsidRPr="00234DD6">
        <w:t>, Magnetic Resonance-guided Focused Ultrasound; OHTAS, Ottawa Health Technology Assessment Series; QALY, quality adjusted life year; STAE, short term adverse event</w:t>
      </w:r>
      <w:r w:rsidRPr="00234DD6">
        <w:br/>
        <w:t xml:space="preserve">Source: Table 57, pp101-102 of the </w:t>
      </w:r>
      <w:r w:rsidR="001F4D4E" w:rsidRPr="00234DD6">
        <w:t>c</w:t>
      </w:r>
      <w:r w:rsidRPr="00234DD6">
        <w:t>ommentary (based on Table 80 of the resubmission, pp201-202)</w:t>
      </w:r>
    </w:p>
    <w:p w14:paraId="1A2CC11E" w14:textId="52EB5DB3" w:rsidR="000632EF" w:rsidRPr="0089471B" w:rsidRDefault="00065623" w:rsidP="0089471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89471B">
        <w:rPr>
          <w:rFonts w:ascii="Franklin Gothic Medium" w:eastAsia="SimSun" w:hAnsi="Franklin Gothic Medium" w:cs="Times New Roman"/>
          <w:b w:val="0"/>
          <w:bCs w:val="0"/>
          <w:color w:val="000000"/>
          <w:sz w:val="32"/>
          <w:szCs w:val="26"/>
          <w:lang w:eastAsia="en-US"/>
        </w:rPr>
        <w:t>Economic evaluation</w:t>
      </w:r>
    </w:p>
    <w:p w14:paraId="79FF598F" w14:textId="541BCADE" w:rsidR="00B03054" w:rsidRPr="00B03054" w:rsidRDefault="00815220" w:rsidP="00B03054">
      <w:pPr>
        <w:rPr>
          <w:rFonts w:ascii="Franklin Gothic Book" w:hAnsi="Franklin Gothic Book"/>
          <w:sz w:val="22"/>
          <w:szCs w:val="22"/>
        </w:rPr>
      </w:pPr>
      <w:r w:rsidRPr="00234DD6">
        <w:rPr>
          <w:rFonts w:ascii="Franklin Gothic Book" w:hAnsi="Franklin Gothic Book"/>
          <w:sz w:val="22"/>
          <w:szCs w:val="22"/>
        </w:rPr>
        <w:t xml:space="preserve">The economic evaluation is summarised in Table </w:t>
      </w:r>
      <w:r w:rsidR="000160F4" w:rsidRPr="00234DD6">
        <w:rPr>
          <w:rFonts w:ascii="Franklin Gothic Book" w:hAnsi="Franklin Gothic Book"/>
          <w:sz w:val="22"/>
          <w:szCs w:val="22"/>
        </w:rPr>
        <w:t>10</w:t>
      </w:r>
      <w:r w:rsidRPr="00234DD6">
        <w:rPr>
          <w:rFonts w:ascii="Franklin Gothic Book" w:hAnsi="Franklin Gothic Book"/>
          <w:sz w:val="22"/>
          <w:szCs w:val="22"/>
        </w:rPr>
        <w:t>.</w:t>
      </w:r>
      <w:bookmarkStart w:id="28" w:name="_Ref404370956"/>
      <w:bookmarkStart w:id="29" w:name="_Ref394419656"/>
      <w:bookmarkStart w:id="30" w:name="_Toc399251123"/>
      <w:bookmarkStart w:id="31" w:name="_Toc59543576"/>
      <w:bookmarkStart w:id="32" w:name="_Toc92902640"/>
      <w:r w:rsidR="00B03054">
        <w:br w:type="page"/>
      </w:r>
    </w:p>
    <w:p w14:paraId="1554819D" w14:textId="11AB76F5" w:rsidR="00815220" w:rsidRPr="00234DD6" w:rsidRDefault="00815220" w:rsidP="00234DD6">
      <w:pPr>
        <w:pStyle w:val="Caption"/>
        <w:keepLines/>
        <w:spacing w:before="240"/>
      </w:pPr>
      <w:r w:rsidRPr="00234DD6">
        <w:lastRenderedPageBreak/>
        <w:t>Table</w:t>
      </w:r>
      <w:bookmarkEnd w:id="28"/>
      <w:r w:rsidRPr="00234DD6">
        <w:t xml:space="preserve"> </w:t>
      </w:r>
      <w:r w:rsidR="000160F4" w:rsidRPr="00234DD6">
        <w:t>10</w:t>
      </w:r>
      <w:r w:rsidRPr="00234DD6">
        <w:tab/>
        <w:t>Summary of the economic evaluation</w:t>
      </w:r>
      <w:bookmarkEnd w:id="29"/>
      <w:bookmarkEnd w:id="30"/>
      <w:bookmarkEnd w:id="31"/>
      <w:bookmarkEnd w:id="32"/>
      <w:r w:rsidRPr="00234DD6">
        <w:t xml:space="preserve"> </w:t>
      </w:r>
    </w:p>
    <w:tbl>
      <w:tblPr>
        <w:tblStyle w:val="TableGrid2"/>
        <w:tblW w:w="5000" w:type="pct"/>
        <w:tblLook w:val="01E0" w:firstRow="1" w:lastRow="1" w:firstColumn="1" w:lastColumn="1" w:noHBand="0" w:noVBand="0"/>
        <w:tblCaption w:val="Table 4 Summary of the economic evaluation"/>
        <w:tblDescription w:val="This table describes the key constructs of the economic evaluation that is provided in the assessment report."/>
      </w:tblPr>
      <w:tblGrid>
        <w:gridCol w:w="3107"/>
        <w:gridCol w:w="5909"/>
      </w:tblGrid>
      <w:tr w:rsidR="00815220" w:rsidRPr="00234DD6" w14:paraId="5F8B9DCB" w14:textId="77777777" w:rsidTr="00A313B1">
        <w:trPr>
          <w:cnfStyle w:val="100000000000" w:firstRow="1" w:lastRow="0" w:firstColumn="0" w:lastColumn="0" w:oddVBand="0" w:evenVBand="0" w:oddHBand="0" w:evenHBand="0" w:firstRowFirstColumn="0" w:firstRowLastColumn="0" w:lastRowFirstColumn="0" w:lastRowLastColumn="0"/>
          <w:trHeight w:val="20"/>
        </w:trPr>
        <w:tc>
          <w:tcPr>
            <w:tcW w:w="1723" w:type="pct"/>
            <w:tcBorders>
              <w:top w:val="single" w:sz="4" w:space="0" w:color="auto"/>
              <w:left w:val="single" w:sz="4" w:space="0" w:color="auto"/>
              <w:bottom w:val="single" w:sz="4" w:space="0" w:color="auto"/>
              <w:right w:val="single" w:sz="4" w:space="0" w:color="auto"/>
            </w:tcBorders>
          </w:tcPr>
          <w:p w14:paraId="65FD1A35" w14:textId="77777777" w:rsidR="00815220" w:rsidRPr="00234DD6" w:rsidRDefault="00815220" w:rsidP="00A313B1">
            <w:pPr>
              <w:pStyle w:val="Tabletext"/>
              <w:keepNext/>
              <w:keepLines/>
            </w:pPr>
            <w:r w:rsidRPr="00234DD6">
              <w:t>Perspective</w:t>
            </w:r>
          </w:p>
        </w:tc>
        <w:tc>
          <w:tcPr>
            <w:tcW w:w="3277" w:type="pct"/>
            <w:tcBorders>
              <w:top w:val="single" w:sz="4" w:space="0" w:color="auto"/>
              <w:left w:val="single" w:sz="4" w:space="0" w:color="auto"/>
              <w:bottom w:val="single" w:sz="4" w:space="0" w:color="auto"/>
              <w:right w:val="single" w:sz="4" w:space="0" w:color="auto"/>
            </w:tcBorders>
          </w:tcPr>
          <w:p w14:paraId="39E3499B" w14:textId="77777777" w:rsidR="00815220" w:rsidRPr="00234DD6" w:rsidRDefault="00815220" w:rsidP="00A313B1">
            <w:pPr>
              <w:pStyle w:val="Tabletext"/>
              <w:keepNext/>
              <w:keepLines/>
            </w:pPr>
            <w:r w:rsidRPr="00234DD6">
              <w:rPr>
                <w:rFonts w:eastAsia="Tahoma"/>
              </w:rPr>
              <w:t>Health care system</w:t>
            </w:r>
          </w:p>
        </w:tc>
      </w:tr>
      <w:tr w:rsidR="00815220" w:rsidRPr="00234DD6" w14:paraId="125A55EB" w14:textId="77777777" w:rsidTr="00A313B1">
        <w:trPr>
          <w:trHeight w:val="20"/>
        </w:trPr>
        <w:tc>
          <w:tcPr>
            <w:tcW w:w="1723" w:type="pct"/>
            <w:tcBorders>
              <w:top w:val="single" w:sz="4" w:space="0" w:color="auto"/>
              <w:left w:val="single" w:sz="4" w:space="0" w:color="auto"/>
              <w:bottom w:val="single" w:sz="4" w:space="0" w:color="auto"/>
              <w:right w:val="single" w:sz="4" w:space="0" w:color="auto"/>
            </w:tcBorders>
          </w:tcPr>
          <w:p w14:paraId="0A315076" w14:textId="77777777" w:rsidR="00815220" w:rsidRPr="00234DD6" w:rsidRDefault="00815220" w:rsidP="00A313B1">
            <w:pPr>
              <w:pStyle w:val="Tabletext"/>
              <w:keepNext/>
              <w:keepLines/>
            </w:pPr>
            <w:r w:rsidRPr="00234DD6">
              <w:t>Comparator</w:t>
            </w:r>
          </w:p>
        </w:tc>
        <w:tc>
          <w:tcPr>
            <w:tcW w:w="3277" w:type="pct"/>
            <w:tcBorders>
              <w:top w:val="single" w:sz="4" w:space="0" w:color="auto"/>
              <w:left w:val="single" w:sz="4" w:space="0" w:color="auto"/>
              <w:bottom w:val="single" w:sz="4" w:space="0" w:color="auto"/>
              <w:right w:val="single" w:sz="4" w:space="0" w:color="auto"/>
            </w:tcBorders>
          </w:tcPr>
          <w:p w14:paraId="20E87EEF" w14:textId="77777777" w:rsidR="00815220" w:rsidRPr="00234DD6" w:rsidRDefault="00815220" w:rsidP="00A313B1">
            <w:pPr>
              <w:pStyle w:val="Tabletext"/>
              <w:keepNext/>
              <w:keepLines/>
            </w:pPr>
            <w:r w:rsidRPr="00234DD6">
              <w:rPr>
                <w:rFonts w:eastAsia="Tahoma"/>
              </w:rPr>
              <w:t>Deep brain stimulation</w:t>
            </w:r>
          </w:p>
        </w:tc>
      </w:tr>
      <w:tr w:rsidR="00815220" w:rsidRPr="00234DD6" w14:paraId="14A86689" w14:textId="77777777" w:rsidTr="00A313B1">
        <w:trPr>
          <w:trHeight w:val="20"/>
        </w:trPr>
        <w:tc>
          <w:tcPr>
            <w:tcW w:w="1723" w:type="pct"/>
            <w:tcBorders>
              <w:top w:val="single" w:sz="4" w:space="0" w:color="auto"/>
              <w:left w:val="single" w:sz="4" w:space="0" w:color="auto"/>
              <w:bottom w:val="single" w:sz="4" w:space="0" w:color="auto"/>
              <w:right w:val="single" w:sz="4" w:space="0" w:color="auto"/>
            </w:tcBorders>
          </w:tcPr>
          <w:p w14:paraId="2E9EC99A" w14:textId="77777777" w:rsidR="00815220" w:rsidRPr="00234DD6" w:rsidRDefault="00815220" w:rsidP="00A313B1">
            <w:pPr>
              <w:pStyle w:val="Tabletext"/>
            </w:pPr>
            <w:r w:rsidRPr="00234DD6">
              <w:t>Therapeutic claim: effectiveness</w:t>
            </w:r>
          </w:p>
        </w:tc>
        <w:tc>
          <w:tcPr>
            <w:tcW w:w="3277" w:type="pct"/>
            <w:tcBorders>
              <w:top w:val="single" w:sz="4" w:space="0" w:color="auto"/>
              <w:left w:val="single" w:sz="4" w:space="0" w:color="auto"/>
              <w:bottom w:val="single" w:sz="4" w:space="0" w:color="auto"/>
              <w:right w:val="single" w:sz="4" w:space="0" w:color="auto"/>
            </w:tcBorders>
          </w:tcPr>
          <w:p w14:paraId="1CA8D963" w14:textId="77777777" w:rsidR="00815220" w:rsidRPr="00234DD6" w:rsidRDefault="00815220" w:rsidP="00A313B1">
            <w:pPr>
              <w:pStyle w:val="Tabletext"/>
              <w:rPr>
                <w:rFonts w:eastAsia="Tahoma"/>
              </w:rPr>
            </w:pPr>
            <w:r w:rsidRPr="00234DD6">
              <w:t>Non-inferior effectiveness</w:t>
            </w:r>
          </w:p>
        </w:tc>
      </w:tr>
      <w:tr w:rsidR="00815220" w:rsidRPr="00234DD6" w14:paraId="4E9431B5" w14:textId="77777777" w:rsidTr="00A313B1">
        <w:trPr>
          <w:trHeight w:val="20"/>
        </w:trPr>
        <w:tc>
          <w:tcPr>
            <w:tcW w:w="1723" w:type="pct"/>
            <w:tcBorders>
              <w:top w:val="single" w:sz="4" w:space="0" w:color="auto"/>
              <w:left w:val="single" w:sz="4" w:space="0" w:color="auto"/>
              <w:bottom w:val="single" w:sz="4" w:space="0" w:color="auto"/>
              <w:right w:val="single" w:sz="4" w:space="0" w:color="auto"/>
            </w:tcBorders>
          </w:tcPr>
          <w:p w14:paraId="1B7258C2" w14:textId="77777777" w:rsidR="00815220" w:rsidRPr="00234DD6" w:rsidRDefault="00815220" w:rsidP="00A313B1">
            <w:pPr>
              <w:pStyle w:val="Tabletext"/>
            </w:pPr>
            <w:r w:rsidRPr="00234DD6">
              <w:t>Therapeutic claim: safety</w:t>
            </w:r>
          </w:p>
        </w:tc>
        <w:tc>
          <w:tcPr>
            <w:tcW w:w="3277" w:type="pct"/>
            <w:tcBorders>
              <w:top w:val="single" w:sz="4" w:space="0" w:color="auto"/>
              <w:left w:val="single" w:sz="4" w:space="0" w:color="auto"/>
              <w:bottom w:val="single" w:sz="4" w:space="0" w:color="auto"/>
              <w:right w:val="single" w:sz="4" w:space="0" w:color="auto"/>
            </w:tcBorders>
          </w:tcPr>
          <w:p w14:paraId="0CC3CCCB" w14:textId="77777777" w:rsidR="00815220" w:rsidRPr="00234DD6" w:rsidRDefault="00815220" w:rsidP="00A313B1">
            <w:pPr>
              <w:pStyle w:val="Tabletext"/>
              <w:rPr>
                <w:rFonts w:eastAsia="Tahoma"/>
              </w:rPr>
            </w:pPr>
            <w:r w:rsidRPr="00234DD6">
              <w:t>Different, yet non-inferior safety profile</w:t>
            </w:r>
          </w:p>
        </w:tc>
      </w:tr>
      <w:tr w:rsidR="00815220" w:rsidRPr="00234DD6" w14:paraId="067621F7" w14:textId="77777777" w:rsidTr="00A313B1">
        <w:trPr>
          <w:trHeight w:val="20"/>
        </w:trPr>
        <w:tc>
          <w:tcPr>
            <w:tcW w:w="1723" w:type="pct"/>
            <w:tcBorders>
              <w:top w:val="single" w:sz="4" w:space="0" w:color="auto"/>
              <w:left w:val="single" w:sz="4" w:space="0" w:color="auto"/>
              <w:bottom w:val="single" w:sz="4" w:space="0" w:color="auto"/>
              <w:right w:val="single" w:sz="4" w:space="0" w:color="auto"/>
            </w:tcBorders>
          </w:tcPr>
          <w:p w14:paraId="2643BBCE" w14:textId="77777777" w:rsidR="00815220" w:rsidRPr="00234DD6" w:rsidRDefault="00815220" w:rsidP="00A313B1">
            <w:pPr>
              <w:pStyle w:val="Tabletext"/>
            </w:pPr>
            <w:r w:rsidRPr="00234DD6">
              <w:t>Type of economic evaluation</w:t>
            </w:r>
          </w:p>
        </w:tc>
        <w:tc>
          <w:tcPr>
            <w:tcW w:w="3277" w:type="pct"/>
            <w:tcBorders>
              <w:top w:val="single" w:sz="4" w:space="0" w:color="auto"/>
              <w:left w:val="single" w:sz="4" w:space="0" w:color="auto"/>
              <w:bottom w:val="single" w:sz="4" w:space="0" w:color="auto"/>
              <w:right w:val="single" w:sz="4" w:space="0" w:color="auto"/>
            </w:tcBorders>
          </w:tcPr>
          <w:p w14:paraId="0F889984" w14:textId="77777777" w:rsidR="00815220" w:rsidRPr="00234DD6" w:rsidRDefault="00815220" w:rsidP="00A313B1">
            <w:pPr>
              <w:pStyle w:val="Tabletext"/>
            </w:pPr>
            <w:r w:rsidRPr="00234DD6">
              <w:rPr>
                <w:rFonts w:eastAsia="Tahoma"/>
              </w:rPr>
              <w:t>Cost-utility analysis</w:t>
            </w:r>
          </w:p>
        </w:tc>
      </w:tr>
      <w:tr w:rsidR="00815220" w:rsidRPr="00234DD6" w14:paraId="69BCCD45" w14:textId="77777777" w:rsidTr="00A313B1">
        <w:trPr>
          <w:trHeight w:val="20"/>
        </w:trPr>
        <w:tc>
          <w:tcPr>
            <w:tcW w:w="1723" w:type="pct"/>
            <w:tcBorders>
              <w:top w:val="single" w:sz="4" w:space="0" w:color="auto"/>
              <w:left w:val="single" w:sz="4" w:space="0" w:color="auto"/>
              <w:bottom w:val="single" w:sz="4" w:space="0" w:color="auto"/>
              <w:right w:val="single" w:sz="4" w:space="0" w:color="auto"/>
            </w:tcBorders>
          </w:tcPr>
          <w:p w14:paraId="7D01BF5E" w14:textId="77777777" w:rsidR="00815220" w:rsidRPr="00234DD6" w:rsidRDefault="00815220" w:rsidP="00A313B1">
            <w:pPr>
              <w:pStyle w:val="Tabletext"/>
            </w:pPr>
            <w:r w:rsidRPr="00234DD6">
              <w:t>Sources of evidence</w:t>
            </w:r>
          </w:p>
        </w:tc>
        <w:tc>
          <w:tcPr>
            <w:tcW w:w="3277" w:type="pct"/>
            <w:tcBorders>
              <w:top w:val="single" w:sz="4" w:space="0" w:color="auto"/>
              <w:left w:val="single" w:sz="4" w:space="0" w:color="auto"/>
              <w:bottom w:val="single" w:sz="4" w:space="0" w:color="auto"/>
              <w:right w:val="single" w:sz="4" w:space="0" w:color="auto"/>
            </w:tcBorders>
          </w:tcPr>
          <w:p w14:paraId="471773A8" w14:textId="77777777" w:rsidR="00815220" w:rsidRPr="00234DD6" w:rsidRDefault="00815220" w:rsidP="00A313B1">
            <w:pPr>
              <w:pStyle w:val="Tabletext"/>
              <w:rPr>
                <w:vanish/>
                <w:color w:val="C00000"/>
              </w:rPr>
            </w:pPr>
            <w:r w:rsidRPr="00234DD6">
              <w:rPr>
                <w:rFonts w:eastAsia="Tahoma"/>
              </w:rPr>
              <w:fldChar w:fldCharType="begin"/>
            </w:r>
            <w:r w:rsidRPr="00234DD6">
              <w:rPr>
                <w:rFonts w:eastAsia="Tahoma"/>
              </w:rPr>
              <w:instrText xml:space="preserve"> ADDIN EN.CITE &lt;EndNote&gt;&lt;Cite AuthorYear="1"&gt;&lt;Author&gt;Elias&lt;/Author&gt;&lt;Year&gt;2016&lt;/Year&gt;&lt;RecNum&gt;1&lt;/RecNum&gt;&lt;DisplayText&gt;Elias et al. (2016)&lt;/DisplayText&gt;&lt;record&gt;&lt;rec-number&gt;1&lt;/rec-number&gt;&lt;foreign-keys&gt;&lt;key app="EN" db-id="r5td5x929d0td3eafwuxew5d0fdavt022vxx" timestamp="1637814179"&gt;1&lt;/key&gt;&lt;/foreign-keys&gt;&lt;ref-type name="Journal Article"&gt;17&lt;/ref-type&gt;&lt;contributors&gt;&lt;authors&gt;&lt;author&gt;Elias, W Jeffrey&lt;/author&gt;&lt;author&gt;Lipsman, Nir&lt;/author&gt;&lt;author&gt;Ondo, William G&lt;/author&gt;&lt;author&gt;Ghanouni, Pejman&lt;/author&gt;&lt;author&gt;Kim, Young G&lt;/author&gt;&lt;author&gt;Lee, Wonhee&lt;/author&gt;&lt;author&gt;Schwartz, Michael&lt;/author&gt;&lt;author&gt;Hynynen, Kullervo&lt;/author&gt;&lt;author&gt;Lozano, Andres M&lt;/author&gt;&lt;author&gt;Shah, Binit B&lt;/author&gt;&lt;/authors&gt;&lt;/contributors&gt;&lt;titles&gt;&lt;title&gt;A randomized trial of focused ultrasound thalamotomy for essential tremor&lt;/title&gt;&lt;secondary-title&gt;New England Journal of Medicine&lt;/secondary-title&gt;&lt;/titles&gt;&lt;periodical&gt;&lt;full-title&gt;New England Journal of Medicine&lt;/full-title&gt;&lt;/periodical&gt;&lt;pages&gt;730-739&lt;/pages&gt;&lt;volume&gt;375&lt;/volume&gt;&lt;number&gt;8&lt;/number&gt;&lt;dates&gt;&lt;year&gt;2016&lt;/year&gt;&lt;/dates&gt;&lt;isbn&gt;0028-4793&lt;/isbn&gt;&lt;urls&gt;&lt;/urls&gt;&lt;/record&gt;&lt;/Cite&gt;&lt;/EndNote&gt;</w:instrText>
            </w:r>
            <w:r w:rsidRPr="00234DD6">
              <w:rPr>
                <w:rFonts w:eastAsia="Tahoma"/>
              </w:rPr>
              <w:fldChar w:fldCharType="separate"/>
            </w:r>
            <w:r w:rsidRPr="00234DD6">
              <w:rPr>
                <w:rFonts w:eastAsia="Tahoma"/>
              </w:rPr>
              <w:t>Elias et al. (2016)</w:t>
            </w:r>
            <w:r w:rsidRPr="00234DD6">
              <w:rPr>
                <w:rFonts w:eastAsia="Tahoma"/>
              </w:rPr>
              <w:fldChar w:fldCharType="end"/>
            </w:r>
            <w:r w:rsidRPr="00234DD6">
              <w:rPr>
                <w:rFonts w:eastAsia="Tahoma"/>
              </w:rPr>
              <w:t xml:space="preserve">, </w:t>
            </w:r>
            <w:r w:rsidRPr="00234DD6">
              <w:rPr>
                <w:rFonts w:eastAsia="Tahoma"/>
              </w:rPr>
              <w:fldChar w:fldCharType="begin"/>
            </w:r>
            <w:r w:rsidRPr="00234DD6">
              <w:rPr>
                <w:rFonts w:eastAsia="Tahoma"/>
              </w:rPr>
              <w:instrText xml:space="preserve"> ADDIN EN.CITE &lt;EndNote&gt;&lt;Cite AuthorYear="1"&gt;&lt;Author&gt;Huss&lt;/Author&gt;&lt;Year&gt;2015&lt;/Year&gt;&lt;RecNum&gt;4&lt;/RecNum&gt;&lt;DisplayText&gt;Huss et al. (2015)&lt;/DisplayText&gt;&lt;record&gt;&lt;rec-number&gt;4&lt;/rec-number&gt;&lt;foreign-keys&gt;&lt;key app="EN" db-id="r5td5x929d0td3eafwuxew5d0fdavt022vxx" timestamp="1637814248"&gt;4&lt;/key&gt;&lt;/foreign-keys&gt;&lt;ref-type name="Journal Article"&gt;17&lt;/ref-type&gt;&lt;contributors&gt;&lt;authors&gt;&lt;author&gt;Huss, Diane S&lt;/author&gt;&lt;author&gt;Dallapiazza, Robert F&lt;/author&gt;&lt;author&gt;Shah, Binit B&lt;/author&gt;&lt;author&gt;Harrison, Madaline B&lt;/author&gt;&lt;author&gt;Diamond, Joshua&lt;/author&gt;&lt;author&gt;Elias, W Jeff&lt;/author&gt;&lt;/authors&gt;&lt;/contributors&gt;&lt;titles&gt;&lt;title&gt;Functional assessment and quality of life in essential tremor with bilateral or unilateral DBS and focused ultrasound thalamotomy&lt;/title&gt;&lt;secondary-title&gt;Movement Disorders&lt;/secondary-title&gt;&lt;/titles&gt;&lt;periodical&gt;&lt;full-title&gt;Movement Disorders&lt;/full-title&gt;&lt;/periodical&gt;&lt;pages&gt;1937-1943&lt;/pages&gt;&lt;volume&gt;30&lt;/volume&gt;&lt;number&gt;14&lt;/number&gt;&lt;dates&gt;&lt;year&gt;2015&lt;/year&gt;&lt;/dates&gt;&lt;isbn&gt;0885-3185&lt;/isbn&gt;&lt;urls&gt;&lt;/urls&gt;&lt;/record&gt;&lt;/Cite&gt;&lt;/EndNote&gt;</w:instrText>
            </w:r>
            <w:r w:rsidRPr="00234DD6">
              <w:rPr>
                <w:rFonts w:eastAsia="Tahoma"/>
              </w:rPr>
              <w:fldChar w:fldCharType="separate"/>
            </w:r>
            <w:r w:rsidRPr="00234DD6">
              <w:rPr>
                <w:rFonts w:eastAsia="Tahoma"/>
              </w:rPr>
              <w:t>Huss et al. (2015)</w:t>
            </w:r>
            <w:r w:rsidRPr="00234DD6">
              <w:rPr>
                <w:rFonts w:eastAsia="Tahoma"/>
              </w:rPr>
              <w:fldChar w:fldCharType="end"/>
            </w:r>
            <w:r w:rsidRPr="00234DD6">
              <w:rPr>
                <w:rFonts w:eastAsia="Tahoma"/>
              </w:rPr>
              <w:t xml:space="preserve">, </w:t>
            </w:r>
            <w:r w:rsidRPr="00234DD6">
              <w:rPr>
                <w:rFonts w:eastAsia="Tahoma"/>
              </w:rPr>
              <w:fldChar w:fldCharType="begin"/>
            </w:r>
            <w:r w:rsidRPr="00234DD6">
              <w:rPr>
                <w:rFonts w:eastAsia="Tahoma"/>
              </w:rPr>
              <w:instrText xml:space="preserve"> ADDIN EN.CITE &lt;EndNote&gt;&lt;Cite AuthorYear="1"&gt;&lt;Author&gt;Halpern&lt;/Author&gt;&lt;Year&gt;2019&lt;/Year&gt;&lt;RecNum&gt;3&lt;/RecNum&gt;&lt;DisplayText&gt;Halpern et al. (2019)&lt;/DisplayText&gt;&lt;record&gt;&lt;rec-number&gt;3&lt;/rec-number&gt;&lt;foreign-keys&gt;&lt;key app="EN" db-id="r5td5x929d0td3eafwuxew5d0fdavt022vxx" timestamp="1637814228"&gt;3&lt;/key&gt;&lt;/foreign-keys&gt;&lt;ref-type name="Journal Article"&gt;17&lt;/ref-type&gt;&lt;contributors&gt;&lt;authors&gt;&lt;author&gt;Halpern, Casey H&lt;/author&gt;&lt;author&gt;Santini, Veronica&lt;/author&gt;&lt;author&gt;Lipsman, Nir&lt;/author&gt;&lt;author&gt;Lozano, Andres M&lt;/author&gt;&lt;author&gt;Schwartz, Michael L&lt;/author&gt;&lt;author&gt;Shah, Binit B&lt;/author&gt;&lt;author&gt;Elias, W Jeff&lt;/author&gt;&lt;author&gt;Cosgrove, Garth R&lt;/author&gt;&lt;author&gt;Hayes, Michael T&lt;/author&gt;&lt;author&gt;McDannold, Nathan&lt;/author&gt;&lt;/authors&gt;&lt;/contributors&gt;&lt;titles&gt;&lt;title&gt;Three-year follow-up of prospective trial of focused ultrasound thalamotomy for essential tremor&lt;/title&gt;&lt;secondary-title&gt;Neurology&lt;/secondary-title&gt;&lt;/titles&gt;&lt;periodical&gt;&lt;full-title&gt;Neurology&lt;/full-title&gt;&lt;/periodical&gt;&lt;pages&gt;e2284-e2293&lt;/pages&gt;&lt;volume&gt;93&lt;/volume&gt;&lt;number&gt;24&lt;/number&gt;&lt;dates&gt;&lt;year&gt;2019&lt;/year&gt;&lt;/dates&gt;&lt;isbn&gt;0028-3878&lt;/isbn&gt;&lt;urls&gt;&lt;/urls&gt;&lt;/record&gt;&lt;/Cite&gt;&lt;/EndNote&gt;</w:instrText>
            </w:r>
            <w:r w:rsidRPr="00234DD6">
              <w:rPr>
                <w:rFonts w:eastAsia="Tahoma"/>
              </w:rPr>
              <w:fldChar w:fldCharType="separate"/>
            </w:r>
            <w:r w:rsidRPr="00234DD6">
              <w:rPr>
                <w:rFonts w:eastAsia="Tahoma"/>
              </w:rPr>
              <w:t>Halpern et al. (2019)</w:t>
            </w:r>
            <w:r w:rsidRPr="00234DD6">
              <w:rPr>
                <w:rFonts w:eastAsia="Tahoma"/>
              </w:rPr>
              <w:fldChar w:fldCharType="end"/>
            </w:r>
            <w:r w:rsidRPr="00234DD6">
              <w:rPr>
                <w:rFonts w:eastAsia="Tahoma"/>
              </w:rPr>
              <w:t xml:space="preserve">, </w:t>
            </w:r>
            <w:r w:rsidRPr="00234DD6">
              <w:rPr>
                <w:rFonts w:eastAsia="Tahoma"/>
              </w:rPr>
              <w:fldChar w:fldCharType="begin"/>
            </w:r>
            <w:r w:rsidRPr="00234DD6">
              <w:rPr>
                <w:rFonts w:eastAsia="Tahoma"/>
              </w:rPr>
              <w:instrText xml:space="preserve"> ADDIN EN.CITE &lt;EndNote&gt;&lt;Cite AuthorYear="1"&gt;&lt;Author&gt;Giordano&lt;/Author&gt;&lt;Year&gt;2020&lt;/Year&gt;&lt;RecNum&gt;2&lt;/RecNum&gt;&lt;DisplayText&gt;Giordano et al. (2020)&lt;/DisplayText&gt;&lt;record&gt;&lt;rec-number&gt;2&lt;/rec-number&gt;&lt;foreign-keys&gt;&lt;key app="EN" db-id="r5td5x929d0td3eafwuxew5d0fdavt022vxx" timestamp="1637814206"&gt;2&lt;/key&gt;&lt;/foreign-keys&gt;&lt;ref-type name="Journal Article"&gt;17&lt;/ref-type&gt;&lt;contributors&gt;&lt;authors&gt;&lt;author&gt;Giordano, Martina&lt;/author&gt;&lt;author&gt;Caccavella, Valerio Maria&lt;/author&gt;&lt;author&gt;Zaed, Ismail&lt;/author&gt;&lt;author&gt;Manzillo, Livia Foglia&lt;/author&gt;&lt;author&gt;Montano, Nicola&lt;/author&gt;&lt;author&gt;Olivi, Alessandro&lt;/author&gt;&lt;author&gt;Polli, Filippo Maria&lt;/author&gt;&lt;/authors&gt;&lt;/contributors&gt;&lt;titles&gt;&lt;title&gt;Comparison between deep brain stimulation and magnetic resonance-guided focused ultrasound in the treatment of essential tremor: a systematic review and pooled analysis of functional outcomes&lt;/title&gt;&lt;secondary-title&gt;Journal of Neurology, Neurosurgery &amp;amp; Psychiatry&lt;/secondary-title&gt;&lt;/titles&gt;&lt;periodical&gt;&lt;full-title&gt;Journal of Neurology, Neurosurgery &amp;amp; Psychiatry&lt;/full-title&gt;&lt;/periodical&gt;&lt;pages&gt;1270-1278&lt;/pages&gt;&lt;volume&gt;91&lt;/volume&gt;&lt;number&gt;12&lt;/number&gt;&lt;dates&gt;&lt;year&gt;2020&lt;/year&gt;&lt;/dates&gt;&lt;isbn&gt;0022-3050&lt;/isbn&gt;&lt;urls&gt;&lt;/urls&gt;&lt;/record&gt;&lt;/Cite&gt;&lt;/EndNote&gt;</w:instrText>
            </w:r>
            <w:r w:rsidRPr="00234DD6">
              <w:rPr>
                <w:rFonts w:eastAsia="Tahoma"/>
              </w:rPr>
              <w:fldChar w:fldCharType="separate"/>
            </w:r>
            <w:r w:rsidRPr="00234DD6">
              <w:rPr>
                <w:rFonts w:eastAsia="Tahoma"/>
              </w:rPr>
              <w:t>Giordano et al. (2020)</w:t>
            </w:r>
            <w:r w:rsidRPr="00234DD6">
              <w:rPr>
                <w:rFonts w:eastAsia="Tahoma"/>
              </w:rPr>
              <w:fldChar w:fldCharType="end"/>
            </w:r>
          </w:p>
        </w:tc>
      </w:tr>
      <w:tr w:rsidR="00815220" w:rsidRPr="00234DD6" w14:paraId="701DF755" w14:textId="77777777" w:rsidTr="00A313B1">
        <w:trPr>
          <w:trHeight w:val="20"/>
        </w:trPr>
        <w:tc>
          <w:tcPr>
            <w:tcW w:w="1723" w:type="pct"/>
            <w:tcBorders>
              <w:top w:val="single" w:sz="4" w:space="0" w:color="auto"/>
              <w:left w:val="single" w:sz="4" w:space="0" w:color="auto"/>
              <w:bottom w:val="single" w:sz="4" w:space="0" w:color="auto"/>
              <w:right w:val="single" w:sz="4" w:space="0" w:color="auto"/>
            </w:tcBorders>
            <w:hideMark/>
          </w:tcPr>
          <w:p w14:paraId="0B1BB6B9" w14:textId="77777777" w:rsidR="00815220" w:rsidRPr="00234DD6" w:rsidRDefault="00815220" w:rsidP="00A313B1">
            <w:pPr>
              <w:pStyle w:val="Tabletext"/>
            </w:pPr>
            <w:r w:rsidRPr="00234DD6">
              <w:t>Time horizon</w:t>
            </w:r>
          </w:p>
        </w:tc>
        <w:tc>
          <w:tcPr>
            <w:tcW w:w="3277" w:type="pct"/>
            <w:tcBorders>
              <w:top w:val="single" w:sz="4" w:space="0" w:color="auto"/>
              <w:left w:val="single" w:sz="4" w:space="0" w:color="auto"/>
              <w:bottom w:val="single" w:sz="4" w:space="0" w:color="auto"/>
              <w:right w:val="single" w:sz="4" w:space="0" w:color="auto"/>
            </w:tcBorders>
            <w:hideMark/>
          </w:tcPr>
          <w:p w14:paraId="413D84D7" w14:textId="77777777" w:rsidR="00815220" w:rsidRPr="00234DD6" w:rsidRDefault="00815220" w:rsidP="00A313B1">
            <w:pPr>
              <w:pStyle w:val="Tabletext"/>
            </w:pPr>
            <w:r w:rsidRPr="00234DD6">
              <w:rPr>
                <w:rFonts w:eastAsia="Tahoma"/>
              </w:rPr>
              <w:t>5 years</w:t>
            </w:r>
          </w:p>
        </w:tc>
      </w:tr>
      <w:tr w:rsidR="00815220" w:rsidRPr="00234DD6" w14:paraId="36C031A9" w14:textId="77777777" w:rsidTr="00A313B1">
        <w:trPr>
          <w:trHeight w:val="20"/>
        </w:trPr>
        <w:tc>
          <w:tcPr>
            <w:tcW w:w="1723" w:type="pct"/>
            <w:tcBorders>
              <w:top w:val="single" w:sz="4" w:space="0" w:color="auto"/>
              <w:left w:val="single" w:sz="4" w:space="0" w:color="auto"/>
              <w:bottom w:val="single" w:sz="4" w:space="0" w:color="auto"/>
              <w:right w:val="single" w:sz="4" w:space="0" w:color="auto"/>
            </w:tcBorders>
            <w:hideMark/>
          </w:tcPr>
          <w:p w14:paraId="48A65FCE" w14:textId="77777777" w:rsidR="00815220" w:rsidRPr="00234DD6" w:rsidRDefault="00815220" w:rsidP="00A313B1">
            <w:pPr>
              <w:pStyle w:val="Tabletext"/>
            </w:pPr>
            <w:r w:rsidRPr="00234DD6">
              <w:t>Outcomes</w:t>
            </w:r>
          </w:p>
        </w:tc>
        <w:tc>
          <w:tcPr>
            <w:tcW w:w="3277" w:type="pct"/>
            <w:tcBorders>
              <w:top w:val="single" w:sz="4" w:space="0" w:color="auto"/>
              <w:left w:val="single" w:sz="4" w:space="0" w:color="auto"/>
              <w:bottom w:val="single" w:sz="4" w:space="0" w:color="auto"/>
              <w:right w:val="single" w:sz="4" w:space="0" w:color="auto"/>
            </w:tcBorders>
          </w:tcPr>
          <w:p w14:paraId="31B63947" w14:textId="77777777" w:rsidR="00815220" w:rsidRPr="00234DD6" w:rsidRDefault="00815220" w:rsidP="00A313B1">
            <w:pPr>
              <w:pStyle w:val="Tabletext"/>
            </w:pPr>
            <w:r w:rsidRPr="00234DD6">
              <w:rPr>
                <w:rFonts w:eastAsia="Tahoma"/>
              </w:rPr>
              <w:t>Markov model</w:t>
            </w:r>
          </w:p>
        </w:tc>
      </w:tr>
      <w:tr w:rsidR="00815220" w:rsidRPr="00234DD6" w14:paraId="6E53DB98" w14:textId="77777777" w:rsidTr="00A313B1">
        <w:trPr>
          <w:trHeight w:val="20"/>
        </w:trPr>
        <w:tc>
          <w:tcPr>
            <w:tcW w:w="1723" w:type="pct"/>
            <w:tcBorders>
              <w:top w:val="single" w:sz="4" w:space="0" w:color="auto"/>
              <w:left w:val="single" w:sz="4" w:space="0" w:color="auto"/>
              <w:bottom w:val="single" w:sz="4" w:space="0" w:color="auto"/>
              <w:right w:val="single" w:sz="4" w:space="0" w:color="auto"/>
            </w:tcBorders>
            <w:hideMark/>
          </w:tcPr>
          <w:p w14:paraId="063DE435" w14:textId="77777777" w:rsidR="00815220" w:rsidRPr="00234DD6" w:rsidRDefault="00815220" w:rsidP="00A313B1">
            <w:pPr>
              <w:pStyle w:val="Tabletext"/>
            </w:pPr>
            <w:r w:rsidRPr="00234DD6">
              <w:t>Health states</w:t>
            </w:r>
          </w:p>
        </w:tc>
        <w:tc>
          <w:tcPr>
            <w:tcW w:w="3277" w:type="pct"/>
            <w:tcBorders>
              <w:top w:val="single" w:sz="4" w:space="0" w:color="auto"/>
              <w:left w:val="single" w:sz="4" w:space="0" w:color="auto"/>
              <w:bottom w:val="single" w:sz="4" w:space="0" w:color="auto"/>
              <w:right w:val="single" w:sz="4" w:space="0" w:color="auto"/>
            </w:tcBorders>
          </w:tcPr>
          <w:p w14:paraId="0F68877E" w14:textId="77777777" w:rsidR="00815220" w:rsidRPr="00234DD6" w:rsidRDefault="00815220" w:rsidP="00A313B1">
            <w:pPr>
              <w:pStyle w:val="Tabletext"/>
              <w:rPr>
                <w:rFonts w:eastAsia="Tahoma"/>
              </w:rPr>
            </w:pPr>
            <w:r w:rsidRPr="00234DD6">
              <w:rPr>
                <w:rFonts w:eastAsia="Tahoma"/>
              </w:rPr>
              <w:t>Marked Improved tremor: Post-primary surgery</w:t>
            </w:r>
          </w:p>
          <w:p w14:paraId="3822B621" w14:textId="77777777" w:rsidR="00815220" w:rsidRPr="00234DD6" w:rsidRDefault="00815220" w:rsidP="00A313B1">
            <w:pPr>
              <w:pStyle w:val="Tabletext"/>
              <w:rPr>
                <w:rFonts w:eastAsia="Tahoma"/>
              </w:rPr>
            </w:pPr>
            <w:r w:rsidRPr="00234DD6">
              <w:rPr>
                <w:rFonts w:eastAsia="Tahoma"/>
              </w:rPr>
              <w:t>Mild Improved tremor: Post-primary surgery</w:t>
            </w:r>
          </w:p>
          <w:p w14:paraId="26B1E329" w14:textId="77777777" w:rsidR="00815220" w:rsidRPr="00234DD6" w:rsidRDefault="00815220" w:rsidP="00A313B1">
            <w:pPr>
              <w:pStyle w:val="Tabletext"/>
              <w:rPr>
                <w:rFonts w:eastAsia="Tahoma"/>
              </w:rPr>
            </w:pPr>
            <w:r w:rsidRPr="00234DD6">
              <w:rPr>
                <w:rFonts w:eastAsia="Tahoma"/>
              </w:rPr>
              <w:t>Tremor recurrence: Reoperation</w:t>
            </w:r>
          </w:p>
          <w:p w14:paraId="11646733" w14:textId="77777777" w:rsidR="00815220" w:rsidRPr="00234DD6" w:rsidRDefault="00815220" w:rsidP="00A313B1">
            <w:pPr>
              <w:pStyle w:val="Tabletext"/>
              <w:rPr>
                <w:rFonts w:eastAsia="Tahoma"/>
              </w:rPr>
            </w:pPr>
            <w:r w:rsidRPr="00234DD6">
              <w:rPr>
                <w:rFonts w:eastAsia="Tahoma"/>
              </w:rPr>
              <w:t>Marked Improved tremor: Post reoperation</w:t>
            </w:r>
          </w:p>
          <w:p w14:paraId="53D7D80F" w14:textId="77777777" w:rsidR="00815220" w:rsidRPr="00234DD6" w:rsidRDefault="00815220" w:rsidP="00A313B1">
            <w:pPr>
              <w:pStyle w:val="Tabletext"/>
              <w:rPr>
                <w:rFonts w:eastAsia="Tahoma"/>
              </w:rPr>
            </w:pPr>
            <w:r w:rsidRPr="00234DD6">
              <w:rPr>
                <w:rFonts w:eastAsia="Tahoma"/>
              </w:rPr>
              <w:t>Mild Improved tremor: Post reoperation</w:t>
            </w:r>
          </w:p>
          <w:p w14:paraId="1A888AB2" w14:textId="77777777" w:rsidR="00815220" w:rsidRPr="00234DD6" w:rsidRDefault="00815220" w:rsidP="00A313B1">
            <w:pPr>
              <w:pStyle w:val="Tabletext"/>
              <w:rPr>
                <w:rFonts w:eastAsia="Tahoma"/>
              </w:rPr>
            </w:pPr>
            <w:r w:rsidRPr="00234DD6">
              <w:rPr>
                <w:rFonts w:eastAsia="Tahoma"/>
              </w:rPr>
              <w:t>Tremor recurrence: No reoperation</w:t>
            </w:r>
          </w:p>
          <w:p w14:paraId="033DA0F0" w14:textId="77777777" w:rsidR="00815220" w:rsidRPr="00234DD6" w:rsidRDefault="00815220" w:rsidP="00A313B1">
            <w:pPr>
              <w:pStyle w:val="Tabletext"/>
              <w:rPr>
                <w:vanish/>
                <w:color w:val="C00000"/>
              </w:rPr>
            </w:pPr>
            <w:r w:rsidRPr="00234DD6">
              <w:rPr>
                <w:rFonts w:eastAsia="Tahoma"/>
              </w:rPr>
              <w:t>Dead</w:t>
            </w:r>
          </w:p>
        </w:tc>
      </w:tr>
      <w:tr w:rsidR="00815220" w:rsidRPr="00234DD6" w14:paraId="631726E9" w14:textId="77777777" w:rsidTr="00A313B1">
        <w:trPr>
          <w:trHeight w:val="20"/>
        </w:trPr>
        <w:tc>
          <w:tcPr>
            <w:tcW w:w="1723" w:type="pct"/>
            <w:tcBorders>
              <w:top w:val="single" w:sz="4" w:space="0" w:color="auto"/>
              <w:left w:val="single" w:sz="4" w:space="0" w:color="auto"/>
              <w:bottom w:val="single" w:sz="4" w:space="0" w:color="auto"/>
              <w:right w:val="single" w:sz="4" w:space="0" w:color="auto"/>
            </w:tcBorders>
          </w:tcPr>
          <w:p w14:paraId="221C5035" w14:textId="77777777" w:rsidR="00815220" w:rsidRPr="00234DD6" w:rsidRDefault="00815220" w:rsidP="00A313B1">
            <w:pPr>
              <w:pStyle w:val="Tabletext"/>
            </w:pPr>
            <w:r w:rsidRPr="00234DD6">
              <w:t>Cycle length</w:t>
            </w:r>
          </w:p>
        </w:tc>
        <w:tc>
          <w:tcPr>
            <w:tcW w:w="3277" w:type="pct"/>
            <w:tcBorders>
              <w:top w:val="single" w:sz="4" w:space="0" w:color="auto"/>
              <w:left w:val="single" w:sz="4" w:space="0" w:color="auto"/>
              <w:bottom w:val="single" w:sz="4" w:space="0" w:color="auto"/>
              <w:right w:val="single" w:sz="4" w:space="0" w:color="auto"/>
            </w:tcBorders>
          </w:tcPr>
          <w:p w14:paraId="333DC0B8" w14:textId="77777777" w:rsidR="00815220" w:rsidRPr="00234DD6" w:rsidRDefault="00815220" w:rsidP="00A313B1">
            <w:pPr>
              <w:pStyle w:val="Tabletext"/>
            </w:pPr>
            <w:r w:rsidRPr="00234DD6">
              <w:rPr>
                <w:rFonts w:eastAsia="Tahoma"/>
              </w:rPr>
              <w:t>Annual</w:t>
            </w:r>
          </w:p>
        </w:tc>
      </w:tr>
      <w:tr w:rsidR="00815220" w:rsidRPr="00234DD6" w14:paraId="6AD2B367" w14:textId="77777777" w:rsidTr="00A313B1">
        <w:trPr>
          <w:trHeight w:val="20"/>
        </w:trPr>
        <w:tc>
          <w:tcPr>
            <w:tcW w:w="1723" w:type="pct"/>
            <w:tcBorders>
              <w:top w:val="single" w:sz="4" w:space="0" w:color="auto"/>
              <w:left w:val="single" w:sz="4" w:space="0" w:color="auto"/>
              <w:bottom w:val="single" w:sz="4" w:space="0" w:color="auto"/>
              <w:right w:val="single" w:sz="4" w:space="0" w:color="auto"/>
            </w:tcBorders>
            <w:hideMark/>
          </w:tcPr>
          <w:p w14:paraId="0A3CB135" w14:textId="77777777" w:rsidR="00815220" w:rsidRPr="00234DD6" w:rsidRDefault="00815220" w:rsidP="00A313B1">
            <w:pPr>
              <w:pStyle w:val="Tabletext"/>
            </w:pPr>
            <w:r w:rsidRPr="00234DD6">
              <w:t>Discount rate</w:t>
            </w:r>
          </w:p>
        </w:tc>
        <w:tc>
          <w:tcPr>
            <w:tcW w:w="3277" w:type="pct"/>
            <w:tcBorders>
              <w:top w:val="single" w:sz="4" w:space="0" w:color="auto"/>
              <w:left w:val="single" w:sz="4" w:space="0" w:color="auto"/>
              <w:bottom w:val="single" w:sz="4" w:space="0" w:color="auto"/>
              <w:right w:val="single" w:sz="4" w:space="0" w:color="auto"/>
            </w:tcBorders>
          </w:tcPr>
          <w:p w14:paraId="5566FBB2" w14:textId="77777777" w:rsidR="00815220" w:rsidRPr="00234DD6" w:rsidRDefault="00815220" w:rsidP="00A313B1">
            <w:pPr>
              <w:pStyle w:val="Tabletext"/>
            </w:pPr>
            <w:r w:rsidRPr="00234DD6">
              <w:t>5%</w:t>
            </w:r>
          </w:p>
        </w:tc>
      </w:tr>
      <w:tr w:rsidR="00815220" w:rsidRPr="00234DD6" w14:paraId="5317892F" w14:textId="77777777" w:rsidTr="00A313B1">
        <w:trPr>
          <w:trHeight w:val="20"/>
        </w:trPr>
        <w:tc>
          <w:tcPr>
            <w:tcW w:w="1723" w:type="pct"/>
            <w:tcBorders>
              <w:top w:val="single" w:sz="4" w:space="0" w:color="auto"/>
              <w:left w:val="single" w:sz="4" w:space="0" w:color="auto"/>
              <w:bottom w:val="single" w:sz="4" w:space="0" w:color="auto"/>
              <w:right w:val="single" w:sz="4" w:space="0" w:color="auto"/>
            </w:tcBorders>
            <w:hideMark/>
          </w:tcPr>
          <w:p w14:paraId="30396B28" w14:textId="77777777" w:rsidR="00815220" w:rsidRPr="00234DD6" w:rsidRDefault="00815220" w:rsidP="00A313B1">
            <w:pPr>
              <w:pStyle w:val="Tabletext"/>
            </w:pPr>
            <w:r w:rsidRPr="00234DD6">
              <w:t>Software packages used</w:t>
            </w:r>
          </w:p>
        </w:tc>
        <w:tc>
          <w:tcPr>
            <w:tcW w:w="3277" w:type="pct"/>
            <w:tcBorders>
              <w:top w:val="single" w:sz="4" w:space="0" w:color="auto"/>
              <w:left w:val="single" w:sz="4" w:space="0" w:color="auto"/>
              <w:bottom w:val="single" w:sz="4" w:space="0" w:color="auto"/>
              <w:right w:val="single" w:sz="4" w:space="0" w:color="auto"/>
            </w:tcBorders>
          </w:tcPr>
          <w:p w14:paraId="25D0B75F" w14:textId="77777777" w:rsidR="00815220" w:rsidRPr="00234DD6" w:rsidRDefault="00815220" w:rsidP="00A313B1">
            <w:pPr>
              <w:pStyle w:val="Tabletext"/>
            </w:pPr>
            <w:proofErr w:type="spellStart"/>
            <w:r w:rsidRPr="00234DD6">
              <w:t>TreeAge</w:t>
            </w:r>
            <w:proofErr w:type="spellEnd"/>
          </w:p>
        </w:tc>
      </w:tr>
    </w:tbl>
    <w:p w14:paraId="48F6A977" w14:textId="77777777" w:rsidR="00815220" w:rsidRPr="00234DD6" w:rsidRDefault="00815220" w:rsidP="00F64363">
      <w:pPr>
        <w:pStyle w:val="TableNote"/>
      </w:pPr>
      <w:r w:rsidRPr="00234DD6">
        <w:t>Source: Table 87, p 207 of the resubmission 1614.1</w:t>
      </w:r>
    </w:p>
    <w:p w14:paraId="39D00875" w14:textId="61DCBA8C" w:rsidR="00815220" w:rsidRPr="00234DD6" w:rsidRDefault="00815220" w:rsidP="00815220">
      <w:pPr>
        <w:rPr>
          <w:rFonts w:ascii="Franklin Gothic Book" w:hAnsi="Franklin Gothic Book"/>
          <w:sz w:val="22"/>
          <w:szCs w:val="22"/>
        </w:rPr>
      </w:pPr>
      <w:r w:rsidRPr="00234DD6" w:rsidDel="00657032">
        <w:rPr>
          <w:rFonts w:ascii="Franklin Gothic Book" w:hAnsi="Franklin Gothic Book"/>
          <w:sz w:val="22"/>
          <w:szCs w:val="22"/>
        </w:rPr>
        <w:t xml:space="preserve">The </w:t>
      </w:r>
      <w:r w:rsidR="0017079B" w:rsidRPr="00234DD6">
        <w:rPr>
          <w:rFonts w:ascii="Franklin Gothic Book" w:hAnsi="Franklin Gothic Book"/>
          <w:sz w:val="22"/>
          <w:szCs w:val="22"/>
        </w:rPr>
        <w:t>r</w:t>
      </w:r>
      <w:r w:rsidRPr="00234DD6">
        <w:rPr>
          <w:rFonts w:ascii="Franklin Gothic Book" w:hAnsi="Franklin Gothic Book"/>
          <w:sz w:val="22"/>
          <w:szCs w:val="22"/>
        </w:rPr>
        <w:t>esubmission</w:t>
      </w:r>
      <w:r w:rsidRPr="00234DD6" w:rsidDel="00657032">
        <w:rPr>
          <w:rFonts w:ascii="Franklin Gothic Book" w:hAnsi="Franklin Gothic Book"/>
          <w:sz w:val="22"/>
          <w:szCs w:val="22"/>
        </w:rPr>
        <w:t xml:space="preserve"> presented the structure of the model as a Markov model with a cycle length of 1 year, as patients are usually monitored annually for disease progression.</w:t>
      </w:r>
    </w:p>
    <w:p w14:paraId="67D17BF4" w14:textId="4BD3EAC6" w:rsidR="00815220" w:rsidRPr="00234DD6" w:rsidRDefault="00815220" w:rsidP="00234DD6">
      <w:pPr>
        <w:spacing w:before="240"/>
        <w:rPr>
          <w:rFonts w:ascii="Franklin Gothic Book" w:hAnsi="Franklin Gothic Book"/>
          <w:sz w:val="22"/>
          <w:szCs w:val="22"/>
        </w:rPr>
      </w:pPr>
      <w:r w:rsidRPr="00234DD6">
        <w:rPr>
          <w:rFonts w:ascii="Franklin Gothic Book" w:hAnsi="Franklin Gothic Book"/>
          <w:sz w:val="22"/>
          <w:szCs w:val="22"/>
        </w:rPr>
        <w:t>All patients entered the model with disabling tremor, and patients could progress with a marked improvement, or a mild-moderate improvement, and with or without long term adverse events. These patients then progress through the model taking into consideration: survival, recurrence, reoperation, battery replacement (for DBS), and either marked or mild improvement.</w:t>
      </w:r>
      <w:r w:rsidR="0017079B" w:rsidRPr="00234DD6">
        <w:rPr>
          <w:rFonts w:ascii="Franklin Gothic Book" w:hAnsi="Franklin Gothic Book"/>
          <w:sz w:val="22"/>
          <w:szCs w:val="22"/>
        </w:rPr>
        <w:t xml:space="preserve"> This structure has been adopted from the validated OHTAS model. The commentary concluded that it was economically valid, and most likely clinically valid.</w:t>
      </w:r>
    </w:p>
    <w:p w14:paraId="432B48F1" w14:textId="5F5AD0AA" w:rsidR="00815220" w:rsidRPr="00234DD6" w:rsidRDefault="0017079B" w:rsidP="00815220">
      <w:pPr>
        <w:rPr>
          <w:rFonts w:ascii="Franklin Gothic Book" w:hAnsi="Franklin Gothic Book"/>
          <w:sz w:val="22"/>
          <w:szCs w:val="22"/>
        </w:rPr>
      </w:pPr>
      <w:r w:rsidRPr="00234DD6">
        <w:rPr>
          <w:rFonts w:ascii="Franklin Gothic Book" w:hAnsi="Franklin Gothic Book"/>
          <w:sz w:val="22"/>
          <w:szCs w:val="22"/>
        </w:rPr>
        <w:t xml:space="preserve">The commentary noted that it would have been more informative to have a model which stratifies adverse events as health states to determine the direct impact of adverse events in the model given MSAC’s previous statements that a meaningful comparison between DBS and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was difficult due to the different safety profiles and uncertain claim of comparative effectiveness. However </w:t>
      </w:r>
      <w:r w:rsidR="00815220" w:rsidRPr="00234DD6">
        <w:rPr>
          <w:rFonts w:ascii="Franklin Gothic Book" w:hAnsi="Franklin Gothic Book"/>
          <w:sz w:val="22"/>
          <w:szCs w:val="22"/>
        </w:rPr>
        <w:t xml:space="preserve">due to the numerous adverse events included in the model, </w:t>
      </w:r>
      <w:r w:rsidRPr="00234DD6">
        <w:rPr>
          <w:rFonts w:ascii="Franklin Gothic Book" w:hAnsi="Franklin Gothic Book"/>
          <w:sz w:val="22"/>
          <w:szCs w:val="22"/>
        </w:rPr>
        <w:t xml:space="preserve">the commentary observed that </w:t>
      </w:r>
      <w:r w:rsidR="00815220" w:rsidRPr="00234DD6">
        <w:rPr>
          <w:rFonts w:ascii="Franklin Gothic Book" w:hAnsi="Franklin Gothic Book"/>
          <w:sz w:val="22"/>
          <w:szCs w:val="22"/>
        </w:rPr>
        <w:t>it was not practical to include every adverse event as an individual health state.</w:t>
      </w:r>
    </w:p>
    <w:p w14:paraId="404E9211" w14:textId="013E975E" w:rsidR="0017079B" w:rsidRPr="00234DD6" w:rsidRDefault="0017079B" w:rsidP="00234DD6">
      <w:pPr>
        <w:spacing w:before="240"/>
        <w:rPr>
          <w:rFonts w:ascii="Franklin Gothic Book" w:hAnsi="Franklin Gothic Book"/>
          <w:sz w:val="22"/>
          <w:szCs w:val="22"/>
        </w:rPr>
      </w:pPr>
      <w:r w:rsidRPr="00234DD6">
        <w:rPr>
          <w:rFonts w:ascii="Franklin Gothic Book" w:hAnsi="Franklin Gothic Book"/>
          <w:sz w:val="22"/>
          <w:szCs w:val="22"/>
        </w:rPr>
        <w:t xml:space="preserve">In the model, adverse events are calculated by determining the utility value of adverse events as reported in the OHTAS model, and if not reported in the OHTAS report, as reported by </w:t>
      </w:r>
      <w:hyperlink w:anchor="_ENREF_59" w:tooltip="Ravikumar, 2017 #10" w:history="1">
        <w:r w:rsidRPr="00234DD6">
          <w:rPr>
            <w:rFonts w:ascii="Franklin Gothic Book" w:hAnsi="Franklin Gothic Book"/>
            <w:sz w:val="22"/>
            <w:szCs w:val="22"/>
          </w:rPr>
          <w:fldChar w:fldCharType="begin"/>
        </w:r>
        <w:r w:rsidRPr="00234DD6">
          <w:rPr>
            <w:rFonts w:ascii="Franklin Gothic Book" w:hAnsi="Franklin Gothic Book"/>
            <w:sz w:val="22"/>
            <w:szCs w:val="22"/>
          </w:rPr>
          <w:instrText xml:space="preserve"> ADDIN EN.CITE &lt;EndNote&gt;&lt;Cite AuthorYear="1"&gt;&lt;Author&gt;Ravikumar&lt;/Author&gt;&lt;Year&gt;2017&lt;/Year&gt;&lt;RecNum&gt;10&lt;/RecNum&gt;&lt;DisplayText&gt;Ravikumar et al. (2017)&lt;/DisplayText&gt;&lt;record&gt;&lt;rec-number&gt;10&lt;/rec-number&gt;&lt;foreign-keys&gt;&lt;key app="EN" db-id="r5td5x929d0td3eafwuxew5d0fdavt022vxx" timestamp="1637814456"&gt;10&lt;/key&gt;&lt;/foreign-keys&gt;&lt;ref-type name="Journal Article"&gt;17&lt;/ref-type&gt;&lt;contributors&gt;&lt;authors&gt;&lt;author&gt;Ravikumar, Vinod K&lt;/author&gt;&lt;author&gt;Parker, Jonathon J&lt;/author&gt;&lt;author&gt;Hornbeck, Traci S&lt;/author&gt;&lt;author&gt;Santini, Veronica E&lt;/author&gt;&lt;author&gt;Pauly, Kim Butts&lt;/author&gt;&lt;author&gt;Wintermark, Max&lt;/author&gt;&lt;author&gt;Ghanouni, Pejman&lt;/author&gt;&lt;author&gt;Stein, Sherman C&lt;/author&gt;&lt;author&gt;Halpern, Casey H&lt;/author&gt;&lt;/authors&gt;&lt;/contributors&gt;&lt;titles&gt;&lt;title&gt;Cost</w:instrText>
        </w:r>
        <w:r w:rsidRPr="00234DD6">
          <w:rPr>
            <w:rFonts w:ascii="Cambria Math" w:hAnsi="Cambria Math" w:cs="Cambria Math"/>
            <w:sz w:val="22"/>
            <w:szCs w:val="22"/>
          </w:rPr>
          <w:instrText>‐</w:instrText>
        </w:r>
        <w:r w:rsidRPr="00234DD6">
          <w:rPr>
            <w:rFonts w:ascii="Franklin Gothic Book" w:hAnsi="Franklin Gothic Book"/>
            <w:sz w:val="22"/>
            <w:szCs w:val="22"/>
          </w:rPr>
          <w:instrText>effectiveness of focused ultrasound, radiosurgery, and DBS for essential tremor&lt;/title&gt;&lt;secondary-title&gt;Movement Disorders&lt;/secondary-title&gt;&lt;/titles&gt;&lt;periodical&gt;&lt;full-title&gt;Movement Disorders&lt;/full-title&gt;&lt;/periodical&gt;&lt;pages&gt;1165-1173&lt;/pages&gt;&lt;volume&gt;32&lt;/volume&gt;&lt;number&gt;8&lt;/number&gt;&lt;dates&gt;&lt;year&gt;2017&lt;/year&gt;&lt;/dates&gt;&lt;isbn&gt;0885-3185&lt;/isbn&gt;&lt;urls&gt;&lt;/urls&gt;&lt;/record&gt;&lt;/Cite&gt;&lt;/EndNote&gt;</w:instrText>
        </w:r>
        <w:r w:rsidRPr="00234DD6">
          <w:rPr>
            <w:rFonts w:ascii="Franklin Gothic Book" w:hAnsi="Franklin Gothic Book"/>
            <w:sz w:val="22"/>
            <w:szCs w:val="22"/>
          </w:rPr>
          <w:fldChar w:fldCharType="separate"/>
        </w:r>
        <w:r w:rsidRPr="00234DD6">
          <w:rPr>
            <w:rFonts w:ascii="Franklin Gothic Book" w:hAnsi="Franklin Gothic Book"/>
            <w:noProof/>
            <w:sz w:val="22"/>
            <w:szCs w:val="22"/>
          </w:rPr>
          <w:t>Ravikumar et al. (2017)</w:t>
        </w:r>
        <w:r w:rsidRPr="00234DD6">
          <w:rPr>
            <w:rFonts w:ascii="Franklin Gothic Book" w:hAnsi="Franklin Gothic Book"/>
            <w:sz w:val="22"/>
            <w:szCs w:val="22"/>
          </w:rPr>
          <w:fldChar w:fldCharType="end"/>
        </w:r>
      </w:hyperlink>
      <w:r w:rsidRPr="00234DD6">
        <w:rPr>
          <w:rFonts w:ascii="Franklin Gothic Book" w:hAnsi="Franklin Gothic Book"/>
          <w:sz w:val="22"/>
          <w:szCs w:val="22"/>
        </w:rPr>
        <w:t>.</w:t>
      </w:r>
      <w:r w:rsidR="00B9272A" w:rsidRPr="00234DD6">
        <w:rPr>
          <w:rStyle w:val="FootnoteReference"/>
          <w:rFonts w:ascii="Franklin Gothic Book" w:hAnsi="Franklin Gothic Book"/>
          <w:sz w:val="22"/>
          <w:szCs w:val="22"/>
        </w:rPr>
        <w:footnoteReference w:id="22"/>
      </w:r>
      <w:r w:rsidRPr="00234DD6">
        <w:rPr>
          <w:rFonts w:ascii="Franklin Gothic Book" w:hAnsi="Franklin Gothic Book"/>
          <w:sz w:val="22"/>
          <w:szCs w:val="22"/>
        </w:rPr>
        <w:t xml:space="preserve"> The proportion of adverse events as reported by </w:t>
      </w:r>
      <w:hyperlink w:anchor="_ENREF_26" w:tooltip="Giordano, 2020 #2" w:history="1">
        <w:r w:rsidRPr="00234DD6">
          <w:rPr>
            <w:rFonts w:ascii="Franklin Gothic Book" w:hAnsi="Franklin Gothic Book"/>
            <w:sz w:val="22"/>
            <w:szCs w:val="22"/>
          </w:rPr>
          <w:fldChar w:fldCharType="begin"/>
        </w:r>
        <w:r w:rsidRPr="00234DD6">
          <w:rPr>
            <w:rFonts w:ascii="Franklin Gothic Book" w:hAnsi="Franklin Gothic Book"/>
            <w:sz w:val="22"/>
            <w:szCs w:val="22"/>
          </w:rPr>
          <w:instrText xml:space="preserve"> ADDIN EN.CITE &lt;EndNote&gt;&lt;Cite AuthorYear="1"&gt;&lt;Author&gt;Giordano&lt;/Author&gt;&lt;Year&gt;2020&lt;/Year&gt;&lt;RecNum&gt;2&lt;/RecNum&gt;&lt;DisplayText&gt;Giordano et al. (2020)&lt;/DisplayText&gt;&lt;record&gt;&lt;rec-number&gt;2&lt;/rec-number&gt;&lt;foreign-keys&gt;&lt;key app="EN" db-id="r5td5x929d0td3eafwuxew5d0fdavt022vxx" timestamp="1637814206"&gt;2&lt;/key&gt;&lt;/foreign-keys&gt;&lt;ref-type name="Journal Article"&gt;17&lt;/ref-type&gt;&lt;contributors&gt;&lt;authors&gt;&lt;author&gt;Giordano, Martina&lt;/author&gt;&lt;author&gt;Caccavella, Valerio Maria&lt;/author&gt;&lt;author&gt;Zaed, Ismail&lt;/author&gt;&lt;author&gt;Manzillo, Livia Foglia&lt;/author&gt;&lt;author&gt;Montano, Nicola&lt;/author&gt;&lt;author&gt;Olivi, Alessandro&lt;/author&gt;&lt;author&gt;Polli, Filippo Maria&lt;/author&gt;&lt;/authors&gt;&lt;/contributors&gt;&lt;titles&gt;&lt;title&gt;Comparison between deep brain stimulation and magnetic resonance-guided focused ultrasound in the treatment of essential tremor: a systematic review and pooled analysis of functional outcomes&lt;/title&gt;&lt;secondary-title&gt;Journal of Neurology, Neurosurgery &amp;amp; Psychiatry&lt;/secondary-title&gt;&lt;/titles&gt;&lt;periodical&gt;&lt;full-title&gt;Journal of Neurology, Neurosurgery &amp;amp; Psychiatry&lt;/full-title&gt;&lt;/periodical&gt;&lt;pages&gt;1270-1278&lt;/pages&gt;&lt;volume&gt;91&lt;/volume&gt;&lt;number&gt;12&lt;/number&gt;&lt;dates&gt;&lt;year&gt;2020&lt;/year&gt;&lt;/dates&gt;&lt;isbn&gt;0022-3050&lt;/isbn&gt;&lt;urls&gt;&lt;/urls&gt;&lt;/record&gt;&lt;/Cite&gt;&lt;/EndNote&gt;</w:instrText>
        </w:r>
        <w:r w:rsidRPr="00234DD6">
          <w:rPr>
            <w:rFonts w:ascii="Franklin Gothic Book" w:hAnsi="Franklin Gothic Book"/>
            <w:sz w:val="22"/>
            <w:szCs w:val="22"/>
          </w:rPr>
          <w:fldChar w:fldCharType="separate"/>
        </w:r>
        <w:r w:rsidRPr="00234DD6">
          <w:rPr>
            <w:rFonts w:ascii="Franklin Gothic Book" w:hAnsi="Franklin Gothic Book"/>
            <w:noProof/>
            <w:sz w:val="22"/>
            <w:szCs w:val="22"/>
          </w:rPr>
          <w:t>Giordano et al. (2020)</w:t>
        </w:r>
        <w:r w:rsidRPr="00234DD6">
          <w:rPr>
            <w:rFonts w:ascii="Franklin Gothic Book" w:hAnsi="Franklin Gothic Book"/>
            <w:sz w:val="22"/>
            <w:szCs w:val="22"/>
          </w:rPr>
          <w:fldChar w:fldCharType="end"/>
        </w:r>
      </w:hyperlink>
      <w:r w:rsidR="003866FE" w:rsidRPr="00234DD6">
        <w:rPr>
          <w:rFonts w:ascii="Franklin Gothic Book" w:hAnsi="Franklin Gothic Book"/>
          <w:sz w:val="22"/>
          <w:szCs w:val="22"/>
          <w:vertAlign w:val="superscript"/>
        </w:rPr>
        <w:t xml:space="preserve"> 9</w:t>
      </w:r>
      <w:r w:rsidRPr="00234DD6">
        <w:rPr>
          <w:rFonts w:ascii="Franklin Gothic Book" w:hAnsi="Franklin Gothic Book"/>
          <w:sz w:val="22"/>
          <w:szCs w:val="22"/>
        </w:rPr>
        <w:t xml:space="preserve"> are then applied to the utility values to get a weighted average which is applied within each health state. An AE multiplier is applied to patients with longer term adverse events, calculated from the proportion of permanent (12 month) adverse events as reported by </w:t>
      </w:r>
      <w:hyperlink w:anchor="_ENREF_26" w:tooltip="Giordano, 2020 #2" w:history="1">
        <w:r w:rsidRPr="00234DD6">
          <w:rPr>
            <w:rFonts w:ascii="Franklin Gothic Book" w:hAnsi="Franklin Gothic Book"/>
            <w:sz w:val="22"/>
            <w:szCs w:val="22"/>
          </w:rPr>
          <w:fldChar w:fldCharType="begin"/>
        </w:r>
        <w:r w:rsidRPr="00234DD6">
          <w:rPr>
            <w:rFonts w:ascii="Franklin Gothic Book" w:hAnsi="Franklin Gothic Book"/>
            <w:sz w:val="22"/>
            <w:szCs w:val="22"/>
          </w:rPr>
          <w:instrText xml:space="preserve"> ADDIN EN.CITE &lt;EndNote&gt;&lt;Cite AuthorYear="1"&gt;&lt;Author&gt;Giordano&lt;/Author&gt;&lt;Year&gt;2020&lt;/Year&gt;&lt;RecNum&gt;2&lt;/RecNum&gt;&lt;DisplayText&gt;Giordano et al. (2020)&lt;/DisplayText&gt;&lt;record&gt;&lt;rec-number&gt;2&lt;/rec-number&gt;&lt;foreign-keys&gt;&lt;key app="EN" db-id="r5td5x929d0td3eafwuxew5d0fdavt022vxx" timestamp="1637814206"&gt;2&lt;/key&gt;&lt;/foreign-keys&gt;&lt;ref-type name="Journal Article"&gt;17&lt;/ref-type&gt;&lt;contributors&gt;&lt;authors&gt;&lt;author&gt;Giordano, Martina&lt;/author&gt;&lt;author&gt;Caccavella, Valerio Maria&lt;/author&gt;&lt;author&gt;Zaed, Ismail&lt;/author&gt;&lt;author&gt;Manzillo, Livia Foglia&lt;/author&gt;&lt;author&gt;Montano, Nicola&lt;/author&gt;&lt;author&gt;Olivi, Alessandro&lt;/author&gt;&lt;author&gt;Polli, Filippo Maria&lt;/author&gt;&lt;/authors&gt;&lt;/contributors&gt;&lt;titles&gt;&lt;title&gt;Comparison between deep brain stimulation and magnetic resonance-guided focused ultrasound in the treatment of essential tremor: a systematic review and pooled analysis of functional outcomes&lt;/title&gt;&lt;secondary-title&gt;Journal of Neurology, Neurosurgery &amp;amp; Psychiatry&lt;/secondary-title&gt;&lt;/titles&gt;&lt;periodical&gt;&lt;full-title&gt;Journal of Neurology, Neurosurgery &amp;amp; Psychiatry&lt;/full-title&gt;&lt;/periodical&gt;&lt;pages&gt;1270-1278&lt;/pages&gt;&lt;volume&gt;91&lt;/volume&gt;&lt;number&gt;12&lt;/number&gt;&lt;dates&gt;&lt;year&gt;2020&lt;/year&gt;&lt;/dates&gt;&lt;isbn&gt;0022-3050&lt;/isbn&gt;&lt;urls&gt;&lt;/urls&gt;&lt;/record&gt;&lt;/Cite&gt;&lt;/EndNote&gt;</w:instrText>
        </w:r>
        <w:r w:rsidRPr="00234DD6">
          <w:rPr>
            <w:rFonts w:ascii="Franklin Gothic Book" w:hAnsi="Franklin Gothic Book"/>
            <w:sz w:val="22"/>
            <w:szCs w:val="22"/>
          </w:rPr>
          <w:fldChar w:fldCharType="separate"/>
        </w:r>
        <w:r w:rsidRPr="00234DD6">
          <w:rPr>
            <w:rFonts w:ascii="Franklin Gothic Book" w:hAnsi="Franklin Gothic Book"/>
            <w:noProof/>
            <w:sz w:val="22"/>
            <w:szCs w:val="22"/>
          </w:rPr>
          <w:t>Giordano et al. (2020)</w:t>
        </w:r>
        <w:r w:rsidRPr="00234DD6">
          <w:rPr>
            <w:rFonts w:ascii="Franklin Gothic Book" w:hAnsi="Franklin Gothic Book"/>
            <w:sz w:val="22"/>
            <w:szCs w:val="22"/>
          </w:rPr>
          <w:fldChar w:fldCharType="end"/>
        </w:r>
      </w:hyperlink>
      <w:r w:rsidR="003866FE" w:rsidRPr="00234DD6">
        <w:rPr>
          <w:rFonts w:ascii="Franklin Gothic Book" w:hAnsi="Franklin Gothic Book"/>
          <w:sz w:val="22"/>
          <w:szCs w:val="22"/>
          <w:vertAlign w:val="superscript"/>
        </w:rPr>
        <w:t xml:space="preserve"> 9</w:t>
      </w:r>
      <w:r w:rsidRPr="00234DD6">
        <w:rPr>
          <w:rFonts w:ascii="Franklin Gothic Book" w:hAnsi="Franklin Gothic Book"/>
          <w:sz w:val="22"/>
          <w:szCs w:val="22"/>
        </w:rPr>
        <w:t>, multiplied by the utility values of each adverse event, and presented as a weighted average of these values.</w:t>
      </w:r>
    </w:p>
    <w:p w14:paraId="2E69BE03" w14:textId="45302CFD" w:rsidR="003542B3" w:rsidRPr="00234DD6" w:rsidRDefault="00815220" w:rsidP="00234DD6">
      <w:pPr>
        <w:spacing w:before="240"/>
        <w:rPr>
          <w:rFonts w:ascii="Franklin Gothic Book" w:hAnsi="Franklin Gothic Book"/>
          <w:sz w:val="22"/>
          <w:szCs w:val="22"/>
        </w:rPr>
      </w:pPr>
      <w:r w:rsidRPr="00234DD6">
        <w:rPr>
          <w:rFonts w:ascii="Franklin Gothic Book" w:hAnsi="Franklin Gothic Book"/>
          <w:sz w:val="22"/>
          <w:szCs w:val="22"/>
        </w:rPr>
        <w:t xml:space="preserve">The </w:t>
      </w:r>
      <w:r w:rsidR="000F5699" w:rsidRPr="00234DD6">
        <w:rPr>
          <w:rFonts w:ascii="Franklin Gothic Book" w:hAnsi="Franklin Gothic Book"/>
          <w:sz w:val="22"/>
          <w:szCs w:val="22"/>
        </w:rPr>
        <w:t>r</w:t>
      </w:r>
      <w:r w:rsidRPr="00234DD6">
        <w:rPr>
          <w:rFonts w:ascii="Franklin Gothic Book" w:hAnsi="Franklin Gothic Book"/>
          <w:sz w:val="22"/>
          <w:szCs w:val="22"/>
        </w:rPr>
        <w:t>esubmission presented a stepped evaluation, firstly replicating the OHTAS model, then adapting the model to include more Australian specific assumptions (Table 1</w:t>
      </w:r>
      <w:r w:rsidR="004359E1" w:rsidRPr="00234DD6">
        <w:rPr>
          <w:rFonts w:ascii="Franklin Gothic Book" w:hAnsi="Franklin Gothic Book"/>
          <w:sz w:val="22"/>
          <w:szCs w:val="22"/>
        </w:rPr>
        <w:t>1</w:t>
      </w:r>
      <w:r w:rsidRPr="00234DD6">
        <w:rPr>
          <w:rFonts w:ascii="Franklin Gothic Book" w:hAnsi="Franklin Gothic Book"/>
          <w:sz w:val="22"/>
          <w:szCs w:val="22"/>
        </w:rPr>
        <w:t xml:space="preserve">). </w:t>
      </w:r>
      <w:r w:rsidR="003542B3" w:rsidRPr="00234DD6">
        <w:rPr>
          <w:rFonts w:ascii="Franklin Gothic Book" w:hAnsi="Franklin Gothic Book"/>
          <w:sz w:val="22"/>
          <w:szCs w:val="22"/>
        </w:rPr>
        <w:t xml:space="preserve">The stepped analysis shows an incremental difference of 0.08 QALYS over 5 years (discounted) in favour of </w:t>
      </w:r>
      <w:r w:rsidR="003542B3" w:rsidRPr="00234DD6">
        <w:rPr>
          <w:rFonts w:ascii="Franklin Gothic Book" w:hAnsi="Franklin Gothic Book"/>
          <w:sz w:val="22"/>
          <w:szCs w:val="22"/>
        </w:rPr>
        <w:lastRenderedPageBreak/>
        <w:t>DBS in the resubmission base case compared to 0.25 QALYS in favour of DBS in the OHTAS model.</w:t>
      </w:r>
    </w:p>
    <w:p w14:paraId="25B9E9B5" w14:textId="643AC91D" w:rsidR="00CD0E20" w:rsidRPr="00234DD6" w:rsidRDefault="00815220" w:rsidP="00234DD6">
      <w:pPr>
        <w:spacing w:before="240"/>
        <w:rPr>
          <w:rFonts w:ascii="Franklin Gothic Book" w:hAnsi="Franklin Gothic Book"/>
          <w:sz w:val="22"/>
          <w:szCs w:val="22"/>
        </w:rPr>
      </w:pPr>
      <w:r w:rsidRPr="00234DD6">
        <w:rPr>
          <w:rFonts w:ascii="Franklin Gothic Book" w:hAnsi="Franklin Gothic Book"/>
          <w:sz w:val="22"/>
          <w:szCs w:val="22"/>
        </w:rPr>
        <w:t>The stepped analysis shows that the difference in QALY between the original OHTAS model and the resubmission base case is primarily driven by the assumption of 0% recurrence in DBS v</w:t>
      </w:r>
      <w:r w:rsidR="001109E1" w:rsidRPr="00234DD6">
        <w:rPr>
          <w:rFonts w:ascii="Franklin Gothic Book" w:hAnsi="Franklin Gothic Book"/>
          <w:sz w:val="22"/>
          <w:szCs w:val="22"/>
        </w:rPr>
        <w:t>s</w:t>
      </w:r>
      <w:r w:rsidRPr="00234DD6">
        <w:rPr>
          <w:rFonts w:ascii="Franklin Gothic Book" w:hAnsi="Franklin Gothic Book"/>
          <w:sz w:val="22"/>
          <w:szCs w:val="22"/>
        </w:rPr>
        <w:t xml:space="preserve">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patients. Relaxing this assumption and allowing DBS patients to recur at the same rate as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patients (consistent with a clinical claim of non-inferior effectiveness) removes one third of the incremental QALYs estimated for DBS in the OHTAS model (0.24 to 0.16).</w:t>
      </w:r>
    </w:p>
    <w:p w14:paraId="04834B8F" w14:textId="7069C5AF" w:rsidR="00F575C5" w:rsidRPr="00234DD6" w:rsidRDefault="00F575C5" w:rsidP="00234DD6">
      <w:pPr>
        <w:pStyle w:val="Caption"/>
        <w:spacing w:before="240"/>
        <w:rPr>
          <w:vanish/>
          <w:color w:val="C00000"/>
        </w:rPr>
      </w:pPr>
      <w:bookmarkStart w:id="33" w:name="_Ref88217477"/>
      <w:bookmarkStart w:id="34" w:name="_Toc92902641"/>
      <w:r w:rsidRPr="00234DD6">
        <w:t>Table</w:t>
      </w:r>
      <w:bookmarkEnd w:id="33"/>
      <w:r w:rsidRPr="00234DD6">
        <w:t xml:space="preserve"> 1</w:t>
      </w:r>
      <w:r w:rsidR="000160F4" w:rsidRPr="00234DD6">
        <w:t>1</w:t>
      </w:r>
      <w:r w:rsidR="00234DD6" w:rsidRPr="00234DD6">
        <w:tab/>
      </w:r>
      <w:r w:rsidRPr="00234DD6">
        <w:t>Stepped evaluation of the impact of difference in modelling assumption on Incremental QALY between OHTAS and submission model</w:t>
      </w:r>
      <w:bookmarkEnd w:id="34"/>
    </w:p>
    <w:tbl>
      <w:tblPr>
        <w:tblStyle w:val="TableGrid2"/>
        <w:tblW w:w="5000" w:type="pct"/>
        <w:tblLook w:val="04A0" w:firstRow="1" w:lastRow="0" w:firstColumn="1" w:lastColumn="0" w:noHBand="0" w:noVBand="1"/>
        <w:tblDescription w:val="Stepped evaluation of the impact of difference in modelling assumption on Incremental QALY between OHTAS and submission model"/>
      </w:tblPr>
      <w:tblGrid>
        <w:gridCol w:w="2254"/>
        <w:gridCol w:w="2254"/>
        <w:gridCol w:w="2254"/>
        <w:gridCol w:w="2254"/>
      </w:tblGrid>
      <w:tr w:rsidR="00F575C5" w:rsidRPr="00234DD6" w14:paraId="1040ADD8" w14:textId="77777777" w:rsidTr="00B75179">
        <w:trPr>
          <w:cnfStyle w:val="100000000000" w:firstRow="1" w:lastRow="0" w:firstColumn="0" w:lastColumn="0" w:oddVBand="0" w:evenVBand="0" w:oddHBand="0" w:evenHBand="0" w:firstRowFirstColumn="0" w:firstRowLastColumn="0" w:lastRowFirstColumn="0" w:lastRowLastColumn="0"/>
          <w:cantSplit/>
          <w:trHeight w:val="300"/>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14:paraId="3BF6600D" w14:textId="77777777" w:rsidR="00F575C5" w:rsidRPr="00234DD6" w:rsidRDefault="00F575C5" w:rsidP="00B75179">
            <w:pPr>
              <w:spacing w:after="40"/>
              <w:rPr>
                <w:rFonts w:ascii="Arial Narrow" w:hAnsi="Arial Narrow" w:cs="Calibri"/>
                <w:b/>
                <w:color w:val="000000"/>
              </w:rPr>
            </w:pPr>
            <w:r w:rsidRPr="00234DD6">
              <w:rPr>
                <w:rFonts w:ascii="Arial Narrow" w:hAnsi="Arial Narrow" w:cs="Calibri"/>
                <w:b/>
                <w:color w:val="000000"/>
              </w:rPr>
              <w:t>Model parameter</w:t>
            </w:r>
          </w:p>
        </w:tc>
        <w:tc>
          <w:tcPr>
            <w:tcW w:w="1250" w:type="pct"/>
            <w:tcBorders>
              <w:top w:val="single" w:sz="4" w:space="0" w:color="000000"/>
              <w:left w:val="nil"/>
              <w:bottom w:val="single" w:sz="4" w:space="0" w:color="000000"/>
              <w:right w:val="single" w:sz="4" w:space="0" w:color="000000"/>
            </w:tcBorders>
            <w:shd w:val="clear" w:color="auto" w:fill="auto"/>
            <w:hideMark/>
          </w:tcPr>
          <w:p w14:paraId="75CFA7EA" w14:textId="77777777" w:rsidR="00F575C5" w:rsidRPr="00234DD6" w:rsidRDefault="00F575C5" w:rsidP="00B75179">
            <w:pPr>
              <w:spacing w:after="40"/>
              <w:rPr>
                <w:rFonts w:ascii="Arial Narrow" w:hAnsi="Arial Narrow" w:cs="Calibri"/>
                <w:b/>
                <w:color w:val="000000"/>
              </w:rPr>
            </w:pPr>
            <w:r w:rsidRPr="00234DD6">
              <w:rPr>
                <w:rFonts w:ascii="Arial Narrow" w:hAnsi="Arial Narrow" w:cs="Calibri"/>
                <w:b/>
                <w:color w:val="000000"/>
              </w:rPr>
              <w:t>OHTAS base case</w:t>
            </w:r>
          </w:p>
        </w:tc>
        <w:tc>
          <w:tcPr>
            <w:tcW w:w="1250" w:type="pct"/>
            <w:tcBorders>
              <w:top w:val="single" w:sz="4" w:space="0" w:color="000000"/>
              <w:left w:val="nil"/>
              <w:bottom w:val="single" w:sz="4" w:space="0" w:color="000000"/>
              <w:right w:val="single" w:sz="4" w:space="0" w:color="000000"/>
            </w:tcBorders>
            <w:shd w:val="clear" w:color="auto" w:fill="auto"/>
            <w:hideMark/>
          </w:tcPr>
          <w:p w14:paraId="3A69AA01" w14:textId="77777777" w:rsidR="00F575C5" w:rsidRPr="00234DD6" w:rsidRDefault="00F575C5" w:rsidP="00B75179">
            <w:pPr>
              <w:spacing w:after="40"/>
              <w:rPr>
                <w:rFonts w:ascii="Arial Narrow" w:hAnsi="Arial Narrow" w:cs="Calibri"/>
                <w:b/>
                <w:color w:val="000000"/>
              </w:rPr>
            </w:pPr>
            <w:r w:rsidRPr="00234DD6">
              <w:rPr>
                <w:rFonts w:ascii="Arial Narrow" w:hAnsi="Arial Narrow" w:cs="Calibri"/>
                <w:b/>
                <w:color w:val="000000"/>
              </w:rPr>
              <w:t>Submission base case</w:t>
            </w:r>
          </w:p>
        </w:tc>
        <w:tc>
          <w:tcPr>
            <w:tcW w:w="1250" w:type="pct"/>
            <w:tcBorders>
              <w:top w:val="single" w:sz="4" w:space="0" w:color="000000"/>
              <w:left w:val="nil"/>
              <w:bottom w:val="single" w:sz="4" w:space="0" w:color="000000"/>
              <w:right w:val="single" w:sz="4" w:space="0" w:color="auto"/>
            </w:tcBorders>
            <w:shd w:val="clear" w:color="auto" w:fill="auto"/>
            <w:hideMark/>
          </w:tcPr>
          <w:p w14:paraId="02ABB4B8" w14:textId="77777777" w:rsidR="00F575C5" w:rsidRPr="00234DD6" w:rsidRDefault="00F575C5" w:rsidP="00B75179">
            <w:pPr>
              <w:spacing w:after="40"/>
              <w:rPr>
                <w:rFonts w:ascii="Arial Narrow" w:hAnsi="Arial Narrow" w:cs="Calibri"/>
                <w:b/>
                <w:color w:val="000000"/>
              </w:rPr>
            </w:pPr>
            <w:r w:rsidRPr="00234DD6">
              <w:rPr>
                <w:rFonts w:ascii="Arial Narrow" w:hAnsi="Arial Narrow" w:cs="Calibri"/>
                <w:b/>
                <w:color w:val="000000"/>
              </w:rPr>
              <w:t>Incremental QALYs (</w:t>
            </w:r>
            <w:proofErr w:type="spellStart"/>
            <w:r w:rsidRPr="00234DD6">
              <w:rPr>
                <w:rFonts w:ascii="Arial Narrow" w:hAnsi="Arial Narrow" w:cs="Calibri"/>
                <w:b/>
                <w:color w:val="000000"/>
              </w:rPr>
              <w:t>MRgFUS</w:t>
            </w:r>
            <w:proofErr w:type="spellEnd"/>
            <w:r w:rsidRPr="00234DD6">
              <w:rPr>
                <w:rFonts w:ascii="Arial Narrow" w:hAnsi="Arial Narrow" w:cs="Calibri"/>
                <w:b/>
                <w:color w:val="000000"/>
              </w:rPr>
              <w:t xml:space="preserve"> vs. DBS)</w:t>
            </w:r>
          </w:p>
        </w:tc>
      </w:tr>
      <w:tr w:rsidR="00F575C5" w:rsidRPr="00234DD6" w14:paraId="048BD108" w14:textId="77777777" w:rsidTr="00F64363">
        <w:trPr>
          <w:cantSplit/>
          <w:trHeight w:val="300"/>
        </w:trPr>
        <w:tc>
          <w:tcPr>
            <w:tcW w:w="37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1C59F763" w14:textId="77777777" w:rsidR="00F575C5" w:rsidRPr="00234DD6" w:rsidRDefault="00F575C5" w:rsidP="00B75179">
            <w:pPr>
              <w:spacing w:after="40"/>
              <w:rPr>
                <w:rFonts w:cs="Calibri"/>
                <w:color w:val="000000"/>
              </w:rPr>
            </w:pPr>
            <w:r w:rsidRPr="00234DD6">
              <w:rPr>
                <w:rFonts w:cs="Calibri"/>
                <w:color w:val="000000"/>
              </w:rPr>
              <w:t>OHTAS model base case</w:t>
            </w:r>
          </w:p>
        </w:tc>
        <w:tc>
          <w:tcPr>
            <w:tcW w:w="1250" w:type="pct"/>
            <w:tcBorders>
              <w:top w:val="nil"/>
              <w:left w:val="nil"/>
              <w:bottom w:val="single" w:sz="4" w:space="0" w:color="000000"/>
              <w:right w:val="single" w:sz="4" w:space="0" w:color="auto"/>
            </w:tcBorders>
            <w:shd w:val="clear" w:color="auto" w:fill="auto"/>
            <w:noWrap/>
            <w:hideMark/>
          </w:tcPr>
          <w:p w14:paraId="4274591F" w14:textId="77777777" w:rsidR="00F575C5" w:rsidRPr="00921A2C" w:rsidRDefault="00F575C5" w:rsidP="00B75179">
            <w:pPr>
              <w:spacing w:after="40"/>
              <w:rPr>
                <w:rFonts w:cs="Arial"/>
                <w:color w:val="000000"/>
              </w:rPr>
            </w:pPr>
            <w:r w:rsidRPr="00921A2C">
              <w:rPr>
                <w:rFonts w:cs="Arial"/>
                <w:color w:val="000000"/>
              </w:rPr>
              <w:t>-0.25</w:t>
            </w:r>
          </w:p>
        </w:tc>
      </w:tr>
      <w:tr w:rsidR="00F575C5" w:rsidRPr="00234DD6" w14:paraId="71502A35" w14:textId="77777777" w:rsidTr="00B75179">
        <w:trPr>
          <w:cantSplit/>
          <w:trHeight w:val="300"/>
        </w:trPr>
        <w:tc>
          <w:tcPr>
            <w:tcW w:w="1250" w:type="pct"/>
            <w:tcBorders>
              <w:top w:val="nil"/>
              <w:left w:val="single" w:sz="4" w:space="0" w:color="000000"/>
              <w:bottom w:val="single" w:sz="4" w:space="0" w:color="000000"/>
              <w:right w:val="single" w:sz="4" w:space="0" w:color="000000"/>
            </w:tcBorders>
            <w:shd w:val="clear" w:color="auto" w:fill="auto"/>
            <w:hideMark/>
          </w:tcPr>
          <w:p w14:paraId="02DEE06C" w14:textId="77777777" w:rsidR="00F575C5" w:rsidRPr="00234DD6" w:rsidRDefault="00F575C5" w:rsidP="00B75179">
            <w:pPr>
              <w:spacing w:after="40"/>
              <w:rPr>
                <w:rFonts w:cs="Calibri"/>
                <w:color w:val="000000"/>
              </w:rPr>
            </w:pPr>
            <w:r w:rsidRPr="00234DD6">
              <w:rPr>
                <w:rFonts w:cs="Calibri"/>
                <w:color w:val="000000"/>
              </w:rPr>
              <w:t>Discounting</w:t>
            </w:r>
          </w:p>
        </w:tc>
        <w:tc>
          <w:tcPr>
            <w:tcW w:w="1250" w:type="pct"/>
            <w:tcBorders>
              <w:top w:val="nil"/>
              <w:left w:val="nil"/>
              <w:bottom w:val="single" w:sz="4" w:space="0" w:color="000000"/>
              <w:right w:val="single" w:sz="4" w:space="0" w:color="000000"/>
            </w:tcBorders>
            <w:shd w:val="clear" w:color="auto" w:fill="auto"/>
            <w:noWrap/>
            <w:hideMark/>
          </w:tcPr>
          <w:p w14:paraId="3B5451C5" w14:textId="77777777" w:rsidR="00F575C5" w:rsidRPr="00234DD6" w:rsidRDefault="00F575C5" w:rsidP="00B75179">
            <w:pPr>
              <w:spacing w:after="40"/>
              <w:rPr>
                <w:rFonts w:cs="Arial"/>
                <w:color w:val="000000"/>
              </w:rPr>
            </w:pPr>
            <w:r w:rsidRPr="00234DD6">
              <w:rPr>
                <w:rFonts w:cs="Arial"/>
                <w:color w:val="000000"/>
              </w:rPr>
              <w:t>1.5%</w:t>
            </w:r>
          </w:p>
        </w:tc>
        <w:tc>
          <w:tcPr>
            <w:tcW w:w="1250" w:type="pct"/>
            <w:tcBorders>
              <w:top w:val="nil"/>
              <w:left w:val="nil"/>
              <w:bottom w:val="single" w:sz="4" w:space="0" w:color="000000"/>
              <w:right w:val="single" w:sz="4" w:space="0" w:color="000000"/>
            </w:tcBorders>
            <w:shd w:val="clear" w:color="auto" w:fill="auto"/>
            <w:noWrap/>
            <w:hideMark/>
          </w:tcPr>
          <w:p w14:paraId="2CD1D7CC" w14:textId="77777777" w:rsidR="00F575C5" w:rsidRPr="00234DD6" w:rsidRDefault="00F575C5" w:rsidP="00B75179">
            <w:pPr>
              <w:spacing w:after="40"/>
              <w:rPr>
                <w:rFonts w:cs="Arial"/>
                <w:color w:val="000000"/>
              </w:rPr>
            </w:pPr>
            <w:r w:rsidRPr="00234DD6">
              <w:rPr>
                <w:rFonts w:cs="Arial"/>
                <w:color w:val="000000"/>
              </w:rPr>
              <w:t>5%</w:t>
            </w:r>
          </w:p>
        </w:tc>
        <w:tc>
          <w:tcPr>
            <w:tcW w:w="1250" w:type="pct"/>
            <w:tcBorders>
              <w:top w:val="nil"/>
              <w:left w:val="nil"/>
              <w:bottom w:val="single" w:sz="4" w:space="0" w:color="000000"/>
              <w:right w:val="single" w:sz="4" w:space="0" w:color="auto"/>
            </w:tcBorders>
            <w:shd w:val="clear" w:color="auto" w:fill="auto"/>
            <w:noWrap/>
            <w:hideMark/>
          </w:tcPr>
          <w:p w14:paraId="095086CD" w14:textId="77777777" w:rsidR="00F575C5" w:rsidRPr="00921A2C" w:rsidRDefault="00F575C5" w:rsidP="00B75179">
            <w:pPr>
              <w:spacing w:after="40"/>
              <w:rPr>
                <w:rFonts w:cs="Arial"/>
                <w:color w:val="000000"/>
              </w:rPr>
            </w:pPr>
            <w:r w:rsidRPr="00921A2C">
              <w:rPr>
                <w:rFonts w:cs="Arial"/>
                <w:color w:val="000000"/>
              </w:rPr>
              <w:t>-0.24</w:t>
            </w:r>
          </w:p>
        </w:tc>
      </w:tr>
      <w:tr w:rsidR="00F575C5" w:rsidRPr="00234DD6" w14:paraId="4FB775DF" w14:textId="77777777" w:rsidTr="00B75179">
        <w:trPr>
          <w:cantSplit/>
          <w:trHeight w:val="300"/>
        </w:trPr>
        <w:tc>
          <w:tcPr>
            <w:tcW w:w="1250" w:type="pct"/>
            <w:tcBorders>
              <w:top w:val="nil"/>
              <w:left w:val="single" w:sz="4" w:space="0" w:color="000000"/>
              <w:bottom w:val="single" w:sz="4" w:space="0" w:color="000000"/>
              <w:right w:val="single" w:sz="4" w:space="0" w:color="000000"/>
            </w:tcBorders>
            <w:shd w:val="clear" w:color="auto" w:fill="auto"/>
            <w:hideMark/>
          </w:tcPr>
          <w:p w14:paraId="2B7014E3" w14:textId="77777777" w:rsidR="00F575C5" w:rsidRPr="00234DD6" w:rsidRDefault="00F575C5" w:rsidP="00B75179">
            <w:pPr>
              <w:spacing w:after="40"/>
              <w:rPr>
                <w:rFonts w:cs="Calibri"/>
                <w:color w:val="000000"/>
              </w:rPr>
            </w:pPr>
            <w:r w:rsidRPr="00234DD6">
              <w:rPr>
                <w:rFonts w:cs="Calibri"/>
                <w:color w:val="000000"/>
              </w:rPr>
              <w:t>Lifetables (+Discounting)</w:t>
            </w:r>
          </w:p>
        </w:tc>
        <w:tc>
          <w:tcPr>
            <w:tcW w:w="1250" w:type="pct"/>
            <w:tcBorders>
              <w:top w:val="nil"/>
              <w:left w:val="nil"/>
              <w:bottom w:val="single" w:sz="4" w:space="0" w:color="000000"/>
              <w:right w:val="single" w:sz="4" w:space="0" w:color="000000"/>
            </w:tcBorders>
            <w:shd w:val="clear" w:color="auto" w:fill="auto"/>
            <w:hideMark/>
          </w:tcPr>
          <w:p w14:paraId="05DE1605" w14:textId="77777777" w:rsidR="00F575C5" w:rsidRPr="00234DD6" w:rsidRDefault="00F575C5" w:rsidP="00B75179">
            <w:pPr>
              <w:spacing w:after="40"/>
              <w:rPr>
                <w:rFonts w:cs="Calibri"/>
                <w:color w:val="000000"/>
              </w:rPr>
            </w:pPr>
            <w:r w:rsidRPr="00234DD6">
              <w:rPr>
                <w:rFonts w:cs="Calibri"/>
                <w:color w:val="000000"/>
              </w:rPr>
              <w:t>Canadian lifetables</w:t>
            </w:r>
          </w:p>
        </w:tc>
        <w:tc>
          <w:tcPr>
            <w:tcW w:w="1250" w:type="pct"/>
            <w:tcBorders>
              <w:top w:val="nil"/>
              <w:left w:val="nil"/>
              <w:bottom w:val="single" w:sz="4" w:space="0" w:color="000000"/>
              <w:right w:val="single" w:sz="4" w:space="0" w:color="000000"/>
            </w:tcBorders>
            <w:shd w:val="clear" w:color="auto" w:fill="auto"/>
            <w:hideMark/>
          </w:tcPr>
          <w:p w14:paraId="33FF7138" w14:textId="77777777" w:rsidR="00F575C5" w:rsidRPr="00234DD6" w:rsidRDefault="00F575C5" w:rsidP="00B75179">
            <w:pPr>
              <w:spacing w:after="40"/>
              <w:rPr>
                <w:rFonts w:cs="Calibri"/>
                <w:color w:val="000000"/>
              </w:rPr>
            </w:pPr>
            <w:r w:rsidRPr="00234DD6">
              <w:rPr>
                <w:rFonts w:cs="Calibri"/>
                <w:color w:val="000000"/>
              </w:rPr>
              <w:t>Australian life tables</w:t>
            </w:r>
          </w:p>
        </w:tc>
        <w:tc>
          <w:tcPr>
            <w:tcW w:w="1250" w:type="pct"/>
            <w:tcBorders>
              <w:top w:val="nil"/>
              <w:left w:val="nil"/>
              <w:bottom w:val="single" w:sz="4" w:space="0" w:color="000000"/>
              <w:right w:val="single" w:sz="4" w:space="0" w:color="auto"/>
            </w:tcBorders>
            <w:shd w:val="clear" w:color="auto" w:fill="auto"/>
            <w:noWrap/>
            <w:hideMark/>
          </w:tcPr>
          <w:p w14:paraId="69A73C0C" w14:textId="77777777" w:rsidR="00F575C5" w:rsidRPr="00921A2C" w:rsidRDefault="00F575C5" w:rsidP="00B75179">
            <w:pPr>
              <w:spacing w:after="40"/>
              <w:rPr>
                <w:rFonts w:cs="Arial"/>
                <w:color w:val="000000"/>
              </w:rPr>
            </w:pPr>
            <w:r w:rsidRPr="00921A2C">
              <w:rPr>
                <w:rFonts w:cs="Arial"/>
                <w:color w:val="000000"/>
              </w:rPr>
              <w:t>-0.24</w:t>
            </w:r>
          </w:p>
        </w:tc>
      </w:tr>
      <w:tr w:rsidR="00F575C5" w:rsidRPr="00234DD6" w14:paraId="7B046B6C" w14:textId="77777777" w:rsidTr="00B75179">
        <w:trPr>
          <w:cantSplit/>
          <w:trHeight w:val="765"/>
        </w:trPr>
        <w:tc>
          <w:tcPr>
            <w:tcW w:w="1250" w:type="pct"/>
            <w:tcBorders>
              <w:top w:val="nil"/>
              <w:left w:val="single" w:sz="4" w:space="0" w:color="000000"/>
              <w:bottom w:val="single" w:sz="4" w:space="0" w:color="000000"/>
              <w:right w:val="single" w:sz="4" w:space="0" w:color="000000"/>
            </w:tcBorders>
            <w:shd w:val="clear" w:color="auto" w:fill="auto"/>
            <w:hideMark/>
          </w:tcPr>
          <w:p w14:paraId="4C31B9DD" w14:textId="77777777" w:rsidR="00F575C5" w:rsidRPr="00234DD6" w:rsidRDefault="00F575C5" w:rsidP="00B75179">
            <w:pPr>
              <w:spacing w:after="40"/>
              <w:rPr>
                <w:rFonts w:cs="Calibri"/>
                <w:color w:val="000000"/>
              </w:rPr>
            </w:pPr>
            <w:r w:rsidRPr="00234DD6">
              <w:rPr>
                <w:rFonts w:cs="Calibri"/>
                <w:color w:val="000000"/>
              </w:rPr>
              <w:t>Rates of recurrence (+Lifetables and Discounting)</w:t>
            </w:r>
          </w:p>
        </w:tc>
        <w:tc>
          <w:tcPr>
            <w:tcW w:w="1250" w:type="pct"/>
            <w:tcBorders>
              <w:top w:val="nil"/>
              <w:left w:val="nil"/>
              <w:bottom w:val="single" w:sz="4" w:space="0" w:color="000000"/>
              <w:right w:val="single" w:sz="4" w:space="0" w:color="000000"/>
            </w:tcBorders>
            <w:shd w:val="clear" w:color="auto" w:fill="auto"/>
            <w:hideMark/>
          </w:tcPr>
          <w:p w14:paraId="2AB42290" w14:textId="77777777" w:rsidR="00F575C5" w:rsidRPr="00234DD6" w:rsidRDefault="00F575C5" w:rsidP="00B75179">
            <w:pPr>
              <w:spacing w:after="40"/>
              <w:rPr>
                <w:rFonts w:cs="Calibri"/>
                <w:color w:val="000000"/>
              </w:rPr>
            </w:pPr>
            <w:proofErr w:type="spellStart"/>
            <w:r w:rsidRPr="00234DD6">
              <w:rPr>
                <w:rFonts w:cs="Calibri"/>
                <w:color w:val="000000"/>
                <w:u w:val="single"/>
              </w:rPr>
              <w:t>MRgFUS</w:t>
            </w:r>
            <w:proofErr w:type="spellEnd"/>
            <w:r w:rsidRPr="00234DD6">
              <w:rPr>
                <w:rFonts w:cs="Calibri"/>
                <w:color w:val="000000"/>
              </w:rPr>
              <w:t xml:space="preserve"> </w:t>
            </w:r>
          </w:p>
          <w:p w14:paraId="5B9EA888" w14:textId="77777777" w:rsidR="00F575C5" w:rsidRPr="00234DD6" w:rsidRDefault="00F575C5" w:rsidP="00B75179">
            <w:pPr>
              <w:spacing w:after="40"/>
              <w:rPr>
                <w:rFonts w:cs="Calibri"/>
                <w:color w:val="000000"/>
              </w:rPr>
            </w:pPr>
            <w:r w:rsidRPr="00234DD6">
              <w:rPr>
                <w:rFonts w:cs="Calibri"/>
                <w:color w:val="000000"/>
              </w:rPr>
              <w:t>Year 1 = 8.9%</w:t>
            </w:r>
            <w:r w:rsidRPr="00234DD6">
              <w:rPr>
                <w:rFonts w:cs="Calibri"/>
                <w:color w:val="000000"/>
              </w:rPr>
              <w:br/>
              <w:t xml:space="preserve">Year 2-5 = 4.7% </w:t>
            </w:r>
          </w:p>
          <w:p w14:paraId="70B4486A" w14:textId="77777777" w:rsidR="00F575C5" w:rsidRPr="00234DD6" w:rsidRDefault="00F575C5" w:rsidP="00B75179">
            <w:pPr>
              <w:spacing w:after="40"/>
              <w:rPr>
                <w:rFonts w:cs="Calibri"/>
                <w:color w:val="000000"/>
                <w:u w:val="single"/>
              </w:rPr>
            </w:pPr>
            <w:r w:rsidRPr="00234DD6">
              <w:rPr>
                <w:rFonts w:cs="Calibri"/>
                <w:color w:val="000000"/>
                <w:u w:val="single"/>
              </w:rPr>
              <w:t>DBS</w:t>
            </w:r>
            <w:r w:rsidRPr="00234DD6">
              <w:rPr>
                <w:rFonts w:cs="Calibri"/>
                <w:color w:val="000000"/>
                <w:u w:val="single"/>
              </w:rPr>
              <w:br/>
            </w:r>
            <w:r w:rsidRPr="00234DD6">
              <w:rPr>
                <w:rFonts w:cs="Calibri"/>
                <w:color w:val="000000"/>
              </w:rPr>
              <w:t>0%</w:t>
            </w:r>
          </w:p>
        </w:tc>
        <w:tc>
          <w:tcPr>
            <w:tcW w:w="1250" w:type="pct"/>
            <w:tcBorders>
              <w:top w:val="nil"/>
              <w:left w:val="nil"/>
              <w:bottom w:val="single" w:sz="4" w:space="0" w:color="000000"/>
              <w:right w:val="single" w:sz="4" w:space="0" w:color="000000"/>
            </w:tcBorders>
            <w:shd w:val="clear" w:color="auto" w:fill="auto"/>
            <w:hideMark/>
          </w:tcPr>
          <w:p w14:paraId="4F4AF0A2" w14:textId="77777777" w:rsidR="00F575C5" w:rsidRPr="00234DD6" w:rsidRDefault="00F575C5" w:rsidP="00B75179">
            <w:pPr>
              <w:spacing w:after="40"/>
              <w:rPr>
                <w:rFonts w:cs="Calibri"/>
                <w:color w:val="000000"/>
              </w:rPr>
            </w:pPr>
            <w:proofErr w:type="spellStart"/>
            <w:r w:rsidRPr="00234DD6">
              <w:rPr>
                <w:rFonts w:cs="Calibri"/>
                <w:color w:val="000000"/>
                <w:u w:val="single"/>
              </w:rPr>
              <w:t>MRgFUS</w:t>
            </w:r>
            <w:proofErr w:type="spellEnd"/>
            <w:r w:rsidRPr="00234DD6">
              <w:rPr>
                <w:rFonts w:cs="Calibri"/>
                <w:color w:val="000000"/>
              </w:rPr>
              <w:t xml:space="preserve"> </w:t>
            </w:r>
          </w:p>
          <w:p w14:paraId="08FE66DF" w14:textId="77777777" w:rsidR="00F575C5" w:rsidRPr="00234DD6" w:rsidRDefault="00F575C5" w:rsidP="00B75179">
            <w:pPr>
              <w:spacing w:after="40"/>
              <w:rPr>
                <w:rFonts w:cs="Calibri"/>
                <w:color w:val="000000"/>
              </w:rPr>
            </w:pPr>
            <w:r w:rsidRPr="00234DD6">
              <w:rPr>
                <w:rFonts w:cs="Calibri"/>
                <w:color w:val="000000"/>
              </w:rPr>
              <w:t>Year 1 = 8.9%</w:t>
            </w:r>
            <w:r w:rsidRPr="00234DD6">
              <w:rPr>
                <w:rFonts w:cs="Calibri"/>
                <w:color w:val="000000"/>
              </w:rPr>
              <w:br/>
              <w:t>Year 2-5 = 1.36%</w:t>
            </w:r>
          </w:p>
          <w:p w14:paraId="22BD41B2" w14:textId="77777777" w:rsidR="00F575C5" w:rsidRPr="00234DD6" w:rsidRDefault="00F575C5" w:rsidP="00B75179">
            <w:pPr>
              <w:spacing w:after="40"/>
              <w:rPr>
                <w:rFonts w:cs="Calibri"/>
                <w:color w:val="000000"/>
                <w:u w:val="single"/>
              </w:rPr>
            </w:pPr>
            <w:r w:rsidRPr="00234DD6">
              <w:rPr>
                <w:rFonts w:cs="Calibri"/>
                <w:color w:val="000000"/>
                <w:u w:val="single"/>
              </w:rPr>
              <w:t>DBS</w:t>
            </w:r>
          </w:p>
          <w:p w14:paraId="518E047B" w14:textId="77777777" w:rsidR="00F575C5" w:rsidRPr="00234DD6" w:rsidRDefault="00F575C5" w:rsidP="00B75179">
            <w:pPr>
              <w:spacing w:after="40"/>
              <w:rPr>
                <w:rFonts w:cs="Calibri"/>
                <w:color w:val="000000"/>
              </w:rPr>
            </w:pPr>
            <w:r w:rsidRPr="00234DD6">
              <w:rPr>
                <w:rFonts w:cs="Calibri"/>
                <w:color w:val="000000"/>
              </w:rPr>
              <w:t>Year 1 = 8.9%</w:t>
            </w:r>
            <w:r w:rsidRPr="00234DD6">
              <w:rPr>
                <w:rFonts w:cs="Calibri"/>
                <w:color w:val="000000"/>
              </w:rPr>
              <w:br/>
              <w:t>Year 2-5 = 1.36%</w:t>
            </w:r>
          </w:p>
        </w:tc>
        <w:tc>
          <w:tcPr>
            <w:tcW w:w="1250" w:type="pct"/>
            <w:tcBorders>
              <w:top w:val="nil"/>
              <w:left w:val="nil"/>
              <w:bottom w:val="single" w:sz="4" w:space="0" w:color="000000"/>
              <w:right w:val="single" w:sz="4" w:space="0" w:color="auto"/>
            </w:tcBorders>
            <w:shd w:val="clear" w:color="auto" w:fill="auto"/>
            <w:noWrap/>
            <w:hideMark/>
          </w:tcPr>
          <w:p w14:paraId="504ED313" w14:textId="77777777" w:rsidR="00F575C5" w:rsidRPr="00921A2C" w:rsidRDefault="00F575C5" w:rsidP="00B75179">
            <w:pPr>
              <w:spacing w:after="40"/>
              <w:rPr>
                <w:rFonts w:cs="Arial"/>
                <w:color w:val="000000"/>
              </w:rPr>
            </w:pPr>
            <w:r w:rsidRPr="00921A2C">
              <w:rPr>
                <w:rFonts w:cs="Arial"/>
                <w:color w:val="000000"/>
              </w:rPr>
              <w:t>-0.16</w:t>
            </w:r>
          </w:p>
        </w:tc>
      </w:tr>
      <w:tr w:rsidR="00F575C5" w:rsidRPr="00234DD6" w14:paraId="629629FD" w14:textId="77777777" w:rsidTr="00B75179">
        <w:trPr>
          <w:cantSplit/>
          <w:trHeight w:val="510"/>
        </w:trPr>
        <w:tc>
          <w:tcPr>
            <w:tcW w:w="1250" w:type="pct"/>
            <w:tcBorders>
              <w:top w:val="nil"/>
              <w:left w:val="single" w:sz="4" w:space="0" w:color="000000"/>
              <w:bottom w:val="single" w:sz="4" w:space="0" w:color="000000"/>
              <w:right w:val="single" w:sz="4" w:space="0" w:color="000000"/>
            </w:tcBorders>
            <w:shd w:val="clear" w:color="auto" w:fill="auto"/>
            <w:hideMark/>
          </w:tcPr>
          <w:p w14:paraId="739A012C" w14:textId="77777777" w:rsidR="00F575C5" w:rsidRPr="00234DD6" w:rsidRDefault="00F575C5" w:rsidP="00B75179">
            <w:pPr>
              <w:spacing w:after="40"/>
              <w:rPr>
                <w:rFonts w:cs="Calibri"/>
                <w:color w:val="000000"/>
              </w:rPr>
            </w:pPr>
            <w:r w:rsidRPr="00234DD6">
              <w:rPr>
                <w:rFonts w:cs="Calibri"/>
                <w:color w:val="000000"/>
              </w:rPr>
              <w:t>Short term AE profile and utility estimates (+Rates of recurrence, Lifetables and Discounting)</w:t>
            </w:r>
          </w:p>
        </w:tc>
        <w:tc>
          <w:tcPr>
            <w:tcW w:w="1250" w:type="pct"/>
            <w:tcBorders>
              <w:top w:val="nil"/>
              <w:left w:val="nil"/>
              <w:bottom w:val="single" w:sz="4" w:space="0" w:color="000000"/>
              <w:right w:val="single" w:sz="4" w:space="0" w:color="000000"/>
            </w:tcBorders>
            <w:shd w:val="clear" w:color="auto" w:fill="auto"/>
            <w:hideMark/>
          </w:tcPr>
          <w:p w14:paraId="762BE766" w14:textId="77777777" w:rsidR="00F575C5" w:rsidRPr="00F6150D" w:rsidRDefault="00F575C5" w:rsidP="00B75179">
            <w:pPr>
              <w:spacing w:after="40"/>
              <w:rPr>
                <w:rFonts w:cs="Calibri"/>
                <w:color w:val="000000"/>
              </w:rPr>
            </w:pPr>
            <w:r w:rsidRPr="00F6150D">
              <w:rPr>
                <w:rFonts w:cs="Calibri"/>
                <w:color w:val="000000"/>
              </w:rPr>
              <w:t xml:space="preserve">QALY loss due to STAE: </w:t>
            </w:r>
            <w:proofErr w:type="spellStart"/>
            <w:r w:rsidRPr="00F6150D">
              <w:rPr>
                <w:rFonts w:cs="Calibri"/>
                <w:color w:val="000000"/>
                <w:u w:val="single"/>
              </w:rPr>
              <w:t>MRgFUS</w:t>
            </w:r>
            <w:proofErr w:type="spellEnd"/>
            <w:r w:rsidRPr="00F6150D">
              <w:rPr>
                <w:rFonts w:cs="Calibri"/>
                <w:color w:val="000000"/>
              </w:rPr>
              <w:t xml:space="preserve"> = 0.0419</w:t>
            </w:r>
            <w:r w:rsidRPr="00F6150D">
              <w:rPr>
                <w:rFonts w:cs="Calibri"/>
                <w:color w:val="000000"/>
              </w:rPr>
              <w:br/>
            </w:r>
            <w:r w:rsidRPr="00F6150D">
              <w:rPr>
                <w:rFonts w:cs="Calibri"/>
                <w:color w:val="000000"/>
                <w:u w:val="single"/>
              </w:rPr>
              <w:t>DBS</w:t>
            </w:r>
            <w:r w:rsidRPr="00F6150D">
              <w:rPr>
                <w:rFonts w:cs="Calibri"/>
                <w:color w:val="000000"/>
              </w:rPr>
              <w:t xml:space="preserve"> = 0.0021</w:t>
            </w:r>
          </w:p>
        </w:tc>
        <w:tc>
          <w:tcPr>
            <w:tcW w:w="1250" w:type="pct"/>
            <w:tcBorders>
              <w:top w:val="nil"/>
              <w:left w:val="nil"/>
              <w:bottom w:val="single" w:sz="4" w:space="0" w:color="000000"/>
              <w:right w:val="single" w:sz="4" w:space="0" w:color="000000"/>
            </w:tcBorders>
            <w:shd w:val="clear" w:color="auto" w:fill="auto"/>
            <w:hideMark/>
          </w:tcPr>
          <w:p w14:paraId="0D591BFC" w14:textId="77777777" w:rsidR="00F575C5" w:rsidRPr="00F6150D" w:rsidRDefault="00F575C5" w:rsidP="00B75179">
            <w:pPr>
              <w:spacing w:after="40"/>
              <w:rPr>
                <w:rFonts w:cs="Calibri"/>
                <w:color w:val="000000"/>
              </w:rPr>
            </w:pPr>
            <w:r w:rsidRPr="00F6150D">
              <w:rPr>
                <w:rFonts w:cs="Calibri"/>
                <w:color w:val="000000"/>
              </w:rPr>
              <w:t xml:space="preserve">QALY loss due to STAE: </w:t>
            </w:r>
            <w:proofErr w:type="spellStart"/>
            <w:r w:rsidRPr="00F6150D">
              <w:rPr>
                <w:rFonts w:cs="Calibri"/>
                <w:color w:val="000000"/>
                <w:u w:val="single"/>
              </w:rPr>
              <w:t>MRgFUS</w:t>
            </w:r>
            <w:proofErr w:type="spellEnd"/>
            <w:r w:rsidRPr="00F6150D">
              <w:rPr>
                <w:rFonts w:cs="Calibri"/>
                <w:color w:val="000000"/>
              </w:rPr>
              <w:t xml:space="preserve"> = 0.0277</w:t>
            </w:r>
            <w:r w:rsidRPr="00F6150D">
              <w:rPr>
                <w:rFonts w:cs="Calibri"/>
                <w:color w:val="000000"/>
              </w:rPr>
              <w:br/>
            </w:r>
            <w:r w:rsidRPr="00F6150D">
              <w:rPr>
                <w:rFonts w:cs="Calibri"/>
                <w:color w:val="000000"/>
                <w:u w:val="single"/>
              </w:rPr>
              <w:t>DBS</w:t>
            </w:r>
            <w:r w:rsidRPr="00F6150D">
              <w:rPr>
                <w:rFonts w:cs="Calibri"/>
                <w:color w:val="000000"/>
              </w:rPr>
              <w:t xml:space="preserve"> = 0.0209</w:t>
            </w:r>
          </w:p>
        </w:tc>
        <w:tc>
          <w:tcPr>
            <w:tcW w:w="1250" w:type="pct"/>
            <w:tcBorders>
              <w:top w:val="nil"/>
              <w:left w:val="nil"/>
              <w:bottom w:val="single" w:sz="4" w:space="0" w:color="000000"/>
              <w:right w:val="single" w:sz="4" w:space="0" w:color="auto"/>
            </w:tcBorders>
            <w:shd w:val="clear" w:color="auto" w:fill="auto"/>
            <w:noWrap/>
            <w:hideMark/>
          </w:tcPr>
          <w:p w14:paraId="2E9343A0" w14:textId="77777777" w:rsidR="00F575C5" w:rsidRPr="00921A2C" w:rsidRDefault="00F575C5" w:rsidP="00B75179">
            <w:pPr>
              <w:spacing w:after="40"/>
              <w:rPr>
                <w:rFonts w:cs="Arial"/>
                <w:color w:val="000000"/>
              </w:rPr>
            </w:pPr>
            <w:r w:rsidRPr="00921A2C">
              <w:rPr>
                <w:rFonts w:cs="Arial"/>
                <w:color w:val="000000"/>
              </w:rPr>
              <w:t>-0.12</w:t>
            </w:r>
          </w:p>
        </w:tc>
      </w:tr>
      <w:tr w:rsidR="00F575C5" w:rsidRPr="00234DD6" w14:paraId="279FB9E4" w14:textId="77777777" w:rsidTr="00B75179">
        <w:trPr>
          <w:cantSplit/>
          <w:trHeight w:val="1530"/>
        </w:trPr>
        <w:tc>
          <w:tcPr>
            <w:tcW w:w="1250" w:type="pct"/>
            <w:tcBorders>
              <w:top w:val="nil"/>
              <w:left w:val="single" w:sz="4" w:space="0" w:color="000000"/>
              <w:bottom w:val="single" w:sz="4" w:space="0" w:color="auto"/>
              <w:right w:val="single" w:sz="4" w:space="0" w:color="000000"/>
            </w:tcBorders>
            <w:shd w:val="clear" w:color="auto" w:fill="auto"/>
            <w:hideMark/>
          </w:tcPr>
          <w:p w14:paraId="35D5B916" w14:textId="77777777" w:rsidR="00F575C5" w:rsidRPr="00234DD6" w:rsidRDefault="00F575C5" w:rsidP="00B75179">
            <w:pPr>
              <w:spacing w:after="40"/>
              <w:rPr>
                <w:rFonts w:cs="Calibri"/>
                <w:color w:val="000000"/>
              </w:rPr>
            </w:pPr>
            <w:r w:rsidRPr="00234DD6">
              <w:rPr>
                <w:rFonts w:cs="Calibri"/>
                <w:color w:val="000000"/>
              </w:rPr>
              <w:t xml:space="preserve">Long-term AE profile and utility estimates (+Long-term AE profile and utility </w:t>
            </w:r>
            <w:proofErr w:type="gramStart"/>
            <w:r w:rsidRPr="00234DD6">
              <w:rPr>
                <w:rFonts w:cs="Calibri"/>
                <w:color w:val="000000"/>
              </w:rPr>
              <w:t>estimates ,</w:t>
            </w:r>
            <w:proofErr w:type="gramEnd"/>
            <w:r w:rsidRPr="00234DD6">
              <w:rPr>
                <w:rFonts w:cs="Calibri"/>
                <w:color w:val="000000"/>
              </w:rPr>
              <w:t xml:space="preserve"> Rates of recurrence, Lifetables and Discounting)</w:t>
            </w:r>
          </w:p>
        </w:tc>
        <w:tc>
          <w:tcPr>
            <w:tcW w:w="1250" w:type="pct"/>
            <w:tcBorders>
              <w:top w:val="nil"/>
              <w:left w:val="nil"/>
              <w:bottom w:val="single" w:sz="4" w:space="0" w:color="auto"/>
              <w:right w:val="single" w:sz="4" w:space="0" w:color="000000"/>
            </w:tcBorders>
            <w:shd w:val="clear" w:color="auto" w:fill="auto"/>
            <w:hideMark/>
          </w:tcPr>
          <w:p w14:paraId="632A433A" w14:textId="77777777" w:rsidR="00F575C5" w:rsidRPr="00234DD6" w:rsidRDefault="00F575C5" w:rsidP="00B75179">
            <w:pPr>
              <w:spacing w:after="40"/>
              <w:rPr>
                <w:rFonts w:cs="Calibri"/>
                <w:color w:val="000000"/>
              </w:rPr>
            </w:pPr>
            <w:r w:rsidRPr="00234DD6">
              <w:rPr>
                <w:rFonts w:cs="Calibri"/>
                <w:color w:val="000000"/>
              </w:rPr>
              <w:t>Proportion of patients with LTAE:</w:t>
            </w:r>
            <w:r w:rsidRPr="00234DD6">
              <w:rPr>
                <w:rFonts w:cs="Calibri"/>
                <w:color w:val="000000"/>
              </w:rPr>
              <w:br/>
            </w:r>
            <w:proofErr w:type="spellStart"/>
            <w:r w:rsidRPr="00234DD6">
              <w:rPr>
                <w:rFonts w:cs="Calibri"/>
                <w:color w:val="000000"/>
              </w:rPr>
              <w:t>MRgFUS</w:t>
            </w:r>
            <w:proofErr w:type="spellEnd"/>
            <w:r w:rsidRPr="00234DD6">
              <w:rPr>
                <w:rFonts w:cs="Calibri"/>
                <w:color w:val="000000"/>
              </w:rPr>
              <w:t xml:space="preserve"> = 23%</w:t>
            </w:r>
            <w:r w:rsidRPr="00234DD6">
              <w:rPr>
                <w:rFonts w:cs="Calibri"/>
                <w:color w:val="000000"/>
              </w:rPr>
              <w:br/>
              <w:t>DBS = 0%</w:t>
            </w:r>
            <w:r w:rsidRPr="00234DD6">
              <w:rPr>
                <w:rFonts w:cs="Calibri"/>
                <w:color w:val="000000"/>
              </w:rPr>
              <w:br/>
              <w:t>Long-term adverse event utility multiplier:</w:t>
            </w:r>
            <w:r w:rsidRPr="00234DD6">
              <w:rPr>
                <w:rFonts w:cs="Calibri"/>
                <w:color w:val="000000"/>
              </w:rPr>
              <w:br/>
            </w:r>
            <w:proofErr w:type="spellStart"/>
            <w:r w:rsidRPr="00234DD6">
              <w:rPr>
                <w:rFonts w:cs="Calibri"/>
                <w:color w:val="000000"/>
              </w:rPr>
              <w:t>MRgFUS</w:t>
            </w:r>
            <w:proofErr w:type="spellEnd"/>
            <w:r w:rsidRPr="00234DD6">
              <w:rPr>
                <w:rFonts w:cs="Calibri"/>
                <w:color w:val="000000"/>
              </w:rPr>
              <w:t xml:space="preserve"> = 0.814</w:t>
            </w:r>
            <w:r w:rsidRPr="00234DD6">
              <w:rPr>
                <w:rFonts w:cs="Calibri"/>
                <w:color w:val="000000"/>
              </w:rPr>
              <w:br/>
              <w:t>DBS = not applicable</w:t>
            </w:r>
          </w:p>
        </w:tc>
        <w:tc>
          <w:tcPr>
            <w:tcW w:w="1250" w:type="pct"/>
            <w:tcBorders>
              <w:top w:val="nil"/>
              <w:left w:val="nil"/>
              <w:bottom w:val="single" w:sz="4" w:space="0" w:color="auto"/>
              <w:right w:val="single" w:sz="4" w:space="0" w:color="000000"/>
            </w:tcBorders>
            <w:shd w:val="clear" w:color="auto" w:fill="auto"/>
            <w:hideMark/>
          </w:tcPr>
          <w:p w14:paraId="6761F7C9" w14:textId="77777777" w:rsidR="00F575C5" w:rsidRPr="00234DD6" w:rsidRDefault="00F575C5" w:rsidP="00B75179">
            <w:pPr>
              <w:spacing w:after="40"/>
              <w:rPr>
                <w:rFonts w:cs="Calibri"/>
                <w:color w:val="000000"/>
              </w:rPr>
            </w:pPr>
            <w:r w:rsidRPr="00234DD6">
              <w:rPr>
                <w:rFonts w:cs="Calibri"/>
                <w:color w:val="000000"/>
              </w:rPr>
              <w:t>Proportion of patients with LTAE:</w:t>
            </w:r>
            <w:r w:rsidRPr="00234DD6">
              <w:rPr>
                <w:rFonts w:cs="Calibri"/>
                <w:color w:val="000000"/>
              </w:rPr>
              <w:br/>
            </w:r>
            <w:proofErr w:type="spellStart"/>
            <w:r w:rsidRPr="00234DD6">
              <w:rPr>
                <w:rFonts w:cs="Calibri"/>
                <w:color w:val="000000"/>
              </w:rPr>
              <w:t>MRgFUS</w:t>
            </w:r>
            <w:proofErr w:type="spellEnd"/>
            <w:r w:rsidRPr="00234DD6">
              <w:rPr>
                <w:rFonts w:cs="Calibri"/>
                <w:color w:val="000000"/>
              </w:rPr>
              <w:t xml:space="preserve"> = 34%</w:t>
            </w:r>
            <w:r w:rsidRPr="00234DD6">
              <w:rPr>
                <w:rFonts w:cs="Calibri"/>
                <w:color w:val="000000"/>
              </w:rPr>
              <w:br/>
              <w:t>DBS = 14%</w:t>
            </w:r>
            <w:r w:rsidRPr="00234DD6">
              <w:rPr>
                <w:rFonts w:cs="Calibri"/>
                <w:color w:val="000000"/>
              </w:rPr>
              <w:br/>
              <w:t>Long-term adverse event utility multiplier:</w:t>
            </w:r>
            <w:r w:rsidRPr="00234DD6">
              <w:rPr>
                <w:rFonts w:cs="Calibri"/>
                <w:color w:val="000000"/>
              </w:rPr>
              <w:br/>
            </w:r>
            <w:proofErr w:type="spellStart"/>
            <w:r w:rsidRPr="00234DD6">
              <w:rPr>
                <w:rFonts w:cs="Calibri"/>
                <w:color w:val="000000"/>
              </w:rPr>
              <w:t>MRgFUS</w:t>
            </w:r>
            <w:proofErr w:type="spellEnd"/>
            <w:r w:rsidRPr="00234DD6">
              <w:rPr>
                <w:rFonts w:cs="Calibri"/>
                <w:color w:val="000000"/>
              </w:rPr>
              <w:t xml:space="preserve"> = 0.814</w:t>
            </w:r>
            <w:r w:rsidRPr="00234DD6">
              <w:rPr>
                <w:rFonts w:cs="Calibri"/>
                <w:color w:val="000000"/>
              </w:rPr>
              <w:br/>
              <w:t>DBS = 0.756</w:t>
            </w:r>
          </w:p>
        </w:tc>
        <w:tc>
          <w:tcPr>
            <w:tcW w:w="1250" w:type="pct"/>
            <w:tcBorders>
              <w:top w:val="nil"/>
              <w:left w:val="nil"/>
              <w:bottom w:val="single" w:sz="4" w:space="0" w:color="auto"/>
              <w:right w:val="single" w:sz="4" w:space="0" w:color="auto"/>
            </w:tcBorders>
            <w:shd w:val="clear" w:color="auto" w:fill="auto"/>
            <w:hideMark/>
          </w:tcPr>
          <w:p w14:paraId="346BD38E" w14:textId="0DA17BD6" w:rsidR="00F575C5" w:rsidRPr="00921A2C" w:rsidRDefault="00F575C5" w:rsidP="00B75179">
            <w:pPr>
              <w:spacing w:after="40"/>
              <w:rPr>
                <w:rFonts w:cs="Calibri"/>
                <w:b/>
                <w:color w:val="000000"/>
              </w:rPr>
            </w:pPr>
            <w:r w:rsidRPr="00921A2C">
              <w:rPr>
                <w:rFonts w:cs="Calibri"/>
                <w:b/>
                <w:color w:val="000000"/>
              </w:rPr>
              <w:t>-0.08 (</w:t>
            </w:r>
            <w:r w:rsidR="000F5699" w:rsidRPr="00921A2C">
              <w:rPr>
                <w:rFonts w:cs="Calibri"/>
                <w:b/>
                <w:color w:val="000000"/>
              </w:rPr>
              <w:t>r</w:t>
            </w:r>
            <w:r w:rsidRPr="00921A2C">
              <w:rPr>
                <w:rFonts w:cs="Calibri"/>
                <w:b/>
                <w:color w:val="000000"/>
              </w:rPr>
              <w:t>esubmission base case)</w:t>
            </w:r>
          </w:p>
        </w:tc>
      </w:tr>
    </w:tbl>
    <w:p w14:paraId="35AB285C" w14:textId="77777777" w:rsidR="00F575C5" w:rsidRPr="00234DD6" w:rsidRDefault="00F575C5" w:rsidP="00F575C5">
      <w:pPr>
        <w:pStyle w:val="TableNote"/>
      </w:pPr>
      <w:r w:rsidRPr="00234DD6">
        <w:t>Source: Table 104 p232 MSAC 1614.1 resubmission</w:t>
      </w:r>
      <w:r w:rsidRPr="00234DD6">
        <w:br/>
        <w:t>AE, adverse event; OHTAS, Ontario Health Technology Assessment Series; QALY, quality adjusted life year; MRgFUS, Magnetic Resonance-Guided Focused Ultrasound; DBS, Deep Brain Stimulation; LTAE, long term adverse event</w:t>
      </w:r>
    </w:p>
    <w:p w14:paraId="5F181A29" w14:textId="1C93BE31" w:rsidR="00E65A0F" w:rsidRPr="00234DD6" w:rsidRDefault="00E65A0F" w:rsidP="00E65A0F">
      <w:pPr>
        <w:pStyle w:val="5Bodytext"/>
        <w:rPr>
          <w:rFonts w:ascii="Franklin Gothic Book" w:hAnsi="Franklin Gothic Book"/>
          <w:sz w:val="22"/>
          <w:szCs w:val="22"/>
        </w:rPr>
      </w:pPr>
      <w:r w:rsidRPr="00234DD6">
        <w:rPr>
          <w:rFonts w:ascii="Franklin Gothic Book" w:hAnsi="Franklin Gothic Book"/>
          <w:sz w:val="22"/>
          <w:szCs w:val="22"/>
        </w:rPr>
        <w:t xml:space="preserve">The economic model employs the following conservative assumptions in favour of DBS: </w:t>
      </w:r>
    </w:p>
    <w:p w14:paraId="3AB092AD" w14:textId="06D8852A" w:rsidR="00E65A0F" w:rsidRPr="00234DD6" w:rsidRDefault="00E65A0F" w:rsidP="00E65A0F">
      <w:pPr>
        <w:pStyle w:val="ListParagraph"/>
        <w:numPr>
          <w:ilvl w:val="0"/>
          <w:numId w:val="20"/>
        </w:numPr>
        <w:spacing w:after="120"/>
        <w:contextualSpacing w:val="0"/>
        <w:rPr>
          <w:rFonts w:ascii="Franklin Gothic Book" w:hAnsi="Franklin Gothic Book"/>
          <w:sz w:val="22"/>
          <w:szCs w:val="22"/>
        </w:rPr>
      </w:pPr>
      <w:r w:rsidRPr="00234DD6">
        <w:rPr>
          <w:rFonts w:ascii="Franklin Gothic Book" w:hAnsi="Franklin Gothic Book"/>
          <w:sz w:val="22"/>
          <w:szCs w:val="22"/>
        </w:rPr>
        <w:t xml:space="preserve">There may be mortality advantages with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over DBS (based on ICH risks with DBS observed in </w:t>
      </w:r>
      <w:proofErr w:type="spellStart"/>
      <w:r w:rsidRPr="00234DD6">
        <w:rPr>
          <w:rFonts w:ascii="Franklin Gothic Book" w:hAnsi="Franklin Gothic Book"/>
          <w:sz w:val="22"/>
          <w:szCs w:val="22"/>
        </w:rPr>
        <w:t>Sobstyl</w:t>
      </w:r>
      <w:proofErr w:type="spellEnd"/>
      <w:r w:rsidRPr="00234DD6">
        <w:rPr>
          <w:rFonts w:ascii="Franklin Gothic Book" w:hAnsi="Franklin Gothic Book"/>
          <w:sz w:val="22"/>
          <w:szCs w:val="22"/>
        </w:rPr>
        <w:t xml:space="preserve"> 2019) which are not incorporated in the CUA approach. The OHTAS model, and this resubmission, assumes an intracranial haemorrhage with DBS will be completely resolved within one month.</w:t>
      </w:r>
    </w:p>
    <w:p w14:paraId="22F7D363" w14:textId="77777777" w:rsidR="00E65A0F" w:rsidRPr="00234DD6" w:rsidRDefault="00E65A0F" w:rsidP="00E65A0F">
      <w:pPr>
        <w:pStyle w:val="ListParagraph"/>
        <w:numPr>
          <w:ilvl w:val="0"/>
          <w:numId w:val="20"/>
        </w:numPr>
        <w:spacing w:after="120"/>
        <w:contextualSpacing w:val="0"/>
        <w:rPr>
          <w:rFonts w:ascii="Franklin Gothic Book" w:hAnsi="Franklin Gothic Book"/>
          <w:sz w:val="22"/>
          <w:szCs w:val="22"/>
        </w:rPr>
      </w:pPr>
      <w:r w:rsidRPr="00234DD6">
        <w:rPr>
          <w:rFonts w:ascii="Franklin Gothic Book" w:hAnsi="Franklin Gothic Book"/>
          <w:sz w:val="22"/>
          <w:szCs w:val="22"/>
        </w:rPr>
        <w:t>A DBS battery life of 4 years was applied to all patients with non-rechargeable generators. Evidence suggests the battery life of newer generation devices may be 3 years.</w:t>
      </w:r>
    </w:p>
    <w:p w14:paraId="18753CF5" w14:textId="345C3687" w:rsidR="00E65A0F" w:rsidRPr="00234DD6" w:rsidRDefault="00E65A0F" w:rsidP="00E65A0F">
      <w:pPr>
        <w:pStyle w:val="ListParagraph"/>
        <w:numPr>
          <w:ilvl w:val="0"/>
          <w:numId w:val="20"/>
        </w:numPr>
        <w:spacing w:after="120"/>
        <w:contextualSpacing w:val="0"/>
        <w:rPr>
          <w:rFonts w:ascii="Franklin Gothic Book" w:hAnsi="Franklin Gothic Book"/>
          <w:sz w:val="22"/>
          <w:szCs w:val="22"/>
        </w:rPr>
      </w:pPr>
      <w:r w:rsidRPr="00234DD6">
        <w:rPr>
          <w:rFonts w:ascii="Franklin Gothic Book" w:hAnsi="Franklin Gothic Book"/>
          <w:sz w:val="22"/>
          <w:szCs w:val="22"/>
        </w:rPr>
        <w:t xml:space="preserve">Capital costs associated with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were likely overestimated because they are based on a throughput of </w:t>
      </w:r>
      <w:r w:rsidR="00D960B0" w:rsidRPr="00D960B0">
        <w:rPr>
          <w:rFonts w:ascii="Franklin Gothic Book" w:hAnsi="Franklin Gothic Book"/>
          <w:sz w:val="22"/>
          <w:szCs w:val="22"/>
          <w:shd w:val="solid" w:color="000000" w:fill="000000"/>
          <w14:textFill>
            <w14:solidFill>
              <w14:srgbClr w14:val="000000">
                <w14:alpha w14:val="100000"/>
              </w14:srgbClr>
            </w14:solidFill>
          </w14:textFill>
        </w:rPr>
        <w:t>|</w:t>
      </w:r>
      <w:r w:rsidRPr="00234DD6">
        <w:rPr>
          <w:rFonts w:ascii="Franklin Gothic Book" w:hAnsi="Franklin Gothic Book"/>
          <w:sz w:val="22"/>
          <w:szCs w:val="22"/>
        </w:rPr>
        <w:t xml:space="preserve"> procedures per year which is lower than the </w:t>
      </w:r>
      <w:r w:rsidR="00D960B0" w:rsidRPr="00D960B0">
        <w:rPr>
          <w:rFonts w:ascii="Franklin Gothic Book" w:hAnsi="Franklin Gothic Book"/>
          <w:sz w:val="22"/>
          <w:szCs w:val="22"/>
          <w:shd w:val="solid" w:color="000000" w:fill="000000"/>
          <w14:textFill>
            <w14:solidFill>
              <w14:srgbClr w14:val="000000">
                <w14:alpha w14:val="100000"/>
              </w14:srgbClr>
            </w14:solidFill>
          </w14:textFill>
        </w:rPr>
        <w:t>|</w:t>
      </w:r>
      <w:r w:rsidRPr="00234DD6">
        <w:rPr>
          <w:rFonts w:ascii="Franklin Gothic Book" w:hAnsi="Franklin Gothic Book"/>
          <w:sz w:val="22"/>
          <w:szCs w:val="22"/>
        </w:rPr>
        <w:t xml:space="preserve"> that were performed by the one active system at St Vincent’s Hospital in 2019, increasing applied capital costs from $</w:t>
      </w:r>
      <w:r w:rsidR="00D960B0" w:rsidRPr="00D960B0">
        <w:rPr>
          <w:rFonts w:ascii="Franklin Gothic Book" w:hAnsi="Franklin Gothic Book"/>
          <w:sz w:val="22"/>
          <w:szCs w:val="22"/>
          <w:shd w:val="solid" w:color="000000" w:fill="000000"/>
          <w14:textFill>
            <w14:solidFill>
              <w14:srgbClr w14:val="000000">
                <w14:alpha w14:val="100000"/>
              </w14:srgbClr>
            </w14:solidFill>
          </w14:textFill>
        </w:rPr>
        <w:t>|</w:t>
      </w:r>
      <w:r w:rsidR="00D960B0" w:rsidRPr="00D960B0">
        <w:rPr>
          <w:rFonts w:ascii="Franklin Gothic Book" w:hAnsi="Franklin Gothic Book"/>
          <w:sz w:val="22"/>
          <w:szCs w:val="22"/>
        </w:rPr>
        <w:t xml:space="preserve"> </w:t>
      </w:r>
      <w:r w:rsidRPr="00D960B0">
        <w:rPr>
          <w:rFonts w:ascii="Franklin Gothic Book" w:hAnsi="Franklin Gothic Book"/>
          <w:sz w:val="22"/>
          <w:szCs w:val="22"/>
        </w:rPr>
        <w:t>to</w:t>
      </w:r>
      <w:r w:rsidR="00D960B0" w:rsidRPr="00D960B0">
        <w:rPr>
          <w:rFonts w:ascii="Franklin Gothic Book" w:hAnsi="Franklin Gothic Book"/>
          <w:sz w:val="22"/>
          <w:szCs w:val="22"/>
        </w:rPr>
        <w:t xml:space="preserve"> </w:t>
      </w:r>
      <w:r w:rsidRPr="00D960B0">
        <w:rPr>
          <w:rFonts w:ascii="Franklin Gothic Book" w:hAnsi="Franklin Gothic Book"/>
          <w:sz w:val="22"/>
          <w:szCs w:val="22"/>
        </w:rPr>
        <w:t>$</w:t>
      </w:r>
      <w:r w:rsidR="00D960B0" w:rsidRPr="00D960B0">
        <w:rPr>
          <w:rFonts w:ascii="Franklin Gothic Book" w:hAnsi="Franklin Gothic Book"/>
          <w:sz w:val="22"/>
          <w:szCs w:val="22"/>
          <w:shd w:val="solid" w:color="000000" w:fill="000000"/>
          <w14:textFill>
            <w14:solidFill>
              <w14:srgbClr w14:val="000000">
                <w14:alpha w14:val="100000"/>
              </w14:srgbClr>
            </w14:solidFill>
          </w14:textFill>
        </w:rPr>
        <w:t>|</w:t>
      </w:r>
    </w:p>
    <w:p w14:paraId="64B03B20" w14:textId="77777777" w:rsidR="00E65A0F" w:rsidRPr="00234DD6" w:rsidRDefault="00E65A0F" w:rsidP="00E65A0F">
      <w:pPr>
        <w:pStyle w:val="ListParagraph"/>
        <w:numPr>
          <w:ilvl w:val="0"/>
          <w:numId w:val="20"/>
        </w:numPr>
        <w:spacing w:after="120"/>
        <w:contextualSpacing w:val="0"/>
        <w:rPr>
          <w:rFonts w:ascii="Franklin Gothic Book" w:hAnsi="Franklin Gothic Book"/>
          <w:sz w:val="22"/>
          <w:szCs w:val="22"/>
        </w:rPr>
      </w:pPr>
      <w:r w:rsidRPr="00234DD6">
        <w:rPr>
          <w:rFonts w:ascii="Franklin Gothic Book" w:hAnsi="Franklin Gothic Book"/>
          <w:sz w:val="22"/>
          <w:szCs w:val="22"/>
        </w:rPr>
        <w:t xml:space="preserve">Medical service costs associated with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were also likely overestimated. It was conservatively assumed the three MBS items for the intraoperative procedure would be accrued by three separate physicians. In practice, it is expected that over time the service will be performed by two physicians meaning the multiple operation rule will apply for at least a proportion of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cases.</w:t>
      </w:r>
    </w:p>
    <w:p w14:paraId="57D91656" w14:textId="08D3070F" w:rsidR="00E65A0F" w:rsidRPr="00234DD6" w:rsidRDefault="00E65A0F" w:rsidP="00E65A0F">
      <w:pPr>
        <w:pStyle w:val="ListParagraph"/>
        <w:numPr>
          <w:ilvl w:val="0"/>
          <w:numId w:val="20"/>
        </w:numPr>
        <w:spacing w:after="120"/>
        <w:contextualSpacing w:val="0"/>
        <w:rPr>
          <w:rFonts w:ascii="Franklin Gothic Book" w:hAnsi="Franklin Gothic Book"/>
          <w:sz w:val="22"/>
          <w:szCs w:val="22"/>
          <w:lang w:val="en-US"/>
        </w:rPr>
      </w:pPr>
      <w:r w:rsidRPr="00234DD6">
        <w:rPr>
          <w:rFonts w:ascii="Franklin Gothic Book" w:hAnsi="Franklin Gothic Book"/>
          <w:sz w:val="22"/>
          <w:szCs w:val="22"/>
          <w:lang w:val="en-US"/>
        </w:rPr>
        <w:lastRenderedPageBreak/>
        <w:t>There are circumstances other than waning of treatment effect that could lead to a complete loss of treatment effect due device malfunction in patients treated with DBS which require removal and replacement of the device. While the model accounts for rates of these AE leading to device replacement, no disutility is applied for loss of treatment effect and as such these events are not counted as a “recurrence” in the model.</w:t>
      </w:r>
    </w:p>
    <w:p w14:paraId="3E3AC7AB" w14:textId="4EB9AAD4" w:rsidR="00E65A0F" w:rsidRPr="00234DD6" w:rsidRDefault="00E65A0F" w:rsidP="00E65A0F">
      <w:pPr>
        <w:pStyle w:val="ListParagraph"/>
        <w:numPr>
          <w:ilvl w:val="0"/>
          <w:numId w:val="20"/>
        </w:numPr>
        <w:spacing w:after="120"/>
        <w:contextualSpacing w:val="0"/>
        <w:rPr>
          <w:rFonts w:ascii="Franklin Gothic Book" w:hAnsi="Franklin Gothic Book"/>
          <w:sz w:val="22"/>
          <w:szCs w:val="22"/>
          <w:lang w:val="en-US"/>
        </w:rPr>
      </w:pPr>
      <w:r w:rsidRPr="00234DD6">
        <w:rPr>
          <w:rFonts w:ascii="Franklin Gothic Book" w:hAnsi="Franklin Gothic Book"/>
          <w:sz w:val="22"/>
          <w:szCs w:val="22"/>
          <w:lang w:val="en-US"/>
        </w:rPr>
        <w:t xml:space="preserve">The base case model assumes that 34% and 14% of </w:t>
      </w:r>
      <w:proofErr w:type="spellStart"/>
      <w:r w:rsidRPr="00234DD6">
        <w:rPr>
          <w:rFonts w:ascii="Franklin Gothic Book" w:hAnsi="Franklin Gothic Book"/>
          <w:sz w:val="22"/>
          <w:szCs w:val="22"/>
          <w:lang w:val="en-US"/>
        </w:rPr>
        <w:t>MRgFUS</w:t>
      </w:r>
      <w:proofErr w:type="spellEnd"/>
      <w:r w:rsidRPr="00234DD6">
        <w:rPr>
          <w:rFonts w:ascii="Franklin Gothic Book" w:hAnsi="Franklin Gothic Book"/>
          <w:sz w:val="22"/>
          <w:szCs w:val="22"/>
          <w:lang w:val="en-US"/>
        </w:rPr>
        <w:t xml:space="preserve"> and DBS patients respectively experience persistent long-term adverse events (LTAEs) based on Giordano (2020)</w:t>
      </w:r>
      <w:r w:rsidR="003866FE" w:rsidRPr="00234DD6">
        <w:rPr>
          <w:rFonts w:ascii="Franklin Gothic Book" w:hAnsi="Franklin Gothic Book"/>
          <w:sz w:val="22"/>
          <w:szCs w:val="22"/>
          <w:vertAlign w:val="superscript"/>
        </w:rPr>
        <w:t xml:space="preserve"> 9</w:t>
      </w:r>
      <w:r w:rsidRPr="00234DD6">
        <w:rPr>
          <w:rFonts w:ascii="Franklin Gothic Book" w:hAnsi="Franklin Gothic Book"/>
          <w:sz w:val="22"/>
          <w:szCs w:val="22"/>
          <w:lang w:val="en-US"/>
        </w:rPr>
        <w:t xml:space="preserve">. However, the only comparative evidence of DBS and </w:t>
      </w:r>
      <w:proofErr w:type="spellStart"/>
      <w:r w:rsidRPr="00234DD6">
        <w:rPr>
          <w:rFonts w:ascii="Franklin Gothic Book" w:hAnsi="Franklin Gothic Book"/>
          <w:sz w:val="22"/>
          <w:szCs w:val="22"/>
          <w:lang w:val="en-US"/>
        </w:rPr>
        <w:t>MRgFUS</w:t>
      </w:r>
      <w:proofErr w:type="spellEnd"/>
      <w:r w:rsidRPr="00234DD6">
        <w:rPr>
          <w:rFonts w:ascii="Franklin Gothic Book" w:hAnsi="Franklin Gothic Book"/>
          <w:sz w:val="22"/>
          <w:szCs w:val="22"/>
          <w:lang w:val="en-US"/>
        </w:rPr>
        <w:t xml:space="preserve"> in ET patients, Huss (2015)</w:t>
      </w:r>
      <w:r w:rsidR="003866FE" w:rsidRPr="00234DD6">
        <w:rPr>
          <w:rFonts w:ascii="Franklin Gothic Book" w:hAnsi="Franklin Gothic Book"/>
          <w:sz w:val="22"/>
          <w:szCs w:val="22"/>
          <w:vertAlign w:val="superscript"/>
          <w:lang w:val="en-US"/>
        </w:rPr>
        <w:t>1</w:t>
      </w:r>
      <w:r w:rsidRPr="00234DD6">
        <w:rPr>
          <w:rFonts w:ascii="Franklin Gothic Book" w:hAnsi="Franklin Gothic Book"/>
          <w:sz w:val="22"/>
          <w:szCs w:val="22"/>
          <w:lang w:val="en-US"/>
        </w:rPr>
        <w:t xml:space="preserve">, reported that 20% and 24% of </w:t>
      </w:r>
      <w:proofErr w:type="spellStart"/>
      <w:r w:rsidRPr="00234DD6">
        <w:rPr>
          <w:rFonts w:ascii="Franklin Gothic Book" w:hAnsi="Franklin Gothic Book"/>
          <w:sz w:val="22"/>
          <w:szCs w:val="22"/>
          <w:lang w:val="en-US"/>
        </w:rPr>
        <w:t>MRgFUS</w:t>
      </w:r>
      <w:proofErr w:type="spellEnd"/>
      <w:r w:rsidRPr="00234DD6">
        <w:rPr>
          <w:rFonts w:ascii="Franklin Gothic Book" w:hAnsi="Franklin Gothic Book"/>
          <w:sz w:val="22"/>
          <w:szCs w:val="22"/>
          <w:lang w:val="en-US"/>
        </w:rPr>
        <w:t xml:space="preserve"> and DBS patients respectively experience persistent LTAE. Under these circumstances there would be a net incremental QALY benefit in favor of </w:t>
      </w:r>
      <w:proofErr w:type="spellStart"/>
      <w:r w:rsidRPr="00234DD6">
        <w:rPr>
          <w:rFonts w:ascii="Franklin Gothic Book" w:hAnsi="Franklin Gothic Book"/>
          <w:sz w:val="22"/>
          <w:szCs w:val="22"/>
          <w:lang w:val="en-US"/>
        </w:rPr>
        <w:t>MRgFUS</w:t>
      </w:r>
      <w:proofErr w:type="spellEnd"/>
      <w:r w:rsidRPr="00234DD6">
        <w:rPr>
          <w:rFonts w:ascii="Franklin Gothic Book" w:hAnsi="Franklin Gothic Book"/>
          <w:sz w:val="22"/>
          <w:szCs w:val="22"/>
          <w:lang w:val="en-US"/>
        </w:rPr>
        <w:t xml:space="preserve"> (se univariate sensitivity analysis).</w:t>
      </w:r>
    </w:p>
    <w:p w14:paraId="700AD092" w14:textId="47605A72" w:rsidR="00E65A0F" w:rsidRPr="00234DD6" w:rsidRDefault="00E65A0F" w:rsidP="00E65A0F">
      <w:pPr>
        <w:pStyle w:val="ListParagraph"/>
        <w:numPr>
          <w:ilvl w:val="0"/>
          <w:numId w:val="20"/>
        </w:numPr>
        <w:spacing w:after="240"/>
        <w:ind w:left="714" w:hanging="357"/>
        <w:contextualSpacing w:val="0"/>
        <w:rPr>
          <w:rFonts w:ascii="Franklin Gothic Book" w:hAnsi="Franklin Gothic Book"/>
          <w:sz w:val="22"/>
          <w:szCs w:val="22"/>
          <w:lang w:val="en-US"/>
        </w:rPr>
      </w:pPr>
      <w:r w:rsidRPr="00234DD6">
        <w:rPr>
          <w:rFonts w:ascii="Franklin Gothic Book" w:hAnsi="Franklin Gothic Book"/>
          <w:sz w:val="22"/>
          <w:szCs w:val="22"/>
          <w:lang w:val="en-US"/>
        </w:rPr>
        <w:t>The systematic review by Giordano (2020)</w:t>
      </w:r>
      <w:r w:rsidR="003866FE" w:rsidRPr="00234DD6">
        <w:rPr>
          <w:rFonts w:ascii="Franklin Gothic Book" w:hAnsi="Franklin Gothic Book"/>
          <w:sz w:val="22"/>
          <w:szCs w:val="22"/>
          <w:vertAlign w:val="superscript"/>
        </w:rPr>
        <w:t xml:space="preserve"> 9</w:t>
      </w:r>
      <w:r w:rsidRPr="00234DD6">
        <w:rPr>
          <w:rFonts w:ascii="Franklin Gothic Book" w:hAnsi="Franklin Gothic Book"/>
          <w:sz w:val="22"/>
          <w:szCs w:val="22"/>
          <w:lang w:val="en-US"/>
        </w:rPr>
        <w:t xml:space="preserve"> found an average percentage improvement in terms of quality of life which was statistically significantly in </w:t>
      </w:r>
      <w:proofErr w:type="spellStart"/>
      <w:r w:rsidRPr="00234DD6">
        <w:rPr>
          <w:rFonts w:ascii="Franklin Gothic Book" w:hAnsi="Franklin Gothic Book"/>
          <w:sz w:val="22"/>
          <w:szCs w:val="22"/>
          <w:lang w:val="en-US"/>
        </w:rPr>
        <w:t>favour</w:t>
      </w:r>
      <w:proofErr w:type="spellEnd"/>
      <w:r w:rsidRPr="00234DD6">
        <w:rPr>
          <w:rFonts w:ascii="Franklin Gothic Book" w:hAnsi="Franklin Gothic Book"/>
          <w:sz w:val="22"/>
          <w:szCs w:val="22"/>
          <w:lang w:val="en-US"/>
        </w:rPr>
        <w:t xml:space="preserve"> of </w:t>
      </w:r>
      <w:proofErr w:type="spellStart"/>
      <w:r w:rsidRPr="00234DD6">
        <w:rPr>
          <w:rFonts w:ascii="Franklin Gothic Book" w:hAnsi="Franklin Gothic Book"/>
          <w:sz w:val="22"/>
          <w:szCs w:val="22"/>
          <w:lang w:val="en-US"/>
        </w:rPr>
        <w:t>MRgFUS</w:t>
      </w:r>
      <w:proofErr w:type="spellEnd"/>
      <w:r w:rsidRPr="00234DD6">
        <w:rPr>
          <w:rFonts w:ascii="Franklin Gothic Book" w:hAnsi="Franklin Gothic Book"/>
          <w:sz w:val="22"/>
          <w:szCs w:val="22"/>
          <w:lang w:val="en-US"/>
        </w:rPr>
        <w:t xml:space="preserve">; 61.9% (SD: ±7.9) for </w:t>
      </w:r>
      <w:proofErr w:type="spellStart"/>
      <w:r w:rsidRPr="00234DD6">
        <w:rPr>
          <w:rFonts w:ascii="Franklin Gothic Book" w:hAnsi="Franklin Gothic Book"/>
          <w:sz w:val="22"/>
          <w:szCs w:val="22"/>
          <w:lang w:val="en-US"/>
        </w:rPr>
        <w:t>MRgFUS</w:t>
      </w:r>
      <w:proofErr w:type="spellEnd"/>
      <w:r w:rsidRPr="00234DD6">
        <w:rPr>
          <w:rFonts w:ascii="Franklin Gothic Book" w:hAnsi="Franklin Gothic Book"/>
          <w:sz w:val="22"/>
          <w:szCs w:val="22"/>
          <w:lang w:val="en-US"/>
        </w:rPr>
        <w:t xml:space="preserve"> v</w:t>
      </w:r>
      <w:r w:rsidR="001109E1" w:rsidRPr="00234DD6">
        <w:rPr>
          <w:rFonts w:ascii="Franklin Gothic Book" w:hAnsi="Franklin Gothic Book"/>
          <w:sz w:val="22"/>
          <w:szCs w:val="22"/>
          <w:lang w:val="en-US"/>
        </w:rPr>
        <w:t>s</w:t>
      </w:r>
      <w:r w:rsidRPr="00234DD6">
        <w:rPr>
          <w:rFonts w:ascii="Franklin Gothic Book" w:hAnsi="Franklin Gothic Book"/>
          <w:sz w:val="22"/>
          <w:szCs w:val="22"/>
          <w:lang w:val="en-US"/>
        </w:rPr>
        <w:t xml:space="preserve"> 52.5% (SD: ±16.2) for DBS group. Whereas the model assumes that health state utility values are the same in either treatment arm. However, a higher level of quality of life in patients treated with </w:t>
      </w:r>
      <w:proofErr w:type="spellStart"/>
      <w:r w:rsidRPr="00234DD6">
        <w:rPr>
          <w:rFonts w:ascii="Franklin Gothic Book" w:hAnsi="Franklin Gothic Book"/>
          <w:sz w:val="22"/>
          <w:szCs w:val="22"/>
          <w:lang w:val="en-US"/>
        </w:rPr>
        <w:t>MRgFUS</w:t>
      </w:r>
      <w:proofErr w:type="spellEnd"/>
      <w:r w:rsidRPr="00234DD6">
        <w:rPr>
          <w:rFonts w:ascii="Franklin Gothic Book" w:hAnsi="Franklin Gothic Book"/>
          <w:sz w:val="22"/>
          <w:szCs w:val="22"/>
          <w:lang w:val="en-US"/>
        </w:rPr>
        <w:t xml:space="preserve"> would likely result in a net incremental QALY gain in </w:t>
      </w:r>
      <w:proofErr w:type="spellStart"/>
      <w:r w:rsidRPr="00234DD6">
        <w:rPr>
          <w:rFonts w:ascii="Franklin Gothic Book" w:hAnsi="Franklin Gothic Book"/>
          <w:sz w:val="22"/>
          <w:szCs w:val="22"/>
          <w:lang w:val="en-US"/>
        </w:rPr>
        <w:t>favour</w:t>
      </w:r>
      <w:proofErr w:type="spellEnd"/>
      <w:r w:rsidRPr="00234DD6">
        <w:rPr>
          <w:rFonts w:ascii="Franklin Gothic Book" w:hAnsi="Franklin Gothic Book"/>
          <w:sz w:val="22"/>
          <w:szCs w:val="22"/>
          <w:lang w:val="en-US"/>
        </w:rPr>
        <w:t xml:space="preserve"> of </w:t>
      </w:r>
      <w:proofErr w:type="spellStart"/>
      <w:r w:rsidRPr="00234DD6">
        <w:rPr>
          <w:rFonts w:ascii="Franklin Gothic Book" w:hAnsi="Franklin Gothic Book"/>
          <w:sz w:val="22"/>
          <w:szCs w:val="22"/>
          <w:lang w:val="en-US"/>
        </w:rPr>
        <w:t>MRgFUS</w:t>
      </w:r>
      <w:proofErr w:type="spellEnd"/>
      <w:r w:rsidRPr="00234DD6">
        <w:rPr>
          <w:rFonts w:ascii="Franklin Gothic Book" w:hAnsi="Franklin Gothic Book"/>
          <w:sz w:val="22"/>
          <w:szCs w:val="22"/>
          <w:lang w:val="en-US"/>
        </w:rPr>
        <w:t xml:space="preserve">. </w:t>
      </w:r>
    </w:p>
    <w:p w14:paraId="0EB0F355" w14:textId="70D92DFE" w:rsidR="0037475B" w:rsidRPr="004309B9" w:rsidRDefault="0037475B" w:rsidP="003542B3">
      <w:pPr>
        <w:pStyle w:val="5Bodytext"/>
        <w:rPr>
          <w:rFonts w:ascii="Franklin Gothic Book" w:hAnsi="Franklin Gothic Book"/>
          <w:sz w:val="22"/>
          <w:szCs w:val="22"/>
        </w:rPr>
      </w:pPr>
      <w:r w:rsidRPr="00234DD6">
        <w:rPr>
          <w:rFonts w:ascii="Franklin Gothic Book" w:hAnsi="Franklin Gothic Book"/>
          <w:sz w:val="22"/>
          <w:szCs w:val="22"/>
        </w:rPr>
        <w:t xml:space="preserve">The resubmission </w:t>
      </w:r>
      <w:r w:rsidR="00D32522" w:rsidRPr="00234DD6">
        <w:rPr>
          <w:rFonts w:ascii="Franklin Gothic Book" w:hAnsi="Franklin Gothic Book"/>
          <w:sz w:val="22"/>
          <w:szCs w:val="22"/>
        </w:rPr>
        <w:t xml:space="preserve">presents the results of the base case economic model results </w:t>
      </w:r>
      <w:r w:rsidRPr="00234DD6">
        <w:rPr>
          <w:rFonts w:ascii="Franklin Gothic Book" w:hAnsi="Franklin Gothic Book"/>
          <w:sz w:val="22"/>
          <w:szCs w:val="22"/>
        </w:rPr>
        <w:t>(Table 1</w:t>
      </w:r>
      <w:r w:rsidR="004359E1" w:rsidRPr="00234DD6">
        <w:rPr>
          <w:rFonts w:ascii="Franklin Gothic Book" w:hAnsi="Franklin Gothic Book"/>
          <w:sz w:val="22"/>
          <w:szCs w:val="22"/>
        </w:rPr>
        <w:t>2</w:t>
      </w:r>
      <w:r w:rsidRPr="00234DD6">
        <w:rPr>
          <w:rFonts w:ascii="Franklin Gothic Book" w:hAnsi="Franklin Gothic Book"/>
          <w:sz w:val="22"/>
          <w:szCs w:val="22"/>
        </w:rPr>
        <w:t xml:space="preserve">).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is less costly than DBS but also has less benefit, as the ICER is in the southwest quadrant of the cost-effectiveness plane</w:t>
      </w:r>
      <w:r w:rsidR="00DF0E6F" w:rsidRPr="00234DD6">
        <w:rPr>
          <w:rFonts w:ascii="Franklin Gothic Book" w:hAnsi="Franklin Gothic Book"/>
          <w:sz w:val="22"/>
          <w:szCs w:val="22"/>
        </w:rPr>
        <w:t xml:space="preserve"> (Figure 1)</w:t>
      </w:r>
      <w:r w:rsidRPr="00234DD6">
        <w:rPr>
          <w:rFonts w:ascii="Franklin Gothic Book" w:hAnsi="Franklin Gothic Book"/>
          <w:sz w:val="22"/>
          <w:szCs w:val="22"/>
        </w:rPr>
        <w:t xml:space="preserve">. The resubmission provides an inverse argument, that with </w:t>
      </w:r>
      <w:bookmarkStart w:id="35" w:name="_Hlk100760438"/>
      <w:r w:rsidRPr="00234DD6">
        <w:rPr>
          <w:rFonts w:ascii="Franklin Gothic Book" w:hAnsi="Franklin Gothic Book"/>
          <w:sz w:val="22"/>
          <w:szCs w:val="22"/>
        </w:rPr>
        <w:t xml:space="preserve">the ICER </w:t>
      </w:r>
      <w:r w:rsidRPr="004309B9">
        <w:rPr>
          <w:rFonts w:ascii="Franklin Gothic Book" w:hAnsi="Franklin Gothic Book"/>
          <w:sz w:val="22"/>
          <w:szCs w:val="22"/>
        </w:rPr>
        <w:t xml:space="preserve">being in the southwest quadrant, for every additional QALY gain for DBS compared with </w:t>
      </w:r>
      <w:proofErr w:type="spellStart"/>
      <w:r w:rsidRPr="004309B9">
        <w:rPr>
          <w:rFonts w:ascii="Franklin Gothic Book" w:hAnsi="Franklin Gothic Book"/>
          <w:sz w:val="22"/>
          <w:szCs w:val="22"/>
        </w:rPr>
        <w:t>MRgFUS</w:t>
      </w:r>
      <w:proofErr w:type="spellEnd"/>
      <w:r w:rsidRPr="004309B9">
        <w:rPr>
          <w:rFonts w:ascii="Franklin Gothic Book" w:hAnsi="Franklin Gothic Book"/>
          <w:sz w:val="22"/>
          <w:szCs w:val="22"/>
        </w:rPr>
        <w:t xml:space="preserve">, the cost is $383,877, and as this ICER is significantly higher than traditional cost-effectiveness thresholds considered reasonable for MSAC, </w:t>
      </w:r>
      <w:proofErr w:type="spellStart"/>
      <w:r w:rsidRPr="004309B9">
        <w:rPr>
          <w:rFonts w:ascii="Franklin Gothic Book" w:hAnsi="Franklin Gothic Book"/>
          <w:sz w:val="22"/>
          <w:szCs w:val="22"/>
        </w:rPr>
        <w:t>MRgFUS</w:t>
      </w:r>
      <w:proofErr w:type="spellEnd"/>
      <w:r w:rsidRPr="004309B9">
        <w:rPr>
          <w:rFonts w:ascii="Franklin Gothic Book" w:hAnsi="Franklin Gothic Book"/>
          <w:sz w:val="22"/>
          <w:szCs w:val="22"/>
        </w:rPr>
        <w:t xml:space="preserve"> should be considered cost-effective compared with DBS</w:t>
      </w:r>
      <w:bookmarkEnd w:id="35"/>
      <w:r w:rsidRPr="004309B9">
        <w:rPr>
          <w:rFonts w:ascii="Franklin Gothic Book" w:hAnsi="Franklin Gothic Book"/>
          <w:sz w:val="22"/>
          <w:szCs w:val="22"/>
        </w:rPr>
        <w:t>.</w:t>
      </w:r>
      <w:r w:rsidR="00CD0E20" w:rsidRPr="004309B9">
        <w:rPr>
          <w:rFonts w:ascii="Franklin Gothic Book" w:hAnsi="Franklin Gothic Book"/>
          <w:sz w:val="22"/>
          <w:szCs w:val="22"/>
        </w:rPr>
        <w:t xml:space="preserve"> The commentary noted that the justification that DBS is not cost-effective compared with </w:t>
      </w:r>
      <w:proofErr w:type="spellStart"/>
      <w:r w:rsidR="00CD0E20" w:rsidRPr="004309B9">
        <w:rPr>
          <w:rFonts w:ascii="Franklin Gothic Book" w:hAnsi="Franklin Gothic Book"/>
          <w:sz w:val="22"/>
          <w:szCs w:val="22"/>
        </w:rPr>
        <w:t>MRgFUS</w:t>
      </w:r>
      <w:proofErr w:type="spellEnd"/>
      <w:r w:rsidR="00CD0E20" w:rsidRPr="004309B9">
        <w:rPr>
          <w:rFonts w:ascii="Franklin Gothic Book" w:hAnsi="Franklin Gothic Book"/>
          <w:sz w:val="22"/>
          <w:szCs w:val="22"/>
        </w:rPr>
        <w:t xml:space="preserve"> is contentious but potentially valid as there is precedent to support this counterfactual approach.</w:t>
      </w:r>
    </w:p>
    <w:p w14:paraId="0EE24E18" w14:textId="56C669ED" w:rsidR="0037475B" w:rsidRPr="004309B9" w:rsidRDefault="0037475B" w:rsidP="0037475B">
      <w:pPr>
        <w:pStyle w:val="Caption"/>
      </w:pPr>
      <w:bookmarkStart w:id="36" w:name="_Ref89248789"/>
      <w:bookmarkStart w:id="37" w:name="_Toc381969877"/>
      <w:bookmarkStart w:id="38" w:name="_Toc92902642"/>
      <w:bookmarkStart w:id="39" w:name="_Toc399251140"/>
      <w:r w:rsidRPr="004309B9">
        <w:t xml:space="preserve">Table </w:t>
      </w:r>
      <w:bookmarkEnd w:id="36"/>
      <w:r w:rsidRPr="004309B9">
        <w:t>1</w:t>
      </w:r>
      <w:r w:rsidR="000160F4" w:rsidRPr="004309B9">
        <w:t>2</w:t>
      </w:r>
      <w:r w:rsidRPr="004309B9">
        <w:t xml:space="preserve"> </w:t>
      </w:r>
      <w:r w:rsidRPr="004309B9">
        <w:tab/>
      </w:r>
      <w:bookmarkEnd w:id="37"/>
      <w:r w:rsidRPr="004309B9">
        <w:t xml:space="preserve">Incremental cost effectiveness ratio for </w:t>
      </w:r>
      <w:proofErr w:type="spellStart"/>
      <w:r w:rsidRPr="004309B9">
        <w:t>MRgFUS</w:t>
      </w:r>
      <w:proofErr w:type="spellEnd"/>
      <w:r w:rsidRPr="004309B9">
        <w:t xml:space="preserve"> compared with DBS</w:t>
      </w:r>
      <w:bookmarkEnd w:id="38"/>
    </w:p>
    <w:tbl>
      <w:tblPr>
        <w:tblStyle w:val="TableGrid2"/>
        <w:tblW w:w="5000" w:type="pct"/>
        <w:tblLook w:val="04A0" w:firstRow="1" w:lastRow="0" w:firstColumn="1" w:lastColumn="0" w:noHBand="0" w:noVBand="1"/>
      </w:tblPr>
      <w:tblGrid>
        <w:gridCol w:w="2396"/>
        <w:gridCol w:w="1317"/>
        <w:gridCol w:w="1317"/>
        <w:gridCol w:w="1480"/>
        <w:gridCol w:w="1408"/>
        <w:gridCol w:w="1098"/>
      </w:tblGrid>
      <w:tr w:rsidR="0037475B" w:rsidRPr="004309B9" w14:paraId="23353263" w14:textId="77777777" w:rsidTr="00B75179">
        <w:trPr>
          <w:cnfStyle w:val="100000000000" w:firstRow="1" w:lastRow="0" w:firstColumn="0" w:lastColumn="0" w:oddVBand="0" w:evenVBand="0" w:oddHBand="0" w:evenHBand="0" w:firstRowFirstColumn="0" w:firstRowLastColumn="0" w:lastRowFirstColumn="0" w:lastRowLastColumn="0"/>
          <w:tblHeader/>
        </w:trPr>
        <w:tc>
          <w:tcPr>
            <w:tcW w:w="1328" w:type="pct"/>
            <w:tcBorders>
              <w:bottom w:val="single" w:sz="4" w:space="0" w:color="auto"/>
            </w:tcBorders>
          </w:tcPr>
          <w:p w14:paraId="1ADA9BFA" w14:textId="77777777" w:rsidR="0037475B" w:rsidRPr="004309B9" w:rsidRDefault="0037475B" w:rsidP="00B75179">
            <w:pPr>
              <w:keepNext/>
              <w:spacing w:after="40"/>
              <w:jc w:val="both"/>
              <w:rPr>
                <w:rFonts w:ascii="Arial Narrow" w:hAnsi="Arial Narrow"/>
                <w:b/>
              </w:rPr>
            </w:pPr>
          </w:p>
        </w:tc>
        <w:tc>
          <w:tcPr>
            <w:tcW w:w="730" w:type="pct"/>
            <w:tcBorders>
              <w:bottom w:val="single" w:sz="4" w:space="0" w:color="auto"/>
            </w:tcBorders>
          </w:tcPr>
          <w:p w14:paraId="4F9E9492" w14:textId="77777777" w:rsidR="0037475B" w:rsidRPr="004309B9" w:rsidRDefault="0037475B" w:rsidP="00B75179">
            <w:pPr>
              <w:keepNext/>
              <w:spacing w:after="40"/>
              <w:jc w:val="both"/>
              <w:rPr>
                <w:rFonts w:ascii="Arial Narrow" w:hAnsi="Arial Narrow"/>
                <w:b/>
              </w:rPr>
            </w:pPr>
            <w:r w:rsidRPr="004309B9">
              <w:rPr>
                <w:rFonts w:ascii="Arial Narrow" w:hAnsi="Arial Narrow"/>
                <w:b/>
              </w:rPr>
              <w:t>Cost</w:t>
            </w:r>
          </w:p>
        </w:tc>
        <w:tc>
          <w:tcPr>
            <w:tcW w:w="730" w:type="pct"/>
            <w:tcBorders>
              <w:bottom w:val="single" w:sz="4" w:space="0" w:color="auto"/>
            </w:tcBorders>
          </w:tcPr>
          <w:p w14:paraId="11B67B36" w14:textId="77777777" w:rsidR="0037475B" w:rsidRPr="004309B9" w:rsidRDefault="0037475B" w:rsidP="00B75179">
            <w:pPr>
              <w:keepNext/>
              <w:spacing w:after="40"/>
              <w:jc w:val="both"/>
              <w:rPr>
                <w:rFonts w:ascii="Arial Narrow" w:hAnsi="Arial Narrow"/>
                <w:b/>
              </w:rPr>
            </w:pPr>
            <w:r w:rsidRPr="004309B9">
              <w:rPr>
                <w:rFonts w:ascii="Arial Narrow" w:hAnsi="Arial Narrow"/>
                <w:b/>
              </w:rPr>
              <w:t>Incremental cost</w:t>
            </w:r>
          </w:p>
        </w:tc>
        <w:tc>
          <w:tcPr>
            <w:tcW w:w="821" w:type="pct"/>
            <w:tcBorders>
              <w:bottom w:val="single" w:sz="4" w:space="0" w:color="auto"/>
            </w:tcBorders>
          </w:tcPr>
          <w:p w14:paraId="20A175C0" w14:textId="77777777" w:rsidR="0037475B" w:rsidRPr="004309B9" w:rsidRDefault="0037475B" w:rsidP="00B75179">
            <w:pPr>
              <w:keepNext/>
              <w:spacing w:after="40"/>
              <w:jc w:val="both"/>
              <w:rPr>
                <w:rFonts w:ascii="Arial Narrow" w:hAnsi="Arial Narrow"/>
                <w:b/>
              </w:rPr>
            </w:pPr>
            <w:r w:rsidRPr="004309B9">
              <w:rPr>
                <w:rFonts w:ascii="Arial Narrow" w:hAnsi="Arial Narrow"/>
                <w:b/>
              </w:rPr>
              <w:t>Effectiveness (QALYs)</w:t>
            </w:r>
          </w:p>
        </w:tc>
        <w:tc>
          <w:tcPr>
            <w:tcW w:w="781" w:type="pct"/>
            <w:tcBorders>
              <w:bottom w:val="single" w:sz="4" w:space="0" w:color="auto"/>
            </w:tcBorders>
          </w:tcPr>
          <w:p w14:paraId="6D2F03E4" w14:textId="77777777" w:rsidR="0037475B" w:rsidRPr="004309B9" w:rsidRDefault="0037475B" w:rsidP="00B75179">
            <w:pPr>
              <w:keepNext/>
              <w:spacing w:after="40"/>
              <w:jc w:val="both"/>
              <w:rPr>
                <w:rFonts w:ascii="Arial Narrow" w:hAnsi="Arial Narrow"/>
                <w:b/>
              </w:rPr>
            </w:pPr>
            <w:r w:rsidRPr="004309B9">
              <w:rPr>
                <w:rFonts w:ascii="Arial Narrow" w:hAnsi="Arial Narrow"/>
                <w:b/>
              </w:rPr>
              <w:t>Incremental effectiveness</w:t>
            </w:r>
          </w:p>
        </w:tc>
        <w:tc>
          <w:tcPr>
            <w:tcW w:w="609" w:type="pct"/>
            <w:tcBorders>
              <w:bottom w:val="single" w:sz="4" w:space="0" w:color="auto"/>
            </w:tcBorders>
          </w:tcPr>
          <w:p w14:paraId="3FB5240F" w14:textId="77777777" w:rsidR="0037475B" w:rsidRPr="004309B9" w:rsidRDefault="0037475B" w:rsidP="00B75179">
            <w:pPr>
              <w:keepNext/>
              <w:spacing w:after="40"/>
              <w:jc w:val="both"/>
              <w:rPr>
                <w:rFonts w:ascii="Arial Narrow" w:hAnsi="Arial Narrow"/>
                <w:b/>
              </w:rPr>
            </w:pPr>
            <w:r w:rsidRPr="004309B9">
              <w:rPr>
                <w:rFonts w:ascii="Arial Narrow" w:hAnsi="Arial Narrow"/>
                <w:b/>
              </w:rPr>
              <w:t>ICER</w:t>
            </w:r>
          </w:p>
        </w:tc>
      </w:tr>
      <w:tr w:rsidR="0037475B" w:rsidRPr="004309B9" w14:paraId="1570A940" w14:textId="77777777" w:rsidTr="00B75179">
        <w:tc>
          <w:tcPr>
            <w:tcW w:w="1328" w:type="pct"/>
          </w:tcPr>
          <w:p w14:paraId="4ADAB8C3" w14:textId="77777777" w:rsidR="0037475B" w:rsidRPr="004309B9" w:rsidRDefault="0037475B" w:rsidP="00B75179">
            <w:pPr>
              <w:keepNext/>
              <w:spacing w:after="40"/>
              <w:jc w:val="both"/>
            </w:pPr>
            <w:proofErr w:type="spellStart"/>
            <w:r w:rsidRPr="004309B9">
              <w:t>MRgFUS</w:t>
            </w:r>
            <w:proofErr w:type="spellEnd"/>
          </w:p>
        </w:tc>
        <w:tc>
          <w:tcPr>
            <w:tcW w:w="730" w:type="pct"/>
          </w:tcPr>
          <w:p w14:paraId="43EEDE8A" w14:textId="77777777" w:rsidR="0037475B" w:rsidRPr="004309B9" w:rsidRDefault="0037475B" w:rsidP="00B75179">
            <w:pPr>
              <w:keepNext/>
              <w:spacing w:after="40"/>
              <w:jc w:val="both"/>
            </w:pPr>
            <w:r w:rsidRPr="004309B9">
              <w:t>$44,866</w:t>
            </w:r>
          </w:p>
        </w:tc>
        <w:tc>
          <w:tcPr>
            <w:tcW w:w="730" w:type="pct"/>
            <w:tcBorders>
              <w:bottom w:val="nil"/>
            </w:tcBorders>
          </w:tcPr>
          <w:p w14:paraId="3DDC3BD6" w14:textId="77777777" w:rsidR="0037475B" w:rsidRPr="004309B9" w:rsidRDefault="0037475B" w:rsidP="00B75179">
            <w:pPr>
              <w:keepNext/>
              <w:spacing w:after="40"/>
              <w:jc w:val="both"/>
            </w:pPr>
            <w:r w:rsidRPr="004309B9">
              <w:t>-$32,467</w:t>
            </w:r>
          </w:p>
        </w:tc>
        <w:tc>
          <w:tcPr>
            <w:tcW w:w="821" w:type="pct"/>
          </w:tcPr>
          <w:p w14:paraId="44F04334" w14:textId="77777777" w:rsidR="0037475B" w:rsidRPr="004309B9" w:rsidRDefault="0037475B" w:rsidP="00B75179">
            <w:pPr>
              <w:keepNext/>
              <w:spacing w:after="40"/>
              <w:jc w:val="both"/>
            </w:pPr>
            <w:r w:rsidRPr="004309B9">
              <w:t>3.6308</w:t>
            </w:r>
          </w:p>
        </w:tc>
        <w:tc>
          <w:tcPr>
            <w:tcW w:w="781" w:type="pct"/>
            <w:tcBorders>
              <w:bottom w:val="nil"/>
            </w:tcBorders>
          </w:tcPr>
          <w:p w14:paraId="504F0026" w14:textId="77777777" w:rsidR="0037475B" w:rsidRPr="004309B9" w:rsidRDefault="0037475B" w:rsidP="00B75179">
            <w:pPr>
              <w:keepNext/>
              <w:spacing w:after="40"/>
              <w:jc w:val="both"/>
              <w:rPr>
                <w:vertAlign w:val="superscript"/>
              </w:rPr>
            </w:pPr>
            <w:r w:rsidRPr="004309B9">
              <w:t>-0.0846</w:t>
            </w:r>
            <w:r w:rsidRPr="004309B9">
              <w:rPr>
                <w:vertAlign w:val="superscript"/>
              </w:rPr>
              <w:t>a</w:t>
            </w:r>
          </w:p>
        </w:tc>
        <w:tc>
          <w:tcPr>
            <w:tcW w:w="609" w:type="pct"/>
            <w:tcBorders>
              <w:bottom w:val="nil"/>
            </w:tcBorders>
          </w:tcPr>
          <w:p w14:paraId="01C59EFB" w14:textId="55DD57E0" w:rsidR="0037475B" w:rsidRPr="004309B9" w:rsidRDefault="0037475B" w:rsidP="00B75179">
            <w:pPr>
              <w:keepNext/>
              <w:spacing w:after="40"/>
              <w:jc w:val="both"/>
            </w:pPr>
            <w:r w:rsidRPr="004309B9">
              <w:t>$38</w:t>
            </w:r>
            <w:r w:rsidR="00983C29" w:rsidRPr="004309B9">
              <w:t>3</w:t>
            </w:r>
            <w:r w:rsidRPr="004309B9">
              <w:t>,877</w:t>
            </w:r>
          </w:p>
        </w:tc>
      </w:tr>
      <w:tr w:rsidR="0037475B" w:rsidRPr="004309B9" w14:paraId="0F000D34" w14:textId="77777777" w:rsidTr="00B75179">
        <w:tc>
          <w:tcPr>
            <w:tcW w:w="1328" w:type="pct"/>
          </w:tcPr>
          <w:p w14:paraId="1E19BA38" w14:textId="77777777" w:rsidR="0037475B" w:rsidRPr="004309B9" w:rsidRDefault="0037475B" w:rsidP="00B75179">
            <w:pPr>
              <w:spacing w:after="40"/>
              <w:jc w:val="both"/>
            </w:pPr>
            <w:r w:rsidRPr="004309B9">
              <w:t>DBS</w:t>
            </w:r>
          </w:p>
        </w:tc>
        <w:tc>
          <w:tcPr>
            <w:tcW w:w="730" w:type="pct"/>
          </w:tcPr>
          <w:p w14:paraId="5C09C923" w14:textId="77777777" w:rsidR="0037475B" w:rsidRPr="004309B9" w:rsidRDefault="0037475B" w:rsidP="00B75179">
            <w:pPr>
              <w:spacing w:after="40"/>
              <w:jc w:val="both"/>
            </w:pPr>
            <w:r w:rsidRPr="004309B9">
              <w:t>$77,333</w:t>
            </w:r>
          </w:p>
        </w:tc>
        <w:tc>
          <w:tcPr>
            <w:tcW w:w="730" w:type="pct"/>
            <w:tcBorders>
              <w:top w:val="nil"/>
            </w:tcBorders>
          </w:tcPr>
          <w:p w14:paraId="7E7638E6" w14:textId="77777777" w:rsidR="0037475B" w:rsidRPr="004309B9" w:rsidRDefault="0037475B" w:rsidP="00B75179">
            <w:pPr>
              <w:spacing w:after="40"/>
              <w:jc w:val="both"/>
            </w:pPr>
          </w:p>
        </w:tc>
        <w:tc>
          <w:tcPr>
            <w:tcW w:w="821" w:type="pct"/>
          </w:tcPr>
          <w:p w14:paraId="1871D30E" w14:textId="77777777" w:rsidR="0037475B" w:rsidRPr="004309B9" w:rsidRDefault="0037475B" w:rsidP="00B75179">
            <w:pPr>
              <w:spacing w:after="40"/>
              <w:jc w:val="both"/>
            </w:pPr>
            <w:r w:rsidRPr="004309B9">
              <w:t>3.7154</w:t>
            </w:r>
          </w:p>
        </w:tc>
        <w:tc>
          <w:tcPr>
            <w:tcW w:w="781" w:type="pct"/>
            <w:tcBorders>
              <w:top w:val="nil"/>
            </w:tcBorders>
          </w:tcPr>
          <w:p w14:paraId="61BA9188" w14:textId="77777777" w:rsidR="0037475B" w:rsidRPr="004309B9" w:rsidRDefault="0037475B" w:rsidP="00B75179">
            <w:pPr>
              <w:spacing w:after="40"/>
              <w:jc w:val="both"/>
            </w:pPr>
          </w:p>
        </w:tc>
        <w:tc>
          <w:tcPr>
            <w:tcW w:w="609" w:type="pct"/>
            <w:tcBorders>
              <w:top w:val="nil"/>
            </w:tcBorders>
          </w:tcPr>
          <w:p w14:paraId="4D6DF941" w14:textId="77777777" w:rsidR="0037475B" w:rsidRPr="004309B9" w:rsidRDefault="0037475B" w:rsidP="00B75179">
            <w:pPr>
              <w:spacing w:after="40"/>
              <w:jc w:val="both"/>
            </w:pPr>
          </w:p>
        </w:tc>
      </w:tr>
    </w:tbl>
    <w:p w14:paraId="10074E86" w14:textId="77777777" w:rsidR="0037475B" w:rsidRPr="004309B9" w:rsidRDefault="0037475B" w:rsidP="0037475B">
      <w:pPr>
        <w:pStyle w:val="TableNote"/>
      </w:pPr>
      <w:r w:rsidRPr="004309B9">
        <w:t>ICER = Incremental Cost Effectiveness Ratio; QALY, quality adjusted life year</w:t>
      </w:r>
    </w:p>
    <w:p w14:paraId="4AE509D1" w14:textId="4CA9609A" w:rsidR="00DF0E6F" w:rsidRPr="004309B9" w:rsidRDefault="0037475B" w:rsidP="00B31172">
      <w:pPr>
        <w:pStyle w:val="TableNote"/>
      </w:pPr>
      <w:r w:rsidRPr="004309B9">
        <w:rPr>
          <w:vertAlign w:val="superscript"/>
        </w:rPr>
        <w:t xml:space="preserve">a </w:t>
      </w:r>
      <w:r w:rsidRPr="004309B9">
        <w:t>13% of the QoL gains sourced from transient adverse events.</w:t>
      </w:r>
      <w:bookmarkEnd w:id="39"/>
    </w:p>
    <w:p w14:paraId="592C4010" w14:textId="7519AB9F" w:rsidR="00D32522" w:rsidRPr="004309B9" w:rsidRDefault="00D32522" w:rsidP="003478E8">
      <w:pPr>
        <w:pStyle w:val="Caption"/>
        <w:jc w:val="left"/>
      </w:pPr>
      <w:bookmarkStart w:id="40" w:name="_Ref89269449"/>
      <w:r w:rsidRPr="004309B9">
        <w:lastRenderedPageBreak/>
        <w:t xml:space="preserve">Figure </w:t>
      </w:r>
      <w:fldSimple w:instr=" SEQ Figure \* ARABIC ">
        <w:r w:rsidR="00770092" w:rsidRPr="004309B9">
          <w:rPr>
            <w:noProof/>
          </w:rPr>
          <w:t>1</w:t>
        </w:r>
      </w:fldSimple>
      <w:bookmarkEnd w:id="40"/>
      <w:r w:rsidRPr="004309B9">
        <w:tab/>
        <w:t>Cost effectiveness plan showing base case incremental costs and benefits as described in the resubmission</w:t>
      </w:r>
    </w:p>
    <w:p w14:paraId="12E02F71" w14:textId="34516797" w:rsidR="00D32522" w:rsidRDefault="00D32522" w:rsidP="00EE48BF">
      <w:pPr>
        <w:pStyle w:val="TableNote"/>
      </w:pPr>
      <w:r w:rsidRPr="004309B9">
        <w:drawing>
          <wp:inline distT="0" distB="0" distL="0" distR="0" wp14:anchorId="269876BC" wp14:editId="5A8B2EB3">
            <wp:extent cx="4819650" cy="3472434"/>
            <wp:effectExtent l="0" t="0" r="0" b="0"/>
            <wp:docPr id="1" name="Picture 1" descr="Cost effectiveness plan showing base case incremental costs and benefits as described in the re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st effectiveness plan showing base case incremental costs and benefits as described in the resubmission"/>
                    <pic:cNvPicPr/>
                  </pic:nvPicPr>
                  <pic:blipFill>
                    <a:blip r:embed="rId20"/>
                    <a:stretch>
                      <a:fillRect/>
                    </a:stretch>
                  </pic:blipFill>
                  <pic:spPr>
                    <a:xfrm>
                      <a:off x="0" y="0"/>
                      <a:ext cx="4849535" cy="3493966"/>
                    </a:xfrm>
                    <a:prstGeom prst="rect">
                      <a:avLst/>
                    </a:prstGeom>
                  </pic:spPr>
                </pic:pic>
              </a:graphicData>
            </a:graphic>
          </wp:inline>
        </w:drawing>
      </w:r>
    </w:p>
    <w:p w14:paraId="31FFED6A" w14:textId="3512ACB7" w:rsidR="00EE48BF" w:rsidRPr="004309B9" w:rsidRDefault="00EE48BF" w:rsidP="00D960B0">
      <w:pPr>
        <w:pStyle w:val="TableNote"/>
      </w:pPr>
      <w:r>
        <w:t xml:space="preserve">Source: Figure </w:t>
      </w:r>
      <w:r w:rsidR="0019723D">
        <w:t>1</w:t>
      </w:r>
      <w:r>
        <w:t xml:space="preserve"> of the commentary</w:t>
      </w:r>
    </w:p>
    <w:p w14:paraId="1392D067" w14:textId="21030167" w:rsidR="00083FA7" w:rsidRPr="004309B9" w:rsidRDefault="00CD0E20" w:rsidP="00CD0E20">
      <w:pPr>
        <w:pStyle w:val="5Bodytext"/>
        <w:rPr>
          <w:rFonts w:ascii="Franklin Gothic Book" w:hAnsi="Franklin Gothic Book"/>
        </w:rPr>
      </w:pPr>
      <w:r w:rsidRPr="004309B9">
        <w:rPr>
          <w:rFonts w:ascii="Franklin Gothic Book" w:hAnsi="Franklin Gothic Book"/>
          <w:sz w:val="22"/>
          <w:szCs w:val="22"/>
        </w:rPr>
        <w:t>One of the main sources of uncertainty of the resubmission model is the calculation of transient and persistent adverse events</w:t>
      </w:r>
      <w:r w:rsidR="00083FA7" w:rsidRPr="004309B9">
        <w:rPr>
          <w:rFonts w:ascii="Franklin Gothic Book" w:hAnsi="Franklin Gothic Book"/>
          <w:sz w:val="22"/>
          <w:szCs w:val="22"/>
        </w:rPr>
        <w:t xml:space="preserve">. </w:t>
      </w:r>
      <w:r w:rsidRPr="004309B9">
        <w:rPr>
          <w:rFonts w:ascii="Franklin Gothic Book" w:hAnsi="Franklin Gothic Book"/>
          <w:sz w:val="22"/>
          <w:szCs w:val="22"/>
        </w:rPr>
        <w:t>The resubmission demonstrated that</w:t>
      </w:r>
      <w:r w:rsidR="00083FA7" w:rsidRPr="004309B9">
        <w:rPr>
          <w:rFonts w:ascii="Franklin Gothic Book" w:hAnsi="Franklin Gothic Book"/>
          <w:sz w:val="22"/>
          <w:szCs w:val="22"/>
        </w:rPr>
        <w:t xml:space="preserve"> increasing the </w:t>
      </w:r>
      <w:r w:rsidRPr="004309B9">
        <w:rPr>
          <w:rFonts w:ascii="Franklin Gothic Book" w:hAnsi="Franklin Gothic Book"/>
          <w:sz w:val="22"/>
          <w:szCs w:val="22"/>
        </w:rPr>
        <w:t xml:space="preserve">transient AE disutility in the </w:t>
      </w:r>
      <w:proofErr w:type="spellStart"/>
      <w:r w:rsidRPr="004309B9">
        <w:rPr>
          <w:rFonts w:ascii="Franklin Gothic Book" w:hAnsi="Franklin Gothic Book"/>
          <w:sz w:val="22"/>
          <w:szCs w:val="22"/>
        </w:rPr>
        <w:t>MRgFUS</w:t>
      </w:r>
      <w:proofErr w:type="spellEnd"/>
      <w:r w:rsidRPr="004309B9">
        <w:rPr>
          <w:rFonts w:ascii="Franklin Gothic Book" w:hAnsi="Franklin Gothic Book"/>
          <w:sz w:val="22"/>
          <w:szCs w:val="22"/>
        </w:rPr>
        <w:t xml:space="preserve"> arm, while decreasing the proportion of patients with persistent adverse events results in a lower incremental cost between the two interventions, but also a lower incremental benefit, resulting in a higher ICER</w:t>
      </w:r>
      <w:r w:rsidRPr="004309B9">
        <w:rPr>
          <w:rFonts w:ascii="Franklin Gothic Book" w:hAnsi="Franklin Gothic Book"/>
        </w:rPr>
        <w:t xml:space="preserve"> (</w:t>
      </w:r>
      <w:r w:rsidR="00083FA7" w:rsidRPr="004309B9">
        <w:rPr>
          <w:rFonts w:ascii="Franklin Gothic Book" w:hAnsi="Franklin Gothic Book"/>
        </w:rPr>
        <w:t>$</w:t>
      </w:r>
      <w:r w:rsidRPr="004309B9">
        <w:rPr>
          <w:rFonts w:ascii="Franklin Gothic Book" w:hAnsi="Franklin Gothic Book"/>
        </w:rPr>
        <w:t>529,325/QALY gained</w:t>
      </w:r>
      <w:r w:rsidR="00083FA7" w:rsidRPr="004309B9">
        <w:rPr>
          <w:rFonts w:ascii="Franklin Gothic Book" w:hAnsi="Franklin Gothic Book"/>
        </w:rPr>
        <w:t xml:space="preserve"> – see Table 1</w:t>
      </w:r>
      <w:r w:rsidR="000160F4" w:rsidRPr="004309B9">
        <w:rPr>
          <w:rFonts w:ascii="Franklin Gothic Book" w:hAnsi="Franklin Gothic Book"/>
        </w:rPr>
        <w:t>3</w:t>
      </w:r>
      <w:r w:rsidRPr="004309B9">
        <w:rPr>
          <w:rFonts w:ascii="Franklin Gothic Book" w:hAnsi="Franklin Gothic Book"/>
        </w:rPr>
        <w:t>).</w:t>
      </w:r>
    </w:p>
    <w:p w14:paraId="454FC92E" w14:textId="0B599900" w:rsidR="00083FA7" w:rsidRPr="004309B9" w:rsidRDefault="00083FA7" w:rsidP="00083FA7">
      <w:pPr>
        <w:pStyle w:val="Caption"/>
      </w:pPr>
      <w:bookmarkStart w:id="41" w:name="_Ref84414571"/>
      <w:r w:rsidRPr="004309B9">
        <w:t xml:space="preserve">Table </w:t>
      </w:r>
      <w:bookmarkEnd w:id="41"/>
      <w:r w:rsidRPr="004309B9">
        <w:t>1</w:t>
      </w:r>
      <w:r w:rsidR="000160F4" w:rsidRPr="004309B9">
        <w:t>3</w:t>
      </w:r>
      <w:r w:rsidRPr="004309B9">
        <w:tab/>
        <w:t>Sensitivity analyses regarding AE profile inputs into the economic model</w:t>
      </w:r>
    </w:p>
    <w:tbl>
      <w:tblPr>
        <w:tblStyle w:val="TableGrid"/>
        <w:tblW w:w="0" w:type="auto"/>
        <w:tblLook w:val="04A0" w:firstRow="1" w:lastRow="0" w:firstColumn="1" w:lastColumn="0" w:noHBand="0" w:noVBand="1"/>
      </w:tblPr>
      <w:tblGrid>
        <w:gridCol w:w="2700"/>
        <w:gridCol w:w="1579"/>
        <w:gridCol w:w="1579"/>
        <w:gridCol w:w="1579"/>
        <w:gridCol w:w="1579"/>
      </w:tblGrid>
      <w:tr w:rsidR="00083FA7" w:rsidRPr="004309B9" w14:paraId="506CCDAF" w14:textId="77777777" w:rsidTr="00B75179">
        <w:trPr>
          <w:trHeight w:val="288"/>
        </w:trPr>
        <w:tc>
          <w:tcPr>
            <w:tcW w:w="2700" w:type="dxa"/>
            <w:vMerge w:val="restart"/>
          </w:tcPr>
          <w:p w14:paraId="20E5CC8B" w14:textId="77777777" w:rsidR="00083FA7" w:rsidRPr="004309B9" w:rsidRDefault="00083FA7" w:rsidP="00B75179">
            <w:pPr>
              <w:pStyle w:val="TableText1"/>
              <w:rPr>
                <w:b/>
                <w:bCs/>
              </w:rPr>
            </w:pPr>
            <w:r w:rsidRPr="004309B9">
              <w:rPr>
                <w:b/>
                <w:bCs/>
              </w:rPr>
              <w:t>Model Parameter</w:t>
            </w:r>
          </w:p>
        </w:tc>
        <w:tc>
          <w:tcPr>
            <w:tcW w:w="3158" w:type="dxa"/>
            <w:gridSpan w:val="2"/>
          </w:tcPr>
          <w:p w14:paraId="2AE4BA61" w14:textId="77777777" w:rsidR="00083FA7" w:rsidRPr="004309B9" w:rsidRDefault="00083FA7" w:rsidP="00B75179">
            <w:pPr>
              <w:pStyle w:val="TableText1"/>
              <w:rPr>
                <w:b/>
                <w:bCs/>
              </w:rPr>
            </w:pPr>
            <w:r w:rsidRPr="004309B9">
              <w:rPr>
                <w:b/>
                <w:bCs/>
              </w:rPr>
              <w:t>Giordano 2020 AE rates (base case)</w:t>
            </w:r>
          </w:p>
        </w:tc>
        <w:tc>
          <w:tcPr>
            <w:tcW w:w="3158" w:type="dxa"/>
            <w:gridSpan w:val="2"/>
          </w:tcPr>
          <w:p w14:paraId="23CED276" w14:textId="77777777" w:rsidR="00083FA7" w:rsidRPr="004309B9" w:rsidRDefault="00083FA7" w:rsidP="00B75179">
            <w:pPr>
              <w:pStyle w:val="TableText1"/>
              <w:rPr>
                <w:b/>
                <w:bCs/>
              </w:rPr>
            </w:pPr>
            <w:r w:rsidRPr="004309B9">
              <w:rPr>
                <w:b/>
                <w:bCs/>
              </w:rPr>
              <w:t>Huss 2015 AE rates (sensitivity)</w:t>
            </w:r>
          </w:p>
        </w:tc>
      </w:tr>
      <w:tr w:rsidR="00083FA7" w:rsidRPr="004309B9" w14:paraId="75DA020D" w14:textId="77777777" w:rsidTr="00B75179">
        <w:trPr>
          <w:trHeight w:val="288"/>
        </w:trPr>
        <w:tc>
          <w:tcPr>
            <w:tcW w:w="2700" w:type="dxa"/>
            <w:vMerge/>
          </w:tcPr>
          <w:p w14:paraId="791BA416" w14:textId="77777777" w:rsidR="00083FA7" w:rsidRPr="004309B9" w:rsidRDefault="00083FA7" w:rsidP="00B75179">
            <w:pPr>
              <w:pStyle w:val="TableText1"/>
              <w:rPr>
                <w:b/>
                <w:bCs/>
              </w:rPr>
            </w:pPr>
          </w:p>
        </w:tc>
        <w:tc>
          <w:tcPr>
            <w:tcW w:w="1579" w:type="dxa"/>
          </w:tcPr>
          <w:p w14:paraId="3472E750" w14:textId="77777777" w:rsidR="00083FA7" w:rsidRPr="004309B9" w:rsidRDefault="00083FA7" w:rsidP="00B75179">
            <w:pPr>
              <w:pStyle w:val="TableText1"/>
              <w:rPr>
                <w:b/>
                <w:bCs/>
              </w:rPr>
            </w:pPr>
            <w:proofErr w:type="spellStart"/>
            <w:r w:rsidRPr="004309B9">
              <w:rPr>
                <w:b/>
                <w:bCs/>
              </w:rPr>
              <w:t>MRgFUS</w:t>
            </w:r>
            <w:proofErr w:type="spellEnd"/>
          </w:p>
        </w:tc>
        <w:tc>
          <w:tcPr>
            <w:tcW w:w="1579" w:type="dxa"/>
          </w:tcPr>
          <w:p w14:paraId="3720C3B3" w14:textId="77777777" w:rsidR="00083FA7" w:rsidRPr="004309B9" w:rsidRDefault="00083FA7" w:rsidP="00B75179">
            <w:pPr>
              <w:pStyle w:val="TableText1"/>
              <w:rPr>
                <w:b/>
                <w:bCs/>
              </w:rPr>
            </w:pPr>
            <w:r w:rsidRPr="004309B9">
              <w:rPr>
                <w:b/>
                <w:bCs/>
              </w:rPr>
              <w:t>DBS</w:t>
            </w:r>
          </w:p>
        </w:tc>
        <w:tc>
          <w:tcPr>
            <w:tcW w:w="1579" w:type="dxa"/>
          </w:tcPr>
          <w:p w14:paraId="7F00897C" w14:textId="77777777" w:rsidR="00083FA7" w:rsidRPr="004309B9" w:rsidRDefault="00083FA7" w:rsidP="00B75179">
            <w:pPr>
              <w:pStyle w:val="TableText1"/>
              <w:rPr>
                <w:b/>
                <w:bCs/>
              </w:rPr>
            </w:pPr>
            <w:proofErr w:type="spellStart"/>
            <w:r w:rsidRPr="004309B9">
              <w:rPr>
                <w:b/>
                <w:bCs/>
              </w:rPr>
              <w:t>MRgFUS</w:t>
            </w:r>
            <w:proofErr w:type="spellEnd"/>
          </w:p>
        </w:tc>
        <w:tc>
          <w:tcPr>
            <w:tcW w:w="1579" w:type="dxa"/>
          </w:tcPr>
          <w:p w14:paraId="52A7439F" w14:textId="77777777" w:rsidR="00083FA7" w:rsidRPr="004309B9" w:rsidRDefault="00083FA7" w:rsidP="00B75179">
            <w:pPr>
              <w:pStyle w:val="TableText1"/>
              <w:rPr>
                <w:b/>
                <w:bCs/>
              </w:rPr>
            </w:pPr>
            <w:r w:rsidRPr="004309B9">
              <w:rPr>
                <w:b/>
                <w:bCs/>
              </w:rPr>
              <w:t>DBS</w:t>
            </w:r>
          </w:p>
        </w:tc>
      </w:tr>
      <w:tr w:rsidR="00083FA7" w:rsidRPr="004309B9" w14:paraId="151B1609" w14:textId="77777777" w:rsidTr="00B75179">
        <w:tc>
          <w:tcPr>
            <w:tcW w:w="2700" w:type="dxa"/>
          </w:tcPr>
          <w:p w14:paraId="478D9E04" w14:textId="77777777" w:rsidR="00083FA7" w:rsidRPr="004309B9" w:rsidRDefault="00083FA7" w:rsidP="00B75179">
            <w:pPr>
              <w:pStyle w:val="TableText1"/>
            </w:pPr>
            <w:r w:rsidRPr="004309B9">
              <w:t>Transient AE costs</w:t>
            </w:r>
          </w:p>
        </w:tc>
        <w:tc>
          <w:tcPr>
            <w:tcW w:w="1579" w:type="dxa"/>
          </w:tcPr>
          <w:p w14:paraId="1EF3CB82" w14:textId="77777777" w:rsidR="00083FA7" w:rsidRPr="004309B9" w:rsidRDefault="00083FA7" w:rsidP="00B75179">
            <w:pPr>
              <w:pStyle w:val="TableText1"/>
            </w:pPr>
            <w:r w:rsidRPr="004309B9">
              <w:t>$56.41</w:t>
            </w:r>
          </w:p>
        </w:tc>
        <w:tc>
          <w:tcPr>
            <w:tcW w:w="1579" w:type="dxa"/>
          </w:tcPr>
          <w:p w14:paraId="09D2FBB8" w14:textId="77777777" w:rsidR="00083FA7" w:rsidRPr="004309B9" w:rsidRDefault="00083FA7" w:rsidP="00B75179">
            <w:pPr>
              <w:pStyle w:val="TableText1"/>
            </w:pPr>
            <w:r w:rsidRPr="004309B9">
              <w:t>$2,067.44</w:t>
            </w:r>
          </w:p>
        </w:tc>
        <w:tc>
          <w:tcPr>
            <w:tcW w:w="1579" w:type="dxa"/>
          </w:tcPr>
          <w:p w14:paraId="7E0F6BE0" w14:textId="77777777" w:rsidR="00083FA7" w:rsidRPr="004309B9" w:rsidRDefault="00083FA7" w:rsidP="00B75179">
            <w:pPr>
              <w:pStyle w:val="TableText1"/>
            </w:pPr>
            <w:r w:rsidRPr="004309B9">
              <w:t>$300.54</w:t>
            </w:r>
          </w:p>
        </w:tc>
        <w:tc>
          <w:tcPr>
            <w:tcW w:w="1579" w:type="dxa"/>
          </w:tcPr>
          <w:p w14:paraId="30AA6CC2" w14:textId="77777777" w:rsidR="00083FA7" w:rsidRPr="004309B9" w:rsidRDefault="00083FA7" w:rsidP="00B75179">
            <w:pPr>
              <w:pStyle w:val="TableText1"/>
            </w:pPr>
            <w:r w:rsidRPr="004309B9">
              <w:t>$535.56</w:t>
            </w:r>
          </w:p>
        </w:tc>
      </w:tr>
      <w:tr w:rsidR="00083FA7" w:rsidRPr="004309B9" w14:paraId="7DFC1AC3" w14:textId="77777777" w:rsidTr="00B75179">
        <w:tc>
          <w:tcPr>
            <w:tcW w:w="2700" w:type="dxa"/>
          </w:tcPr>
          <w:p w14:paraId="4B291CA7" w14:textId="77777777" w:rsidR="00083FA7" w:rsidRPr="004309B9" w:rsidRDefault="00083FA7" w:rsidP="00B75179">
            <w:pPr>
              <w:pStyle w:val="TableText1"/>
            </w:pPr>
            <w:r w:rsidRPr="004309B9">
              <w:t>Transient AE disutility</w:t>
            </w:r>
          </w:p>
        </w:tc>
        <w:tc>
          <w:tcPr>
            <w:tcW w:w="1579" w:type="dxa"/>
          </w:tcPr>
          <w:p w14:paraId="033D1427" w14:textId="77777777" w:rsidR="00083FA7" w:rsidRPr="004309B9" w:rsidRDefault="00083FA7" w:rsidP="00B75179">
            <w:pPr>
              <w:pStyle w:val="TableText1"/>
            </w:pPr>
            <w:r w:rsidRPr="004309B9">
              <w:t>0.0277</w:t>
            </w:r>
          </w:p>
        </w:tc>
        <w:tc>
          <w:tcPr>
            <w:tcW w:w="1579" w:type="dxa"/>
          </w:tcPr>
          <w:p w14:paraId="593ADBB5" w14:textId="77777777" w:rsidR="00083FA7" w:rsidRPr="004309B9" w:rsidRDefault="00083FA7" w:rsidP="00B75179">
            <w:pPr>
              <w:pStyle w:val="TableText1"/>
            </w:pPr>
            <w:r w:rsidRPr="004309B9">
              <w:t>0.0209</w:t>
            </w:r>
          </w:p>
        </w:tc>
        <w:tc>
          <w:tcPr>
            <w:tcW w:w="1579" w:type="dxa"/>
          </w:tcPr>
          <w:p w14:paraId="420B89CB" w14:textId="77777777" w:rsidR="00083FA7" w:rsidRPr="004309B9" w:rsidRDefault="00083FA7" w:rsidP="00B75179">
            <w:pPr>
              <w:pStyle w:val="TableText1"/>
            </w:pPr>
            <w:r w:rsidRPr="004309B9">
              <w:t>0.1463</w:t>
            </w:r>
          </w:p>
        </w:tc>
        <w:tc>
          <w:tcPr>
            <w:tcW w:w="1579" w:type="dxa"/>
          </w:tcPr>
          <w:p w14:paraId="4FB215D3" w14:textId="77777777" w:rsidR="00083FA7" w:rsidRPr="004309B9" w:rsidRDefault="00083FA7" w:rsidP="00B75179">
            <w:pPr>
              <w:pStyle w:val="TableText1"/>
            </w:pPr>
            <w:r w:rsidRPr="004309B9">
              <w:t>0.0264</w:t>
            </w:r>
          </w:p>
        </w:tc>
      </w:tr>
      <w:tr w:rsidR="00083FA7" w:rsidRPr="004309B9" w14:paraId="279F7F8C" w14:textId="77777777" w:rsidTr="00B75179">
        <w:tc>
          <w:tcPr>
            <w:tcW w:w="2700" w:type="dxa"/>
          </w:tcPr>
          <w:p w14:paraId="4B9BA63F" w14:textId="77777777" w:rsidR="00083FA7" w:rsidRPr="004309B9" w:rsidRDefault="00083FA7" w:rsidP="00B75179">
            <w:pPr>
              <w:pStyle w:val="TableText1"/>
            </w:pPr>
            <w:r w:rsidRPr="004309B9">
              <w:t xml:space="preserve">Proportion of patients with Persistent AE </w:t>
            </w:r>
          </w:p>
        </w:tc>
        <w:tc>
          <w:tcPr>
            <w:tcW w:w="1579" w:type="dxa"/>
          </w:tcPr>
          <w:p w14:paraId="2D459F05" w14:textId="77777777" w:rsidR="00083FA7" w:rsidRPr="004309B9" w:rsidRDefault="00083FA7" w:rsidP="00B75179">
            <w:pPr>
              <w:pStyle w:val="TableText1"/>
            </w:pPr>
            <w:r w:rsidRPr="004309B9">
              <w:t>34%</w:t>
            </w:r>
          </w:p>
        </w:tc>
        <w:tc>
          <w:tcPr>
            <w:tcW w:w="1579" w:type="dxa"/>
          </w:tcPr>
          <w:p w14:paraId="62F25E61" w14:textId="77777777" w:rsidR="00083FA7" w:rsidRPr="004309B9" w:rsidRDefault="00083FA7" w:rsidP="00B75179">
            <w:pPr>
              <w:pStyle w:val="TableText1"/>
            </w:pPr>
            <w:r w:rsidRPr="004309B9">
              <w:t>14%</w:t>
            </w:r>
          </w:p>
        </w:tc>
        <w:tc>
          <w:tcPr>
            <w:tcW w:w="1579" w:type="dxa"/>
          </w:tcPr>
          <w:p w14:paraId="071B87BB" w14:textId="77777777" w:rsidR="00083FA7" w:rsidRPr="004309B9" w:rsidRDefault="00083FA7" w:rsidP="00B75179">
            <w:pPr>
              <w:pStyle w:val="TableText1"/>
            </w:pPr>
            <w:r w:rsidRPr="004309B9">
              <w:t>20%</w:t>
            </w:r>
          </w:p>
        </w:tc>
        <w:tc>
          <w:tcPr>
            <w:tcW w:w="1579" w:type="dxa"/>
          </w:tcPr>
          <w:p w14:paraId="4632D844" w14:textId="77777777" w:rsidR="00083FA7" w:rsidRPr="004309B9" w:rsidRDefault="00083FA7" w:rsidP="00B75179">
            <w:pPr>
              <w:pStyle w:val="TableText1"/>
            </w:pPr>
            <w:r w:rsidRPr="004309B9">
              <w:t>24%</w:t>
            </w:r>
          </w:p>
        </w:tc>
      </w:tr>
      <w:tr w:rsidR="00083FA7" w:rsidRPr="004309B9" w14:paraId="7F70B1A3" w14:textId="77777777" w:rsidTr="00B75179">
        <w:tc>
          <w:tcPr>
            <w:tcW w:w="2700" w:type="dxa"/>
          </w:tcPr>
          <w:p w14:paraId="2CECE558" w14:textId="77777777" w:rsidR="00083FA7" w:rsidRPr="004309B9" w:rsidRDefault="00083FA7" w:rsidP="00B75179">
            <w:pPr>
              <w:pStyle w:val="TableText1"/>
            </w:pPr>
            <w:r w:rsidRPr="004309B9">
              <w:t>Persistent AE health state utility multiplier</w:t>
            </w:r>
          </w:p>
        </w:tc>
        <w:tc>
          <w:tcPr>
            <w:tcW w:w="1579" w:type="dxa"/>
          </w:tcPr>
          <w:p w14:paraId="17271F63" w14:textId="77777777" w:rsidR="00083FA7" w:rsidRPr="004309B9" w:rsidRDefault="00083FA7" w:rsidP="00B75179">
            <w:pPr>
              <w:pStyle w:val="TableText1"/>
            </w:pPr>
            <w:r w:rsidRPr="004309B9">
              <w:t>0.8143</w:t>
            </w:r>
          </w:p>
        </w:tc>
        <w:tc>
          <w:tcPr>
            <w:tcW w:w="1579" w:type="dxa"/>
          </w:tcPr>
          <w:p w14:paraId="52EBD834" w14:textId="77777777" w:rsidR="00083FA7" w:rsidRPr="004309B9" w:rsidRDefault="00083FA7" w:rsidP="00B75179">
            <w:pPr>
              <w:pStyle w:val="TableText1"/>
            </w:pPr>
            <w:r w:rsidRPr="004309B9">
              <w:t>0.7561</w:t>
            </w:r>
          </w:p>
        </w:tc>
        <w:tc>
          <w:tcPr>
            <w:tcW w:w="1579" w:type="dxa"/>
          </w:tcPr>
          <w:p w14:paraId="3CD2286B" w14:textId="77777777" w:rsidR="00083FA7" w:rsidRPr="004309B9" w:rsidRDefault="00083FA7" w:rsidP="00B75179">
            <w:pPr>
              <w:pStyle w:val="TableText1"/>
            </w:pPr>
            <w:r w:rsidRPr="004309B9">
              <w:t>0.8100</w:t>
            </w:r>
          </w:p>
        </w:tc>
        <w:tc>
          <w:tcPr>
            <w:tcW w:w="1579" w:type="dxa"/>
          </w:tcPr>
          <w:p w14:paraId="65656F6E" w14:textId="77777777" w:rsidR="00083FA7" w:rsidRPr="004309B9" w:rsidRDefault="00083FA7" w:rsidP="00B75179">
            <w:pPr>
              <w:pStyle w:val="TableText1"/>
            </w:pPr>
            <w:r w:rsidRPr="004309B9">
              <w:t>0.7683</w:t>
            </w:r>
          </w:p>
        </w:tc>
      </w:tr>
      <w:tr w:rsidR="00083FA7" w:rsidRPr="004309B9" w14:paraId="457BDE9A" w14:textId="77777777" w:rsidTr="00B75179">
        <w:tc>
          <w:tcPr>
            <w:tcW w:w="2700" w:type="dxa"/>
          </w:tcPr>
          <w:p w14:paraId="215BC2E3" w14:textId="77777777" w:rsidR="00083FA7" w:rsidRPr="004309B9" w:rsidRDefault="00083FA7" w:rsidP="00B75179">
            <w:pPr>
              <w:pStyle w:val="TableText1"/>
            </w:pPr>
            <w:r w:rsidRPr="004309B9">
              <w:t>Incremental costs</w:t>
            </w:r>
          </w:p>
        </w:tc>
        <w:tc>
          <w:tcPr>
            <w:tcW w:w="3158" w:type="dxa"/>
            <w:gridSpan w:val="2"/>
            <w:vAlign w:val="center"/>
          </w:tcPr>
          <w:p w14:paraId="58503DEE" w14:textId="77777777" w:rsidR="00083FA7" w:rsidRPr="004309B9" w:rsidRDefault="00083FA7" w:rsidP="00B75179">
            <w:pPr>
              <w:pStyle w:val="TableText1"/>
            </w:pPr>
            <w:r w:rsidRPr="004309B9">
              <w:rPr>
                <w:rFonts w:cs="Calibri"/>
                <w:color w:val="000000"/>
                <w:szCs w:val="20"/>
              </w:rPr>
              <w:t>-$32,467</w:t>
            </w:r>
          </w:p>
        </w:tc>
        <w:tc>
          <w:tcPr>
            <w:tcW w:w="3158" w:type="dxa"/>
            <w:gridSpan w:val="2"/>
          </w:tcPr>
          <w:p w14:paraId="1964A788" w14:textId="77777777" w:rsidR="00083FA7" w:rsidRPr="004309B9" w:rsidRDefault="00083FA7" w:rsidP="00B75179">
            <w:pPr>
              <w:pStyle w:val="TableText1"/>
            </w:pPr>
            <w:r w:rsidRPr="004309B9">
              <w:t>-$30,674.36</w:t>
            </w:r>
          </w:p>
        </w:tc>
      </w:tr>
      <w:tr w:rsidR="00083FA7" w:rsidRPr="004309B9" w14:paraId="5F68D1A4" w14:textId="77777777" w:rsidTr="00B75179">
        <w:tc>
          <w:tcPr>
            <w:tcW w:w="2700" w:type="dxa"/>
          </w:tcPr>
          <w:p w14:paraId="3C179DC0" w14:textId="77777777" w:rsidR="00083FA7" w:rsidRPr="004309B9" w:rsidRDefault="00083FA7" w:rsidP="00B75179">
            <w:pPr>
              <w:pStyle w:val="TableText1"/>
            </w:pPr>
            <w:r w:rsidRPr="004309B9">
              <w:t>Incremental QALYs</w:t>
            </w:r>
          </w:p>
        </w:tc>
        <w:tc>
          <w:tcPr>
            <w:tcW w:w="3158" w:type="dxa"/>
            <w:gridSpan w:val="2"/>
            <w:vAlign w:val="center"/>
          </w:tcPr>
          <w:p w14:paraId="710BA67D" w14:textId="77777777" w:rsidR="00083FA7" w:rsidRPr="004309B9" w:rsidRDefault="00083FA7" w:rsidP="00B75179">
            <w:pPr>
              <w:pStyle w:val="TableText1"/>
            </w:pPr>
            <w:r w:rsidRPr="004309B9">
              <w:rPr>
                <w:rFonts w:cs="Calibri"/>
                <w:color w:val="000000"/>
                <w:szCs w:val="20"/>
              </w:rPr>
              <w:t>-0.0846</w:t>
            </w:r>
          </w:p>
        </w:tc>
        <w:tc>
          <w:tcPr>
            <w:tcW w:w="3158" w:type="dxa"/>
            <w:gridSpan w:val="2"/>
          </w:tcPr>
          <w:p w14:paraId="66FEFE25" w14:textId="77777777" w:rsidR="00083FA7" w:rsidRPr="004309B9" w:rsidRDefault="00083FA7" w:rsidP="00B75179">
            <w:pPr>
              <w:pStyle w:val="TableText1"/>
            </w:pPr>
            <w:r w:rsidRPr="004309B9">
              <w:t>-0.0579</w:t>
            </w:r>
          </w:p>
        </w:tc>
      </w:tr>
      <w:tr w:rsidR="00083FA7" w:rsidRPr="004309B9" w14:paraId="3060D968" w14:textId="77777777" w:rsidTr="00B75179">
        <w:tc>
          <w:tcPr>
            <w:tcW w:w="2700" w:type="dxa"/>
          </w:tcPr>
          <w:p w14:paraId="533F789D" w14:textId="77777777" w:rsidR="00083FA7" w:rsidRPr="004309B9" w:rsidRDefault="00083FA7" w:rsidP="00B75179">
            <w:pPr>
              <w:pStyle w:val="TableText1"/>
            </w:pPr>
            <w:r w:rsidRPr="004309B9">
              <w:t>ICER</w:t>
            </w:r>
          </w:p>
        </w:tc>
        <w:tc>
          <w:tcPr>
            <w:tcW w:w="3158" w:type="dxa"/>
            <w:gridSpan w:val="2"/>
            <w:vAlign w:val="center"/>
          </w:tcPr>
          <w:p w14:paraId="4502F86D" w14:textId="77777777" w:rsidR="00083FA7" w:rsidRPr="004309B9" w:rsidRDefault="00083FA7" w:rsidP="00B75179">
            <w:pPr>
              <w:pStyle w:val="TableText1"/>
            </w:pPr>
            <w:r w:rsidRPr="004309B9">
              <w:rPr>
                <w:rFonts w:cs="Calibri"/>
                <w:color w:val="000000"/>
                <w:szCs w:val="20"/>
              </w:rPr>
              <w:t>$383,877</w:t>
            </w:r>
          </w:p>
        </w:tc>
        <w:tc>
          <w:tcPr>
            <w:tcW w:w="3158" w:type="dxa"/>
            <w:gridSpan w:val="2"/>
          </w:tcPr>
          <w:p w14:paraId="1E013BD3" w14:textId="77777777" w:rsidR="00083FA7" w:rsidRPr="004309B9" w:rsidRDefault="00083FA7" w:rsidP="00B75179">
            <w:pPr>
              <w:pStyle w:val="TableText1"/>
            </w:pPr>
            <w:r w:rsidRPr="004309B9">
              <w:t>$529,325.50</w:t>
            </w:r>
          </w:p>
        </w:tc>
      </w:tr>
    </w:tbl>
    <w:p w14:paraId="720825B5" w14:textId="2AFE3BD8" w:rsidR="00D933E3" w:rsidRPr="00234DD6" w:rsidRDefault="00D933E3" w:rsidP="00F64363">
      <w:pPr>
        <w:pStyle w:val="Tablenotes1"/>
      </w:pPr>
      <w:r w:rsidRPr="004309B9">
        <w:t xml:space="preserve">Source: </w:t>
      </w:r>
      <w:r w:rsidR="000F5699" w:rsidRPr="004309B9">
        <w:t>Table 108 of resubmission</w:t>
      </w:r>
    </w:p>
    <w:p w14:paraId="6D585D1A" w14:textId="074F3A8B" w:rsidR="00D54EA3" w:rsidRPr="00234DD6" w:rsidRDefault="00083FA7" w:rsidP="00815220">
      <w:pPr>
        <w:rPr>
          <w:rFonts w:ascii="Franklin Gothic Book" w:hAnsi="Franklin Gothic Book"/>
          <w:sz w:val="22"/>
          <w:szCs w:val="22"/>
        </w:rPr>
      </w:pPr>
      <w:r w:rsidRPr="00234DD6">
        <w:rPr>
          <w:rFonts w:ascii="Franklin Gothic Book" w:hAnsi="Franklin Gothic Book"/>
          <w:sz w:val="22"/>
          <w:szCs w:val="22"/>
        </w:rPr>
        <w:t xml:space="preserve">The </w:t>
      </w:r>
      <w:r w:rsidR="00D933E3" w:rsidRPr="00234DD6">
        <w:rPr>
          <w:rFonts w:ascii="Franklin Gothic Book" w:hAnsi="Franklin Gothic Book"/>
          <w:sz w:val="22"/>
          <w:szCs w:val="22"/>
        </w:rPr>
        <w:t>commentary</w:t>
      </w:r>
      <w:r w:rsidRPr="00234DD6">
        <w:rPr>
          <w:rFonts w:ascii="Franklin Gothic Book" w:hAnsi="Franklin Gothic Book"/>
          <w:sz w:val="22"/>
          <w:szCs w:val="22"/>
        </w:rPr>
        <w:t xml:space="preserve"> further tested each </w:t>
      </w:r>
      <w:r w:rsidR="0015635D" w:rsidRPr="00234DD6">
        <w:rPr>
          <w:rFonts w:ascii="Franklin Gothic Book" w:hAnsi="Franklin Gothic Book"/>
          <w:sz w:val="22"/>
          <w:szCs w:val="22"/>
        </w:rPr>
        <w:t xml:space="preserve">parameter of the model for key drivers by changing each parameter by 20%. In doing so, the utility adverse event multiplier for each treatment was found to be the key drivers of the model, followed by the transition probability for marked improvement for each arm, and the probability of long-term adverse events for </w:t>
      </w:r>
      <w:proofErr w:type="spellStart"/>
      <w:r w:rsidR="0015635D" w:rsidRPr="00234DD6">
        <w:rPr>
          <w:rFonts w:ascii="Franklin Gothic Book" w:hAnsi="Franklin Gothic Book"/>
          <w:sz w:val="22"/>
          <w:szCs w:val="22"/>
        </w:rPr>
        <w:t>MRgFUS</w:t>
      </w:r>
      <w:proofErr w:type="spellEnd"/>
      <w:r w:rsidR="0015635D" w:rsidRPr="00234DD6">
        <w:rPr>
          <w:rFonts w:ascii="Franklin Gothic Book" w:hAnsi="Franklin Gothic Book"/>
          <w:sz w:val="22"/>
          <w:szCs w:val="22"/>
        </w:rPr>
        <w:t xml:space="preserve">. As such, the utility multiplier is the most important variable in the model to determine the validity of the model and how reflective the model is in quantifying value. Additionally, the incremental cost of </w:t>
      </w:r>
      <w:proofErr w:type="spellStart"/>
      <w:r w:rsidR="0015635D" w:rsidRPr="00234DD6">
        <w:rPr>
          <w:rFonts w:ascii="Franklin Gothic Book" w:hAnsi="Franklin Gothic Book"/>
          <w:sz w:val="22"/>
          <w:szCs w:val="22"/>
        </w:rPr>
        <w:t>MRgFUS</w:t>
      </w:r>
      <w:proofErr w:type="spellEnd"/>
      <w:r w:rsidR="0015635D" w:rsidRPr="00234DD6">
        <w:rPr>
          <w:rFonts w:ascii="Franklin Gothic Book" w:hAnsi="Franklin Gothic Book"/>
          <w:sz w:val="22"/>
          <w:szCs w:val="22"/>
        </w:rPr>
        <w:t xml:space="preserve"> is always less than DBS (when varying parameters by ±20%), </w:t>
      </w:r>
      <w:proofErr w:type="gramStart"/>
      <w:r w:rsidR="0015635D" w:rsidRPr="00234DD6">
        <w:rPr>
          <w:rFonts w:ascii="Franklin Gothic Book" w:hAnsi="Franklin Gothic Book"/>
          <w:sz w:val="22"/>
          <w:szCs w:val="22"/>
        </w:rPr>
        <w:t>with the exception of</w:t>
      </w:r>
      <w:proofErr w:type="gramEnd"/>
      <w:r w:rsidR="0015635D" w:rsidRPr="00234DD6">
        <w:rPr>
          <w:rFonts w:ascii="Franklin Gothic Book" w:hAnsi="Franklin Gothic Book"/>
          <w:sz w:val="22"/>
          <w:szCs w:val="22"/>
        </w:rPr>
        <w:t xml:space="preserve"> increasing the AE multiplier for </w:t>
      </w:r>
      <w:proofErr w:type="spellStart"/>
      <w:r w:rsidR="0015635D" w:rsidRPr="00234DD6">
        <w:rPr>
          <w:rFonts w:ascii="Franklin Gothic Book" w:hAnsi="Franklin Gothic Book"/>
          <w:sz w:val="22"/>
          <w:szCs w:val="22"/>
        </w:rPr>
        <w:t>MRgFUS</w:t>
      </w:r>
      <w:proofErr w:type="spellEnd"/>
      <w:r w:rsidR="0015635D" w:rsidRPr="00234DD6">
        <w:rPr>
          <w:rFonts w:ascii="Franklin Gothic Book" w:hAnsi="Franklin Gothic Book"/>
          <w:sz w:val="22"/>
          <w:szCs w:val="22"/>
        </w:rPr>
        <w:t xml:space="preserve"> by +20%</w:t>
      </w:r>
      <w:r w:rsidR="00DF0E6F" w:rsidRPr="00234DD6">
        <w:rPr>
          <w:rFonts w:ascii="Franklin Gothic Book" w:hAnsi="Franklin Gothic Book"/>
          <w:sz w:val="22"/>
          <w:szCs w:val="22"/>
        </w:rPr>
        <w:t>.</w:t>
      </w:r>
    </w:p>
    <w:p w14:paraId="5145E3B9" w14:textId="62EA8710" w:rsidR="00DF0E6F" w:rsidRPr="00234DD6" w:rsidRDefault="00DF0E6F" w:rsidP="00234DD6">
      <w:pPr>
        <w:pStyle w:val="Caption"/>
        <w:spacing w:before="240"/>
      </w:pPr>
      <w:bookmarkStart w:id="42" w:name="_Ref89269537"/>
      <w:r w:rsidRPr="00234DD6">
        <w:lastRenderedPageBreak/>
        <w:t xml:space="preserve">Figure </w:t>
      </w:r>
      <w:fldSimple w:instr=" SEQ Figure \* ARABIC ">
        <w:r w:rsidR="00770092" w:rsidRPr="00234DD6">
          <w:rPr>
            <w:noProof/>
          </w:rPr>
          <w:t>2</w:t>
        </w:r>
      </w:fldSimple>
      <w:bookmarkEnd w:id="42"/>
      <w:r w:rsidRPr="00234DD6">
        <w:tab/>
        <w:t>Tornado diagram of key parameters</w:t>
      </w:r>
    </w:p>
    <w:p w14:paraId="0EDDF1FC" w14:textId="3F279E3A" w:rsidR="00DF0E6F" w:rsidRDefault="00DF0E6F" w:rsidP="00EE48BF">
      <w:pPr>
        <w:pStyle w:val="TableNote"/>
      </w:pPr>
      <w:r w:rsidRPr="006431C1">
        <w:drawing>
          <wp:inline distT="0" distB="0" distL="0" distR="0" wp14:anchorId="7941D6FB" wp14:editId="4EB9C6F9">
            <wp:extent cx="5731510" cy="3223895"/>
            <wp:effectExtent l="0" t="0" r="2540" b="0"/>
            <wp:docPr id="18" name="Picture 18" descr="Tornado diagram of key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ornado diagram of key paramet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6DEDEE5C" w14:textId="23C72187" w:rsidR="00EE48BF" w:rsidRPr="006431C1" w:rsidRDefault="00EE48BF" w:rsidP="00D960B0">
      <w:pPr>
        <w:pStyle w:val="TableNote"/>
      </w:pPr>
      <w:r>
        <w:t>Source: Figure 2 of the commentary</w:t>
      </w:r>
    </w:p>
    <w:p w14:paraId="61E0BF5F" w14:textId="5A4C6E9E" w:rsidR="00815220" w:rsidRPr="00234DD6" w:rsidRDefault="00D54EA3" w:rsidP="00234DD6">
      <w:pPr>
        <w:spacing w:before="240"/>
        <w:rPr>
          <w:rFonts w:ascii="Franklin Gothic Book" w:hAnsi="Franklin Gothic Book"/>
          <w:sz w:val="22"/>
          <w:szCs w:val="22"/>
        </w:rPr>
      </w:pPr>
      <w:r w:rsidRPr="00234DD6">
        <w:rPr>
          <w:rFonts w:ascii="Franklin Gothic Book" w:hAnsi="Franklin Gothic Book"/>
          <w:sz w:val="22"/>
          <w:szCs w:val="22"/>
        </w:rPr>
        <w:t xml:space="preserve">Of note, the applicant disagreed with the claim that the multiplier was a key driver of the model, noting that when this variable is completely removed, the results of the model remained in the south-west quadrant of the cost effectiveness plane. </w:t>
      </w:r>
      <w:proofErr w:type="gramStart"/>
      <w:r w:rsidRPr="00234DD6">
        <w:rPr>
          <w:rFonts w:ascii="Franklin Gothic Book" w:hAnsi="Franklin Gothic Book"/>
          <w:sz w:val="22"/>
          <w:szCs w:val="22"/>
        </w:rPr>
        <w:t>Instead</w:t>
      </w:r>
      <w:proofErr w:type="gramEnd"/>
      <w:r w:rsidRPr="00234DD6">
        <w:rPr>
          <w:rFonts w:ascii="Franklin Gothic Book" w:hAnsi="Franklin Gothic Book"/>
          <w:sz w:val="22"/>
          <w:szCs w:val="22"/>
        </w:rPr>
        <w:t xml:space="preserve"> the applicant argued that the main driver of the results of the cost-utility analysis is the conservatively estimated cost saving of greater than $30,000 per patient in favour of </w:t>
      </w:r>
      <w:proofErr w:type="spellStart"/>
      <w:r w:rsidRPr="00234DD6">
        <w:rPr>
          <w:rFonts w:ascii="Franklin Gothic Book" w:hAnsi="Franklin Gothic Book"/>
          <w:sz w:val="22"/>
          <w:szCs w:val="22"/>
        </w:rPr>
        <w:t>MRgFUS</w:t>
      </w:r>
      <w:proofErr w:type="spellEnd"/>
      <w:r w:rsidR="00CD1C48" w:rsidRPr="00234DD6">
        <w:rPr>
          <w:rFonts w:ascii="Franklin Gothic Book" w:hAnsi="Franklin Gothic Book"/>
          <w:sz w:val="22"/>
          <w:szCs w:val="22"/>
        </w:rPr>
        <w:t xml:space="preserve"> (as outlined in Table 105 of the </w:t>
      </w:r>
      <w:r w:rsidR="000F5699" w:rsidRPr="00234DD6">
        <w:rPr>
          <w:rFonts w:ascii="Franklin Gothic Book" w:hAnsi="Franklin Gothic Book"/>
          <w:sz w:val="22"/>
          <w:szCs w:val="22"/>
        </w:rPr>
        <w:t>r</w:t>
      </w:r>
      <w:r w:rsidR="00CD1C48" w:rsidRPr="00234DD6">
        <w:rPr>
          <w:rFonts w:ascii="Franklin Gothic Book" w:hAnsi="Franklin Gothic Book"/>
          <w:sz w:val="22"/>
          <w:szCs w:val="22"/>
        </w:rPr>
        <w:t>esubmission)</w:t>
      </w:r>
      <w:r w:rsidRPr="00234DD6">
        <w:rPr>
          <w:rFonts w:ascii="Franklin Gothic Book" w:hAnsi="Franklin Gothic Book"/>
          <w:sz w:val="22"/>
          <w:szCs w:val="22"/>
        </w:rPr>
        <w:t xml:space="preserve">. </w:t>
      </w:r>
    </w:p>
    <w:p w14:paraId="61DF0663" w14:textId="13D72C71" w:rsidR="00815220" w:rsidRPr="00234DD6" w:rsidRDefault="0015635D" w:rsidP="00234DD6">
      <w:pPr>
        <w:spacing w:before="240"/>
        <w:rPr>
          <w:rFonts w:ascii="Franklin Gothic Book" w:hAnsi="Franklin Gothic Book"/>
          <w:sz w:val="22"/>
          <w:szCs w:val="22"/>
        </w:rPr>
      </w:pPr>
      <w:r w:rsidRPr="00234DD6">
        <w:rPr>
          <w:rFonts w:ascii="Franklin Gothic Book" w:hAnsi="Franklin Gothic Book"/>
          <w:sz w:val="22"/>
          <w:szCs w:val="22"/>
        </w:rPr>
        <w:t>A</w:t>
      </w:r>
      <w:r w:rsidR="00815220" w:rsidRPr="00234DD6">
        <w:rPr>
          <w:rFonts w:ascii="Franklin Gothic Book" w:hAnsi="Franklin Gothic Book"/>
          <w:sz w:val="22"/>
          <w:szCs w:val="22"/>
        </w:rPr>
        <w:t xml:space="preserve"> threshold analysis was conducted by the assessment group to assess what the impact of any variation in the</w:t>
      </w:r>
      <w:r w:rsidRPr="00234DD6">
        <w:rPr>
          <w:rFonts w:ascii="Franklin Gothic Book" w:hAnsi="Franklin Gothic Book"/>
          <w:sz w:val="22"/>
          <w:szCs w:val="22"/>
        </w:rPr>
        <w:t xml:space="preserve"> utility multiplier</w:t>
      </w:r>
      <w:r w:rsidR="00815220" w:rsidRPr="00234DD6">
        <w:rPr>
          <w:rFonts w:ascii="Franklin Gothic Book" w:hAnsi="Franklin Gothic Book"/>
          <w:sz w:val="22"/>
          <w:szCs w:val="22"/>
        </w:rPr>
        <w:t xml:space="preserve"> had to </w:t>
      </w:r>
      <w:r w:rsidR="00815220" w:rsidRPr="004309B9">
        <w:rPr>
          <w:rFonts w:ascii="Franklin Gothic Book" w:hAnsi="Franklin Gothic Book"/>
          <w:sz w:val="22"/>
          <w:szCs w:val="22"/>
        </w:rPr>
        <w:t xml:space="preserve">the model. By varying the utility multiplier for </w:t>
      </w:r>
      <w:proofErr w:type="spellStart"/>
      <w:r w:rsidR="00815220" w:rsidRPr="004309B9">
        <w:rPr>
          <w:rFonts w:ascii="Franklin Gothic Book" w:hAnsi="Franklin Gothic Book"/>
          <w:sz w:val="22"/>
          <w:szCs w:val="22"/>
        </w:rPr>
        <w:t>MRgFUS</w:t>
      </w:r>
      <w:proofErr w:type="spellEnd"/>
      <w:r w:rsidR="00815220" w:rsidRPr="004309B9">
        <w:rPr>
          <w:rFonts w:ascii="Franklin Gothic Book" w:hAnsi="Franklin Gothic Book"/>
          <w:sz w:val="22"/>
          <w:szCs w:val="22"/>
        </w:rPr>
        <w:t xml:space="preserve"> from 0 to 1 in 10% increments, the ICER changed from $35,518/QALY gained (multiplier = 0), through to $328,469/QALY gained when the multiplier was set at 0.80. When the multiplier is set to near 0.90, the accrued benefit for </w:t>
      </w:r>
      <w:proofErr w:type="spellStart"/>
      <w:r w:rsidR="00815220" w:rsidRPr="004309B9">
        <w:rPr>
          <w:rFonts w:ascii="Franklin Gothic Book" w:hAnsi="Franklin Gothic Book"/>
          <w:sz w:val="22"/>
          <w:szCs w:val="22"/>
        </w:rPr>
        <w:t>MRgFUS</w:t>
      </w:r>
      <w:proofErr w:type="spellEnd"/>
      <w:r w:rsidR="00815220" w:rsidRPr="004309B9">
        <w:rPr>
          <w:rFonts w:ascii="Franklin Gothic Book" w:hAnsi="Franklin Gothic Book"/>
          <w:sz w:val="22"/>
          <w:szCs w:val="22"/>
        </w:rPr>
        <w:t xml:space="preserve"> is greater</w:t>
      </w:r>
      <w:r w:rsidR="00815220" w:rsidRPr="00234DD6">
        <w:rPr>
          <w:rFonts w:ascii="Franklin Gothic Book" w:hAnsi="Franklin Gothic Book"/>
          <w:sz w:val="22"/>
          <w:szCs w:val="22"/>
        </w:rPr>
        <w:t xml:space="preserve"> than the accrued benefit for DBS, resulting in a dominant ICER for </w:t>
      </w:r>
      <w:proofErr w:type="spellStart"/>
      <w:r w:rsidR="00815220" w:rsidRPr="00234DD6">
        <w:rPr>
          <w:rFonts w:ascii="Franklin Gothic Book" w:hAnsi="Franklin Gothic Book"/>
          <w:sz w:val="22"/>
          <w:szCs w:val="22"/>
        </w:rPr>
        <w:t>MRgFUS</w:t>
      </w:r>
      <w:proofErr w:type="spellEnd"/>
      <w:r w:rsidR="00DF0E6F" w:rsidRPr="00234DD6">
        <w:rPr>
          <w:rFonts w:ascii="Franklin Gothic Book" w:hAnsi="Franklin Gothic Book"/>
          <w:sz w:val="22"/>
          <w:szCs w:val="22"/>
        </w:rPr>
        <w:t xml:space="preserve"> (Figure 3)</w:t>
      </w:r>
      <w:r w:rsidR="00815220" w:rsidRPr="00234DD6">
        <w:rPr>
          <w:rFonts w:ascii="Franklin Gothic Book" w:hAnsi="Franklin Gothic Book"/>
          <w:sz w:val="22"/>
          <w:szCs w:val="22"/>
        </w:rPr>
        <w:t>.</w:t>
      </w:r>
    </w:p>
    <w:p w14:paraId="2EBD1C07" w14:textId="413C7C43" w:rsidR="00491E64" w:rsidRPr="00234DD6" w:rsidRDefault="00491E64" w:rsidP="00234DD6">
      <w:pPr>
        <w:pStyle w:val="Caption"/>
        <w:spacing w:before="240"/>
      </w:pPr>
      <w:bookmarkStart w:id="43" w:name="_Ref89269551"/>
      <w:bookmarkStart w:id="44" w:name="_Toc92902717"/>
      <w:r w:rsidRPr="00234DD6">
        <w:lastRenderedPageBreak/>
        <w:t xml:space="preserve">Figure </w:t>
      </w:r>
      <w:fldSimple w:instr=" SEQ Figure \* ARABIC ">
        <w:r w:rsidR="00770092" w:rsidRPr="00234DD6">
          <w:rPr>
            <w:noProof/>
          </w:rPr>
          <w:t>3</w:t>
        </w:r>
      </w:fldSimple>
      <w:bookmarkEnd w:id="43"/>
      <w:r w:rsidRPr="00234DD6">
        <w:tab/>
        <w:t>Threshold analysis changing the utility adverse event multiplier for DBS</w:t>
      </w:r>
      <w:bookmarkEnd w:id="44"/>
    </w:p>
    <w:p w14:paraId="44A47B12" w14:textId="3823E76C" w:rsidR="00DF0E6F" w:rsidRDefault="00491E64" w:rsidP="00815220">
      <w:pPr>
        <w:rPr>
          <w:rFonts w:ascii="Franklin Gothic Book" w:hAnsi="Franklin Gothic Book"/>
        </w:rPr>
      </w:pPr>
      <w:r w:rsidRPr="006431C1">
        <w:rPr>
          <w:rFonts w:ascii="Franklin Gothic Book" w:hAnsi="Franklin Gothic Book"/>
          <w:noProof/>
        </w:rPr>
        <w:drawing>
          <wp:inline distT="0" distB="0" distL="0" distR="0" wp14:anchorId="510101F9" wp14:editId="1F05BA65">
            <wp:extent cx="5191125" cy="3740072"/>
            <wp:effectExtent l="0" t="0" r="0" b="0"/>
            <wp:docPr id="20" name="Picture 20" descr="Threshold analysis changing the utility adverse event multiplier for 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reshold analysis changing the utility adverse event multiplier for DBS"/>
                    <pic:cNvPicPr/>
                  </pic:nvPicPr>
                  <pic:blipFill>
                    <a:blip r:embed="rId22"/>
                    <a:stretch>
                      <a:fillRect/>
                    </a:stretch>
                  </pic:blipFill>
                  <pic:spPr>
                    <a:xfrm>
                      <a:off x="0" y="0"/>
                      <a:ext cx="5198048" cy="3745060"/>
                    </a:xfrm>
                    <a:prstGeom prst="rect">
                      <a:avLst/>
                    </a:prstGeom>
                  </pic:spPr>
                </pic:pic>
              </a:graphicData>
            </a:graphic>
          </wp:inline>
        </w:drawing>
      </w:r>
    </w:p>
    <w:p w14:paraId="5471F951" w14:textId="3DF92A1F" w:rsidR="00EE48BF" w:rsidRPr="00D960B0" w:rsidRDefault="00EE48BF" w:rsidP="00D960B0">
      <w:pPr>
        <w:pStyle w:val="TableNote"/>
      </w:pPr>
      <w:r>
        <w:t>Source: Figure 3 of the commentary</w:t>
      </w:r>
    </w:p>
    <w:p w14:paraId="0BA6A387" w14:textId="791E0E8D" w:rsidR="00815220" w:rsidRPr="004309B9" w:rsidRDefault="00815220" w:rsidP="00234DD6">
      <w:pPr>
        <w:spacing w:before="240"/>
        <w:rPr>
          <w:rFonts w:ascii="Franklin Gothic Book" w:hAnsi="Franklin Gothic Book"/>
          <w:sz w:val="22"/>
          <w:szCs w:val="22"/>
        </w:rPr>
      </w:pPr>
      <w:r w:rsidRPr="00234DD6">
        <w:rPr>
          <w:rFonts w:ascii="Franklin Gothic Book" w:hAnsi="Franklin Gothic Book"/>
          <w:sz w:val="22"/>
          <w:szCs w:val="22"/>
        </w:rPr>
        <w:t xml:space="preserve">By varying the utility multiplier for DBS from 0 to 1 in 10% increments, the impact to the ICER is reversed, changed from </w:t>
      </w:r>
      <w:r w:rsidR="004309B9">
        <w:rPr>
          <w:rFonts w:ascii="Franklin Gothic Book" w:hAnsi="Franklin Gothic Book"/>
          <w:sz w:val="22"/>
          <w:szCs w:val="22"/>
        </w:rPr>
        <w:t xml:space="preserve">dominance </w:t>
      </w:r>
      <w:r w:rsidRPr="00234DD6">
        <w:rPr>
          <w:rFonts w:ascii="Franklin Gothic Book" w:hAnsi="Franklin Gothic Book"/>
          <w:sz w:val="22"/>
          <w:szCs w:val="22"/>
        </w:rPr>
        <w:t>(multiplier = 0</w:t>
      </w:r>
      <w:r w:rsidR="004309B9">
        <w:rPr>
          <w:rFonts w:ascii="Franklin Gothic Book" w:hAnsi="Franklin Gothic Book"/>
          <w:sz w:val="22"/>
          <w:szCs w:val="22"/>
        </w:rPr>
        <w:t>)</w:t>
      </w:r>
      <w:r w:rsidRPr="00234DD6">
        <w:rPr>
          <w:rFonts w:ascii="Franklin Gothic Book" w:hAnsi="Franklin Gothic Book"/>
          <w:sz w:val="22"/>
          <w:szCs w:val="22"/>
        </w:rPr>
        <w:t xml:space="preserve">, becoming a positive value ICER when the DBS utility multiplier parameter was set to ~0.55. The ICER </w:t>
      </w:r>
      <w:r w:rsidRPr="004309B9">
        <w:rPr>
          <w:rFonts w:ascii="Franklin Gothic Book" w:hAnsi="Franklin Gothic Book"/>
          <w:sz w:val="22"/>
          <w:szCs w:val="22"/>
        </w:rPr>
        <w:t>decreases from $1,679,694/QALY gained when the DBS utility multiplier parameter is set at 0.6 to $173,964/QALY gained, when the DBS utility multiplier parameter is set at 1.0.</w:t>
      </w:r>
    </w:p>
    <w:p w14:paraId="2105C319" w14:textId="77777777" w:rsidR="00815220" w:rsidRPr="004309B9" w:rsidRDefault="00815220" w:rsidP="00234DD6">
      <w:pPr>
        <w:spacing w:before="240"/>
        <w:rPr>
          <w:rFonts w:ascii="Franklin Gothic Book" w:hAnsi="Franklin Gothic Book"/>
          <w:sz w:val="22"/>
          <w:szCs w:val="22"/>
        </w:rPr>
      </w:pPr>
      <w:r w:rsidRPr="004309B9">
        <w:rPr>
          <w:rFonts w:ascii="Franklin Gothic Book" w:hAnsi="Franklin Gothic Book"/>
          <w:sz w:val="22"/>
          <w:szCs w:val="22"/>
        </w:rPr>
        <w:t xml:space="preserve">It is unlikely that the </w:t>
      </w:r>
      <w:proofErr w:type="spellStart"/>
      <w:r w:rsidRPr="004309B9">
        <w:rPr>
          <w:rFonts w:ascii="Franklin Gothic Book" w:hAnsi="Franklin Gothic Book"/>
          <w:sz w:val="22"/>
          <w:szCs w:val="22"/>
        </w:rPr>
        <w:t>MRgFUS</w:t>
      </w:r>
      <w:proofErr w:type="spellEnd"/>
      <w:r w:rsidRPr="004309B9">
        <w:rPr>
          <w:rFonts w:ascii="Franklin Gothic Book" w:hAnsi="Franklin Gothic Book"/>
          <w:sz w:val="22"/>
          <w:szCs w:val="22"/>
        </w:rPr>
        <w:t xml:space="preserve"> utility multiplier parameter would be greater than 0.90 and unlikely that the DBS utility multiplier parameter would be less than 0.55, therefore </w:t>
      </w:r>
      <w:proofErr w:type="spellStart"/>
      <w:r w:rsidRPr="004309B9">
        <w:rPr>
          <w:rFonts w:ascii="Franklin Gothic Book" w:hAnsi="Franklin Gothic Book"/>
          <w:sz w:val="22"/>
          <w:szCs w:val="22"/>
        </w:rPr>
        <w:t>MRgFUS</w:t>
      </w:r>
      <w:proofErr w:type="spellEnd"/>
      <w:r w:rsidRPr="004309B9">
        <w:rPr>
          <w:rFonts w:ascii="Franklin Gothic Book" w:hAnsi="Franklin Gothic Book"/>
          <w:sz w:val="22"/>
          <w:szCs w:val="22"/>
        </w:rPr>
        <w:t xml:space="preserve"> would not be dominant over DBS.</w:t>
      </w:r>
    </w:p>
    <w:p w14:paraId="2A768813" w14:textId="76E338C5" w:rsidR="00815220" w:rsidRPr="00234DD6" w:rsidRDefault="005F2A3C" w:rsidP="00234DD6">
      <w:pPr>
        <w:spacing w:before="240"/>
        <w:rPr>
          <w:rFonts w:ascii="Franklin Gothic Book" w:hAnsi="Franklin Gothic Book"/>
          <w:sz w:val="22"/>
          <w:szCs w:val="22"/>
        </w:rPr>
      </w:pPr>
      <w:r w:rsidRPr="004309B9">
        <w:rPr>
          <w:rFonts w:ascii="Franklin Gothic Book" w:hAnsi="Franklin Gothic Book"/>
          <w:sz w:val="22"/>
          <w:szCs w:val="22"/>
        </w:rPr>
        <w:t>The commentary noted that there are discrepancies between the Giordano et al. (2020)</w:t>
      </w:r>
      <w:r w:rsidR="003866FE" w:rsidRPr="004309B9">
        <w:rPr>
          <w:rFonts w:ascii="Franklin Gothic Book" w:hAnsi="Franklin Gothic Book"/>
          <w:sz w:val="22"/>
          <w:szCs w:val="22"/>
          <w:vertAlign w:val="superscript"/>
        </w:rPr>
        <w:t xml:space="preserve"> 9</w:t>
      </w:r>
      <w:r w:rsidRPr="004309B9">
        <w:rPr>
          <w:rFonts w:ascii="Franklin Gothic Book" w:hAnsi="Franklin Gothic Book"/>
          <w:sz w:val="22"/>
          <w:szCs w:val="22"/>
        </w:rPr>
        <w:t xml:space="preserve"> and the Ravikumar et al. (2017)</w:t>
      </w:r>
      <w:r w:rsidR="008E59CE" w:rsidRPr="004309B9">
        <w:rPr>
          <w:rFonts w:ascii="Franklin Gothic Book" w:hAnsi="Franklin Gothic Book"/>
          <w:sz w:val="22"/>
          <w:szCs w:val="22"/>
          <w:vertAlign w:val="superscript"/>
        </w:rPr>
        <w:t>1</w:t>
      </w:r>
      <w:r w:rsidR="00744A81" w:rsidRPr="004309B9">
        <w:rPr>
          <w:rFonts w:ascii="Franklin Gothic Book" w:hAnsi="Franklin Gothic Book"/>
          <w:sz w:val="22"/>
          <w:szCs w:val="22"/>
          <w:vertAlign w:val="superscript"/>
        </w:rPr>
        <w:t>6</w:t>
      </w:r>
      <w:r w:rsidRPr="004309B9">
        <w:rPr>
          <w:rFonts w:ascii="Franklin Gothic Book" w:hAnsi="Franklin Gothic Book"/>
          <w:sz w:val="22"/>
          <w:szCs w:val="22"/>
        </w:rPr>
        <w:t xml:space="preserve"> systematic reviews in identifying transient adverse events, suggesting the totality of the different adverse event profiles of the two interventions are not adequately quantified. The resubmission’s sensitivity analysis in Table 1</w:t>
      </w:r>
      <w:r w:rsidR="004359E1" w:rsidRPr="004309B9">
        <w:rPr>
          <w:rFonts w:ascii="Franklin Gothic Book" w:hAnsi="Franklin Gothic Book"/>
          <w:sz w:val="22"/>
          <w:szCs w:val="22"/>
        </w:rPr>
        <w:t>3</w:t>
      </w:r>
      <w:r w:rsidRPr="004309B9">
        <w:rPr>
          <w:rFonts w:ascii="Franklin Gothic Book" w:hAnsi="Franklin Gothic Book"/>
          <w:sz w:val="22"/>
          <w:szCs w:val="22"/>
        </w:rPr>
        <w:t xml:space="preserve"> which uses the adverse event profile from the Huss et al (2015)</w:t>
      </w:r>
      <w:r w:rsidR="003866FE" w:rsidRPr="004309B9">
        <w:rPr>
          <w:rFonts w:ascii="Franklin Gothic Book" w:hAnsi="Franklin Gothic Book"/>
          <w:sz w:val="22"/>
          <w:szCs w:val="22"/>
          <w:vertAlign w:val="superscript"/>
        </w:rPr>
        <w:t>1</w:t>
      </w:r>
      <w:r w:rsidRPr="004309B9">
        <w:rPr>
          <w:rFonts w:ascii="Franklin Gothic Book" w:hAnsi="Franklin Gothic Book"/>
          <w:sz w:val="22"/>
          <w:szCs w:val="22"/>
        </w:rPr>
        <w:t xml:space="preserve"> study also attempted to address this uncertainty. With this sensitivity analysis, there is less cost savings with </w:t>
      </w:r>
      <w:proofErr w:type="spellStart"/>
      <w:r w:rsidRPr="004309B9">
        <w:rPr>
          <w:rFonts w:ascii="Franklin Gothic Book" w:hAnsi="Franklin Gothic Book"/>
          <w:sz w:val="22"/>
          <w:szCs w:val="22"/>
        </w:rPr>
        <w:t>MRgFUS</w:t>
      </w:r>
      <w:proofErr w:type="spellEnd"/>
      <w:r w:rsidRPr="004309B9">
        <w:rPr>
          <w:rFonts w:ascii="Franklin Gothic Book" w:hAnsi="Franklin Gothic Book"/>
          <w:sz w:val="22"/>
          <w:szCs w:val="22"/>
        </w:rPr>
        <w:t xml:space="preserve"> compared with DBS ($30,674: Huss et al 2015</w:t>
      </w:r>
      <w:r w:rsidR="003866FE" w:rsidRPr="004309B9">
        <w:rPr>
          <w:rFonts w:ascii="Franklin Gothic Book" w:hAnsi="Franklin Gothic Book"/>
          <w:sz w:val="22"/>
          <w:szCs w:val="22"/>
          <w:vertAlign w:val="superscript"/>
        </w:rPr>
        <w:t>1</w:t>
      </w:r>
      <w:r w:rsidRPr="004309B9">
        <w:rPr>
          <w:rFonts w:ascii="Franklin Gothic Book" w:hAnsi="Franklin Gothic Book"/>
          <w:sz w:val="22"/>
          <w:szCs w:val="22"/>
        </w:rPr>
        <w:t xml:space="preserve">; compared with $32,467: base case) but also less incremental difference in benefit favouring DBS (-0.0579: Huss et al </w:t>
      </w:r>
      <w:proofErr w:type="gramStart"/>
      <w:r w:rsidRPr="004309B9">
        <w:rPr>
          <w:rFonts w:ascii="Franklin Gothic Book" w:hAnsi="Franklin Gothic Book"/>
          <w:sz w:val="22"/>
          <w:szCs w:val="22"/>
        </w:rPr>
        <w:t>2015</w:t>
      </w:r>
      <w:r w:rsidR="003866FE" w:rsidRPr="004309B9">
        <w:rPr>
          <w:rFonts w:ascii="Franklin Gothic Book" w:hAnsi="Franklin Gothic Book"/>
          <w:sz w:val="22"/>
          <w:szCs w:val="22"/>
          <w:vertAlign w:val="superscript"/>
        </w:rPr>
        <w:t>1</w:t>
      </w:r>
      <w:r w:rsidRPr="004309B9">
        <w:rPr>
          <w:rFonts w:ascii="Franklin Gothic Book" w:hAnsi="Franklin Gothic Book"/>
          <w:sz w:val="22"/>
          <w:szCs w:val="22"/>
        </w:rPr>
        <w:t>;  compared</w:t>
      </w:r>
      <w:proofErr w:type="gramEnd"/>
      <w:r w:rsidRPr="004309B9">
        <w:rPr>
          <w:rFonts w:ascii="Franklin Gothic Book" w:hAnsi="Franklin Gothic Book"/>
          <w:sz w:val="22"/>
          <w:szCs w:val="22"/>
        </w:rPr>
        <w:t xml:space="preserve"> with -0.0846: base case). The resubmission uses this analysis to justify the base case as the conservative estimate. </w:t>
      </w:r>
      <w:proofErr w:type="gramStart"/>
      <w:r w:rsidRPr="004309B9">
        <w:rPr>
          <w:rFonts w:ascii="Franklin Gothic Book" w:hAnsi="Franklin Gothic Book"/>
          <w:sz w:val="22"/>
          <w:szCs w:val="22"/>
        </w:rPr>
        <w:t>However</w:t>
      </w:r>
      <w:proofErr w:type="gramEnd"/>
      <w:r w:rsidRPr="004309B9">
        <w:rPr>
          <w:rFonts w:ascii="Franklin Gothic Book" w:hAnsi="Franklin Gothic Book"/>
          <w:sz w:val="22"/>
          <w:szCs w:val="22"/>
        </w:rPr>
        <w:t xml:space="preserve"> the commentary noted that the use of the Huss et al (2015)</w:t>
      </w:r>
      <w:r w:rsidR="003866FE" w:rsidRPr="004309B9">
        <w:rPr>
          <w:rFonts w:ascii="Franklin Gothic Book" w:hAnsi="Franklin Gothic Book"/>
          <w:sz w:val="22"/>
          <w:szCs w:val="22"/>
          <w:vertAlign w:val="superscript"/>
        </w:rPr>
        <w:t xml:space="preserve"> 1</w:t>
      </w:r>
      <w:r w:rsidRPr="004309B9">
        <w:rPr>
          <w:rFonts w:ascii="Franklin Gothic Book" w:hAnsi="Franklin Gothic Book"/>
          <w:sz w:val="22"/>
          <w:szCs w:val="22"/>
        </w:rPr>
        <w:t xml:space="preserve"> adverse events means the resubmission also sources more utility values from Ravikumar et al (2017</w:t>
      </w:r>
      <w:r w:rsidRPr="00234DD6">
        <w:rPr>
          <w:rFonts w:ascii="Franklin Gothic Book" w:hAnsi="Franklin Gothic Book"/>
          <w:sz w:val="22"/>
          <w:szCs w:val="22"/>
        </w:rPr>
        <w:t>)</w:t>
      </w:r>
      <w:r w:rsidR="00744A81" w:rsidRPr="00234DD6">
        <w:rPr>
          <w:rFonts w:ascii="Franklin Gothic Book" w:hAnsi="Franklin Gothic Book"/>
          <w:sz w:val="22"/>
          <w:szCs w:val="22"/>
          <w:vertAlign w:val="superscript"/>
        </w:rPr>
        <w:t xml:space="preserve"> 16</w:t>
      </w:r>
      <w:r w:rsidRPr="00234DD6">
        <w:rPr>
          <w:rFonts w:ascii="Franklin Gothic Book" w:hAnsi="Franklin Gothic Book"/>
          <w:sz w:val="22"/>
          <w:szCs w:val="22"/>
        </w:rPr>
        <w:t>, which increases the uncertainty of these results.</w:t>
      </w:r>
    </w:p>
    <w:p w14:paraId="6636108A" w14:textId="558E8E2D" w:rsidR="00D54EA3" w:rsidRPr="00234DD6" w:rsidRDefault="00D54EA3" w:rsidP="008B6C92">
      <w:pPr>
        <w:rPr>
          <w:rFonts w:ascii="Franklin Gothic Book" w:hAnsi="Franklin Gothic Book"/>
          <w:sz w:val="22"/>
          <w:szCs w:val="22"/>
        </w:rPr>
      </w:pPr>
      <w:r w:rsidRPr="00234DD6">
        <w:rPr>
          <w:rFonts w:ascii="Franklin Gothic Book" w:hAnsi="Franklin Gothic Book"/>
          <w:sz w:val="22"/>
          <w:szCs w:val="22"/>
        </w:rPr>
        <w:t>The applicant’s pre-ESC response noted that both Giordano et al. (2020)</w:t>
      </w:r>
      <w:r w:rsidR="003866FE" w:rsidRPr="00234DD6">
        <w:rPr>
          <w:rFonts w:ascii="Franklin Gothic Book" w:hAnsi="Franklin Gothic Book"/>
          <w:sz w:val="22"/>
          <w:szCs w:val="22"/>
          <w:vertAlign w:val="superscript"/>
        </w:rPr>
        <w:t>9</w:t>
      </w:r>
      <w:r w:rsidRPr="00234DD6">
        <w:rPr>
          <w:rFonts w:ascii="Franklin Gothic Book" w:hAnsi="Franklin Gothic Book"/>
          <w:sz w:val="22"/>
          <w:szCs w:val="22"/>
        </w:rPr>
        <w:t>and Ravikumar et al. (2017)</w:t>
      </w:r>
      <w:r w:rsidR="00B458FB" w:rsidRPr="00234DD6">
        <w:rPr>
          <w:rFonts w:ascii="Franklin Gothic Book" w:hAnsi="Franklin Gothic Book"/>
          <w:sz w:val="22"/>
          <w:szCs w:val="22"/>
          <w:vertAlign w:val="superscript"/>
        </w:rPr>
        <w:t>16</w:t>
      </w:r>
      <w:r w:rsidR="007113DC" w:rsidRPr="00234DD6">
        <w:rPr>
          <w:rStyle w:val="FootnoteReference"/>
          <w:rFonts w:ascii="Franklin Gothic Book" w:hAnsi="Franklin Gothic Book"/>
          <w:sz w:val="22"/>
          <w:szCs w:val="22"/>
        </w:rPr>
        <w:t xml:space="preserve"> </w:t>
      </w:r>
      <w:r w:rsidRPr="00234DD6">
        <w:rPr>
          <w:rFonts w:ascii="Franklin Gothic Book" w:hAnsi="Franklin Gothic Book"/>
          <w:sz w:val="22"/>
          <w:szCs w:val="22"/>
        </w:rPr>
        <w:t xml:space="preserve">were based largely on level IV evidence; however, as Ravikumar did not report long term AEs and because ESC </w:t>
      </w:r>
      <w:proofErr w:type="gramStart"/>
      <w:r w:rsidRPr="00234DD6">
        <w:rPr>
          <w:rFonts w:ascii="Franklin Gothic Book" w:hAnsi="Franklin Gothic Book"/>
          <w:sz w:val="22"/>
          <w:szCs w:val="22"/>
        </w:rPr>
        <w:t>have</w:t>
      </w:r>
      <w:proofErr w:type="gramEnd"/>
      <w:r w:rsidRPr="00234DD6">
        <w:rPr>
          <w:rFonts w:ascii="Franklin Gothic Book" w:hAnsi="Franklin Gothic Book"/>
          <w:sz w:val="22"/>
          <w:szCs w:val="22"/>
        </w:rPr>
        <w:t xml:space="preserve"> previously considered Ravikumar (2017)</w:t>
      </w:r>
      <w:r w:rsidR="00B458FB" w:rsidRPr="00234DD6">
        <w:rPr>
          <w:rFonts w:ascii="Franklin Gothic Book" w:hAnsi="Franklin Gothic Book"/>
          <w:sz w:val="22"/>
          <w:szCs w:val="22"/>
          <w:vertAlign w:val="superscript"/>
        </w:rPr>
        <w:t xml:space="preserve"> 16</w:t>
      </w:r>
      <w:r w:rsidRPr="00234DD6">
        <w:rPr>
          <w:rFonts w:ascii="Franklin Gothic Book" w:hAnsi="Franklin Gothic Book"/>
          <w:sz w:val="22"/>
          <w:szCs w:val="22"/>
        </w:rPr>
        <w:t>, it was considered appropriate to include estimates from Giordano (2020)</w:t>
      </w:r>
      <w:r w:rsidR="003866FE" w:rsidRPr="00234DD6">
        <w:rPr>
          <w:rFonts w:ascii="Franklin Gothic Book" w:hAnsi="Franklin Gothic Book"/>
          <w:sz w:val="22"/>
          <w:szCs w:val="22"/>
          <w:vertAlign w:val="superscript"/>
        </w:rPr>
        <w:t>9</w:t>
      </w:r>
      <w:r w:rsidRPr="00234DD6">
        <w:rPr>
          <w:rFonts w:ascii="Franklin Gothic Book" w:hAnsi="Franklin Gothic Book"/>
          <w:sz w:val="22"/>
          <w:szCs w:val="22"/>
        </w:rPr>
        <w:t>in the base case.</w:t>
      </w:r>
    </w:p>
    <w:p w14:paraId="3A97B7BB" w14:textId="77777777" w:rsidR="00CA7829" w:rsidRPr="0089471B" w:rsidRDefault="00815220" w:rsidP="0089471B">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89471B">
        <w:rPr>
          <w:rFonts w:ascii="Franklin Gothic Medium" w:eastAsia="SimSun" w:hAnsi="Franklin Gothic Medium" w:cs="Times New Roman"/>
          <w:b w:val="0"/>
          <w:bCs w:val="0"/>
          <w:color w:val="000000"/>
          <w:sz w:val="32"/>
          <w:szCs w:val="26"/>
          <w:lang w:eastAsia="en-US"/>
        </w:rPr>
        <w:lastRenderedPageBreak/>
        <w:t>Financial/budgetary impacts</w:t>
      </w:r>
    </w:p>
    <w:p w14:paraId="2C1ADEA7" w14:textId="11E2295D" w:rsidR="00CF656A" w:rsidRPr="00234DD6" w:rsidRDefault="00815220" w:rsidP="00F64363">
      <w:pPr>
        <w:pStyle w:val="NormalBeforeBullet"/>
        <w:rPr>
          <w:rFonts w:ascii="Franklin Gothic Book" w:hAnsi="Franklin Gothic Book"/>
          <w:sz w:val="22"/>
          <w:szCs w:val="22"/>
        </w:rPr>
      </w:pPr>
      <w:r w:rsidRPr="00234DD6">
        <w:rPr>
          <w:rFonts w:ascii="Franklin Gothic Book" w:hAnsi="Franklin Gothic Book"/>
          <w:sz w:val="22"/>
          <w:szCs w:val="22"/>
        </w:rPr>
        <w:t xml:space="preserve">The financial analysis assumed proportions of otherwise </w:t>
      </w:r>
      <w:proofErr w:type="gramStart"/>
      <w:r w:rsidRPr="00234DD6">
        <w:rPr>
          <w:rFonts w:ascii="Franklin Gothic Book" w:hAnsi="Franklin Gothic Book"/>
          <w:sz w:val="22"/>
          <w:szCs w:val="22"/>
        </w:rPr>
        <w:t>privately-funded</w:t>
      </w:r>
      <w:proofErr w:type="gramEnd"/>
      <w:r w:rsidRPr="00234DD6">
        <w:rPr>
          <w:rFonts w:ascii="Franklin Gothic Book" w:hAnsi="Franklin Gothic Book"/>
          <w:sz w:val="22"/>
          <w:szCs w:val="22"/>
        </w:rPr>
        <w:t xml:space="preserve">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patients and otherwise ET-specific DBS patients would transition to MBS-funded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w:t>
      </w:r>
      <w:r w:rsidR="00CA7829" w:rsidRPr="00234DD6">
        <w:rPr>
          <w:rFonts w:ascii="Franklin Gothic Book" w:hAnsi="Franklin Gothic Book"/>
          <w:sz w:val="22"/>
          <w:szCs w:val="22"/>
        </w:rPr>
        <w:t xml:space="preserve"> This was in response to </w:t>
      </w:r>
      <w:r w:rsidR="00F657EA" w:rsidRPr="00234DD6">
        <w:rPr>
          <w:rFonts w:ascii="Franklin Gothic Book" w:hAnsi="Franklin Gothic Book"/>
          <w:sz w:val="22"/>
          <w:szCs w:val="22"/>
        </w:rPr>
        <w:t xml:space="preserve">MSAC comments on the previous submission that </w:t>
      </w:r>
      <w:r w:rsidR="00CA7829" w:rsidRPr="00234DD6">
        <w:rPr>
          <w:rFonts w:ascii="Franklin Gothic Book" w:hAnsi="Franklin Gothic Book"/>
          <w:sz w:val="22"/>
          <w:szCs w:val="22"/>
        </w:rPr>
        <w:t>there could be a large demand for this treatment from people who would prefer to not undergo DBS given a choice</w:t>
      </w:r>
      <w:r w:rsidR="00F657EA" w:rsidRPr="00234DD6">
        <w:rPr>
          <w:rFonts w:ascii="Franklin Gothic Book" w:hAnsi="Franklin Gothic Book"/>
          <w:sz w:val="22"/>
          <w:szCs w:val="22"/>
        </w:rPr>
        <w:t xml:space="preserve">. To account for this the resubmission </w:t>
      </w:r>
      <w:r w:rsidR="00CA7829" w:rsidRPr="00234DD6">
        <w:rPr>
          <w:rFonts w:ascii="Franklin Gothic Book" w:hAnsi="Franklin Gothic Book"/>
          <w:sz w:val="22"/>
          <w:szCs w:val="22"/>
        </w:rPr>
        <w:t xml:space="preserve">incorporates growth in the market, over and above the growth due to current caseload outside the MBS. </w:t>
      </w:r>
      <w:r w:rsidR="00F657EA" w:rsidRPr="00234DD6">
        <w:rPr>
          <w:rFonts w:ascii="Franklin Gothic Book" w:hAnsi="Franklin Gothic Book"/>
          <w:sz w:val="22"/>
          <w:szCs w:val="22"/>
        </w:rPr>
        <w:t>I</w:t>
      </w:r>
      <w:r w:rsidR="00CA7829" w:rsidRPr="00234DD6">
        <w:rPr>
          <w:rFonts w:ascii="Franklin Gothic Book" w:hAnsi="Franklin Gothic Book"/>
          <w:sz w:val="22"/>
          <w:szCs w:val="22"/>
        </w:rPr>
        <w:t>t is assumed additional market growth will be 80% in year 1.</w:t>
      </w:r>
      <w:r w:rsidR="00770092" w:rsidRPr="00234DD6">
        <w:rPr>
          <w:rFonts w:ascii="Franklin Gothic Book" w:hAnsi="Franklin Gothic Book"/>
          <w:sz w:val="22"/>
          <w:szCs w:val="22"/>
        </w:rPr>
        <w:t xml:space="preserve"> The caseload projections are illustrated in Figure 4.</w:t>
      </w:r>
      <w:r w:rsidR="00CA7829" w:rsidRPr="00234DD6">
        <w:rPr>
          <w:rFonts w:ascii="Franklin Gothic Book" w:hAnsi="Franklin Gothic Book"/>
          <w:sz w:val="22"/>
          <w:szCs w:val="22"/>
        </w:rPr>
        <w:t xml:space="preserve"> </w:t>
      </w:r>
      <w:r w:rsidRPr="00234DD6">
        <w:rPr>
          <w:rFonts w:ascii="Franklin Gothic Book" w:hAnsi="Franklin Gothic Book"/>
          <w:sz w:val="22"/>
          <w:szCs w:val="22"/>
        </w:rPr>
        <w:t xml:space="preserve"> A mixed-methods approach using multiple sources of data was used to estimate MBS-funded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patients. </w:t>
      </w:r>
      <w:r w:rsidR="00CF656A" w:rsidRPr="00234DD6">
        <w:rPr>
          <w:rFonts w:ascii="Franklin Gothic Book" w:hAnsi="Franklin Gothic Book"/>
          <w:sz w:val="22"/>
          <w:szCs w:val="22"/>
        </w:rPr>
        <w:t>The new model omits the 1 to 3 patients per year included in utilisation estimates for retreatment that were in the previous submission.</w:t>
      </w:r>
    </w:p>
    <w:p w14:paraId="2F8059F2" w14:textId="0DAE06EC" w:rsidR="00CF656A" w:rsidRPr="00234DD6" w:rsidRDefault="00CF656A">
      <w:pPr>
        <w:pStyle w:val="NormalBeforeBullet"/>
        <w:rPr>
          <w:rFonts w:ascii="Franklin Gothic Book" w:hAnsi="Franklin Gothic Book"/>
          <w:sz w:val="22"/>
          <w:szCs w:val="22"/>
        </w:rPr>
      </w:pPr>
      <w:r w:rsidRPr="00234DD6">
        <w:rPr>
          <w:rFonts w:ascii="Franklin Gothic Book" w:hAnsi="Franklin Gothic Book"/>
          <w:sz w:val="22"/>
          <w:szCs w:val="22"/>
        </w:rPr>
        <w:t xml:space="preserve">Existing and projected MBS-funded ET-specific DBS procedures were estimated using a combination of MBS, </w:t>
      </w:r>
      <w:r w:rsidR="007315E6" w:rsidRPr="00234DD6">
        <w:rPr>
          <w:rFonts w:ascii="Franklin Gothic Book" w:hAnsi="Franklin Gothic Book"/>
          <w:sz w:val="22"/>
          <w:szCs w:val="22"/>
        </w:rPr>
        <w:t>Australian Institute for Health and Welfare (</w:t>
      </w:r>
      <w:r w:rsidRPr="00234DD6">
        <w:rPr>
          <w:rFonts w:ascii="Franklin Gothic Book" w:hAnsi="Franklin Gothic Book"/>
          <w:sz w:val="22"/>
          <w:szCs w:val="22"/>
        </w:rPr>
        <w:t>AIHW</w:t>
      </w:r>
      <w:r w:rsidR="007315E6" w:rsidRPr="00234DD6">
        <w:rPr>
          <w:rFonts w:ascii="Franklin Gothic Book" w:hAnsi="Franklin Gothic Book"/>
          <w:sz w:val="22"/>
          <w:szCs w:val="22"/>
        </w:rPr>
        <w:t>)</w:t>
      </w:r>
      <w:r w:rsidRPr="00234DD6">
        <w:rPr>
          <w:rFonts w:ascii="Franklin Gothic Book" w:hAnsi="Franklin Gothic Book"/>
          <w:sz w:val="22"/>
          <w:szCs w:val="22"/>
        </w:rPr>
        <w:t xml:space="preserve"> and Australian Prudential Regulation Authority (APRA) data. Existing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use shifting to an MBS setting was estimated as a function of procedure numbers in the two Australian centres where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is currently available, St Vincent’s Hospital Sydney and FMIG, Melbourne. A percentage of these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services occurring in a world without MBS reimbursement were expected to shift to an MBS treatment setting post MBS listing.  APRA data was used to estimate the proportion of ET hospitalisations occurring in an MBS treatment setting, assuming the proportion of ET patients with private health insurance is the same as the general population. The commentary noted that the assumption that private health insurance rates are the same among ET patients as among the general population is not based on evidence.</w:t>
      </w:r>
    </w:p>
    <w:p w14:paraId="2B7F1923" w14:textId="76095A25" w:rsidR="00770092" w:rsidRPr="00D960B0" w:rsidRDefault="00770092" w:rsidP="00234DD6">
      <w:pPr>
        <w:pStyle w:val="Caption"/>
        <w:spacing w:before="240"/>
        <w:jc w:val="left"/>
      </w:pPr>
      <w:r w:rsidRPr="00D960B0">
        <w:t xml:space="preserve">Figure </w:t>
      </w:r>
      <w:fldSimple w:instr=" SEQ Figure \* ARABIC ">
        <w:r w:rsidRPr="00D960B0">
          <w:rPr>
            <w:noProof/>
          </w:rPr>
          <w:t>4</w:t>
        </w:r>
      </w:fldSimple>
      <w:r w:rsidR="003478E8" w:rsidRPr="00D960B0">
        <w:rPr>
          <w:noProof/>
        </w:rPr>
        <w:tab/>
      </w:r>
      <w:r w:rsidRPr="00D960B0">
        <w:t>Illustration of the growth in the market and substitution of DBS underlying the budget impact analysis</w:t>
      </w:r>
    </w:p>
    <w:p w14:paraId="57EDCFE4" w14:textId="77777777" w:rsidR="00770092" w:rsidRPr="00D960B0" w:rsidRDefault="00770092">
      <w:pPr>
        <w:pStyle w:val="Tabletext"/>
        <w:rPr>
          <w:rFonts w:ascii="Franklin Gothic Book" w:hAnsi="Franklin Gothic Book"/>
          <w:color w:val="0000FF"/>
        </w:rPr>
      </w:pPr>
      <w:r w:rsidRPr="00D960B0">
        <w:rPr>
          <w:rFonts w:ascii="Franklin Gothic Book" w:hAnsi="Franklin Gothic Book"/>
          <w:noProof/>
          <w:color w:val="0000FF"/>
        </w:rPr>
        <w:drawing>
          <wp:inline distT="0" distB="0" distL="0" distR="0" wp14:anchorId="01FE9111" wp14:editId="1A63B327">
            <wp:extent cx="4676775" cy="3394428"/>
            <wp:effectExtent l="0" t="0" r="0" b="0"/>
            <wp:docPr id="25" name="Picture 25" descr="Illustration of the growth in the market and substitution of DBS underlying the budget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llustration of the growth in the market and substitution of DBS underlying the budget impact analys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22229" cy="3427418"/>
                    </a:xfrm>
                    <a:prstGeom prst="rect">
                      <a:avLst/>
                    </a:prstGeom>
                    <a:noFill/>
                  </pic:spPr>
                </pic:pic>
              </a:graphicData>
            </a:graphic>
          </wp:inline>
        </w:drawing>
      </w:r>
    </w:p>
    <w:p w14:paraId="684C48CD" w14:textId="5496DA2C" w:rsidR="00770092" w:rsidRPr="00D960B0" w:rsidRDefault="00770092" w:rsidP="007379FE">
      <w:pPr>
        <w:pStyle w:val="Tablenotes"/>
      </w:pPr>
      <w:r w:rsidRPr="00D960B0">
        <w:t>Source: Figure 36, p 243 of the resubmission</w:t>
      </w:r>
    </w:p>
    <w:p w14:paraId="244AA5C2" w14:textId="3B18479B" w:rsidR="00CF656A" w:rsidRPr="00234DD6" w:rsidRDefault="00CF656A" w:rsidP="00F64363">
      <w:pPr>
        <w:pStyle w:val="NormalBeforeBullet"/>
        <w:rPr>
          <w:rFonts w:ascii="Franklin Gothic Book" w:hAnsi="Franklin Gothic Book"/>
          <w:sz w:val="22"/>
          <w:szCs w:val="22"/>
        </w:rPr>
      </w:pPr>
      <w:r w:rsidRPr="00234DD6">
        <w:rPr>
          <w:rFonts w:ascii="Franklin Gothic Book" w:hAnsi="Franklin Gothic Book"/>
          <w:sz w:val="22"/>
          <w:szCs w:val="22"/>
        </w:rPr>
        <w:t xml:space="preserve">The commentary concluded that the resubmission appropriately identified patient populations on active treatment that may switch to MBS listed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and the methodological approach for identifying these patients was generally appropriate. However, it was noted that the resubmission did not explicitly consider potential utilisation from ET patients otherwise on sub-optimal pharmacological treatments and/or BSC.</w:t>
      </w:r>
    </w:p>
    <w:p w14:paraId="320014D9" w14:textId="0D375979" w:rsidR="002B6A07" w:rsidRPr="00234DD6" w:rsidRDefault="00815220" w:rsidP="00234DD6">
      <w:pPr>
        <w:pStyle w:val="NormalBeforeBullet"/>
        <w:spacing w:before="240"/>
        <w:rPr>
          <w:rFonts w:ascii="Franklin Gothic Book" w:hAnsi="Franklin Gothic Book"/>
          <w:sz w:val="22"/>
          <w:szCs w:val="22"/>
        </w:rPr>
      </w:pPr>
      <w:r w:rsidRPr="00234DD6">
        <w:rPr>
          <w:rFonts w:ascii="Franklin Gothic Book" w:hAnsi="Franklin Gothic Book"/>
          <w:sz w:val="22"/>
          <w:szCs w:val="22"/>
        </w:rPr>
        <w:t xml:space="preserve">The financial implications to the MBS resulting from the proposed listing of </w:t>
      </w:r>
      <w:proofErr w:type="spellStart"/>
      <w:r w:rsidRPr="00234DD6">
        <w:rPr>
          <w:rFonts w:ascii="Franklin Gothic Book" w:hAnsi="Franklin Gothic Book"/>
          <w:sz w:val="22"/>
          <w:szCs w:val="22"/>
        </w:rPr>
        <w:t>MRgFUS</w:t>
      </w:r>
      <w:proofErr w:type="spellEnd"/>
      <w:r w:rsidRPr="00234DD6">
        <w:rPr>
          <w:rFonts w:ascii="Franklin Gothic Book" w:hAnsi="Franklin Gothic Book"/>
          <w:sz w:val="22"/>
          <w:szCs w:val="22"/>
        </w:rPr>
        <w:t xml:space="preserve"> are summarised in Table 1</w:t>
      </w:r>
      <w:r w:rsidR="004359E1" w:rsidRPr="00234DD6">
        <w:rPr>
          <w:rFonts w:ascii="Franklin Gothic Book" w:hAnsi="Franklin Gothic Book"/>
          <w:sz w:val="22"/>
          <w:szCs w:val="22"/>
        </w:rPr>
        <w:t>4</w:t>
      </w:r>
      <w:r w:rsidRPr="00234DD6">
        <w:rPr>
          <w:rFonts w:ascii="Franklin Gothic Book" w:hAnsi="Franklin Gothic Book"/>
          <w:sz w:val="22"/>
          <w:szCs w:val="22"/>
        </w:rPr>
        <w:t xml:space="preserve">. </w:t>
      </w:r>
      <w:r w:rsidR="002B6A07" w:rsidRPr="00234DD6">
        <w:rPr>
          <w:rFonts w:ascii="Franklin Gothic Book" w:hAnsi="Franklin Gothic Book"/>
          <w:sz w:val="22"/>
          <w:szCs w:val="22"/>
        </w:rPr>
        <w:t xml:space="preserve">The commentary concluded that while the forecasts estimated in the </w:t>
      </w:r>
      <w:r w:rsidR="002B6A07" w:rsidRPr="00234DD6">
        <w:rPr>
          <w:rFonts w:ascii="Franklin Gothic Book" w:hAnsi="Franklin Gothic Book"/>
          <w:sz w:val="22"/>
          <w:szCs w:val="22"/>
        </w:rPr>
        <w:lastRenderedPageBreak/>
        <w:t xml:space="preserve">resubmission are likely to be overestimated due to increased uptake rates, the resubmission underestimates the proportion of DBS patients who have ET. </w:t>
      </w:r>
      <w:r w:rsidR="004933BB" w:rsidRPr="00234DD6">
        <w:rPr>
          <w:rFonts w:ascii="Franklin Gothic Book" w:hAnsi="Franklin Gothic Book"/>
          <w:sz w:val="22"/>
          <w:szCs w:val="22"/>
        </w:rPr>
        <w:t xml:space="preserve">The resubmission identified Australian ET hospitalisation data (from AIHW) and used these parameters to determine the proportion of the MBS items for DBS which would be used for ET patients. </w:t>
      </w:r>
      <w:r w:rsidR="002B6A07" w:rsidRPr="00234DD6">
        <w:rPr>
          <w:rFonts w:ascii="Franklin Gothic Book" w:hAnsi="Franklin Gothic Book"/>
          <w:sz w:val="22"/>
          <w:szCs w:val="22"/>
        </w:rPr>
        <w:t>At the same time, t</w:t>
      </w:r>
      <w:r w:rsidR="004933BB" w:rsidRPr="00234DD6">
        <w:rPr>
          <w:rFonts w:ascii="Franklin Gothic Book" w:hAnsi="Franklin Gothic Book"/>
          <w:sz w:val="22"/>
          <w:szCs w:val="22"/>
        </w:rPr>
        <w:t>he resubmission assumes any overnight hospitalisation</w:t>
      </w:r>
      <w:r w:rsidR="001170D3" w:rsidRPr="00234DD6">
        <w:rPr>
          <w:rFonts w:ascii="Franklin Gothic Book" w:hAnsi="Franklin Gothic Book"/>
          <w:sz w:val="22"/>
          <w:szCs w:val="22"/>
        </w:rPr>
        <w:t xml:space="preserve"> for ET</w:t>
      </w:r>
      <w:r w:rsidR="004933BB" w:rsidRPr="00234DD6">
        <w:rPr>
          <w:rFonts w:ascii="Franklin Gothic Book" w:hAnsi="Franklin Gothic Book"/>
          <w:sz w:val="22"/>
          <w:szCs w:val="22"/>
        </w:rPr>
        <w:t xml:space="preserve"> would be for DBS</w:t>
      </w:r>
      <w:r w:rsidR="001170D3" w:rsidRPr="00234DD6">
        <w:rPr>
          <w:rFonts w:ascii="Franklin Gothic Book" w:hAnsi="Franklin Gothic Book"/>
          <w:sz w:val="22"/>
          <w:szCs w:val="22"/>
        </w:rPr>
        <w:t>, though arriving ultimately at an assumption that 25% o</w:t>
      </w:r>
      <w:r w:rsidR="00247038" w:rsidRPr="00234DD6">
        <w:rPr>
          <w:rFonts w:ascii="Franklin Gothic Book" w:hAnsi="Franklin Gothic Book"/>
          <w:sz w:val="22"/>
          <w:szCs w:val="22"/>
        </w:rPr>
        <w:t xml:space="preserve">f </w:t>
      </w:r>
      <w:r w:rsidR="00162474" w:rsidRPr="00234DD6">
        <w:rPr>
          <w:rFonts w:ascii="Franklin Gothic Book" w:hAnsi="Franklin Gothic Book"/>
          <w:sz w:val="22"/>
          <w:szCs w:val="22"/>
        </w:rPr>
        <w:t xml:space="preserve">MBS services for </w:t>
      </w:r>
      <w:r w:rsidR="00247038" w:rsidRPr="00234DD6">
        <w:rPr>
          <w:rFonts w:ascii="Franklin Gothic Book" w:hAnsi="Franklin Gothic Book"/>
          <w:sz w:val="22"/>
          <w:szCs w:val="22"/>
        </w:rPr>
        <w:t xml:space="preserve">DBT patients </w:t>
      </w:r>
      <w:r w:rsidR="00162474" w:rsidRPr="00234DD6">
        <w:rPr>
          <w:rFonts w:ascii="Franklin Gothic Book" w:hAnsi="Franklin Gothic Book"/>
          <w:sz w:val="22"/>
          <w:szCs w:val="22"/>
        </w:rPr>
        <w:t>would be attributable to</w:t>
      </w:r>
      <w:r w:rsidR="00247038" w:rsidRPr="00234DD6">
        <w:rPr>
          <w:rFonts w:ascii="Franklin Gothic Book" w:hAnsi="Franklin Gothic Book"/>
          <w:sz w:val="22"/>
          <w:szCs w:val="22"/>
        </w:rPr>
        <w:t xml:space="preserve"> ET</w:t>
      </w:r>
      <w:r w:rsidR="004933BB" w:rsidRPr="00234DD6">
        <w:rPr>
          <w:rFonts w:ascii="Franklin Gothic Book" w:hAnsi="Franklin Gothic Book"/>
          <w:sz w:val="22"/>
          <w:szCs w:val="22"/>
        </w:rPr>
        <w:t xml:space="preserve">. </w:t>
      </w:r>
      <w:r w:rsidR="002B6A07" w:rsidRPr="00234DD6">
        <w:rPr>
          <w:rFonts w:ascii="Franklin Gothic Book" w:hAnsi="Franklin Gothic Book"/>
          <w:sz w:val="22"/>
          <w:szCs w:val="22"/>
        </w:rPr>
        <w:t>However, u</w:t>
      </w:r>
      <w:r w:rsidR="004933BB" w:rsidRPr="00234DD6">
        <w:rPr>
          <w:rFonts w:ascii="Franklin Gothic Book" w:hAnsi="Franklin Gothic Book"/>
          <w:sz w:val="22"/>
          <w:szCs w:val="22"/>
        </w:rPr>
        <w:t>sing this logic</w:t>
      </w:r>
      <w:r w:rsidR="001170D3" w:rsidRPr="00234DD6">
        <w:rPr>
          <w:rFonts w:ascii="Franklin Gothic Book" w:hAnsi="Franklin Gothic Book"/>
          <w:sz w:val="22"/>
          <w:szCs w:val="22"/>
        </w:rPr>
        <w:t xml:space="preserve"> consi</w:t>
      </w:r>
      <w:r w:rsidR="00162474" w:rsidRPr="00234DD6">
        <w:rPr>
          <w:rFonts w:ascii="Franklin Gothic Book" w:hAnsi="Franklin Gothic Book"/>
          <w:sz w:val="22"/>
          <w:szCs w:val="22"/>
        </w:rPr>
        <w:t>s</w:t>
      </w:r>
      <w:r w:rsidR="001170D3" w:rsidRPr="00234DD6">
        <w:rPr>
          <w:rFonts w:ascii="Franklin Gothic Book" w:hAnsi="Franklin Gothic Book"/>
          <w:sz w:val="22"/>
          <w:szCs w:val="22"/>
        </w:rPr>
        <w:t>tently</w:t>
      </w:r>
      <w:r w:rsidR="004933BB" w:rsidRPr="00234DD6">
        <w:rPr>
          <w:rFonts w:ascii="Franklin Gothic Book" w:hAnsi="Franklin Gothic Book"/>
          <w:sz w:val="22"/>
          <w:szCs w:val="22"/>
        </w:rPr>
        <w:t xml:space="preserve">, the proportion of DBS patients with ET </w:t>
      </w:r>
      <w:r w:rsidR="002B6A07" w:rsidRPr="00234DD6">
        <w:rPr>
          <w:rFonts w:ascii="Franklin Gothic Book" w:hAnsi="Franklin Gothic Book"/>
          <w:sz w:val="22"/>
          <w:szCs w:val="22"/>
        </w:rPr>
        <w:t>should</w:t>
      </w:r>
      <w:r w:rsidR="004933BB" w:rsidRPr="00234DD6">
        <w:rPr>
          <w:rFonts w:ascii="Franklin Gothic Book" w:hAnsi="Franklin Gothic Book"/>
          <w:sz w:val="22"/>
          <w:szCs w:val="22"/>
        </w:rPr>
        <w:t xml:space="preserve"> be 61.7%.</w:t>
      </w:r>
    </w:p>
    <w:p w14:paraId="77FA930A" w14:textId="248E562B" w:rsidR="00D933E3" w:rsidRPr="00234DD6" w:rsidRDefault="00815220" w:rsidP="00234DD6">
      <w:pPr>
        <w:spacing w:before="240"/>
        <w:rPr>
          <w:rStyle w:val="Emphasis"/>
          <w:rFonts w:ascii="Franklin Gothic Book" w:hAnsi="Franklin Gothic Book"/>
          <w:bCs/>
          <w:i w:val="0"/>
          <w:iCs/>
          <w:sz w:val="22"/>
          <w:szCs w:val="22"/>
        </w:rPr>
      </w:pPr>
      <w:r w:rsidRPr="00234DD6">
        <w:rPr>
          <w:rFonts w:ascii="Franklin Gothic Book" w:hAnsi="Franklin Gothic Book"/>
          <w:sz w:val="22"/>
          <w:szCs w:val="22"/>
        </w:rPr>
        <w:t xml:space="preserve">The </w:t>
      </w:r>
      <w:r w:rsidRPr="00234DD6">
        <w:rPr>
          <w:rFonts w:ascii="Franklin Gothic Book" w:eastAsiaTheme="majorEastAsia" w:hAnsi="Franklin Gothic Book"/>
          <w:sz w:val="22"/>
          <w:szCs w:val="22"/>
        </w:rPr>
        <w:t xml:space="preserve">italicised text denotes updated financial estimates using updated estimates based on the assumption that 61.7% of all current DBS services are for essential tremor based on the logic </w:t>
      </w:r>
      <w:r w:rsidR="004933BB" w:rsidRPr="00234DD6">
        <w:rPr>
          <w:rFonts w:ascii="Franklin Gothic Book" w:eastAsiaTheme="majorEastAsia" w:hAnsi="Franklin Gothic Book"/>
          <w:sz w:val="22"/>
          <w:szCs w:val="22"/>
        </w:rPr>
        <w:t>outlined above</w:t>
      </w:r>
      <w:r w:rsidRPr="00234DD6">
        <w:rPr>
          <w:rFonts w:ascii="Franklin Gothic Book" w:eastAsiaTheme="majorEastAsia" w:hAnsi="Franklin Gothic Book"/>
          <w:sz w:val="22"/>
          <w:szCs w:val="22"/>
        </w:rPr>
        <w:t xml:space="preserve">.  </w:t>
      </w:r>
      <w:r w:rsidR="002B6A07" w:rsidRPr="00234DD6">
        <w:rPr>
          <w:rFonts w:ascii="Franklin Gothic Book" w:hAnsi="Franklin Gothic Book"/>
          <w:sz w:val="22"/>
          <w:szCs w:val="22"/>
        </w:rPr>
        <w:t xml:space="preserve">This increased proportion is different from the estimated proportion of ET patients provided in the initial application and PICO confirmation (25%). </w:t>
      </w:r>
      <w:r w:rsidR="002B6A07" w:rsidRPr="00234DD6">
        <w:rPr>
          <w:rStyle w:val="Emphasis"/>
          <w:rFonts w:ascii="Franklin Gothic Book" w:hAnsi="Franklin Gothic Book"/>
          <w:bCs/>
          <w:i w:val="0"/>
          <w:iCs/>
          <w:sz w:val="22"/>
          <w:szCs w:val="22"/>
        </w:rPr>
        <w:t xml:space="preserve">The </w:t>
      </w:r>
      <w:r w:rsidR="001F4D4E" w:rsidRPr="00234DD6">
        <w:rPr>
          <w:rStyle w:val="Emphasis"/>
          <w:rFonts w:ascii="Franklin Gothic Book" w:hAnsi="Franklin Gothic Book"/>
          <w:bCs/>
          <w:i w:val="0"/>
          <w:iCs/>
          <w:sz w:val="22"/>
          <w:szCs w:val="22"/>
        </w:rPr>
        <w:t>c</w:t>
      </w:r>
      <w:r w:rsidR="002B6A07" w:rsidRPr="00234DD6">
        <w:rPr>
          <w:rStyle w:val="Emphasis"/>
          <w:rFonts w:ascii="Franklin Gothic Book" w:hAnsi="Franklin Gothic Book"/>
          <w:bCs/>
          <w:i w:val="0"/>
          <w:iCs/>
          <w:sz w:val="22"/>
          <w:szCs w:val="22"/>
        </w:rPr>
        <w:t>ommentary concluded that there is potential for the net cost/year to the MBS to be greater than in the resubmission, however less than estimated in the resubmission for the overall health care system (including private health insurance).</w:t>
      </w:r>
    </w:p>
    <w:p w14:paraId="15FFC5D6" w14:textId="259365C3" w:rsidR="00815220" w:rsidRPr="00234DD6" w:rsidRDefault="00815220" w:rsidP="00234DD6">
      <w:pPr>
        <w:pStyle w:val="Caption"/>
        <w:spacing w:before="240"/>
      </w:pPr>
      <w:bookmarkStart w:id="45" w:name="_Ref88648831"/>
      <w:bookmarkStart w:id="46" w:name="_Toc92902643"/>
      <w:r w:rsidRPr="00234DD6">
        <w:t xml:space="preserve">Table </w:t>
      </w:r>
      <w:bookmarkEnd w:id="45"/>
      <w:r w:rsidRPr="00234DD6">
        <w:t>1</w:t>
      </w:r>
      <w:r w:rsidR="000160F4" w:rsidRPr="00234DD6">
        <w:t>4</w:t>
      </w:r>
      <w:r w:rsidRPr="00234DD6">
        <w:tab/>
        <w:t xml:space="preserve">Net financial impact of </w:t>
      </w:r>
      <w:proofErr w:type="spellStart"/>
      <w:r w:rsidRPr="00234DD6">
        <w:t>MRgFUS</w:t>
      </w:r>
      <w:proofErr w:type="spellEnd"/>
      <w:r w:rsidRPr="00234DD6">
        <w:t xml:space="preserve"> to the total health care system</w:t>
      </w:r>
      <w:bookmarkEnd w:id="46"/>
    </w:p>
    <w:tbl>
      <w:tblPr>
        <w:tblStyle w:val="TableGrid2"/>
        <w:tblW w:w="5000" w:type="pct"/>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Description w:val="Net financial impact of MRgFUS to the total health care system"/>
      </w:tblPr>
      <w:tblGrid>
        <w:gridCol w:w="605"/>
        <w:gridCol w:w="1499"/>
        <w:gridCol w:w="1051"/>
        <w:gridCol w:w="1049"/>
        <w:gridCol w:w="1203"/>
        <w:gridCol w:w="1203"/>
        <w:gridCol w:w="1203"/>
        <w:gridCol w:w="1203"/>
      </w:tblGrid>
      <w:tr w:rsidR="00D933E3" w:rsidRPr="00234DD6" w14:paraId="3C12A71E" w14:textId="77777777" w:rsidTr="00217B3A">
        <w:trPr>
          <w:cnfStyle w:val="100000000000" w:firstRow="1" w:lastRow="0" w:firstColumn="0" w:lastColumn="0" w:oddVBand="0" w:evenVBand="0" w:oddHBand="0" w:evenHBand="0" w:firstRowFirstColumn="0" w:firstRowLastColumn="0" w:lastRowFirstColumn="0" w:lastRowLastColumn="0"/>
          <w:trHeight w:val="300"/>
        </w:trPr>
        <w:tc>
          <w:tcPr>
            <w:tcW w:w="335" w:type="pct"/>
            <w:shd w:val="clear" w:color="auto" w:fill="auto"/>
            <w:hideMark/>
          </w:tcPr>
          <w:p w14:paraId="105563A2" w14:textId="77777777" w:rsidR="00D933E3" w:rsidRPr="00234DD6" w:rsidRDefault="00D933E3" w:rsidP="00A313B1">
            <w:pPr>
              <w:keepNext/>
              <w:spacing w:after="40"/>
              <w:rPr>
                <w:rFonts w:ascii="Arial Narrow" w:hAnsi="Arial Narrow" w:cs="Calibri"/>
                <w:b/>
              </w:rPr>
            </w:pPr>
            <w:r w:rsidRPr="00234DD6">
              <w:rPr>
                <w:rFonts w:ascii="Arial Narrow" w:hAnsi="Arial Narrow" w:cs="Calibri"/>
                <w:b/>
              </w:rPr>
              <w:t>Row</w:t>
            </w:r>
          </w:p>
        </w:tc>
        <w:tc>
          <w:tcPr>
            <w:tcW w:w="831" w:type="pct"/>
            <w:shd w:val="clear" w:color="auto" w:fill="auto"/>
            <w:hideMark/>
          </w:tcPr>
          <w:p w14:paraId="36DBFCDE" w14:textId="77777777" w:rsidR="00D933E3" w:rsidRPr="00234DD6" w:rsidRDefault="00D933E3" w:rsidP="00A313B1">
            <w:pPr>
              <w:keepNext/>
              <w:spacing w:after="40"/>
              <w:rPr>
                <w:rFonts w:ascii="Arial Narrow" w:hAnsi="Arial Narrow" w:cs="Calibri"/>
                <w:b/>
              </w:rPr>
            </w:pPr>
            <w:r w:rsidRPr="00234DD6">
              <w:rPr>
                <w:rFonts w:ascii="Arial Narrow" w:hAnsi="Arial Narrow" w:cs="Calibri"/>
                <w:b/>
              </w:rPr>
              <w:t>Healthcare budget</w:t>
            </w:r>
          </w:p>
        </w:tc>
        <w:tc>
          <w:tcPr>
            <w:tcW w:w="583" w:type="pct"/>
            <w:shd w:val="clear" w:color="auto" w:fill="auto"/>
            <w:vAlign w:val="center"/>
            <w:hideMark/>
          </w:tcPr>
          <w:p w14:paraId="3080A146" w14:textId="77777777" w:rsidR="00D933E3" w:rsidRPr="00234DD6" w:rsidRDefault="00D933E3" w:rsidP="00A313B1">
            <w:pPr>
              <w:keepNext/>
              <w:spacing w:after="40"/>
              <w:jc w:val="center"/>
              <w:rPr>
                <w:rFonts w:ascii="Arial Narrow" w:hAnsi="Arial Narrow" w:cs="Calibri"/>
                <w:b/>
              </w:rPr>
            </w:pPr>
            <w:r w:rsidRPr="00234DD6">
              <w:rPr>
                <w:rFonts w:ascii="Arial Narrow" w:hAnsi="Arial Narrow" w:cs="Calibri"/>
                <w:b/>
              </w:rPr>
              <w:t>Year 1</w:t>
            </w:r>
          </w:p>
        </w:tc>
        <w:tc>
          <w:tcPr>
            <w:tcW w:w="582" w:type="pct"/>
            <w:shd w:val="clear" w:color="auto" w:fill="auto"/>
            <w:vAlign w:val="center"/>
            <w:hideMark/>
          </w:tcPr>
          <w:p w14:paraId="51B7BEFD" w14:textId="77777777" w:rsidR="00D933E3" w:rsidRPr="00234DD6" w:rsidRDefault="00D933E3" w:rsidP="00A313B1">
            <w:pPr>
              <w:keepNext/>
              <w:spacing w:after="40"/>
              <w:jc w:val="center"/>
              <w:rPr>
                <w:rFonts w:ascii="Arial Narrow" w:hAnsi="Arial Narrow" w:cs="Calibri"/>
                <w:b/>
              </w:rPr>
            </w:pPr>
            <w:r w:rsidRPr="00234DD6">
              <w:rPr>
                <w:rFonts w:ascii="Arial Narrow" w:hAnsi="Arial Narrow" w:cs="Calibri"/>
                <w:b/>
              </w:rPr>
              <w:t>Year 2</w:t>
            </w:r>
          </w:p>
        </w:tc>
        <w:tc>
          <w:tcPr>
            <w:tcW w:w="667" w:type="pct"/>
            <w:shd w:val="clear" w:color="auto" w:fill="auto"/>
            <w:vAlign w:val="center"/>
            <w:hideMark/>
          </w:tcPr>
          <w:p w14:paraId="1126D178" w14:textId="77777777" w:rsidR="00D933E3" w:rsidRPr="00234DD6" w:rsidRDefault="00D933E3" w:rsidP="00A313B1">
            <w:pPr>
              <w:keepNext/>
              <w:spacing w:after="40"/>
              <w:jc w:val="center"/>
              <w:rPr>
                <w:rFonts w:ascii="Arial Narrow" w:hAnsi="Arial Narrow" w:cs="Calibri"/>
                <w:b/>
              </w:rPr>
            </w:pPr>
            <w:r w:rsidRPr="00234DD6">
              <w:rPr>
                <w:rFonts w:ascii="Arial Narrow" w:hAnsi="Arial Narrow" w:cs="Calibri"/>
                <w:b/>
              </w:rPr>
              <w:t>Year 3</w:t>
            </w:r>
          </w:p>
        </w:tc>
        <w:tc>
          <w:tcPr>
            <w:tcW w:w="667" w:type="pct"/>
            <w:shd w:val="clear" w:color="auto" w:fill="auto"/>
            <w:vAlign w:val="center"/>
            <w:hideMark/>
          </w:tcPr>
          <w:p w14:paraId="193EAF1B" w14:textId="77777777" w:rsidR="00D933E3" w:rsidRPr="00234DD6" w:rsidRDefault="00D933E3" w:rsidP="00A313B1">
            <w:pPr>
              <w:keepNext/>
              <w:spacing w:after="40"/>
              <w:jc w:val="center"/>
              <w:rPr>
                <w:rFonts w:ascii="Arial Narrow" w:hAnsi="Arial Narrow" w:cs="Calibri"/>
                <w:b/>
              </w:rPr>
            </w:pPr>
            <w:r w:rsidRPr="00234DD6">
              <w:rPr>
                <w:rFonts w:ascii="Arial Narrow" w:hAnsi="Arial Narrow" w:cs="Calibri"/>
                <w:b/>
              </w:rPr>
              <w:t>Year 4</w:t>
            </w:r>
          </w:p>
        </w:tc>
        <w:tc>
          <w:tcPr>
            <w:tcW w:w="667" w:type="pct"/>
            <w:shd w:val="clear" w:color="auto" w:fill="auto"/>
            <w:vAlign w:val="center"/>
            <w:hideMark/>
          </w:tcPr>
          <w:p w14:paraId="14D04F5D" w14:textId="77777777" w:rsidR="00D933E3" w:rsidRPr="00234DD6" w:rsidRDefault="00D933E3" w:rsidP="00A313B1">
            <w:pPr>
              <w:keepNext/>
              <w:spacing w:after="40"/>
              <w:jc w:val="center"/>
              <w:rPr>
                <w:rFonts w:ascii="Arial Narrow" w:hAnsi="Arial Narrow" w:cs="Calibri"/>
                <w:b/>
              </w:rPr>
            </w:pPr>
            <w:r w:rsidRPr="00234DD6">
              <w:rPr>
                <w:rFonts w:ascii="Arial Narrow" w:hAnsi="Arial Narrow" w:cs="Calibri"/>
                <w:b/>
              </w:rPr>
              <w:t>Year 5</w:t>
            </w:r>
          </w:p>
        </w:tc>
        <w:tc>
          <w:tcPr>
            <w:tcW w:w="667" w:type="pct"/>
            <w:shd w:val="clear" w:color="auto" w:fill="auto"/>
            <w:vAlign w:val="center"/>
            <w:hideMark/>
          </w:tcPr>
          <w:p w14:paraId="1681713D" w14:textId="77777777" w:rsidR="00D933E3" w:rsidRPr="00234DD6" w:rsidRDefault="00D933E3" w:rsidP="00A313B1">
            <w:pPr>
              <w:keepNext/>
              <w:spacing w:after="40"/>
              <w:jc w:val="center"/>
              <w:rPr>
                <w:rFonts w:ascii="Arial Narrow" w:hAnsi="Arial Narrow" w:cs="Calibri"/>
                <w:b/>
              </w:rPr>
            </w:pPr>
            <w:r w:rsidRPr="00234DD6">
              <w:rPr>
                <w:rFonts w:ascii="Arial Narrow" w:hAnsi="Arial Narrow" w:cs="Calibri"/>
                <w:b/>
              </w:rPr>
              <w:t>Year 6</w:t>
            </w:r>
          </w:p>
        </w:tc>
      </w:tr>
      <w:tr w:rsidR="00D933E3" w:rsidRPr="00234DD6" w14:paraId="05337C74" w14:textId="77777777" w:rsidTr="00217B3A">
        <w:trPr>
          <w:trHeight w:val="300"/>
        </w:trPr>
        <w:tc>
          <w:tcPr>
            <w:tcW w:w="335" w:type="pct"/>
            <w:shd w:val="clear" w:color="auto" w:fill="auto"/>
            <w:hideMark/>
          </w:tcPr>
          <w:p w14:paraId="32A20BFB" w14:textId="77777777" w:rsidR="00D933E3" w:rsidRPr="00A10004" w:rsidRDefault="00D933E3" w:rsidP="00A313B1">
            <w:pPr>
              <w:keepNext/>
              <w:spacing w:after="40"/>
              <w:rPr>
                <w:rFonts w:cs="Calibri"/>
              </w:rPr>
            </w:pPr>
            <w:r w:rsidRPr="00A10004">
              <w:t>A</w:t>
            </w:r>
          </w:p>
        </w:tc>
        <w:tc>
          <w:tcPr>
            <w:tcW w:w="831" w:type="pct"/>
            <w:shd w:val="clear" w:color="auto" w:fill="auto"/>
          </w:tcPr>
          <w:p w14:paraId="0DB26D1C" w14:textId="25FDE5F7" w:rsidR="00D933E3" w:rsidRPr="00A10004" w:rsidRDefault="00D933E3" w:rsidP="00A313B1">
            <w:pPr>
              <w:keepNext/>
              <w:spacing w:after="40"/>
              <w:rPr>
                <w:rFonts w:cs="Calibri"/>
              </w:rPr>
            </w:pPr>
            <w:r w:rsidRPr="00A10004">
              <w:t>Net impact to the MBS</w:t>
            </w:r>
            <w:r w:rsidR="00217B3A">
              <w:t xml:space="preserve"> ($)</w:t>
            </w:r>
          </w:p>
        </w:tc>
        <w:tc>
          <w:tcPr>
            <w:tcW w:w="583" w:type="pct"/>
            <w:shd w:val="clear" w:color="auto" w:fill="auto"/>
            <w:noWrap/>
            <w:vAlign w:val="center"/>
          </w:tcPr>
          <w:p w14:paraId="1110853F" w14:textId="77777777" w:rsidR="00D933E3" w:rsidRPr="00D960B0" w:rsidRDefault="00D933E3" w:rsidP="00A313B1">
            <w:pPr>
              <w:keepNext/>
              <w:spacing w:after="40"/>
              <w:jc w:val="center"/>
            </w:pPr>
            <w:r w:rsidRPr="00D960B0">
              <w:t>$269,887</w:t>
            </w:r>
          </w:p>
          <w:p w14:paraId="41D46C99" w14:textId="77777777" w:rsidR="00D933E3" w:rsidRPr="00D960B0" w:rsidRDefault="00D933E3" w:rsidP="00A313B1">
            <w:pPr>
              <w:keepNext/>
              <w:spacing w:after="40"/>
              <w:jc w:val="center"/>
              <w:rPr>
                <w:rFonts w:cs="Arial"/>
                <w:i/>
              </w:rPr>
            </w:pPr>
            <w:r w:rsidRPr="00D960B0">
              <w:rPr>
                <w:rFonts w:cs="Arial"/>
                <w:i/>
              </w:rPr>
              <w:t>$666,082</w:t>
            </w:r>
          </w:p>
        </w:tc>
        <w:tc>
          <w:tcPr>
            <w:tcW w:w="582" w:type="pct"/>
            <w:shd w:val="clear" w:color="auto" w:fill="auto"/>
            <w:noWrap/>
            <w:vAlign w:val="center"/>
          </w:tcPr>
          <w:p w14:paraId="0D56F197" w14:textId="77777777" w:rsidR="00D933E3" w:rsidRPr="00D960B0" w:rsidRDefault="00D933E3" w:rsidP="00A313B1">
            <w:pPr>
              <w:keepNext/>
              <w:spacing w:after="40"/>
              <w:jc w:val="center"/>
            </w:pPr>
            <w:r w:rsidRPr="00D960B0">
              <w:t>$277,653</w:t>
            </w:r>
          </w:p>
          <w:p w14:paraId="5B7EF6AF" w14:textId="77777777" w:rsidR="00D933E3" w:rsidRPr="00D960B0" w:rsidRDefault="00D933E3" w:rsidP="00A313B1">
            <w:pPr>
              <w:keepNext/>
              <w:spacing w:after="40"/>
              <w:jc w:val="center"/>
              <w:rPr>
                <w:rFonts w:cs="Arial"/>
                <w:i/>
              </w:rPr>
            </w:pPr>
            <w:r w:rsidRPr="00D960B0">
              <w:rPr>
                <w:rFonts w:cs="Arial"/>
                <w:i/>
              </w:rPr>
              <w:t>$685,248</w:t>
            </w:r>
          </w:p>
        </w:tc>
        <w:tc>
          <w:tcPr>
            <w:tcW w:w="667" w:type="pct"/>
            <w:shd w:val="clear" w:color="auto" w:fill="auto"/>
            <w:noWrap/>
            <w:vAlign w:val="center"/>
          </w:tcPr>
          <w:p w14:paraId="30CA86B2" w14:textId="77777777" w:rsidR="00D933E3" w:rsidRPr="00D960B0" w:rsidRDefault="00D933E3" w:rsidP="00A313B1">
            <w:pPr>
              <w:keepNext/>
              <w:spacing w:after="40"/>
              <w:jc w:val="center"/>
            </w:pPr>
            <w:r w:rsidRPr="00D960B0">
              <w:t>$284,797</w:t>
            </w:r>
          </w:p>
          <w:p w14:paraId="649E1C73" w14:textId="77777777" w:rsidR="00D933E3" w:rsidRPr="00D960B0" w:rsidRDefault="00D933E3" w:rsidP="00A313B1">
            <w:pPr>
              <w:keepNext/>
              <w:spacing w:after="40"/>
              <w:jc w:val="center"/>
              <w:rPr>
                <w:rFonts w:cs="Arial"/>
                <w:i/>
              </w:rPr>
            </w:pPr>
            <w:r w:rsidRPr="00D960B0">
              <w:rPr>
                <w:rFonts w:cs="Arial"/>
                <w:i/>
              </w:rPr>
              <w:t>$702,878</w:t>
            </w:r>
          </w:p>
        </w:tc>
        <w:tc>
          <w:tcPr>
            <w:tcW w:w="667" w:type="pct"/>
            <w:shd w:val="clear" w:color="auto" w:fill="auto"/>
            <w:noWrap/>
            <w:vAlign w:val="center"/>
          </w:tcPr>
          <w:p w14:paraId="20B6540D" w14:textId="77777777" w:rsidR="00D933E3" w:rsidRPr="00D960B0" w:rsidRDefault="00D933E3" w:rsidP="00A313B1">
            <w:pPr>
              <w:keepNext/>
              <w:spacing w:after="40"/>
              <w:jc w:val="center"/>
            </w:pPr>
            <w:r w:rsidRPr="00D960B0">
              <w:t>$290,150</w:t>
            </w:r>
          </w:p>
          <w:p w14:paraId="0DC33C42" w14:textId="77777777" w:rsidR="00D933E3" w:rsidRPr="00D960B0" w:rsidRDefault="00D933E3" w:rsidP="00A313B1">
            <w:pPr>
              <w:keepNext/>
              <w:spacing w:after="40"/>
              <w:jc w:val="center"/>
              <w:rPr>
                <w:rFonts w:cs="Arial"/>
                <w:i/>
              </w:rPr>
            </w:pPr>
            <w:r w:rsidRPr="00D960B0">
              <w:rPr>
                <w:rFonts w:cs="Arial"/>
                <w:i/>
              </w:rPr>
              <w:t>$716,090</w:t>
            </w:r>
          </w:p>
        </w:tc>
        <w:tc>
          <w:tcPr>
            <w:tcW w:w="667" w:type="pct"/>
            <w:shd w:val="clear" w:color="auto" w:fill="auto"/>
            <w:noWrap/>
            <w:vAlign w:val="center"/>
          </w:tcPr>
          <w:p w14:paraId="15EB7909" w14:textId="77777777" w:rsidR="00D933E3" w:rsidRPr="00D960B0" w:rsidRDefault="00D933E3" w:rsidP="00A313B1">
            <w:pPr>
              <w:keepNext/>
              <w:spacing w:after="40"/>
              <w:jc w:val="center"/>
            </w:pPr>
            <w:r w:rsidRPr="00D960B0">
              <w:t>$295,699</w:t>
            </w:r>
          </w:p>
          <w:p w14:paraId="058F0592" w14:textId="77777777" w:rsidR="00D933E3" w:rsidRPr="00D960B0" w:rsidRDefault="00D933E3" w:rsidP="00A313B1">
            <w:pPr>
              <w:keepNext/>
              <w:spacing w:after="40"/>
              <w:jc w:val="center"/>
              <w:rPr>
                <w:rFonts w:cs="Arial"/>
                <w:i/>
              </w:rPr>
            </w:pPr>
            <w:r w:rsidRPr="00D960B0">
              <w:rPr>
                <w:rFonts w:cs="Arial"/>
                <w:i/>
              </w:rPr>
              <w:t>$729,785</w:t>
            </w:r>
          </w:p>
        </w:tc>
        <w:tc>
          <w:tcPr>
            <w:tcW w:w="667" w:type="pct"/>
            <w:shd w:val="clear" w:color="auto" w:fill="auto"/>
            <w:noWrap/>
            <w:vAlign w:val="center"/>
          </w:tcPr>
          <w:p w14:paraId="5AD56776" w14:textId="77777777" w:rsidR="00D933E3" w:rsidRPr="00D960B0" w:rsidRDefault="00D933E3" w:rsidP="00A313B1">
            <w:pPr>
              <w:keepNext/>
              <w:spacing w:after="40"/>
              <w:jc w:val="center"/>
            </w:pPr>
            <w:r w:rsidRPr="00D960B0">
              <w:t>$302,700</w:t>
            </w:r>
          </w:p>
          <w:p w14:paraId="47EF0743" w14:textId="77777777" w:rsidR="00D933E3" w:rsidRPr="00D960B0" w:rsidRDefault="00D933E3" w:rsidP="00A313B1">
            <w:pPr>
              <w:keepNext/>
              <w:spacing w:after="40"/>
              <w:jc w:val="center"/>
              <w:rPr>
                <w:rFonts w:cs="Arial"/>
                <w:i/>
              </w:rPr>
            </w:pPr>
            <w:r w:rsidRPr="00D960B0">
              <w:rPr>
                <w:rFonts w:cs="Arial"/>
                <w:i/>
              </w:rPr>
              <w:t>$747,063</w:t>
            </w:r>
          </w:p>
        </w:tc>
      </w:tr>
      <w:tr w:rsidR="00D933E3" w:rsidRPr="00234DD6" w14:paraId="5B9DB0B2" w14:textId="77777777" w:rsidTr="00217B3A">
        <w:trPr>
          <w:trHeight w:val="300"/>
        </w:trPr>
        <w:tc>
          <w:tcPr>
            <w:tcW w:w="335" w:type="pct"/>
            <w:shd w:val="clear" w:color="auto" w:fill="auto"/>
            <w:hideMark/>
          </w:tcPr>
          <w:p w14:paraId="233A2B0F" w14:textId="77777777" w:rsidR="00D933E3" w:rsidRPr="00234DD6" w:rsidRDefault="00D933E3" w:rsidP="00A313B1">
            <w:pPr>
              <w:spacing w:after="40"/>
              <w:rPr>
                <w:rFonts w:cs="Calibri"/>
              </w:rPr>
            </w:pPr>
            <w:r w:rsidRPr="00234DD6">
              <w:t>B</w:t>
            </w:r>
          </w:p>
        </w:tc>
        <w:tc>
          <w:tcPr>
            <w:tcW w:w="831" w:type="pct"/>
            <w:shd w:val="clear" w:color="auto" w:fill="auto"/>
          </w:tcPr>
          <w:p w14:paraId="0992ABC7" w14:textId="01977B55" w:rsidR="00D933E3" w:rsidRPr="00234DD6" w:rsidRDefault="00D933E3" w:rsidP="00A313B1">
            <w:pPr>
              <w:spacing w:after="40"/>
              <w:rPr>
                <w:rFonts w:cs="Calibri"/>
              </w:rPr>
            </w:pPr>
            <w:r w:rsidRPr="00234DD6">
              <w:t>Net impact to private insurers - hospital costs</w:t>
            </w:r>
            <w:r w:rsidR="00217B3A">
              <w:t xml:space="preserve"> ($)</w:t>
            </w:r>
          </w:p>
        </w:tc>
        <w:tc>
          <w:tcPr>
            <w:tcW w:w="583" w:type="pct"/>
            <w:shd w:val="clear" w:color="auto" w:fill="auto"/>
            <w:noWrap/>
            <w:vAlign w:val="center"/>
          </w:tcPr>
          <w:p w14:paraId="340C4F9D" w14:textId="04A11B06" w:rsidR="00D960B0" w:rsidRPr="00D960B0" w:rsidRDefault="00D960B0" w:rsidP="00A313B1">
            <w:pPr>
              <w:spacing w:after="40"/>
              <w:jc w:val="center"/>
            </w:pPr>
            <w:r w:rsidRPr="00D960B0">
              <w:rPr>
                <w:rFonts w:hint="eastAsia"/>
                <w:w w:val="15"/>
                <w:shd w:val="solid" w:color="000000" w:fill="000000"/>
                <w:fitText w:val="45" w:id="-1498771199"/>
                <w14:textFill>
                  <w14:solidFill>
                    <w14:srgbClr w14:val="000000">
                      <w14:alpha w14:val="100000"/>
                    </w14:srgbClr>
                  </w14:solidFill>
                </w14:textFill>
              </w:rPr>
              <w:t xml:space="preserve">　</w:t>
            </w:r>
            <w:r w:rsidRPr="00D960B0">
              <w:rPr>
                <w:w w:val="15"/>
                <w:shd w:val="solid" w:color="000000" w:fill="000000"/>
                <w:fitText w:val="45" w:id="-1498771199"/>
                <w14:textFill>
                  <w14:solidFill>
                    <w14:srgbClr w14:val="000000">
                      <w14:alpha w14:val="100000"/>
                    </w14:srgbClr>
                  </w14:solidFill>
                </w14:textFill>
              </w:rPr>
              <w:t>|</w:t>
            </w:r>
            <w:r w:rsidRPr="00D960B0">
              <w:rPr>
                <w:rFonts w:hint="eastAsia"/>
                <w:spacing w:val="-30"/>
                <w:w w:val="15"/>
                <w:shd w:val="solid" w:color="000000" w:fill="000000"/>
                <w:fitText w:val="45" w:id="-1498771199"/>
                <w14:textFill>
                  <w14:solidFill>
                    <w14:srgbClr w14:val="000000">
                      <w14:alpha w14:val="100000"/>
                    </w14:srgbClr>
                  </w14:solidFill>
                </w14:textFill>
              </w:rPr>
              <w:t xml:space="preserve">　</w:t>
            </w:r>
          </w:p>
          <w:p w14:paraId="2D5CCD3C" w14:textId="3AA7A233" w:rsidR="00D933E3" w:rsidRPr="00D960B0" w:rsidRDefault="00D960B0" w:rsidP="00A313B1">
            <w:pPr>
              <w:spacing w:after="40"/>
              <w:jc w:val="center"/>
              <w:rPr>
                <w:rFonts w:cs="Arial"/>
                <w:i/>
                <w:iCs/>
                <w:highlight w:val="yellow"/>
              </w:rPr>
            </w:pPr>
            <w:r w:rsidRPr="00D960B0">
              <w:rPr>
                <w:rFonts w:cs="Arial" w:hint="eastAsia"/>
                <w:i/>
                <w:iCs/>
                <w:w w:val="15"/>
                <w:shd w:val="solid" w:color="000000" w:fill="000000"/>
                <w:fitText w:val="45" w:id="-1498771198"/>
                <w14:textFill>
                  <w14:solidFill>
                    <w14:srgbClr w14:val="000000">
                      <w14:alpha w14:val="100000"/>
                    </w14:srgbClr>
                  </w14:solidFill>
                </w14:textFill>
              </w:rPr>
              <w:t xml:space="preserve">　</w:t>
            </w:r>
            <w:r w:rsidRPr="00D960B0">
              <w:rPr>
                <w:rFonts w:cs="Arial"/>
                <w:i/>
                <w:iCs/>
                <w:w w:val="15"/>
                <w:shd w:val="solid" w:color="000000" w:fill="000000"/>
                <w:fitText w:val="45" w:id="-1498771198"/>
                <w14:textFill>
                  <w14:solidFill>
                    <w14:srgbClr w14:val="000000">
                      <w14:alpha w14:val="100000"/>
                    </w14:srgbClr>
                  </w14:solidFill>
                </w14:textFill>
              </w:rPr>
              <w:t>|</w:t>
            </w:r>
            <w:r w:rsidRPr="00D960B0">
              <w:rPr>
                <w:rFonts w:cs="Arial" w:hint="eastAsia"/>
                <w:i/>
                <w:iCs/>
                <w:spacing w:val="-30"/>
                <w:w w:val="15"/>
                <w:shd w:val="solid" w:color="000000" w:fill="000000"/>
                <w:fitText w:val="45" w:id="-1498771198"/>
                <w14:textFill>
                  <w14:solidFill>
                    <w14:srgbClr w14:val="000000">
                      <w14:alpha w14:val="100000"/>
                    </w14:srgbClr>
                  </w14:solidFill>
                </w14:textFill>
              </w:rPr>
              <w:t xml:space="preserve">　</w:t>
            </w:r>
          </w:p>
        </w:tc>
        <w:tc>
          <w:tcPr>
            <w:tcW w:w="582" w:type="pct"/>
            <w:shd w:val="clear" w:color="auto" w:fill="auto"/>
            <w:noWrap/>
            <w:vAlign w:val="center"/>
          </w:tcPr>
          <w:p w14:paraId="439F3EAB" w14:textId="686BE734" w:rsidR="00D960B0" w:rsidRPr="00D960B0" w:rsidRDefault="00D960B0" w:rsidP="00A313B1">
            <w:pPr>
              <w:spacing w:after="40"/>
              <w:jc w:val="center"/>
            </w:pPr>
            <w:r w:rsidRPr="00D960B0">
              <w:rPr>
                <w:rFonts w:hint="eastAsia"/>
                <w:w w:val="15"/>
                <w:shd w:val="solid" w:color="000000" w:fill="000000"/>
                <w:fitText w:val="45" w:id="-1498771197"/>
                <w14:textFill>
                  <w14:solidFill>
                    <w14:srgbClr w14:val="000000">
                      <w14:alpha w14:val="100000"/>
                    </w14:srgbClr>
                  </w14:solidFill>
                </w14:textFill>
              </w:rPr>
              <w:t xml:space="preserve">　</w:t>
            </w:r>
            <w:r w:rsidRPr="00D960B0">
              <w:rPr>
                <w:w w:val="15"/>
                <w:shd w:val="solid" w:color="000000" w:fill="000000"/>
                <w:fitText w:val="45" w:id="-1498771197"/>
                <w14:textFill>
                  <w14:solidFill>
                    <w14:srgbClr w14:val="000000">
                      <w14:alpha w14:val="100000"/>
                    </w14:srgbClr>
                  </w14:solidFill>
                </w14:textFill>
              </w:rPr>
              <w:t>|</w:t>
            </w:r>
            <w:r w:rsidRPr="00D960B0">
              <w:rPr>
                <w:rFonts w:hint="eastAsia"/>
                <w:spacing w:val="-30"/>
                <w:w w:val="15"/>
                <w:shd w:val="solid" w:color="000000" w:fill="000000"/>
                <w:fitText w:val="45" w:id="-1498771197"/>
                <w14:textFill>
                  <w14:solidFill>
                    <w14:srgbClr w14:val="000000">
                      <w14:alpha w14:val="100000"/>
                    </w14:srgbClr>
                  </w14:solidFill>
                </w14:textFill>
              </w:rPr>
              <w:t xml:space="preserve">　</w:t>
            </w:r>
          </w:p>
          <w:p w14:paraId="44960A7D" w14:textId="4B7379AE" w:rsidR="00D933E3" w:rsidRPr="00D960B0" w:rsidRDefault="00D960B0" w:rsidP="00A313B1">
            <w:pPr>
              <w:spacing w:after="40"/>
              <w:jc w:val="center"/>
              <w:rPr>
                <w:rFonts w:cs="Arial"/>
                <w:i/>
                <w:iCs/>
                <w:highlight w:val="yellow"/>
              </w:rPr>
            </w:pPr>
            <w:r w:rsidRPr="00D960B0">
              <w:rPr>
                <w:rFonts w:cs="Arial" w:hint="eastAsia"/>
                <w:i/>
                <w:iCs/>
                <w:w w:val="15"/>
                <w:shd w:val="solid" w:color="000000" w:fill="000000"/>
                <w:fitText w:val="45" w:id="-1498771196"/>
                <w14:textFill>
                  <w14:solidFill>
                    <w14:srgbClr w14:val="000000">
                      <w14:alpha w14:val="100000"/>
                    </w14:srgbClr>
                  </w14:solidFill>
                </w14:textFill>
              </w:rPr>
              <w:t xml:space="preserve">　</w:t>
            </w:r>
            <w:r w:rsidRPr="00D960B0">
              <w:rPr>
                <w:rFonts w:cs="Arial"/>
                <w:i/>
                <w:iCs/>
                <w:w w:val="15"/>
                <w:shd w:val="solid" w:color="000000" w:fill="000000"/>
                <w:fitText w:val="45" w:id="-1498771196"/>
                <w14:textFill>
                  <w14:solidFill>
                    <w14:srgbClr w14:val="000000">
                      <w14:alpha w14:val="100000"/>
                    </w14:srgbClr>
                  </w14:solidFill>
                </w14:textFill>
              </w:rPr>
              <w:t>|</w:t>
            </w:r>
            <w:r w:rsidRPr="00D960B0">
              <w:rPr>
                <w:rFonts w:cs="Arial" w:hint="eastAsia"/>
                <w:i/>
                <w:iCs/>
                <w:spacing w:val="-30"/>
                <w:w w:val="15"/>
                <w:shd w:val="solid" w:color="000000" w:fill="000000"/>
                <w:fitText w:val="45" w:id="-1498771196"/>
                <w14:textFill>
                  <w14:solidFill>
                    <w14:srgbClr w14:val="000000">
                      <w14:alpha w14:val="100000"/>
                    </w14:srgbClr>
                  </w14:solidFill>
                </w14:textFill>
              </w:rPr>
              <w:t xml:space="preserve">　</w:t>
            </w:r>
          </w:p>
        </w:tc>
        <w:tc>
          <w:tcPr>
            <w:tcW w:w="667" w:type="pct"/>
            <w:shd w:val="clear" w:color="auto" w:fill="auto"/>
            <w:noWrap/>
            <w:vAlign w:val="center"/>
          </w:tcPr>
          <w:p w14:paraId="164330D2" w14:textId="03672C5C"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3CCBCDAE" w14:textId="640AEF31" w:rsidR="00D933E3" w:rsidRPr="00D960B0" w:rsidRDefault="00D960B0" w:rsidP="00A313B1">
            <w:pPr>
              <w:spacing w:after="40"/>
              <w:jc w:val="center"/>
              <w:rPr>
                <w:rFonts w:cs="Arial"/>
                <w:i/>
                <w:iCs/>
                <w:highlight w:val="yellow"/>
              </w:rPr>
            </w:pPr>
            <w:r w:rsidRPr="00D960B0">
              <w:rPr>
                <w:rFonts w:cs="Arial"/>
                <w:i/>
                <w:iCs/>
                <w:shd w:val="solid" w:color="000000" w:fill="000000"/>
                <w14:textFill>
                  <w14:solidFill>
                    <w14:srgbClr w14:val="000000">
                      <w14:alpha w14:val="100000"/>
                    </w14:srgbClr>
                  </w14:solidFill>
                </w14:textFill>
              </w:rPr>
              <w:t>|</w:t>
            </w:r>
          </w:p>
        </w:tc>
        <w:tc>
          <w:tcPr>
            <w:tcW w:w="667" w:type="pct"/>
            <w:shd w:val="clear" w:color="auto" w:fill="auto"/>
            <w:noWrap/>
            <w:vAlign w:val="center"/>
          </w:tcPr>
          <w:p w14:paraId="70F8DB25" w14:textId="62B5A468"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61EF32B9" w14:textId="793F1061" w:rsidR="00D933E3" w:rsidRPr="00D960B0" w:rsidRDefault="00D960B0" w:rsidP="00A313B1">
            <w:pPr>
              <w:spacing w:after="40"/>
              <w:jc w:val="center"/>
              <w:rPr>
                <w:rFonts w:cs="Arial"/>
                <w:i/>
                <w:iCs/>
                <w:highlight w:val="yellow"/>
              </w:rPr>
            </w:pPr>
            <w:r w:rsidRPr="00D960B0">
              <w:rPr>
                <w:rFonts w:cs="Arial"/>
                <w:i/>
                <w:iCs/>
                <w:shd w:val="solid" w:color="000000" w:fill="000000"/>
                <w14:textFill>
                  <w14:solidFill>
                    <w14:srgbClr w14:val="000000">
                      <w14:alpha w14:val="100000"/>
                    </w14:srgbClr>
                  </w14:solidFill>
                </w14:textFill>
              </w:rPr>
              <w:t>|</w:t>
            </w:r>
          </w:p>
        </w:tc>
        <w:tc>
          <w:tcPr>
            <w:tcW w:w="667" w:type="pct"/>
            <w:shd w:val="clear" w:color="auto" w:fill="auto"/>
            <w:noWrap/>
            <w:vAlign w:val="center"/>
          </w:tcPr>
          <w:p w14:paraId="009A6018" w14:textId="589DDBBA"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4E300F29" w14:textId="035EFD58" w:rsidR="00D933E3" w:rsidRPr="00D960B0" w:rsidRDefault="00D960B0" w:rsidP="00A313B1">
            <w:pPr>
              <w:spacing w:after="40"/>
              <w:jc w:val="center"/>
              <w:rPr>
                <w:rFonts w:cs="Arial"/>
                <w:i/>
                <w:iCs/>
                <w:highlight w:val="yellow"/>
              </w:rPr>
            </w:pPr>
            <w:r w:rsidRPr="00D960B0">
              <w:rPr>
                <w:rFonts w:cs="Arial"/>
                <w:i/>
                <w:iCs/>
                <w:shd w:val="solid" w:color="000000" w:fill="000000"/>
                <w14:textFill>
                  <w14:solidFill>
                    <w14:srgbClr w14:val="000000">
                      <w14:alpha w14:val="100000"/>
                    </w14:srgbClr>
                  </w14:solidFill>
                </w14:textFill>
              </w:rPr>
              <w:t>|</w:t>
            </w:r>
          </w:p>
        </w:tc>
        <w:tc>
          <w:tcPr>
            <w:tcW w:w="667" w:type="pct"/>
            <w:shd w:val="clear" w:color="auto" w:fill="auto"/>
            <w:noWrap/>
            <w:vAlign w:val="center"/>
          </w:tcPr>
          <w:p w14:paraId="6BE4BCC7" w14:textId="2773EEC1"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55EAA46E" w14:textId="33BC9B34" w:rsidR="00D933E3" w:rsidRPr="00D960B0" w:rsidRDefault="00D960B0" w:rsidP="00A313B1">
            <w:pPr>
              <w:spacing w:after="40"/>
              <w:jc w:val="center"/>
              <w:rPr>
                <w:rFonts w:cs="Arial"/>
                <w:i/>
                <w:iCs/>
                <w:highlight w:val="yellow"/>
              </w:rPr>
            </w:pPr>
            <w:r w:rsidRPr="00D960B0">
              <w:rPr>
                <w:rFonts w:cs="Arial"/>
                <w:i/>
                <w:iCs/>
                <w:shd w:val="solid" w:color="000000" w:fill="000000"/>
                <w14:textFill>
                  <w14:solidFill>
                    <w14:srgbClr w14:val="000000">
                      <w14:alpha w14:val="100000"/>
                    </w14:srgbClr>
                  </w14:solidFill>
                </w14:textFill>
              </w:rPr>
              <w:t>|</w:t>
            </w:r>
          </w:p>
        </w:tc>
      </w:tr>
      <w:tr w:rsidR="00D933E3" w:rsidRPr="00234DD6" w14:paraId="7B590626" w14:textId="77777777" w:rsidTr="00217B3A">
        <w:trPr>
          <w:trHeight w:val="300"/>
        </w:trPr>
        <w:tc>
          <w:tcPr>
            <w:tcW w:w="335" w:type="pct"/>
            <w:shd w:val="clear" w:color="auto" w:fill="auto"/>
            <w:hideMark/>
          </w:tcPr>
          <w:p w14:paraId="4B908124" w14:textId="77777777" w:rsidR="00D933E3" w:rsidRPr="00234DD6" w:rsidRDefault="00D933E3" w:rsidP="00A313B1">
            <w:pPr>
              <w:spacing w:after="40"/>
              <w:rPr>
                <w:rFonts w:cs="Calibri"/>
              </w:rPr>
            </w:pPr>
            <w:r w:rsidRPr="00234DD6">
              <w:t>C</w:t>
            </w:r>
          </w:p>
        </w:tc>
        <w:tc>
          <w:tcPr>
            <w:tcW w:w="831" w:type="pct"/>
            <w:shd w:val="clear" w:color="auto" w:fill="auto"/>
          </w:tcPr>
          <w:p w14:paraId="01B7322D" w14:textId="2E4443FE" w:rsidR="00D933E3" w:rsidRPr="00234DD6" w:rsidRDefault="00D933E3" w:rsidP="00A313B1">
            <w:pPr>
              <w:spacing w:after="40"/>
              <w:rPr>
                <w:rFonts w:cs="Calibri"/>
              </w:rPr>
            </w:pPr>
            <w:r w:rsidRPr="00234DD6">
              <w:t>Net impact to private insurers - prosthesis costs</w:t>
            </w:r>
            <w:r w:rsidR="00217B3A">
              <w:t xml:space="preserve"> ($)</w:t>
            </w:r>
          </w:p>
        </w:tc>
        <w:tc>
          <w:tcPr>
            <w:tcW w:w="583" w:type="pct"/>
            <w:shd w:val="clear" w:color="auto" w:fill="auto"/>
            <w:noWrap/>
            <w:vAlign w:val="center"/>
          </w:tcPr>
          <w:p w14:paraId="2A8EEA4E" w14:textId="691DFA96" w:rsidR="00D960B0" w:rsidRPr="00D960B0" w:rsidRDefault="00D960B0" w:rsidP="00A313B1">
            <w:pPr>
              <w:spacing w:after="40"/>
              <w:jc w:val="center"/>
            </w:pPr>
            <w:r w:rsidRPr="00D960B0">
              <w:rPr>
                <w:rFonts w:hint="eastAsia"/>
                <w:w w:val="15"/>
                <w:shd w:val="solid" w:color="000000" w:fill="000000"/>
                <w:fitText w:val="45" w:id="-1498771195"/>
                <w14:textFill>
                  <w14:solidFill>
                    <w14:srgbClr w14:val="000000">
                      <w14:alpha w14:val="100000"/>
                    </w14:srgbClr>
                  </w14:solidFill>
                </w14:textFill>
              </w:rPr>
              <w:t xml:space="preserve">　</w:t>
            </w:r>
            <w:r w:rsidRPr="00D960B0">
              <w:rPr>
                <w:w w:val="15"/>
                <w:shd w:val="solid" w:color="000000" w:fill="000000"/>
                <w:fitText w:val="45" w:id="-1498771195"/>
                <w14:textFill>
                  <w14:solidFill>
                    <w14:srgbClr w14:val="000000">
                      <w14:alpha w14:val="100000"/>
                    </w14:srgbClr>
                  </w14:solidFill>
                </w14:textFill>
              </w:rPr>
              <w:t>|</w:t>
            </w:r>
            <w:r w:rsidRPr="00D960B0">
              <w:rPr>
                <w:rFonts w:hint="eastAsia"/>
                <w:spacing w:val="-30"/>
                <w:w w:val="15"/>
                <w:shd w:val="solid" w:color="000000" w:fill="000000"/>
                <w:fitText w:val="45" w:id="-1498771195"/>
                <w14:textFill>
                  <w14:solidFill>
                    <w14:srgbClr w14:val="000000">
                      <w14:alpha w14:val="100000"/>
                    </w14:srgbClr>
                  </w14:solidFill>
                </w14:textFill>
              </w:rPr>
              <w:t xml:space="preserve">　</w:t>
            </w:r>
          </w:p>
          <w:p w14:paraId="393BD0EA" w14:textId="11055121" w:rsidR="00D933E3" w:rsidRPr="006D682A" w:rsidRDefault="00D960B0" w:rsidP="00A313B1">
            <w:pPr>
              <w:spacing w:after="40"/>
              <w:jc w:val="center"/>
              <w:rPr>
                <w:rFonts w:cs="Arial"/>
                <w:i/>
                <w:highlight w:val="yellow"/>
              </w:rPr>
            </w:pPr>
            <w:r w:rsidRPr="00D960B0">
              <w:rPr>
                <w:rFonts w:cs="Arial" w:hint="eastAsia"/>
                <w:i/>
                <w:w w:val="15"/>
                <w:shd w:val="solid" w:color="000000" w:fill="000000"/>
                <w:fitText w:val="45" w:id="-1498771194"/>
                <w14:textFill>
                  <w14:solidFill>
                    <w14:srgbClr w14:val="000000">
                      <w14:alpha w14:val="100000"/>
                    </w14:srgbClr>
                  </w14:solidFill>
                </w14:textFill>
              </w:rPr>
              <w:t xml:space="preserve">　</w:t>
            </w:r>
            <w:r w:rsidRPr="00D960B0">
              <w:rPr>
                <w:rFonts w:cs="Arial"/>
                <w:i/>
                <w:w w:val="15"/>
                <w:shd w:val="solid" w:color="000000" w:fill="000000"/>
                <w:fitText w:val="45" w:id="-1498771194"/>
                <w14:textFill>
                  <w14:solidFill>
                    <w14:srgbClr w14:val="000000">
                      <w14:alpha w14:val="100000"/>
                    </w14:srgbClr>
                  </w14:solidFill>
                </w14:textFill>
              </w:rPr>
              <w:t>|</w:t>
            </w:r>
            <w:r w:rsidRPr="00D960B0">
              <w:rPr>
                <w:rFonts w:cs="Arial" w:hint="eastAsia"/>
                <w:i/>
                <w:spacing w:val="-30"/>
                <w:w w:val="15"/>
                <w:shd w:val="solid" w:color="000000" w:fill="000000"/>
                <w:fitText w:val="45" w:id="-1498771194"/>
                <w14:textFill>
                  <w14:solidFill>
                    <w14:srgbClr w14:val="000000">
                      <w14:alpha w14:val="100000"/>
                    </w14:srgbClr>
                  </w14:solidFill>
                </w14:textFill>
              </w:rPr>
              <w:t xml:space="preserve">　</w:t>
            </w:r>
          </w:p>
        </w:tc>
        <w:tc>
          <w:tcPr>
            <w:tcW w:w="582" w:type="pct"/>
            <w:shd w:val="clear" w:color="auto" w:fill="auto"/>
            <w:noWrap/>
            <w:vAlign w:val="center"/>
          </w:tcPr>
          <w:p w14:paraId="1704B377" w14:textId="78599FB5" w:rsidR="00D960B0" w:rsidRPr="00D960B0" w:rsidRDefault="00D960B0" w:rsidP="00A313B1">
            <w:pPr>
              <w:spacing w:after="40"/>
              <w:jc w:val="center"/>
            </w:pPr>
            <w:r w:rsidRPr="00D960B0">
              <w:rPr>
                <w:rFonts w:hint="eastAsia"/>
                <w:w w:val="15"/>
                <w:shd w:val="solid" w:color="000000" w:fill="000000"/>
                <w:fitText w:val="45" w:id="-1498771193"/>
                <w14:textFill>
                  <w14:solidFill>
                    <w14:srgbClr w14:val="000000">
                      <w14:alpha w14:val="100000"/>
                    </w14:srgbClr>
                  </w14:solidFill>
                </w14:textFill>
              </w:rPr>
              <w:t xml:space="preserve">　</w:t>
            </w:r>
            <w:r w:rsidRPr="00D960B0">
              <w:rPr>
                <w:w w:val="15"/>
                <w:shd w:val="solid" w:color="000000" w:fill="000000"/>
                <w:fitText w:val="45" w:id="-1498771193"/>
                <w14:textFill>
                  <w14:solidFill>
                    <w14:srgbClr w14:val="000000">
                      <w14:alpha w14:val="100000"/>
                    </w14:srgbClr>
                  </w14:solidFill>
                </w14:textFill>
              </w:rPr>
              <w:t>|</w:t>
            </w:r>
            <w:r w:rsidRPr="00D960B0">
              <w:rPr>
                <w:rFonts w:hint="eastAsia"/>
                <w:spacing w:val="-30"/>
                <w:w w:val="15"/>
                <w:shd w:val="solid" w:color="000000" w:fill="000000"/>
                <w:fitText w:val="45" w:id="-1498771193"/>
                <w14:textFill>
                  <w14:solidFill>
                    <w14:srgbClr w14:val="000000">
                      <w14:alpha w14:val="100000"/>
                    </w14:srgbClr>
                  </w14:solidFill>
                </w14:textFill>
              </w:rPr>
              <w:t xml:space="preserve">　</w:t>
            </w:r>
          </w:p>
          <w:p w14:paraId="61FCDB50" w14:textId="33C334F7" w:rsidR="00D933E3" w:rsidRPr="006D682A" w:rsidRDefault="00D960B0" w:rsidP="00A313B1">
            <w:pPr>
              <w:spacing w:after="40"/>
              <w:jc w:val="center"/>
              <w:rPr>
                <w:rFonts w:cs="Arial"/>
                <w:i/>
                <w:highlight w:val="yellow"/>
              </w:rPr>
            </w:pPr>
            <w:r w:rsidRPr="00D960B0">
              <w:rPr>
                <w:rFonts w:cs="Arial" w:hint="eastAsia"/>
                <w:i/>
                <w:w w:val="15"/>
                <w:shd w:val="solid" w:color="000000" w:fill="000000"/>
                <w:fitText w:val="45" w:id="-1498771192"/>
                <w14:textFill>
                  <w14:solidFill>
                    <w14:srgbClr w14:val="000000">
                      <w14:alpha w14:val="100000"/>
                    </w14:srgbClr>
                  </w14:solidFill>
                </w14:textFill>
              </w:rPr>
              <w:t xml:space="preserve">　</w:t>
            </w:r>
            <w:r w:rsidRPr="00D960B0">
              <w:rPr>
                <w:rFonts w:cs="Arial"/>
                <w:i/>
                <w:w w:val="15"/>
                <w:shd w:val="solid" w:color="000000" w:fill="000000"/>
                <w:fitText w:val="45" w:id="-1498771192"/>
                <w14:textFill>
                  <w14:solidFill>
                    <w14:srgbClr w14:val="000000">
                      <w14:alpha w14:val="100000"/>
                    </w14:srgbClr>
                  </w14:solidFill>
                </w14:textFill>
              </w:rPr>
              <w:t>|</w:t>
            </w:r>
            <w:r w:rsidRPr="00D960B0">
              <w:rPr>
                <w:rFonts w:cs="Arial" w:hint="eastAsia"/>
                <w:i/>
                <w:spacing w:val="-30"/>
                <w:w w:val="15"/>
                <w:shd w:val="solid" w:color="000000" w:fill="000000"/>
                <w:fitText w:val="45" w:id="-1498771192"/>
                <w14:textFill>
                  <w14:solidFill>
                    <w14:srgbClr w14:val="000000">
                      <w14:alpha w14:val="100000"/>
                    </w14:srgbClr>
                  </w14:solidFill>
                </w14:textFill>
              </w:rPr>
              <w:t xml:space="preserve">　</w:t>
            </w:r>
          </w:p>
        </w:tc>
        <w:tc>
          <w:tcPr>
            <w:tcW w:w="667" w:type="pct"/>
            <w:shd w:val="clear" w:color="auto" w:fill="auto"/>
            <w:noWrap/>
            <w:vAlign w:val="center"/>
          </w:tcPr>
          <w:p w14:paraId="199992A3" w14:textId="75B6EC1C"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255E1E86" w14:textId="1714950F" w:rsidR="00D933E3" w:rsidRPr="006D682A" w:rsidRDefault="00D960B0" w:rsidP="00A313B1">
            <w:pPr>
              <w:spacing w:after="40"/>
              <w:jc w:val="center"/>
              <w:rPr>
                <w:rFonts w:cs="Arial"/>
                <w:i/>
                <w:highlight w:val="yellow"/>
              </w:rPr>
            </w:pPr>
            <w:r w:rsidRPr="00D960B0">
              <w:rPr>
                <w:rFonts w:cs="Arial"/>
                <w:i/>
                <w:shd w:val="solid" w:color="000000" w:fill="000000"/>
                <w14:textFill>
                  <w14:solidFill>
                    <w14:srgbClr w14:val="000000">
                      <w14:alpha w14:val="100000"/>
                    </w14:srgbClr>
                  </w14:solidFill>
                </w14:textFill>
              </w:rPr>
              <w:t>|</w:t>
            </w:r>
          </w:p>
        </w:tc>
        <w:tc>
          <w:tcPr>
            <w:tcW w:w="667" w:type="pct"/>
            <w:shd w:val="clear" w:color="auto" w:fill="auto"/>
            <w:noWrap/>
            <w:vAlign w:val="center"/>
          </w:tcPr>
          <w:p w14:paraId="66621033" w14:textId="0945018B"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0A43B45C" w14:textId="1A469CEC" w:rsidR="00D933E3" w:rsidRPr="006D682A" w:rsidRDefault="00D960B0" w:rsidP="00A313B1">
            <w:pPr>
              <w:spacing w:after="40"/>
              <w:jc w:val="center"/>
              <w:rPr>
                <w:rFonts w:cs="Arial"/>
                <w:i/>
                <w:highlight w:val="yellow"/>
              </w:rPr>
            </w:pPr>
            <w:r w:rsidRPr="00D960B0">
              <w:rPr>
                <w:rFonts w:cs="Arial"/>
                <w:i/>
                <w:shd w:val="solid" w:color="000000" w:fill="000000"/>
                <w14:textFill>
                  <w14:solidFill>
                    <w14:srgbClr w14:val="000000">
                      <w14:alpha w14:val="100000"/>
                    </w14:srgbClr>
                  </w14:solidFill>
                </w14:textFill>
              </w:rPr>
              <w:t>|</w:t>
            </w:r>
          </w:p>
        </w:tc>
        <w:tc>
          <w:tcPr>
            <w:tcW w:w="667" w:type="pct"/>
            <w:shd w:val="clear" w:color="auto" w:fill="auto"/>
            <w:noWrap/>
            <w:vAlign w:val="center"/>
          </w:tcPr>
          <w:p w14:paraId="36BB8A8D" w14:textId="74D62FC5"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3A341E5D" w14:textId="4136879D" w:rsidR="00D933E3" w:rsidRPr="006D682A" w:rsidRDefault="00D960B0" w:rsidP="00A313B1">
            <w:pPr>
              <w:spacing w:after="40"/>
              <w:jc w:val="center"/>
              <w:rPr>
                <w:rFonts w:cs="Arial"/>
                <w:i/>
                <w:highlight w:val="yellow"/>
              </w:rPr>
            </w:pPr>
            <w:r w:rsidRPr="00D960B0">
              <w:rPr>
                <w:rFonts w:cs="Arial"/>
                <w:i/>
                <w:shd w:val="solid" w:color="000000" w:fill="000000"/>
                <w14:textFill>
                  <w14:solidFill>
                    <w14:srgbClr w14:val="000000">
                      <w14:alpha w14:val="100000"/>
                    </w14:srgbClr>
                  </w14:solidFill>
                </w14:textFill>
              </w:rPr>
              <w:t>|</w:t>
            </w:r>
          </w:p>
        </w:tc>
        <w:tc>
          <w:tcPr>
            <w:tcW w:w="667" w:type="pct"/>
            <w:shd w:val="clear" w:color="auto" w:fill="auto"/>
            <w:noWrap/>
            <w:vAlign w:val="center"/>
          </w:tcPr>
          <w:p w14:paraId="65B0E1A5" w14:textId="17BC5F8D"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7C93A11F" w14:textId="4356284F" w:rsidR="00D933E3" w:rsidRPr="006D682A" w:rsidRDefault="00D960B0" w:rsidP="00A313B1">
            <w:pPr>
              <w:spacing w:after="40"/>
              <w:jc w:val="center"/>
              <w:rPr>
                <w:rFonts w:cs="Arial"/>
                <w:i/>
                <w:highlight w:val="yellow"/>
              </w:rPr>
            </w:pPr>
            <w:r w:rsidRPr="00D960B0">
              <w:rPr>
                <w:rFonts w:cs="Arial"/>
                <w:i/>
                <w:shd w:val="solid" w:color="000000" w:fill="000000"/>
                <w14:textFill>
                  <w14:solidFill>
                    <w14:srgbClr w14:val="000000">
                      <w14:alpha w14:val="100000"/>
                    </w14:srgbClr>
                  </w14:solidFill>
                </w14:textFill>
              </w:rPr>
              <w:t>|</w:t>
            </w:r>
          </w:p>
        </w:tc>
      </w:tr>
      <w:tr w:rsidR="00D933E3" w:rsidRPr="00234DD6" w14:paraId="7C1D5C8C" w14:textId="77777777" w:rsidTr="00217B3A">
        <w:trPr>
          <w:trHeight w:val="300"/>
        </w:trPr>
        <w:tc>
          <w:tcPr>
            <w:tcW w:w="335" w:type="pct"/>
            <w:shd w:val="clear" w:color="auto" w:fill="auto"/>
            <w:hideMark/>
          </w:tcPr>
          <w:p w14:paraId="214DCB8E" w14:textId="77777777" w:rsidR="00D933E3" w:rsidRPr="00234DD6" w:rsidRDefault="00D933E3" w:rsidP="00A313B1">
            <w:pPr>
              <w:spacing w:after="40"/>
              <w:rPr>
                <w:rFonts w:cs="Calibri"/>
              </w:rPr>
            </w:pPr>
            <w:r w:rsidRPr="00234DD6">
              <w:t>D</w:t>
            </w:r>
          </w:p>
        </w:tc>
        <w:tc>
          <w:tcPr>
            <w:tcW w:w="831" w:type="pct"/>
            <w:shd w:val="clear" w:color="auto" w:fill="auto"/>
          </w:tcPr>
          <w:p w14:paraId="4086C1DB" w14:textId="2F273747" w:rsidR="00D933E3" w:rsidRPr="00234DD6" w:rsidRDefault="00D933E3" w:rsidP="00A313B1">
            <w:pPr>
              <w:spacing w:after="40"/>
              <w:rPr>
                <w:rFonts w:cs="Calibri"/>
              </w:rPr>
            </w:pPr>
            <w:r w:rsidRPr="00234DD6">
              <w:t>Net impact to health care system – expenditure</w:t>
            </w:r>
            <w:r w:rsidR="00217B3A">
              <w:t xml:space="preserve"> ($)</w:t>
            </w:r>
          </w:p>
        </w:tc>
        <w:tc>
          <w:tcPr>
            <w:tcW w:w="583" w:type="pct"/>
            <w:shd w:val="clear" w:color="auto" w:fill="auto"/>
            <w:noWrap/>
            <w:vAlign w:val="center"/>
          </w:tcPr>
          <w:p w14:paraId="5E1E7B16" w14:textId="22BA386B" w:rsidR="00D960B0" w:rsidRPr="00D960B0" w:rsidRDefault="00D960B0" w:rsidP="00A313B1">
            <w:pPr>
              <w:spacing w:after="40"/>
              <w:jc w:val="center"/>
            </w:pPr>
            <w:r w:rsidRPr="00D960B0">
              <w:rPr>
                <w:rFonts w:hint="eastAsia"/>
                <w:w w:val="15"/>
                <w:shd w:val="solid" w:color="000000" w:fill="000000"/>
                <w:fitText w:val="45" w:id="-1498771191"/>
                <w14:textFill>
                  <w14:solidFill>
                    <w14:srgbClr w14:val="000000">
                      <w14:alpha w14:val="100000"/>
                    </w14:srgbClr>
                  </w14:solidFill>
                </w14:textFill>
              </w:rPr>
              <w:t xml:space="preserve">　</w:t>
            </w:r>
            <w:r w:rsidRPr="00D960B0">
              <w:rPr>
                <w:w w:val="15"/>
                <w:shd w:val="solid" w:color="000000" w:fill="000000"/>
                <w:fitText w:val="45" w:id="-1498771191"/>
                <w14:textFill>
                  <w14:solidFill>
                    <w14:srgbClr w14:val="000000">
                      <w14:alpha w14:val="100000"/>
                    </w14:srgbClr>
                  </w14:solidFill>
                </w14:textFill>
              </w:rPr>
              <w:t>|</w:t>
            </w:r>
            <w:r w:rsidRPr="00D960B0">
              <w:rPr>
                <w:rFonts w:hint="eastAsia"/>
                <w:spacing w:val="-30"/>
                <w:w w:val="15"/>
                <w:shd w:val="solid" w:color="000000" w:fill="000000"/>
                <w:fitText w:val="45" w:id="-1498771191"/>
                <w14:textFill>
                  <w14:solidFill>
                    <w14:srgbClr w14:val="000000">
                      <w14:alpha w14:val="100000"/>
                    </w14:srgbClr>
                  </w14:solidFill>
                </w14:textFill>
              </w:rPr>
              <w:t xml:space="preserve">　</w:t>
            </w:r>
          </w:p>
          <w:p w14:paraId="65857810" w14:textId="20E0772D" w:rsidR="00D933E3" w:rsidRPr="006D682A" w:rsidRDefault="00D960B0" w:rsidP="00A313B1">
            <w:pPr>
              <w:spacing w:after="40"/>
              <w:jc w:val="center"/>
              <w:rPr>
                <w:rFonts w:cs="Arial"/>
                <w:i/>
                <w:highlight w:val="yellow"/>
              </w:rPr>
            </w:pPr>
            <w:r w:rsidRPr="00D960B0">
              <w:rPr>
                <w:rFonts w:cs="Arial" w:hint="eastAsia"/>
                <w:i/>
                <w:w w:val="15"/>
                <w:shd w:val="solid" w:color="000000" w:fill="000000"/>
                <w:fitText w:val="45" w:id="-1498771190"/>
                <w14:textFill>
                  <w14:solidFill>
                    <w14:srgbClr w14:val="000000">
                      <w14:alpha w14:val="100000"/>
                    </w14:srgbClr>
                  </w14:solidFill>
                </w14:textFill>
              </w:rPr>
              <w:t xml:space="preserve">　</w:t>
            </w:r>
            <w:r w:rsidRPr="00D960B0">
              <w:rPr>
                <w:rFonts w:cs="Arial"/>
                <w:i/>
                <w:w w:val="15"/>
                <w:shd w:val="solid" w:color="000000" w:fill="000000"/>
                <w:fitText w:val="45" w:id="-1498771190"/>
                <w14:textFill>
                  <w14:solidFill>
                    <w14:srgbClr w14:val="000000">
                      <w14:alpha w14:val="100000"/>
                    </w14:srgbClr>
                  </w14:solidFill>
                </w14:textFill>
              </w:rPr>
              <w:t>|</w:t>
            </w:r>
            <w:r w:rsidRPr="00D960B0">
              <w:rPr>
                <w:rFonts w:cs="Arial" w:hint="eastAsia"/>
                <w:i/>
                <w:spacing w:val="-30"/>
                <w:w w:val="15"/>
                <w:shd w:val="solid" w:color="000000" w:fill="000000"/>
                <w:fitText w:val="45" w:id="-1498771190"/>
                <w14:textFill>
                  <w14:solidFill>
                    <w14:srgbClr w14:val="000000">
                      <w14:alpha w14:val="100000"/>
                    </w14:srgbClr>
                  </w14:solidFill>
                </w14:textFill>
              </w:rPr>
              <w:t xml:space="preserve">　</w:t>
            </w:r>
          </w:p>
        </w:tc>
        <w:tc>
          <w:tcPr>
            <w:tcW w:w="582" w:type="pct"/>
            <w:shd w:val="clear" w:color="auto" w:fill="auto"/>
            <w:noWrap/>
            <w:vAlign w:val="center"/>
          </w:tcPr>
          <w:p w14:paraId="03E942AA" w14:textId="64979D43" w:rsidR="00D960B0" w:rsidRPr="00D960B0" w:rsidRDefault="00D960B0" w:rsidP="00A313B1">
            <w:pPr>
              <w:spacing w:after="40"/>
              <w:jc w:val="center"/>
            </w:pPr>
            <w:r w:rsidRPr="00D960B0">
              <w:rPr>
                <w:rFonts w:hint="eastAsia"/>
                <w:w w:val="15"/>
                <w:shd w:val="solid" w:color="000000" w:fill="000000"/>
                <w:fitText w:val="45" w:id="-1498771189"/>
                <w14:textFill>
                  <w14:solidFill>
                    <w14:srgbClr w14:val="000000">
                      <w14:alpha w14:val="100000"/>
                    </w14:srgbClr>
                  </w14:solidFill>
                </w14:textFill>
              </w:rPr>
              <w:t xml:space="preserve">　</w:t>
            </w:r>
            <w:r w:rsidRPr="00D960B0">
              <w:rPr>
                <w:w w:val="15"/>
                <w:shd w:val="solid" w:color="000000" w:fill="000000"/>
                <w:fitText w:val="45" w:id="-1498771189"/>
                <w14:textFill>
                  <w14:solidFill>
                    <w14:srgbClr w14:val="000000">
                      <w14:alpha w14:val="100000"/>
                    </w14:srgbClr>
                  </w14:solidFill>
                </w14:textFill>
              </w:rPr>
              <w:t>|</w:t>
            </w:r>
            <w:r w:rsidRPr="00D960B0">
              <w:rPr>
                <w:rFonts w:hint="eastAsia"/>
                <w:spacing w:val="-30"/>
                <w:w w:val="15"/>
                <w:shd w:val="solid" w:color="000000" w:fill="000000"/>
                <w:fitText w:val="45" w:id="-1498771189"/>
                <w14:textFill>
                  <w14:solidFill>
                    <w14:srgbClr w14:val="000000">
                      <w14:alpha w14:val="100000"/>
                    </w14:srgbClr>
                  </w14:solidFill>
                </w14:textFill>
              </w:rPr>
              <w:t xml:space="preserve">　</w:t>
            </w:r>
          </w:p>
          <w:p w14:paraId="7E862422" w14:textId="3BD3842F" w:rsidR="00D933E3" w:rsidRPr="006D682A" w:rsidRDefault="00D960B0" w:rsidP="00A313B1">
            <w:pPr>
              <w:spacing w:after="40"/>
              <w:jc w:val="center"/>
              <w:rPr>
                <w:rFonts w:cs="Arial"/>
                <w:i/>
                <w:highlight w:val="yellow"/>
              </w:rPr>
            </w:pPr>
            <w:r w:rsidRPr="00D960B0">
              <w:rPr>
                <w:rFonts w:cs="Arial" w:hint="eastAsia"/>
                <w:i/>
                <w:w w:val="15"/>
                <w:shd w:val="solid" w:color="000000" w:fill="000000"/>
                <w:fitText w:val="45" w:id="-1498771188"/>
                <w14:textFill>
                  <w14:solidFill>
                    <w14:srgbClr w14:val="000000">
                      <w14:alpha w14:val="100000"/>
                    </w14:srgbClr>
                  </w14:solidFill>
                </w14:textFill>
              </w:rPr>
              <w:t xml:space="preserve">　</w:t>
            </w:r>
            <w:r w:rsidRPr="00D960B0">
              <w:rPr>
                <w:rFonts w:cs="Arial"/>
                <w:i/>
                <w:w w:val="15"/>
                <w:shd w:val="solid" w:color="000000" w:fill="000000"/>
                <w:fitText w:val="45" w:id="-1498771188"/>
                <w14:textFill>
                  <w14:solidFill>
                    <w14:srgbClr w14:val="000000">
                      <w14:alpha w14:val="100000"/>
                    </w14:srgbClr>
                  </w14:solidFill>
                </w14:textFill>
              </w:rPr>
              <w:t>|</w:t>
            </w:r>
            <w:r w:rsidRPr="00D960B0">
              <w:rPr>
                <w:rFonts w:cs="Arial" w:hint="eastAsia"/>
                <w:i/>
                <w:spacing w:val="-30"/>
                <w:w w:val="15"/>
                <w:shd w:val="solid" w:color="000000" w:fill="000000"/>
                <w:fitText w:val="45" w:id="-1498771188"/>
                <w14:textFill>
                  <w14:solidFill>
                    <w14:srgbClr w14:val="000000">
                      <w14:alpha w14:val="100000"/>
                    </w14:srgbClr>
                  </w14:solidFill>
                </w14:textFill>
              </w:rPr>
              <w:t xml:space="preserve">　</w:t>
            </w:r>
          </w:p>
        </w:tc>
        <w:tc>
          <w:tcPr>
            <w:tcW w:w="667" w:type="pct"/>
            <w:shd w:val="clear" w:color="auto" w:fill="auto"/>
            <w:noWrap/>
            <w:vAlign w:val="center"/>
          </w:tcPr>
          <w:p w14:paraId="27086B6A" w14:textId="7A160547"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5AE64405" w14:textId="36949267" w:rsidR="00D933E3" w:rsidRPr="006D682A" w:rsidRDefault="00D960B0" w:rsidP="00A313B1">
            <w:pPr>
              <w:spacing w:after="40"/>
              <w:jc w:val="center"/>
              <w:rPr>
                <w:rFonts w:cs="Arial"/>
                <w:i/>
                <w:highlight w:val="yellow"/>
              </w:rPr>
            </w:pPr>
            <w:r w:rsidRPr="00D960B0">
              <w:rPr>
                <w:rFonts w:cs="Arial"/>
                <w:i/>
                <w:shd w:val="solid" w:color="000000" w:fill="000000"/>
                <w14:textFill>
                  <w14:solidFill>
                    <w14:srgbClr w14:val="000000">
                      <w14:alpha w14:val="100000"/>
                    </w14:srgbClr>
                  </w14:solidFill>
                </w14:textFill>
              </w:rPr>
              <w:t>|</w:t>
            </w:r>
          </w:p>
        </w:tc>
        <w:tc>
          <w:tcPr>
            <w:tcW w:w="667" w:type="pct"/>
            <w:shd w:val="clear" w:color="auto" w:fill="auto"/>
            <w:noWrap/>
            <w:vAlign w:val="center"/>
          </w:tcPr>
          <w:p w14:paraId="64A6D535" w14:textId="1842B24F"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11A0571E" w14:textId="0273A2B9" w:rsidR="00D933E3" w:rsidRPr="006D682A" w:rsidRDefault="00D960B0" w:rsidP="00A313B1">
            <w:pPr>
              <w:spacing w:after="40"/>
              <w:jc w:val="center"/>
              <w:rPr>
                <w:rFonts w:cs="Arial"/>
                <w:i/>
                <w:highlight w:val="yellow"/>
              </w:rPr>
            </w:pPr>
            <w:r w:rsidRPr="00D960B0">
              <w:rPr>
                <w:rFonts w:cs="Arial"/>
                <w:i/>
                <w:shd w:val="solid" w:color="000000" w:fill="000000"/>
                <w14:textFill>
                  <w14:solidFill>
                    <w14:srgbClr w14:val="000000">
                      <w14:alpha w14:val="100000"/>
                    </w14:srgbClr>
                  </w14:solidFill>
                </w14:textFill>
              </w:rPr>
              <w:t>|</w:t>
            </w:r>
          </w:p>
        </w:tc>
        <w:tc>
          <w:tcPr>
            <w:tcW w:w="667" w:type="pct"/>
            <w:shd w:val="clear" w:color="auto" w:fill="auto"/>
            <w:noWrap/>
            <w:vAlign w:val="center"/>
          </w:tcPr>
          <w:p w14:paraId="28C71ACF" w14:textId="65B6AB51"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1D6CF2FB" w14:textId="67C1B2F5" w:rsidR="00D933E3" w:rsidRPr="006D682A" w:rsidRDefault="00D960B0" w:rsidP="00A313B1">
            <w:pPr>
              <w:spacing w:after="40"/>
              <w:jc w:val="center"/>
              <w:rPr>
                <w:rFonts w:cs="Arial"/>
                <w:i/>
                <w:highlight w:val="yellow"/>
              </w:rPr>
            </w:pPr>
            <w:r w:rsidRPr="00D960B0">
              <w:rPr>
                <w:rFonts w:cs="Arial"/>
                <w:i/>
                <w:shd w:val="solid" w:color="000000" w:fill="000000"/>
                <w14:textFill>
                  <w14:solidFill>
                    <w14:srgbClr w14:val="000000">
                      <w14:alpha w14:val="100000"/>
                    </w14:srgbClr>
                  </w14:solidFill>
                </w14:textFill>
              </w:rPr>
              <w:t>|</w:t>
            </w:r>
          </w:p>
        </w:tc>
        <w:tc>
          <w:tcPr>
            <w:tcW w:w="667" w:type="pct"/>
            <w:shd w:val="clear" w:color="auto" w:fill="auto"/>
            <w:noWrap/>
            <w:vAlign w:val="center"/>
          </w:tcPr>
          <w:p w14:paraId="64674C45" w14:textId="3B881785" w:rsidR="00D960B0" w:rsidRPr="00D960B0" w:rsidRDefault="00D960B0" w:rsidP="00A313B1">
            <w:pPr>
              <w:spacing w:after="40"/>
              <w:jc w:val="center"/>
            </w:pPr>
            <w:r w:rsidRPr="00D960B0">
              <w:rPr>
                <w:shd w:val="solid" w:color="000000" w:fill="000000"/>
                <w14:textFill>
                  <w14:solidFill>
                    <w14:srgbClr w14:val="000000">
                      <w14:alpha w14:val="100000"/>
                    </w14:srgbClr>
                  </w14:solidFill>
                </w14:textFill>
              </w:rPr>
              <w:t>|</w:t>
            </w:r>
          </w:p>
          <w:p w14:paraId="0E6115F6" w14:textId="56AF57AA" w:rsidR="00D933E3" w:rsidRPr="006D682A" w:rsidRDefault="00D960B0" w:rsidP="00A313B1">
            <w:pPr>
              <w:spacing w:after="40"/>
              <w:jc w:val="center"/>
              <w:rPr>
                <w:rFonts w:cs="Arial"/>
                <w:i/>
                <w:highlight w:val="yellow"/>
              </w:rPr>
            </w:pPr>
            <w:r w:rsidRPr="00D960B0">
              <w:rPr>
                <w:rFonts w:cs="Arial"/>
                <w:i/>
                <w:shd w:val="solid" w:color="000000" w:fill="000000"/>
                <w14:textFill>
                  <w14:solidFill>
                    <w14:srgbClr w14:val="000000">
                      <w14:alpha w14:val="100000"/>
                    </w14:srgbClr>
                  </w14:solidFill>
                </w14:textFill>
              </w:rPr>
              <w:t>|</w:t>
            </w:r>
          </w:p>
        </w:tc>
      </w:tr>
      <w:tr w:rsidR="00D933E3" w:rsidRPr="00234DD6" w14:paraId="72AC77DE" w14:textId="77777777" w:rsidTr="00217B3A">
        <w:trPr>
          <w:trHeight w:val="300"/>
        </w:trPr>
        <w:tc>
          <w:tcPr>
            <w:tcW w:w="335" w:type="pct"/>
            <w:shd w:val="clear" w:color="auto" w:fill="auto"/>
            <w:hideMark/>
          </w:tcPr>
          <w:p w14:paraId="0D7463EB" w14:textId="77777777" w:rsidR="00D933E3" w:rsidRPr="00A10004" w:rsidRDefault="00D933E3" w:rsidP="00A313B1">
            <w:pPr>
              <w:spacing w:after="40"/>
              <w:rPr>
                <w:rFonts w:cs="Calibri"/>
              </w:rPr>
            </w:pPr>
            <w:r w:rsidRPr="00A10004">
              <w:t>E</w:t>
            </w:r>
          </w:p>
        </w:tc>
        <w:tc>
          <w:tcPr>
            <w:tcW w:w="831" w:type="pct"/>
            <w:shd w:val="clear" w:color="auto" w:fill="auto"/>
          </w:tcPr>
          <w:p w14:paraId="4529E7FE" w14:textId="3F4F2C31" w:rsidR="00D933E3" w:rsidRPr="00217B3A" w:rsidRDefault="00D933E3" w:rsidP="00A313B1">
            <w:pPr>
              <w:spacing w:after="40"/>
              <w:rPr>
                <w:rFonts w:cs="Calibri"/>
              </w:rPr>
            </w:pPr>
            <w:r w:rsidRPr="00217B3A">
              <w:t>Net impact to health care system - patients treated</w:t>
            </w:r>
            <w:r w:rsidR="00217B3A">
              <w:t xml:space="preserve"> </w:t>
            </w:r>
          </w:p>
        </w:tc>
        <w:tc>
          <w:tcPr>
            <w:tcW w:w="583" w:type="pct"/>
            <w:shd w:val="clear" w:color="auto" w:fill="auto"/>
            <w:noWrap/>
            <w:vAlign w:val="center"/>
          </w:tcPr>
          <w:p w14:paraId="73B5C8E5" w14:textId="77777777" w:rsidR="00D933E3" w:rsidRPr="00D960B0" w:rsidRDefault="00D933E3" w:rsidP="00A313B1">
            <w:pPr>
              <w:spacing w:after="40"/>
              <w:jc w:val="center"/>
            </w:pPr>
            <w:r w:rsidRPr="00D960B0">
              <w:t>49</w:t>
            </w:r>
          </w:p>
          <w:p w14:paraId="1FE9004A" w14:textId="77777777" w:rsidR="00D933E3" w:rsidRPr="00D960B0" w:rsidRDefault="00D933E3" w:rsidP="00A313B1">
            <w:pPr>
              <w:spacing w:after="40"/>
              <w:jc w:val="center"/>
              <w:rPr>
                <w:rFonts w:cs="Arial"/>
                <w:i/>
                <w:iCs/>
              </w:rPr>
            </w:pPr>
            <w:r w:rsidRPr="00D960B0">
              <w:rPr>
                <w:rFonts w:cs="Arial"/>
                <w:i/>
                <w:iCs/>
              </w:rPr>
              <w:t>122</w:t>
            </w:r>
          </w:p>
        </w:tc>
        <w:tc>
          <w:tcPr>
            <w:tcW w:w="582" w:type="pct"/>
            <w:shd w:val="clear" w:color="auto" w:fill="auto"/>
            <w:noWrap/>
            <w:vAlign w:val="center"/>
          </w:tcPr>
          <w:p w14:paraId="48BCDD8A" w14:textId="77777777" w:rsidR="00D933E3" w:rsidRPr="00D960B0" w:rsidRDefault="00D933E3" w:rsidP="00A313B1">
            <w:pPr>
              <w:spacing w:after="40"/>
              <w:jc w:val="center"/>
            </w:pPr>
            <w:r w:rsidRPr="00D960B0">
              <w:t>52</w:t>
            </w:r>
          </w:p>
          <w:p w14:paraId="108BDBFD" w14:textId="77777777" w:rsidR="00D933E3" w:rsidRPr="00D960B0" w:rsidRDefault="00D933E3" w:rsidP="00A313B1">
            <w:pPr>
              <w:spacing w:after="40"/>
              <w:jc w:val="center"/>
              <w:rPr>
                <w:rFonts w:cs="Arial"/>
                <w:i/>
              </w:rPr>
            </w:pPr>
            <w:r w:rsidRPr="00D960B0">
              <w:rPr>
                <w:rFonts w:cs="Arial"/>
                <w:i/>
              </w:rPr>
              <w:t>128</w:t>
            </w:r>
          </w:p>
        </w:tc>
        <w:tc>
          <w:tcPr>
            <w:tcW w:w="667" w:type="pct"/>
            <w:shd w:val="clear" w:color="auto" w:fill="auto"/>
            <w:noWrap/>
            <w:vAlign w:val="center"/>
          </w:tcPr>
          <w:p w14:paraId="60833F1E" w14:textId="77777777" w:rsidR="00D933E3" w:rsidRPr="00D960B0" w:rsidRDefault="00D933E3" w:rsidP="00A313B1">
            <w:pPr>
              <w:spacing w:after="40"/>
              <w:jc w:val="center"/>
            </w:pPr>
            <w:r w:rsidRPr="00D960B0">
              <w:t>54</w:t>
            </w:r>
          </w:p>
          <w:p w14:paraId="2619434F" w14:textId="77777777" w:rsidR="00D933E3" w:rsidRPr="00D960B0" w:rsidRDefault="00D933E3" w:rsidP="00A313B1">
            <w:pPr>
              <w:spacing w:after="40"/>
              <w:jc w:val="center"/>
              <w:rPr>
                <w:rFonts w:cs="Arial"/>
                <w:i/>
              </w:rPr>
            </w:pPr>
            <w:r w:rsidRPr="00D960B0">
              <w:rPr>
                <w:rFonts w:cs="Arial"/>
                <w:i/>
              </w:rPr>
              <w:t>134</w:t>
            </w:r>
          </w:p>
        </w:tc>
        <w:tc>
          <w:tcPr>
            <w:tcW w:w="667" w:type="pct"/>
            <w:shd w:val="clear" w:color="auto" w:fill="auto"/>
            <w:noWrap/>
            <w:vAlign w:val="center"/>
          </w:tcPr>
          <w:p w14:paraId="3237E645" w14:textId="77777777" w:rsidR="00D933E3" w:rsidRPr="00D960B0" w:rsidRDefault="00D933E3" w:rsidP="00A313B1">
            <w:pPr>
              <w:spacing w:after="40"/>
              <w:jc w:val="center"/>
            </w:pPr>
            <w:r w:rsidRPr="00D960B0">
              <w:t>57</w:t>
            </w:r>
          </w:p>
          <w:p w14:paraId="2589C43A" w14:textId="77777777" w:rsidR="00D933E3" w:rsidRPr="00D960B0" w:rsidRDefault="00D933E3" w:rsidP="00A313B1">
            <w:pPr>
              <w:spacing w:after="40"/>
              <w:jc w:val="center"/>
              <w:rPr>
                <w:rFonts w:cs="Arial"/>
                <w:i/>
              </w:rPr>
            </w:pPr>
            <w:r w:rsidRPr="00D960B0">
              <w:rPr>
                <w:rFonts w:cs="Arial"/>
                <w:i/>
              </w:rPr>
              <w:t>140</w:t>
            </w:r>
          </w:p>
        </w:tc>
        <w:tc>
          <w:tcPr>
            <w:tcW w:w="667" w:type="pct"/>
            <w:shd w:val="clear" w:color="auto" w:fill="auto"/>
            <w:noWrap/>
            <w:vAlign w:val="center"/>
          </w:tcPr>
          <w:p w14:paraId="3139B2C6" w14:textId="77777777" w:rsidR="00D933E3" w:rsidRPr="00D960B0" w:rsidRDefault="00D933E3" w:rsidP="00A313B1">
            <w:pPr>
              <w:spacing w:after="40"/>
              <w:jc w:val="center"/>
            </w:pPr>
            <w:r w:rsidRPr="00D960B0">
              <w:t>59</w:t>
            </w:r>
          </w:p>
          <w:p w14:paraId="0D8C1745" w14:textId="77777777" w:rsidR="00D933E3" w:rsidRPr="00D960B0" w:rsidRDefault="00D933E3" w:rsidP="00A313B1">
            <w:pPr>
              <w:spacing w:after="40"/>
              <w:jc w:val="center"/>
              <w:rPr>
                <w:rFonts w:cs="Arial"/>
                <w:i/>
              </w:rPr>
            </w:pPr>
            <w:r w:rsidRPr="00D960B0">
              <w:rPr>
                <w:rFonts w:cs="Arial"/>
                <w:i/>
              </w:rPr>
              <w:t>146</w:t>
            </w:r>
          </w:p>
        </w:tc>
        <w:tc>
          <w:tcPr>
            <w:tcW w:w="667" w:type="pct"/>
            <w:shd w:val="clear" w:color="auto" w:fill="auto"/>
            <w:noWrap/>
            <w:vAlign w:val="center"/>
          </w:tcPr>
          <w:p w14:paraId="52657487" w14:textId="77777777" w:rsidR="00D933E3" w:rsidRPr="00D960B0" w:rsidRDefault="00D933E3" w:rsidP="00A313B1">
            <w:pPr>
              <w:spacing w:after="40"/>
              <w:jc w:val="center"/>
            </w:pPr>
            <w:r w:rsidRPr="00D960B0">
              <w:t>62</w:t>
            </w:r>
          </w:p>
          <w:p w14:paraId="19343D4E" w14:textId="77777777" w:rsidR="00D933E3" w:rsidRPr="00D960B0" w:rsidRDefault="00D933E3" w:rsidP="00A313B1">
            <w:pPr>
              <w:spacing w:after="40"/>
              <w:jc w:val="center"/>
              <w:rPr>
                <w:rFonts w:cs="Arial"/>
                <w:i/>
              </w:rPr>
            </w:pPr>
            <w:r w:rsidRPr="00D960B0">
              <w:rPr>
                <w:rFonts w:cs="Arial"/>
                <w:i/>
              </w:rPr>
              <w:t>152</w:t>
            </w:r>
          </w:p>
        </w:tc>
      </w:tr>
    </w:tbl>
    <w:p w14:paraId="398061C4" w14:textId="41DD59E7" w:rsidR="003B02B8" w:rsidRDefault="00815220" w:rsidP="007379FE">
      <w:pPr>
        <w:pStyle w:val="Tablenotes"/>
      </w:pPr>
      <w:r w:rsidRPr="006431C1">
        <w:t>Source: Table 123 p253 resubmission 1614.1</w:t>
      </w:r>
      <w:r w:rsidRPr="006431C1">
        <w:br/>
        <w:t xml:space="preserve">MBS, Medicare Benefits Schedule; </w:t>
      </w:r>
      <w:proofErr w:type="spellStart"/>
      <w:r w:rsidRPr="006431C1">
        <w:t>MRgFUS</w:t>
      </w:r>
      <w:proofErr w:type="spellEnd"/>
      <w:r w:rsidRPr="006431C1">
        <w:t>, Magnetic Resonance-Guided Focused Ultrasound</w:t>
      </w:r>
    </w:p>
    <w:p w14:paraId="5F9C7B94" w14:textId="1C3BC444" w:rsidR="00E706AC" w:rsidRPr="00234DD6" w:rsidRDefault="00E706AC" w:rsidP="00234DD6">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234DD6">
        <w:rPr>
          <w:rFonts w:ascii="Franklin Gothic Medium" w:eastAsia="SimSun" w:hAnsi="Franklin Gothic Medium" w:cs="Times New Roman"/>
          <w:b w:val="0"/>
          <w:bCs w:val="0"/>
          <w:color w:val="000000"/>
          <w:sz w:val="32"/>
          <w:szCs w:val="26"/>
          <w:lang w:eastAsia="en-US"/>
        </w:rPr>
        <w:lastRenderedPageBreak/>
        <w:t>Key issues from ESC to MSAC</w:t>
      </w:r>
    </w:p>
    <w:tbl>
      <w:tblPr>
        <w:tblStyle w:val="TableGrid1"/>
        <w:tblW w:w="0" w:type="auto"/>
        <w:tblInd w:w="0" w:type="dxa"/>
        <w:tblLook w:val="04A0" w:firstRow="1" w:lastRow="0" w:firstColumn="1" w:lastColumn="0" w:noHBand="0" w:noVBand="1"/>
      </w:tblPr>
      <w:tblGrid>
        <w:gridCol w:w="2122"/>
        <w:gridCol w:w="6894"/>
      </w:tblGrid>
      <w:tr w:rsidR="00E706AC" w:rsidRPr="006431C1" w14:paraId="277B3772" w14:textId="77777777" w:rsidTr="00E706AC">
        <w:tc>
          <w:tcPr>
            <w:tcW w:w="2122" w:type="dxa"/>
            <w:tcBorders>
              <w:top w:val="single" w:sz="4" w:space="0" w:color="auto"/>
              <w:left w:val="single" w:sz="4" w:space="0" w:color="auto"/>
              <w:bottom w:val="single" w:sz="4" w:space="0" w:color="auto"/>
              <w:right w:val="single" w:sz="4" w:space="0" w:color="auto"/>
            </w:tcBorders>
            <w:hideMark/>
          </w:tcPr>
          <w:p w14:paraId="113DC884" w14:textId="77777777" w:rsidR="00E706AC" w:rsidRPr="006431C1" w:rsidRDefault="00E706AC" w:rsidP="00E706AC">
            <w:pPr>
              <w:keepNext/>
              <w:spacing w:before="60" w:after="60"/>
              <w:rPr>
                <w:rFonts w:ascii="Franklin Gothic Book" w:hAnsi="Franklin Gothic Book"/>
                <w:b/>
                <w:bCs/>
                <w:color w:val="000000"/>
                <w:sz w:val="21"/>
                <w:szCs w:val="21"/>
              </w:rPr>
            </w:pPr>
            <w:r w:rsidRPr="006431C1">
              <w:rPr>
                <w:rFonts w:ascii="Franklin Gothic Book" w:hAnsi="Franklin Gothic Book"/>
                <w:b/>
                <w:bCs/>
                <w:color w:val="000000"/>
                <w:sz w:val="21"/>
                <w:szCs w:val="21"/>
              </w:rPr>
              <w:t>ESC key issue</w:t>
            </w:r>
          </w:p>
        </w:tc>
        <w:tc>
          <w:tcPr>
            <w:tcW w:w="6894" w:type="dxa"/>
            <w:tcBorders>
              <w:top w:val="single" w:sz="4" w:space="0" w:color="auto"/>
              <w:left w:val="single" w:sz="4" w:space="0" w:color="auto"/>
              <w:bottom w:val="single" w:sz="4" w:space="0" w:color="auto"/>
              <w:right w:val="single" w:sz="4" w:space="0" w:color="auto"/>
            </w:tcBorders>
            <w:hideMark/>
          </w:tcPr>
          <w:p w14:paraId="0A422B13" w14:textId="77777777" w:rsidR="00E706AC" w:rsidRPr="006431C1" w:rsidRDefault="00E706AC" w:rsidP="00E706AC">
            <w:pPr>
              <w:keepNext/>
              <w:spacing w:before="60" w:after="60"/>
              <w:rPr>
                <w:rFonts w:ascii="Franklin Gothic Book" w:hAnsi="Franklin Gothic Book"/>
                <w:b/>
                <w:bCs/>
                <w:color w:val="000000"/>
                <w:sz w:val="21"/>
                <w:szCs w:val="21"/>
              </w:rPr>
            </w:pPr>
            <w:r w:rsidRPr="006431C1">
              <w:rPr>
                <w:rFonts w:ascii="Franklin Gothic Book" w:hAnsi="Franklin Gothic Book"/>
                <w:b/>
                <w:bCs/>
                <w:color w:val="000000"/>
                <w:sz w:val="21"/>
                <w:szCs w:val="21"/>
              </w:rPr>
              <w:t>ESC advice to MSAC</w:t>
            </w:r>
          </w:p>
        </w:tc>
      </w:tr>
      <w:tr w:rsidR="00E706AC" w:rsidRPr="006431C1" w14:paraId="07C96BFC" w14:textId="77777777" w:rsidTr="00E706AC">
        <w:trPr>
          <w:trHeight w:val="109"/>
        </w:trPr>
        <w:tc>
          <w:tcPr>
            <w:tcW w:w="2122" w:type="dxa"/>
            <w:tcBorders>
              <w:top w:val="single" w:sz="4" w:space="0" w:color="auto"/>
              <w:left w:val="single" w:sz="4" w:space="0" w:color="auto"/>
              <w:bottom w:val="single" w:sz="4" w:space="0" w:color="auto"/>
              <w:right w:val="single" w:sz="4" w:space="0" w:color="auto"/>
            </w:tcBorders>
            <w:hideMark/>
          </w:tcPr>
          <w:p w14:paraId="3D0AC517"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Uncertainties with the item descriptors</w:t>
            </w:r>
          </w:p>
        </w:tc>
        <w:tc>
          <w:tcPr>
            <w:tcW w:w="6894" w:type="dxa"/>
            <w:tcBorders>
              <w:top w:val="single" w:sz="4" w:space="0" w:color="auto"/>
              <w:left w:val="single" w:sz="4" w:space="0" w:color="auto"/>
              <w:bottom w:val="single" w:sz="4" w:space="0" w:color="auto"/>
              <w:right w:val="single" w:sz="4" w:space="0" w:color="auto"/>
            </w:tcBorders>
            <w:hideMark/>
          </w:tcPr>
          <w:p w14:paraId="6137D16E"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There are several concerns for the resubmission’s proposed MBS multi-item descriptors:</w:t>
            </w:r>
          </w:p>
          <w:p w14:paraId="356A4D24" w14:textId="77777777" w:rsidR="00E706AC" w:rsidRPr="006431C1" w:rsidRDefault="00E706AC" w:rsidP="00E706AC">
            <w:pPr>
              <w:pStyle w:val="ListParagraph"/>
              <w:keepNext/>
              <w:numPr>
                <w:ilvl w:val="0"/>
                <w:numId w:val="31"/>
              </w:numPr>
              <w:spacing w:before="60" w:after="60"/>
              <w:ind w:left="226" w:hanging="113"/>
              <w:rPr>
                <w:rFonts w:ascii="Franklin Gothic Book" w:hAnsi="Franklin Gothic Book"/>
                <w:color w:val="000000"/>
                <w:sz w:val="21"/>
                <w:szCs w:val="21"/>
              </w:rPr>
            </w:pPr>
            <w:r w:rsidRPr="006431C1">
              <w:rPr>
                <w:rFonts w:ascii="Franklin Gothic Book" w:hAnsi="Franklin Gothic Book"/>
                <w:color w:val="000000"/>
                <w:sz w:val="21"/>
                <w:szCs w:val="21"/>
              </w:rPr>
              <w:t>Whether the two MRI items (before [#1] and after [#5] the procedure for pre- and post-treatment evaluation should be funded</w:t>
            </w:r>
          </w:p>
          <w:p w14:paraId="4A1E324C" w14:textId="77777777" w:rsidR="00E706AC" w:rsidRPr="006431C1" w:rsidRDefault="00E706AC" w:rsidP="00E706AC">
            <w:pPr>
              <w:pStyle w:val="ListParagraph"/>
              <w:keepNext/>
              <w:numPr>
                <w:ilvl w:val="0"/>
                <w:numId w:val="31"/>
              </w:numPr>
              <w:spacing w:before="60" w:after="60"/>
              <w:ind w:left="226" w:hanging="113"/>
              <w:rPr>
                <w:rFonts w:ascii="Franklin Gothic Book" w:hAnsi="Franklin Gothic Book"/>
                <w:color w:val="000000"/>
                <w:sz w:val="21"/>
                <w:szCs w:val="21"/>
              </w:rPr>
            </w:pPr>
            <w:r w:rsidRPr="006431C1">
              <w:rPr>
                <w:rFonts w:ascii="Franklin Gothic Book" w:hAnsi="Franklin Gothic Book"/>
                <w:color w:val="000000"/>
                <w:sz w:val="21"/>
                <w:szCs w:val="21"/>
              </w:rPr>
              <w:t>Whether the fee for the MRI for pre-surgical planning (#2) was sufficiently justified given non-invasive procedure</w:t>
            </w:r>
          </w:p>
          <w:p w14:paraId="037C6DBF" w14:textId="77777777" w:rsidR="00E706AC" w:rsidRPr="006431C1" w:rsidRDefault="00E706AC" w:rsidP="00E706AC">
            <w:pPr>
              <w:pStyle w:val="ListParagraph"/>
              <w:keepNext/>
              <w:numPr>
                <w:ilvl w:val="0"/>
                <w:numId w:val="31"/>
              </w:numPr>
              <w:spacing w:before="60" w:after="60"/>
              <w:ind w:left="226" w:hanging="113"/>
              <w:rPr>
                <w:rFonts w:ascii="Franklin Gothic Book" w:hAnsi="Franklin Gothic Book"/>
                <w:color w:val="000000"/>
                <w:sz w:val="21"/>
                <w:szCs w:val="21"/>
              </w:rPr>
            </w:pPr>
            <w:r w:rsidRPr="006431C1">
              <w:rPr>
                <w:rFonts w:ascii="Franklin Gothic Book" w:hAnsi="Franklin Gothic Book"/>
                <w:color w:val="000000"/>
                <w:sz w:val="21"/>
                <w:szCs w:val="21"/>
              </w:rPr>
              <w:t>The relative roles of clinicians performing the complete service remain unclear [#3 and #4] and require further clarification, especially given that the model of care has been based on DBS</w:t>
            </w:r>
          </w:p>
          <w:p w14:paraId="578AED96"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To note the Department is still considering the composition of the MBS package and will continue to work with applicant on the wording and fees of the item descriptor.</w:t>
            </w:r>
          </w:p>
        </w:tc>
      </w:tr>
      <w:tr w:rsidR="00E706AC" w:rsidRPr="006431C1" w14:paraId="3838229C" w14:textId="77777777" w:rsidTr="00E706AC">
        <w:trPr>
          <w:trHeight w:val="109"/>
        </w:trPr>
        <w:tc>
          <w:tcPr>
            <w:tcW w:w="2122" w:type="dxa"/>
            <w:tcBorders>
              <w:top w:val="single" w:sz="4" w:space="0" w:color="auto"/>
              <w:left w:val="single" w:sz="4" w:space="0" w:color="auto"/>
              <w:bottom w:val="single" w:sz="4" w:space="0" w:color="auto"/>
              <w:right w:val="single" w:sz="4" w:space="0" w:color="auto"/>
            </w:tcBorders>
            <w:hideMark/>
          </w:tcPr>
          <w:p w14:paraId="554069E1"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Safety</w:t>
            </w:r>
          </w:p>
        </w:tc>
        <w:tc>
          <w:tcPr>
            <w:tcW w:w="6894" w:type="dxa"/>
            <w:tcBorders>
              <w:top w:val="single" w:sz="4" w:space="0" w:color="auto"/>
              <w:left w:val="single" w:sz="4" w:space="0" w:color="auto"/>
              <w:bottom w:val="single" w:sz="4" w:space="0" w:color="auto"/>
              <w:right w:val="single" w:sz="4" w:space="0" w:color="auto"/>
            </w:tcBorders>
            <w:hideMark/>
          </w:tcPr>
          <w:p w14:paraId="232AB395"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 xml:space="preserve">Despite the limited comparative evidence, there was consistency in the results suggesting safety for </w:t>
            </w:r>
            <w:proofErr w:type="spellStart"/>
            <w:r w:rsidRPr="006431C1">
              <w:rPr>
                <w:rFonts w:ascii="Franklin Gothic Book" w:hAnsi="Franklin Gothic Book"/>
                <w:color w:val="000000"/>
                <w:sz w:val="21"/>
                <w:szCs w:val="21"/>
              </w:rPr>
              <w:t>MRgFUS</w:t>
            </w:r>
            <w:proofErr w:type="spellEnd"/>
            <w:r w:rsidRPr="006431C1">
              <w:rPr>
                <w:rFonts w:ascii="Franklin Gothic Book" w:hAnsi="Franklin Gothic Book"/>
                <w:color w:val="000000"/>
                <w:sz w:val="21"/>
                <w:szCs w:val="21"/>
              </w:rPr>
              <w:t xml:space="preserve"> </w:t>
            </w:r>
            <w:bookmarkStart w:id="47" w:name="_Hlk96593088"/>
            <w:r w:rsidRPr="006431C1">
              <w:rPr>
                <w:rFonts w:ascii="Franklin Gothic Book" w:hAnsi="Franklin Gothic Book"/>
                <w:color w:val="000000"/>
                <w:sz w:val="21"/>
                <w:szCs w:val="21"/>
              </w:rPr>
              <w:t xml:space="preserve">is </w:t>
            </w:r>
            <w:bookmarkEnd w:id="47"/>
            <w:r w:rsidRPr="006431C1">
              <w:rPr>
                <w:rFonts w:ascii="Franklin Gothic Book" w:hAnsi="Franklin Gothic Book"/>
                <w:color w:val="000000"/>
                <w:sz w:val="21"/>
                <w:szCs w:val="21"/>
              </w:rPr>
              <w:t>sustained up to 5 years.</w:t>
            </w:r>
          </w:p>
        </w:tc>
      </w:tr>
      <w:tr w:rsidR="00E706AC" w:rsidRPr="006431C1" w14:paraId="790742C3" w14:textId="77777777" w:rsidTr="00E706AC">
        <w:trPr>
          <w:trHeight w:val="50"/>
        </w:trPr>
        <w:tc>
          <w:tcPr>
            <w:tcW w:w="2122" w:type="dxa"/>
            <w:tcBorders>
              <w:top w:val="single" w:sz="4" w:space="0" w:color="auto"/>
              <w:left w:val="single" w:sz="4" w:space="0" w:color="auto"/>
              <w:bottom w:val="single" w:sz="4" w:space="0" w:color="auto"/>
              <w:right w:val="single" w:sz="4" w:space="0" w:color="auto"/>
            </w:tcBorders>
            <w:hideMark/>
          </w:tcPr>
          <w:p w14:paraId="5C949F73"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Effectiveness</w:t>
            </w:r>
          </w:p>
        </w:tc>
        <w:tc>
          <w:tcPr>
            <w:tcW w:w="6894" w:type="dxa"/>
            <w:tcBorders>
              <w:top w:val="single" w:sz="4" w:space="0" w:color="auto"/>
              <w:left w:val="single" w:sz="4" w:space="0" w:color="auto"/>
              <w:bottom w:val="single" w:sz="4" w:space="0" w:color="auto"/>
              <w:right w:val="single" w:sz="4" w:space="0" w:color="auto"/>
            </w:tcBorders>
            <w:hideMark/>
          </w:tcPr>
          <w:p w14:paraId="4CB5E461"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 xml:space="preserve">Uncertainty remains regarding clinical effectiveness as there is still no established MCID for tremor scores and there is no randomised controlled study compared to DBS, however improvement in tremor scales </w:t>
            </w:r>
            <w:proofErr w:type="gramStart"/>
            <w:r w:rsidRPr="006431C1">
              <w:rPr>
                <w:rFonts w:ascii="Franklin Gothic Book" w:hAnsi="Franklin Gothic Book"/>
                <w:color w:val="000000"/>
                <w:sz w:val="21"/>
                <w:szCs w:val="21"/>
              </w:rPr>
              <w:t>are</w:t>
            </w:r>
            <w:proofErr w:type="gramEnd"/>
            <w:r w:rsidRPr="006431C1">
              <w:rPr>
                <w:rFonts w:ascii="Franklin Gothic Book" w:hAnsi="Franklin Gothic Book"/>
                <w:color w:val="000000"/>
                <w:sz w:val="21"/>
                <w:szCs w:val="21"/>
              </w:rPr>
              <w:t xml:space="preserve"> similar to DBS.</w:t>
            </w:r>
          </w:p>
        </w:tc>
      </w:tr>
      <w:tr w:rsidR="00E706AC" w:rsidRPr="006431C1" w14:paraId="2E5B8E5D" w14:textId="77777777" w:rsidTr="00E706AC">
        <w:tc>
          <w:tcPr>
            <w:tcW w:w="2122" w:type="dxa"/>
            <w:tcBorders>
              <w:top w:val="single" w:sz="4" w:space="0" w:color="auto"/>
              <w:left w:val="single" w:sz="4" w:space="0" w:color="auto"/>
              <w:bottom w:val="single" w:sz="4" w:space="0" w:color="auto"/>
              <w:right w:val="single" w:sz="4" w:space="0" w:color="auto"/>
            </w:tcBorders>
            <w:hideMark/>
          </w:tcPr>
          <w:p w14:paraId="269937C4"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Uncertainties regarding the long-term adverse event ‘multiplier’ and how QALYs are modelled</w:t>
            </w:r>
          </w:p>
        </w:tc>
        <w:tc>
          <w:tcPr>
            <w:tcW w:w="6894" w:type="dxa"/>
            <w:tcBorders>
              <w:top w:val="single" w:sz="4" w:space="0" w:color="auto"/>
              <w:left w:val="single" w:sz="4" w:space="0" w:color="auto"/>
              <w:bottom w:val="single" w:sz="4" w:space="0" w:color="auto"/>
              <w:right w:val="single" w:sz="4" w:space="0" w:color="auto"/>
            </w:tcBorders>
            <w:hideMark/>
          </w:tcPr>
          <w:p w14:paraId="5EFD16AB"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The method used to model long-term adverse events does not appear to be conceptually appropriate. However, it may be sufficient to enable general exploration and establish a broad range of plausible ICERs to inform MSAC’s considerations. MSAC should consider that any improvements in the model will be subject to limitations in the evidence to inform the model inputs.</w:t>
            </w:r>
          </w:p>
        </w:tc>
      </w:tr>
      <w:tr w:rsidR="00E706AC" w:rsidRPr="006431C1" w14:paraId="75927007" w14:textId="77777777" w:rsidTr="00E706AC">
        <w:tc>
          <w:tcPr>
            <w:tcW w:w="2122" w:type="dxa"/>
            <w:tcBorders>
              <w:top w:val="single" w:sz="4" w:space="0" w:color="auto"/>
              <w:left w:val="single" w:sz="4" w:space="0" w:color="auto"/>
              <w:bottom w:val="single" w:sz="4" w:space="0" w:color="auto"/>
              <w:right w:val="single" w:sz="4" w:space="0" w:color="auto"/>
            </w:tcBorders>
            <w:hideMark/>
          </w:tcPr>
          <w:p w14:paraId="09716360"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Interpretation of the ICER</w:t>
            </w:r>
          </w:p>
        </w:tc>
        <w:tc>
          <w:tcPr>
            <w:tcW w:w="6894" w:type="dxa"/>
            <w:tcBorders>
              <w:top w:val="single" w:sz="4" w:space="0" w:color="auto"/>
              <w:left w:val="single" w:sz="4" w:space="0" w:color="auto"/>
              <w:bottom w:val="single" w:sz="4" w:space="0" w:color="auto"/>
              <w:right w:val="single" w:sz="4" w:space="0" w:color="auto"/>
            </w:tcBorders>
            <w:hideMark/>
          </w:tcPr>
          <w:p w14:paraId="5DFE0854"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The interpretation of the “fewer quality-adjusted life years (QALYs), lower cost” (southwest ICER quadrant) outcome should consider that the modelled QALY loss is small, consistent with the effectiveness and safety claims, cost savings are likely to be substantial and, importantly, the intervention presents an opportunity for patients to align their treatment with preferences regarding invasiveness and safety profile.</w:t>
            </w:r>
          </w:p>
        </w:tc>
      </w:tr>
      <w:tr w:rsidR="00E706AC" w:rsidRPr="006431C1" w14:paraId="2049CD32" w14:textId="77777777" w:rsidTr="00E706AC">
        <w:tc>
          <w:tcPr>
            <w:tcW w:w="2122" w:type="dxa"/>
            <w:tcBorders>
              <w:top w:val="single" w:sz="4" w:space="0" w:color="auto"/>
              <w:left w:val="single" w:sz="4" w:space="0" w:color="auto"/>
              <w:bottom w:val="single" w:sz="4" w:space="0" w:color="auto"/>
              <w:right w:val="single" w:sz="4" w:space="0" w:color="auto"/>
            </w:tcBorders>
          </w:tcPr>
          <w:p w14:paraId="0DE0C3DE"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 xml:space="preserve">Risk of high OOP cost to the consumer </w:t>
            </w:r>
          </w:p>
        </w:tc>
        <w:tc>
          <w:tcPr>
            <w:tcW w:w="6894" w:type="dxa"/>
            <w:tcBorders>
              <w:top w:val="single" w:sz="4" w:space="0" w:color="auto"/>
              <w:left w:val="single" w:sz="4" w:space="0" w:color="auto"/>
              <w:bottom w:val="single" w:sz="4" w:space="0" w:color="auto"/>
              <w:right w:val="single" w:sz="4" w:space="0" w:color="auto"/>
            </w:tcBorders>
          </w:tcPr>
          <w:p w14:paraId="02C6D0ED"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 xml:space="preserve">The </w:t>
            </w:r>
            <w:proofErr w:type="spellStart"/>
            <w:r w:rsidRPr="006431C1">
              <w:rPr>
                <w:rFonts w:ascii="Franklin Gothic Book" w:hAnsi="Franklin Gothic Book"/>
                <w:color w:val="000000"/>
                <w:sz w:val="21"/>
                <w:szCs w:val="21"/>
              </w:rPr>
              <w:t>MRgFUS</w:t>
            </w:r>
            <w:proofErr w:type="spellEnd"/>
            <w:r w:rsidRPr="006431C1">
              <w:rPr>
                <w:rFonts w:ascii="Franklin Gothic Book" w:hAnsi="Franklin Gothic Book"/>
                <w:color w:val="000000"/>
                <w:sz w:val="21"/>
                <w:szCs w:val="21"/>
              </w:rPr>
              <w:t xml:space="preserve"> consumables are currently unsuitable for funding on the PL as it did not meet the PL criteria for listing given the PL is not intended to cover consumable products.</w:t>
            </w:r>
          </w:p>
        </w:tc>
      </w:tr>
      <w:tr w:rsidR="00E706AC" w:rsidRPr="006431C1" w14:paraId="787FF0F9" w14:textId="77777777" w:rsidTr="00E706AC">
        <w:tc>
          <w:tcPr>
            <w:tcW w:w="2122" w:type="dxa"/>
            <w:tcBorders>
              <w:top w:val="single" w:sz="4" w:space="0" w:color="auto"/>
              <w:left w:val="single" w:sz="4" w:space="0" w:color="auto"/>
              <w:bottom w:val="single" w:sz="4" w:space="0" w:color="auto"/>
              <w:right w:val="single" w:sz="4" w:space="0" w:color="auto"/>
            </w:tcBorders>
            <w:hideMark/>
          </w:tcPr>
          <w:p w14:paraId="4A51BA60"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Financial impacts</w:t>
            </w:r>
          </w:p>
        </w:tc>
        <w:tc>
          <w:tcPr>
            <w:tcW w:w="6894" w:type="dxa"/>
            <w:tcBorders>
              <w:top w:val="single" w:sz="4" w:space="0" w:color="auto"/>
              <w:left w:val="single" w:sz="4" w:space="0" w:color="auto"/>
              <w:bottom w:val="single" w:sz="4" w:space="0" w:color="auto"/>
              <w:right w:val="single" w:sz="4" w:space="0" w:color="auto"/>
            </w:tcBorders>
            <w:hideMark/>
          </w:tcPr>
          <w:p w14:paraId="3C67E318" w14:textId="77777777" w:rsidR="00E706AC" w:rsidRPr="006431C1" w:rsidRDefault="00E706AC" w:rsidP="00E706AC">
            <w:pPr>
              <w:keepNext/>
              <w:spacing w:before="60" w:after="60"/>
              <w:rPr>
                <w:rFonts w:ascii="Franklin Gothic Book" w:hAnsi="Franklin Gothic Book"/>
                <w:color w:val="000000"/>
                <w:sz w:val="21"/>
                <w:szCs w:val="21"/>
              </w:rPr>
            </w:pPr>
            <w:r w:rsidRPr="006431C1">
              <w:rPr>
                <w:rFonts w:ascii="Franklin Gothic Book" w:hAnsi="Franklin Gothic Book"/>
                <w:color w:val="000000"/>
                <w:sz w:val="21"/>
                <w:szCs w:val="21"/>
              </w:rPr>
              <w:t>The financial impacts are uncertain within a defined range and identified list of factors. The impact on public hospital admissions is unclear.</w:t>
            </w:r>
          </w:p>
        </w:tc>
      </w:tr>
    </w:tbl>
    <w:p w14:paraId="139D7468" w14:textId="77777777" w:rsidR="00E706AC" w:rsidRPr="006431C1" w:rsidRDefault="00E706AC" w:rsidP="00E706AC">
      <w:pPr>
        <w:keepNext/>
        <w:spacing w:before="240" w:after="240"/>
        <w:outlineLvl w:val="1"/>
        <w:rPr>
          <w:rFonts w:ascii="Franklin Gothic Book" w:hAnsi="Franklin Gothic Book" w:cs="Arial"/>
          <w:b/>
          <w:bCs/>
          <w:iCs/>
          <w:color w:val="000000"/>
          <w:szCs w:val="28"/>
        </w:rPr>
      </w:pPr>
      <w:r w:rsidRPr="006431C1">
        <w:rPr>
          <w:rFonts w:ascii="Franklin Gothic Book" w:hAnsi="Franklin Gothic Book" w:cs="Arial"/>
          <w:b/>
          <w:bCs/>
          <w:iCs/>
          <w:color w:val="000000"/>
          <w:szCs w:val="28"/>
        </w:rPr>
        <w:t>ESC discussion</w:t>
      </w:r>
    </w:p>
    <w:p w14:paraId="1A876757" w14:textId="77777777" w:rsidR="00E706AC" w:rsidRPr="00E706AC" w:rsidRDefault="00E706AC" w:rsidP="00E706AC">
      <w:pPr>
        <w:spacing w:after="240"/>
        <w:rPr>
          <w:rFonts w:ascii="Franklin Gothic Book" w:hAnsi="Franklin Gothic Book"/>
          <w:color w:val="000000"/>
          <w:sz w:val="22"/>
          <w:szCs w:val="22"/>
        </w:rPr>
      </w:pPr>
      <w:bookmarkStart w:id="48" w:name="_Hlk64541390"/>
      <w:r w:rsidRPr="00E706AC">
        <w:rPr>
          <w:rFonts w:ascii="Franklin Gothic Book" w:hAnsi="Franklin Gothic Book"/>
          <w:color w:val="000000"/>
          <w:sz w:val="22"/>
          <w:szCs w:val="22"/>
        </w:rPr>
        <w:t>ESC noted that this application was a resubmission for a Medicare Benefits Schedule (MBS) listing of MRI-guided focused ultrasound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to treat medically refractory essential tremor (ET). ESC noted that in 2021, MSAC accepted that there was an unmet clinical need for </w:t>
      </w:r>
      <w:r w:rsidRPr="00E706AC">
        <w:rPr>
          <w:rFonts w:ascii="Franklin Gothic Book" w:hAnsi="Franklin Gothic Book"/>
          <w:sz w:val="22"/>
          <w:szCs w:val="22"/>
        </w:rPr>
        <w:t>a non-invasive intervention compared with MBS-funded deep brain stimulation</w:t>
      </w:r>
      <w:r w:rsidRPr="00E706AC" w:rsidDel="00831189">
        <w:rPr>
          <w:rFonts w:ascii="Franklin Gothic Book" w:hAnsi="Franklin Gothic Book"/>
          <w:color w:val="000000"/>
          <w:sz w:val="22"/>
          <w:szCs w:val="22"/>
        </w:rPr>
        <w:t xml:space="preserve"> </w:t>
      </w:r>
      <w:r w:rsidRPr="00E706AC">
        <w:rPr>
          <w:rFonts w:ascii="Franklin Gothic Book" w:hAnsi="Franklin Gothic Book"/>
          <w:color w:val="000000"/>
          <w:sz w:val="22"/>
          <w:szCs w:val="22"/>
        </w:rPr>
        <w:t xml:space="preserve">(DBS), but did not support the application because of the evidence for comparative safety (including that adverse events for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were only short-term) was too uncertain </w:t>
      </w:r>
      <w:r w:rsidRPr="00E706AC">
        <w:rPr>
          <w:rFonts w:ascii="Franklin Gothic Book" w:hAnsi="Franklin Gothic Book"/>
          <w:sz w:val="22"/>
          <w:szCs w:val="22"/>
        </w:rPr>
        <w:t xml:space="preserve">and – </w:t>
      </w:r>
      <w:proofErr w:type="gramStart"/>
      <w:r w:rsidRPr="00E706AC">
        <w:rPr>
          <w:rFonts w:ascii="Franklin Gothic Book" w:hAnsi="Franklin Gothic Book"/>
          <w:sz w:val="22"/>
          <w:szCs w:val="22"/>
        </w:rPr>
        <w:t>as a consequence</w:t>
      </w:r>
      <w:proofErr w:type="gramEnd"/>
      <w:r w:rsidRPr="00E706AC">
        <w:rPr>
          <w:rFonts w:ascii="Franklin Gothic Book" w:hAnsi="Franklin Gothic Book"/>
          <w:sz w:val="22"/>
          <w:szCs w:val="22"/>
        </w:rPr>
        <w:t xml:space="preserve"> – the economic evaluation was inappropriate</w:t>
      </w:r>
      <w:r w:rsidRPr="00E706AC">
        <w:rPr>
          <w:rFonts w:ascii="Franklin Gothic Book" w:hAnsi="Franklin Gothic Book"/>
          <w:color w:val="000000"/>
          <w:sz w:val="22"/>
          <w:szCs w:val="22"/>
        </w:rPr>
        <w:t xml:space="preserve">. In addition, MSAC </w:t>
      </w:r>
      <w:r w:rsidRPr="00E706AC">
        <w:rPr>
          <w:rFonts w:ascii="Franklin Gothic Book" w:hAnsi="Franklin Gothic Book"/>
          <w:sz w:val="22"/>
          <w:szCs w:val="22"/>
        </w:rPr>
        <w:t>also noted issues with the procedural requirements, fee structure and frequency of imaging, and that the role of ipsilateral retreatment and contralateral (non-dominant) treatment was not supported by the current evidence base. MSAC also suggested that a resubmission should have a packaged item rather the six separate items within one application.</w:t>
      </w:r>
    </w:p>
    <w:bookmarkEnd w:id="48"/>
    <w:p w14:paraId="579438DD"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lastRenderedPageBreak/>
        <w:t>ESC noted that the applicant has agreed to one treatment per lifetime, thereby excluding</w:t>
      </w:r>
      <w:r w:rsidRPr="00E706AC">
        <w:rPr>
          <w:rFonts w:ascii="Franklin Gothic Book" w:hAnsi="Franklin Gothic Book"/>
          <w:sz w:val="22"/>
          <w:szCs w:val="22"/>
        </w:rPr>
        <w:t xml:space="preserve"> the use of ipsilateral retreatment and contralateral treatment.</w:t>
      </w:r>
    </w:p>
    <w:p w14:paraId="6C566254" w14:textId="77777777" w:rsidR="00E706AC" w:rsidRPr="00E706AC" w:rsidRDefault="00E706AC" w:rsidP="00E706AC">
      <w:pPr>
        <w:spacing w:after="240"/>
        <w:rPr>
          <w:rFonts w:ascii="Franklin Gothic Book" w:hAnsi="Franklin Gothic Book"/>
          <w:sz w:val="22"/>
          <w:szCs w:val="22"/>
        </w:rPr>
      </w:pPr>
      <w:r w:rsidRPr="00E706AC">
        <w:rPr>
          <w:rFonts w:ascii="Franklin Gothic Book" w:hAnsi="Franklin Gothic Book"/>
          <w:color w:val="000000"/>
          <w:sz w:val="22"/>
          <w:szCs w:val="22"/>
        </w:rPr>
        <w:t xml:space="preserve">ESC noted the </w:t>
      </w:r>
      <w:r w:rsidRPr="00E706AC">
        <w:rPr>
          <w:rFonts w:ascii="Franklin Gothic Book" w:hAnsi="Franklin Gothic Book"/>
          <w:sz w:val="22"/>
          <w:szCs w:val="22"/>
        </w:rPr>
        <w:t>applicant has attempted to simplify the fee structure by removing the item number and fee for the radiology component of the overall procedure, reducing the total number of proposed MBS items from 6 to 5. ESC noted several issues for the proposed MBS items:</w:t>
      </w:r>
    </w:p>
    <w:p w14:paraId="49072DDF" w14:textId="77777777" w:rsidR="00E706AC" w:rsidRPr="00E706AC" w:rsidRDefault="00E706AC" w:rsidP="00E706AC">
      <w:pPr>
        <w:pStyle w:val="ListParagraph"/>
        <w:numPr>
          <w:ilvl w:val="0"/>
          <w:numId w:val="29"/>
        </w:numPr>
        <w:spacing w:after="240"/>
        <w:rPr>
          <w:rFonts w:ascii="Franklin Gothic Book" w:hAnsi="Franklin Gothic Book"/>
          <w:color w:val="000000"/>
          <w:sz w:val="22"/>
          <w:szCs w:val="22"/>
        </w:rPr>
      </w:pPr>
      <w:r w:rsidRPr="00E706AC">
        <w:rPr>
          <w:rFonts w:ascii="Franklin Gothic Book" w:hAnsi="Franklin Gothic Book"/>
          <w:color w:val="000000"/>
          <w:sz w:val="22"/>
          <w:szCs w:val="22"/>
        </w:rPr>
        <w:t>#1 MRI for pre-surgical suitability (see Table 2): ESC queried whether this item should be funded given that it may or may not lead to treatment. ESC also noted the lack of a once per lifetime restriction for this proposed item, which may lead to the risk of inappropriate multiple claims</w:t>
      </w:r>
    </w:p>
    <w:p w14:paraId="33779982" w14:textId="77777777" w:rsidR="00E706AC" w:rsidRPr="00E706AC" w:rsidRDefault="00E706AC" w:rsidP="00E706AC">
      <w:pPr>
        <w:pStyle w:val="ListParagraph"/>
        <w:numPr>
          <w:ilvl w:val="0"/>
          <w:numId w:val="29"/>
        </w:numPr>
        <w:spacing w:after="240"/>
        <w:rPr>
          <w:rFonts w:ascii="Franklin Gothic Book" w:hAnsi="Franklin Gothic Book"/>
          <w:color w:val="000000"/>
          <w:sz w:val="22"/>
          <w:szCs w:val="22"/>
        </w:rPr>
      </w:pPr>
      <w:r w:rsidRPr="00E706AC">
        <w:rPr>
          <w:rFonts w:ascii="Franklin Gothic Book" w:hAnsi="Franklin Gothic Book"/>
          <w:color w:val="000000"/>
          <w:sz w:val="22"/>
          <w:szCs w:val="22"/>
        </w:rPr>
        <w:t>#2 MRI for pre-surgical planning (see Table 3): ESC queried whether the fee amount was justified given it was based on a neurosurgical planning item and further explanation is requested.</w:t>
      </w:r>
    </w:p>
    <w:p w14:paraId="0E48CD5F" w14:textId="77777777" w:rsidR="00E706AC" w:rsidRPr="00E706AC" w:rsidRDefault="00E706AC" w:rsidP="00E706AC">
      <w:pPr>
        <w:pStyle w:val="ListParagraph"/>
        <w:numPr>
          <w:ilvl w:val="0"/>
          <w:numId w:val="29"/>
        </w:numPr>
        <w:spacing w:after="240"/>
        <w:rPr>
          <w:rFonts w:ascii="Franklin Gothic Book" w:hAnsi="Franklin Gothic Book"/>
          <w:color w:val="000000"/>
          <w:sz w:val="22"/>
          <w:szCs w:val="22"/>
        </w:rPr>
      </w:pPr>
      <w:r w:rsidRPr="00E706AC">
        <w:rPr>
          <w:rFonts w:ascii="Franklin Gothic Book" w:hAnsi="Franklin Gothic Book"/>
          <w:color w:val="000000"/>
          <w:sz w:val="22"/>
          <w:szCs w:val="22"/>
        </w:rPr>
        <w:t xml:space="preserve">Treatment/interoperative procedure by the neurologist (#3; see Table 4); and by the neurosurgeon (#4; see Table 5): ESC noted the relative roles of clinicians performing the complete service are unclear, especially given that the model of care has been based on DBS. ESC also noted that a neurologist/neurosurgeon is necessary but that this is not justified in the proposed fees. In addition, ESC considered that guidance on appropriate qualification or training is needed and clarity on which specialists are required (noting that the DBS item numbers do not specify the specialists). </w:t>
      </w:r>
      <w:bookmarkStart w:id="49" w:name="_Hlk97033881"/>
      <w:r w:rsidRPr="00E706AC">
        <w:rPr>
          <w:rFonts w:ascii="Franklin Gothic Book" w:hAnsi="Franklin Gothic Book"/>
          <w:color w:val="000000"/>
          <w:sz w:val="22"/>
          <w:szCs w:val="22"/>
        </w:rPr>
        <w:t xml:space="preserve">Post-ESC, the Department reiterated that confusion remained because of the uncertain training requirements for the </w:t>
      </w:r>
      <w:proofErr w:type="gramStart"/>
      <w:r w:rsidRPr="00E706AC">
        <w:rPr>
          <w:rFonts w:ascii="Franklin Gothic Book" w:hAnsi="Franklin Gothic Book"/>
          <w:color w:val="000000"/>
          <w:sz w:val="22"/>
          <w:szCs w:val="22"/>
        </w:rPr>
        <w:t>item</w:t>
      </w:r>
      <w:proofErr w:type="gramEnd"/>
      <w:r w:rsidRPr="00E706AC">
        <w:rPr>
          <w:rFonts w:ascii="Franklin Gothic Book" w:hAnsi="Franklin Gothic Book"/>
          <w:color w:val="000000"/>
          <w:sz w:val="22"/>
          <w:szCs w:val="22"/>
        </w:rPr>
        <w:t xml:space="preserve"> and this required some further clarification either in the item descriptor or explanatory notes so that billing issues could also be resolved. </w:t>
      </w:r>
      <w:bookmarkEnd w:id="49"/>
    </w:p>
    <w:p w14:paraId="19FB7162" w14:textId="77777777" w:rsidR="00E706AC" w:rsidRPr="00E706AC" w:rsidRDefault="00E706AC" w:rsidP="00E706AC">
      <w:pPr>
        <w:pStyle w:val="ListParagraph"/>
        <w:numPr>
          <w:ilvl w:val="0"/>
          <w:numId w:val="29"/>
        </w:numPr>
        <w:spacing w:after="240"/>
        <w:rPr>
          <w:rFonts w:ascii="Franklin Gothic Book" w:hAnsi="Franklin Gothic Book"/>
          <w:color w:val="000000"/>
          <w:sz w:val="22"/>
          <w:szCs w:val="22"/>
        </w:rPr>
      </w:pPr>
      <w:r w:rsidRPr="00E706AC">
        <w:rPr>
          <w:rFonts w:ascii="Franklin Gothic Book" w:hAnsi="Franklin Gothic Book"/>
          <w:color w:val="000000"/>
          <w:sz w:val="22"/>
          <w:szCs w:val="22"/>
        </w:rPr>
        <w:t xml:space="preserve">#5 MRI for post-surgical treatment assessment (see Table 6): ESC noted this item is to assess patient outcomes and exclude potential complications but queried whether this item was necessary and how it would lead to a change in management. </w:t>
      </w:r>
      <w:bookmarkStart w:id="50" w:name="_Hlk97033895"/>
      <w:r w:rsidRPr="00E706AC">
        <w:rPr>
          <w:rFonts w:ascii="Franklin Gothic Book" w:hAnsi="Franklin Gothic Book"/>
          <w:color w:val="000000"/>
          <w:sz w:val="22"/>
          <w:szCs w:val="22"/>
        </w:rPr>
        <w:t xml:space="preserve">Post-ESC, the Department considered that this assessment service could be considered a form of aftercare and therefore potentially included in the main procedure. </w:t>
      </w:r>
    </w:p>
    <w:bookmarkEnd w:id="50"/>
    <w:p w14:paraId="5E397519" w14:textId="6EBCF6DD"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t>ESC noted that the Department is still considering the number of MBS items and the composition of the MBS package, noting the pre-ESC response, where the applicant cited earlier advice it received from the Department that packaging the item numbers could be difficult to implement</w:t>
      </w:r>
      <w:r w:rsidRPr="00E706AC">
        <w:rPr>
          <w:rFonts w:ascii="Franklin Gothic Book" w:hAnsi="Franklin Gothic Book"/>
          <w:sz w:val="22"/>
          <w:szCs w:val="22"/>
        </w:rPr>
        <w:t xml:space="preserve"> </w:t>
      </w:r>
      <w:proofErr w:type="gramStart"/>
      <w:r w:rsidRPr="00E706AC">
        <w:rPr>
          <w:rFonts w:ascii="Franklin Gothic Book" w:hAnsi="Franklin Gothic Book"/>
          <w:color w:val="000000"/>
          <w:sz w:val="22"/>
          <w:szCs w:val="22"/>
        </w:rPr>
        <w:t>due to the fact that</w:t>
      </w:r>
      <w:proofErr w:type="gramEnd"/>
      <w:r w:rsidRPr="00E706AC">
        <w:rPr>
          <w:rFonts w:ascii="Franklin Gothic Book" w:hAnsi="Franklin Gothic Book"/>
          <w:color w:val="000000"/>
          <w:sz w:val="22"/>
          <w:szCs w:val="22"/>
        </w:rPr>
        <w:t xml:space="preserve"> it is a multi-staged and multi-disciplinary process. ESC noted the Department’s current proposal for a two-item structure:</w:t>
      </w:r>
    </w:p>
    <w:p w14:paraId="5D4E1845" w14:textId="77777777" w:rsidR="00E706AC" w:rsidRPr="00E706AC" w:rsidRDefault="00E706AC" w:rsidP="00E706AC">
      <w:pPr>
        <w:pStyle w:val="ListParagraph"/>
        <w:numPr>
          <w:ilvl w:val="0"/>
          <w:numId w:val="30"/>
        </w:numPr>
        <w:spacing w:after="240"/>
        <w:rPr>
          <w:rFonts w:ascii="Franklin Gothic Book" w:hAnsi="Franklin Gothic Book"/>
          <w:color w:val="000000"/>
          <w:sz w:val="22"/>
          <w:szCs w:val="22"/>
        </w:rPr>
      </w:pPr>
      <w:r w:rsidRPr="00E706AC">
        <w:rPr>
          <w:rFonts w:ascii="Franklin Gothic Book" w:hAnsi="Franklin Gothic Book"/>
          <w:color w:val="000000"/>
          <w:sz w:val="22"/>
          <w:szCs w:val="22"/>
        </w:rPr>
        <w:t xml:space="preserve">Item 1: pre-surgical suitability assessment which is a service that may be conducted at any diagnostic imaging site </w:t>
      </w:r>
      <w:r w:rsidRPr="00E706AC">
        <w:rPr>
          <w:rFonts w:ascii="Franklin Gothic Book" w:hAnsi="Franklin Gothic Book"/>
          <w:sz w:val="22"/>
          <w:szCs w:val="22"/>
        </w:rPr>
        <w:t>with the appropriate imaging capabilities and expertise</w:t>
      </w:r>
    </w:p>
    <w:p w14:paraId="18060741" w14:textId="77777777" w:rsidR="00E706AC" w:rsidRPr="00E706AC" w:rsidRDefault="00E706AC" w:rsidP="00E706AC">
      <w:pPr>
        <w:pStyle w:val="ListParagraph"/>
        <w:numPr>
          <w:ilvl w:val="0"/>
          <w:numId w:val="30"/>
        </w:numPr>
        <w:spacing w:after="240"/>
        <w:rPr>
          <w:rFonts w:ascii="Franklin Gothic Book" w:hAnsi="Franklin Gothic Book"/>
          <w:color w:val="000000"/>
          <w:sz w:val="22"/>
          <w:szCs w:val="22"/>
        </w:rPr>
      </w:pPr>
      <w:r w:rsidRPr="00E706AC">
        <w:rPr>
          <w:rFonts w:ascii="Franklin Gothic Book" w:hAnsi="Franklin Gothic Book"/>
          <w:sz w:val="22"/>
          <w:szCs w:val="22"/>
        </w:rPr>
        <w:t xml:space="preserve">Item 2: which </w:t>
      </w:r>
      <w:r w:rsidRPr="00E706AC">
        <w:rPr>
          <w:rFonts w:ascii="Franklin Gothic Book" w:hAnsi="Franklin Gothic Book"/>
          <w:color w:val="000000"/>
          <w:sz w:val="22"/>
          <w:szCs w:val="22"/>
        </w:rPr>
        <w:t xml:space="preserve">captures all other requirements of the complete service (including intraoperative and assessment of treatment outcomes) which is likely to be conducted exclusively at the two sites listed in the application who currently provide this service. </w:t>
      </w:r>
      <w:bookmarkStart w:id="51" w:name="_Hlk97033914"/>
      <w:r w:rsidRPr="00E706AC">
        <w:rPr>
          <w:rFonts w:ascii="Franklin Gothic Book" w:hAnsi="Franklin Gothic Book"/>
          <w:color w:val="000000"/>
          <w:sz w:val="22"/>
          <w:szCs w:val="22"/>
        </w:rPr>
        <w:t>As noted above, the Department considered that post-surgical assessment could be considered a form of aftercare and therefore part of the main procedure captured in this item</w:t>
      </w:r>
      <w:bookmarkEnd w:id="51"/>
      <w:r w:rsidRPr="00E706AC">
        <w:rPr>
          <w:rFonts w:ascii="Franklin Gothic Book" w:hAnsi="Franklin Gothic Book"/>
          <w:color w:val="000000"/>
          <w:sz w:val="22"/>
          <w:szCs w:val="22"/>
        </w:rPr>
        <w:t xml:space="preserve">. </w:t>
      </w:r>
    </w:p>
    <w:p w14:paraId="3A510994" w14:textId="77777777" w:rsidR="00E706AC" w:rsidRPr="00E706AC" w:rsidRDefault="00E706AC" w:rsidP="00E706AC">
      <w:pPr>
        <w:spacing w:after="240"/>
        <w:rPr>
          <w:rFonts w:ascii="Franklin Gothic Book" w:hAnsi="Franklin Gothic Book"/>
          <w:color w:val="000000"/>
          <w:sz w:val="22"/>
          <w:szCs w:val="22"/>
        </w:rPr>
      </w:pPr>
      <w:bookmarkStart w:id="52" w:name="_Hlk97033938"/>
      <w:r w:rsidRPr="00E706AC">
        <w:rPr>
          <w:rFonts w:ascii="Franklin Gothic Book" w:hAnsi="Franklin Gothic Book"/>
          <w:color w:val="000000"/>
          <w:sz w:val="22"/>
          <w:szCs w:val="22"/>
        </w:rPr>
        <w:t xml:space="preserve">Post-ESC, the Department clarified that this two-item structure would need to recognise the additional complexity and training required for the pre-surgical assessments under the new item 1 and a once per lifetime restriction would still be required for both items. </w:t>
      </w:r>
    </w:p>
    <w:bookmarkEnd w:id="52"/>
    <w:p w14:paraId="51E938BF"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t xml:space="preserve">ESC noted that, at MSAC’s previous consideration of this application in 2021, MSAC considered whether it would be possible to limit this population to those who are considering using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as an alternative to DBS. However, it was agreed that this would be a difficult population to adequately define.</w:t>
      </w:r>
    </w:p>
    <w:p w14:paraId="7B32EA40"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t>ESC noted that the comparators in the resubmission were unchanged: DBS as the main comparator, and best supportive care as a secondary comparator (</w:t>
      </w:r>
      <w:r w:rsidRPr="00E706AC">
        <w:rPr>
          <w:rFonts w:ascii="Franklin Gothic Book" w:hAnsi="Franklin Gothic Book"/>
          <w:sz w:val="22"/>
          <w:szCs w:val="22"/>
        </w:rPr>
        <w:t>relevant to the subgroup of the proposed population contraindicated or unsuitable for surgery)</w:t>
      </w:r>
      <w:r w:rsidRPr="00E706AC">
        <w:rPr>
          <w:rFonts w:ascii="Franklin Gothic Book" w:hAnsi="Franklin Gothic Book"/>
          <w:color w:val="000000"/>
          <w:sz w:val="22"/>
          <w:szCs w:val="22"/>
        </w:rPr>
        <w:t xml:space="preserve">. </w:t>
      </w:r>
    </w:p>
    <w:p w14:paraId="6B51848C"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lastRenderedPageBreak/>
        <w:t xml:space="preserve">ESC noted that there is limited new comparative evidence included in the resubmission and the updated evidence base was largely low quality: five new single-arm studies for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one systematic review comparing safety data for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and DBS (Giordano 2020) </w:t>
      </w:r>
      <w:r w:rsidRPr="00E706AC">
        <w:rPr>
          <w:rFonts w:ascii="Franklin Gothic Book" w:hAnsi="Franklin Gothic Book"/>
          <w:sz w:val="22"/>
          <w:szCs w:val="22"/>
        </w:rPr>
        <w:t xml:space="preserve">which was stated to provide a more comprehensive review of comparative safety data than provided in the indirect treatment comparison (ITC) by Langford </w:t>
      </w:r>
      <w:r w:rsidRPr="00E706AC">
        <w:rPr>
          <w:rFonts w:ascii="Franklin Gothic Book" w:hAnsi="Franklin Gothic Book"/>
          <w:sz w:val="22"/>
          <w:szCs w:val="22"/>
        </w:rPr>
        <w:fldChar w:fldCharType="begin"/>
      </w:r>
      <w:r w:rsidRPr="00E706AC">
        <w:rPr>
          <w:rFonts w:ascii="Franklin Gothic Book" w:hAnsi="Franklin Gothic Book"/>
          <w:sz w:val="22"/>
          <w:szCs w:val="22"/>
        </w:rPr>
        <w:instrText xml:space="preserve"> ADDIN EN.CITE &lt;EndNote&gt;&lt;Cite ExcludeYear="1"&gt;&lt;Author&gt;2018&lt;/Author&gt;&lt;Year&gt;2018&lt;/Year&gt;&lt;RecNum&gt;4545&lt;/RecNum&gt;&lt;DisplayText&gt;(2018)&lt;/DisplayText&gt;&lt;record&gt;&lt;rec-number&gt;4545&lt;/rec-number&gt;&lt;foreign-keys&gt;&lt;key app="EN" db-id="xrs0xrta35tfv3efxe3x5fxmwpez2zpstrax" timestamp="1641953108"&gt;4545&lt;/key&gt;&lt;/foreign-keys&gt;&lt;ref-type name="Government Document"&gt;46&lt;/ref-type&gt;&lt;contributors&gt;&lt;authors&gt;&lt;author&gt;Australian Institute of Health and Welfare [AIHW] 2018 &lt;/author&gt;&lt;/authors&gt;&lt;/contributors&gt;&lt;titles&gt;&lt;title&gt;Australia’s health 2018&lt;/title&gt;&lt;tertiary-title&gt;Australia’s health series no. 16.&lt;/tertiary-title&gt;&lt;/titles&gt;&lt;dates&gt;&lt;year&gt;2018&lt;/year&gt;&lt;/dates&gt;&lt;pub-location&gt;Canberrs&lt;/pub-location&gt;&lt;publisher&gt;AIHW&lt;/publisher&gt;&lt;isbn&gt;AUS 221&lt;/isbn&gt;&lt;urls&gt;&lt;related-urls&gt;&lt;url&gt;https://www.aihw.gov.au/reports/australias-health/australias-health-2018/contents/overview&lt;/url&gt;&lt;/related-urls&gt;&lt;/urls&gt;&lt;/record&gt;&lt;/Cite&gt;&lt;/EndNote&gt;</w:instrText>
      </w:r>
      <w:r w:rsidRPr="00E706AC">
        <w:rPr>
          <w:rFonts w:ascii="Franklin Gothic Book" w:hAnsi="Franklin Gothic Book"/>
          <w:sz w:val="22"/>
          <w:szCs w:val="22"/>
        </w:rPr>
        <w:fldChar w:fldCharType="separate"/>
      </w:r>
      <w:r w:rsidRPr="00E706AC">
        <w:rPr>
          <w:rFonts w:ascii="Franklin Gothic Book" w:hAnsi="Franklin Gothic Book"/>
          <w:noProof/>
          <w:sz w:val="22"/>
          <w:szCs w:val="22"/>
        </w:rPr>
        <w:t>(2018)</w:t>
      </w:r>
      <w:r w:rsidRPr="00E706AC">
        <w:rPr>
          <w:rFonts w:ascii="Franklin Gothic Book" w:hAnsi="Franklin Gothic Book"/>
          <w:sz w:val="22"/>
          <w:szCs w:val="22"/>
        </w:rPr>
        <w:fldChar w:fldCharType="end"/>
      </w:r>
      <w:r w:rsidRPr="00E706AC">
        <w:rPr>
          <w:rFonts w:ascii="Franklin Gothic Book" w:hAnsi="Franklin Gothic Book"/>
          <w:sz w:val="22"/>
          <w:szCs w:val="22"/>
        </w:rPr>
        <w:t xml:space="preserve"> (limited to studies that met specific assessment criteria), and </w:t>
      </w:r>
      <w:r w:rsidRPr="00E706AC">
        <w:rPr>
          <w:rFonts w:ascii="Franklin Gothic Book" w:hAnsi="Franklin Gothic Book"/>
          <w:color w:val="000000"/>
          <w:sz w:val="22"/>
          <w:szCs w:val="22"/>
        </w:rPr>
        <w:t xml:space="preserve">one unpublished follow-up report (Cosgrove 2021) of the pivotal </w:t>
      </w:r>
      <w:r w:rsidRPr="00E706AC">
        <w:rPr>
          <w:rFonts w:ascii="Franklin Gothic Book" w:hAnsi="Franklin Gothic Book"/>
          <w:sz w:val="22"/>
          <w:szCs w:val="22"/>
        </w:rPr>
        <w:t>sham-controlled multicentre randomised controlled trial (</w:t>
      </w:r>
      <w:r w:rsidRPr="00E706AC">
        <w:rPr>
          <w:rFonts w:ascii="Franklin Gothic Book" w:hAnsi="Franklin Gothic Book"/>
          <w:color w:val="000000"/>
          <w:sz w:val="22"/>
          <w:szCs w:val="22"/>
        </w:rPr>
        <w:t>RCT) trial reporting to 5 years follow-up. ESC noted the pre-ESC response considered that it is</w:t>
      </w:r>
      <w:r w:rsidRPr="00E706AC">
        <w:rPr>
          <w:rFonts w:ascii="Franklin Gothic Book" w:hAnsi="Franklin Gothic Book"/>
          <w:sz w:val="22"/>
          <w:szCs w:val="22"/>
        </w:rPr>
        <w:t xml:space="preserve"> ethically unfeasible to conduct a DBS-controlled randomised controlled study due to explicit patient preference for </w:t>
      </w:r>
      <w:proofErr w:type="spellStart"/>
      <w:r w:rsidRPr="00E706AC">
        <w:rPr>
          <w:rFonts w:ascii="Franklin Gothic Book" w:hAnsi="Franklin Gothic Book"/>
          <w:sz w:val="22"/>
          <w:szCs w:val="22"/>
        </w:rPr>
        <w:t>MRgFUS</w:t>
      </w:r>
      <w:proofErr w:type="spellEnd"/>
      <w:r w:rsidRPr="00E706AC">
        <w:rPr>
          <w:rFonts w:ascii="Franklin Gothic Book" w:hAnsi="Franklin Gothic Book"/>
          <w:sz w:val="22"/>
          <w:szCs w:val="22"/>
        </w:rPr>
        <w:t xml:space="preserve"> (risk of attrition bias) and the fact that the patient characteristics differ and vary in terms of inclusion criteria.</w:t>
      </w:r>
    </w:p>
    <w:p w14:paraId="3156CCE5"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t xml:space="preserve">In terms of comparative safety of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vs DBS, ESC noted that results were largely unchanged showing that intra-procedural adverse events (AEs) were common with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vs no intra-procedural sensations with DBS; no </w:t>
      </w:r>
      <w:r w:rsidRPr="00E706AC">
        <w:rPr>
          <w:rFonts w:ascii="Franklin Gothic Book" w:hAnsi="Franklin Gothic Book"/>
          <w:sz w:val="22"/>
          <w:szCs w:val="22"/>
        </w:rPr>
        <w:t xml:space="preserve">serious AEs for </w:t>
      </w:r>
      <w:proofErr w:type="spellStart"/>
      <w:r w:rsidRPr="00E706AC">
        <w:rPr>
          <w:rFonts w:ascii="Franklin Gothic Book" w:hAnsi="Franklin Gothic Book"/>
          <w:sz w:val="22"/>
          <w:szCs w:val="22"/>
        </w:rPr>
        <w:t>MRgFUS</w:t>
      </w:r>
      <w:proofErr w:type="spellEnd"/>
      <w:r w:rsidRPr="00E706AC">
        <w:rPr>
          <w:rFonts w:ascii="Franklin Gothic Book" w:hAnsi="Franklin Gothic Book"/>
          <w:sz w:val="22"/>
          <w:szCs w:val="22"/>
        </w:rPr>
        <w:t xml:space="preserve"> vs serious AEs from potential hardware-related complications with DBS; and post procedural AEs were either transient or improve with time vs AEs including balance or gait difficulties and speech disturbance, with some resolving after hardware programming with DBS.</w:t>
      </w:r>
      <w:r w:rsidRPr="00E706AC">
        <w:rPr>
          <w:rFonts w:ascii="Franklin Gothic Book" w:hAnsi="Franklin Gothic Book"/>
          <w:color w:val="000000"/>
          <w:sz w:val="22"/>
          <w:szCs w:val="22"/>
        </w:rPr>
        <w:t xml:space="preserve">  ESC considered the recent meta-analysis results from Giordano (2020) showing that the overall complication rate was </w:t>
      </w:r>
      <w:proofErr w:type="gramStart"/>
      <w:r w:rsidRPr="00E706AC">
        <w:rPr>
          <w:rFonts w:ascii="Franklin Gothic Book" w:hAnsi="Franklin Gothic Book"/>
          <w:color w:val="000000"/>
          <w:sz w:val="22"/>
          <w:szCs w:val="22"/>
        </w:rPr>
        <w:t>similar</w:t>
      </w:r>
      <w:proofErr w:type="gramEnd"/>
      <w:r w:rsidRPr="00E706AC">
        <w:rPr>
          <w:rFonts w:ascii="Franklin Gothic Book" w:hAnsi="Franklin Gothic Book"/>
          <w:color w:val="000000"/>
          <w:sz w:val="22"/>
          <w:szCs w:val="22"/>
        </w:rPr>
        <w:t xml:space="preserve"> but distribution of adverse events was significantly different among the two groups;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had higher prevalence of paraesthesia/numbness, gait disturbance and nausea but lower prevalence of speech disturbance and local adverse events (relative to DBS). ESC considered that the uncertainty with comparative safety </w:t>
      </w:r>
      <w:proofErr w:type="gramStart"/>
      <w:r w:rsidRPr="00E706AC">
        <w:rPr>
          <w:rFonts w:ascii="Franklin Gothic Book" w:hAnsi="Franklin Gothic Book"/>
          <w:color w:val="000000"/>
          <w:sz w:val="22"/>
          <w:szCs w:val="22"/>
        </w:rPr>
        <w:t>still remains</w:t>
      </w:r>
      <w:proofErr w:type="gramEnd"/>
      <w:r w:rsidRPr="00E706AC">
        <w:rPr>
          <w:rFonts w:ascii="Franklin Gothic Book" w:hAnsi="Franklin Gothic Book"/>
          <w:color w:val="000000"/>
          <w:sz w:val="22"/>
          <w:szCs w:val="22"/>
        </w:rPr>
        <w:t xml:space="preserve">, because the safety profiles are different – there are different adverse effects between DBS (invasive, reversible) and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(non-invasive/permanent). ESC noted that the commentary considered that the clinical claim of a different yet non-inferior safety profile remained to be uncertain mainly due to the limited comparative evidence provided in the resubmission and existing evidence base was at high risk of bias. The pre-ESC response considered the bias assessment was significantly overstated, noting that it was inconsistent with other health technology assessments (HTAs) </w:t>
      </w:r>
      <w:r w:rsidRPr="00E706AC">
        <w:rPr>
          <w:rFonts w:ascii="Franklin Gothic Book" w:hAnsi="Franklin Gothic Book"/>
          <w:sz w:val="22"/>
          <w:szCs w:val="22"/>
        </w:rPr>
        <w:t xml:space="preserve">such as the Ontario HTA of </w:t>
      </w:r>
      <w:proofErr w:type="spellStart"/>
      <w:r w:rsidRPr="00E706AC">
        <w:rPr>
          <w:rFonts w:ascii="Franklin Gothic Book" w:hAnsi="Franklin Gothic Book"/>
          <w:sz w:val="22"/>
          <w:szCs w:val="22"/>
        </w:rPr>
        <w:t>MRgFUS</w:t>
      </w:r>
      <w:proofErr w:type="spellEnd"/>
      <w:r w:rsidRPr="00E706AC">
        <w:rPr>
          <w:rFonts w:ascii="Franklin Gothic Book" w:hAnsi="Franklin Gothic Book"/>
          <w:sz w:val="22"/>
          <w:szCs w:val="22"/>
        </w:rPr>
        <w:t xml:space="preserve"> done in 2018. </w:t>
      </w:r>
    </w:p>
    <w:p w14:paraId="69FF4588"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t xml:space="preserve">In terms of comparative effectiveness of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vs DBS, ESC noted that the results were largely unchanged, both procedures appear to be effective at significantly reducing tremor (total and hand tremor), tremor-related disability and improving quality of life, at least in short- to medium term (up to 4 years of follow-up for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ESC also noted that the issue regarding the</w:t>
      </w:r>
      <w:r w:rsidRPr="00E706AC">
        <w:rPr>
          <w:rFonts w:ascii="Franklin Gothic Book" w:hAnsi="Franklin Gothic Book"/>
          <w:sz w:val="22"/>
          <w:szCs w:val="22"/>
        </w:rPr>
        <w:t xml:space="preserve"> minimum clinically important difference (MCID) has not (and cannot) be resolved as it has not been established for any of the tremor scales. This does </w:t>
      </w:r>
      <w:r w:rsidRPr="00E706AC">
        <w:rPr>
          <w:rFonts w:ascii="Franklin Gothic Book" w:hAnsi="Franklin Gothic Book"/>
          <w:color w:val="000000"/>
          <w:sz w:val="22"/>
          <w:szCs w:val="22"/>
        </w:rPr>
        <w:t xml:space="preserve">not allow for unequivocal conclusions regarding the clinical effectiveness of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and DBS. Overall, ESC considered that improvement in tremor scales </w:t>
      </w:r>
      <w:proofErr w:type="gramStart"/>
      <w:r w:rsidRPr="00E706AC">
        <w:rPr>
          <w:rFonts w:ascii="Franklin Gothic Book" w:hAnsi="Franklin Gothic Book"/>
          <w:color w:val="000000"/>
          <w:sz w:val="22"/>
          <w:szCs w:val="22"/>
        </w:rPr>
        <w:t>are</w:t>
      </w:r>
      <w:proofErr w:type="gramEnd"/>
      <w:r w:rsidRPr="00E706AC">
        <w:rPr>
          <w:rFonts w:ascii="Franklin Gothic Book" w:hAnsi="Franklin Gothic Book"/>
          <w:color w:val="000000"/>
          <w:sz w:val="22"/>
          <w:szCs w:val="22"/>
        </w:rPr>
        <w:t xml:space="preserve"> similar to DBS and that the clinical claim of non-inferior efficacy was reasonable. </w:t>
      </w:r>
    </w:p>
    <w:p w14:paraId="011B522B"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t xml:space="preserve">ESC considered the secondary comparison of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vs best supportive care (BSC), noting that the results were unchanged showing that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had a higher proportion of patients who experienced procedure-related adverse events when compared with sham. ESC noted that the failed procedure rate was 5/56 (9%).  ESC also considered that the unpublished </w:t>
      </w:r>
      <w:proofErr w:type="gramStart"/>
      <w:r w:rsidRPr="00E706AC">
        <w:rPr>
          <w:rFonts w:ascii="Franklin Gothic Book" w:hAnsi="Franklin Gothic Book"/>
          <w:color w:val="000000"/>
          <w:sz w:val="22"/>
          <w:szCs w:val="22"/>
        </w:rPr>
        <w:t>5 year</w:t>
      </w:r>
      <w:proofErr w:type="gramEnd"/>
      <w:r w:rsidRPr="00E706AC">
        <w:rPr>
          <w:rFonts w:ascii="Franklin Gothic Book" w:hAnsi="Franklin Gothic Book"/>
          <w:color w:val="000000"/>
          <w:sz w:val="22"/>
          <w:szCs w:val="22"/>
        </w:rPr>
        <w:t xml:space="preserve"> follow-up results from the pivotal RCT showed that adverse events for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remained stable or improve over time. ESC noted the commentary’s concern for long term-safety of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mainly related to the doubling of the rate of ataxia, which the pre-ESC response clarified was informed from only one additional patient. ESC considered that the clinical claim of inferior safety and superior effectiveness was reasonable.</w:t>
      </w:r>
    </w:p>
    <w:p w14:paraId="102BF458"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t xml:space="preserve">Overall, ESC considered that there were no significant changes in conclusions for safety and effectiveness </w:t>
      </w:r>
      <w:proofErr w:type="gramStart"/>
      <w:r w:rsidRPr="00E706AC">
        <w:rPr>
          <w:rFonts w:ascii="Franklin Gothic Book" w:hAnsi="Franklin Gothic Book"/>
          <w:color w:val="000000"/>
          <w:sz w:val="22"/>
          <w:szCs w:val="22"/>
        </w:rPr>
        <w:t>in light of</w:t>
      </w:r>
      <w:proofErr w:type="gramEnd"/>
      <w:r w:rsidRPr="00E706AC">
        <w:rPr>
          <w:rFonts w:ascii="Franklin Gothic Book" w:hAnsi="Franklin Gothic Book"/>
          <w:color w:val="000000"/>
          <w:sz w:val="22"/>
          <w:szCs w:val="22"/>
        </w:rPr>
        <w:t xml:space="preserve"> updated evidence.  ESC noted there was consistency in the results from low quality evidence suggesting that longer term safety was sustained for up to five years.</w:t>
      </w:r>
    </w:p>
    <w:p w14:paraId="01499AB5"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t>ESC noted that the availability and quality of evidence and input data were key limitations of the economic evaluation.</w:t>
      </w:r>
    </w:p>
    <w:p w14:paraId="7FC0BC59"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lastRenderedPageBreak/>
        <w:t xml:space="preserve">ESC noted that the resubmission addressed the previous MSAC concern regarding comparative safety by including a cost-utility analysis comparing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vs DBS. The resubmission used a Markov model that was based on the published Ontario Health Technology Assessment Series (OHTAS) model, which was referred to in the Public Summary Document (PSD) Application 1614, March-April 2021. The other published CUA model referred to in the PSD was by Ravikumar (2017), which ESC recalled had a high level of uncertainty in the transformation of adverse events to quality-adjusted life years (QALYs). ESC noted that most utilities were sourced from the OHTAS model. However, ESC considered there was limited justification for why the OHTAS model was selected as a basis for the economic evaluation. </w:t>
      </w:r>
    </w:p>
    <w:p w14:paraId="2006996F" w14:textId="77777777" w:rsidR="00E706AC" w:rsidRPr="00E706AC" w:rsidRDefault="00E706AC" w:rsidP="00E706AC">
      <w:pPr>
        <w:spacing w:before="20" w:after="20"/>
        <w:rPr>
          <w:rFonts w:ascii="Franklin Gothic Book" w:hAnsi="Franklin Gothic Book"/>
          <w:color w:val="000000"/>
          <w:sz w:val="22"/>
          <w:szCs w:val="22"/>
        </w:rPr>
      </w:pPr>
      <w:r w:rsidRPr="00E706AC">
        <w:rPr>
          <w:rFonts w:ascii="Franklin Gothic Book" w:hAnsi="Franklin Gothic Book"/>
          <w:color w:val="000000"/>
          <w:sz w:val="22"/>
          <w:szCs w:val="22"/>
        </w:rPr>
        <w:t>ESC noted the model structure was simplistic but replicated from the OHTAS model and adapted to the Australian setting. ESC considered the Markov traces for both model arms, noting limited health state transitions over time and similarities between model arms. ESC also noted that the model relied on parameter assumptions (</w:t>
      </w:r>
      <w:proofErr w:type="gramStart"/>
      <w:r w:rsidRPr="00E706AC">
        <w:rPr>
          <w:rFonts w:ascii="Franklin Gothic Book" w:hAnsi="Franklin Gothic Book"/>
          <w:color w:val="000000"/>
          <w:sz w:val="22"/>
          <w:szCs w:val="22"/>
        </w:rPr>
        <w:t>e.g.</w:t>
      </w:r>
      <w:proofErr w:type="gramEnd"/>
      <w:r w:rsidRPr="00E706AC">
        <w:rPr>
          <w:rFonts w:ascii="Franklin Gothic Book" w:hAnsi="Franklin Gothic Book"/>
          <w:color w:val="000000"/>
          <w:sz w:val="22"/>
          <w:szCs w:val="22"/>
        </w:rPr>
        <w:t xml:space="preserve"> rates of recurrence assumed to be the same between model arms) including assumptions carried over from the OHTAS model (e.g. short term efficacy rate of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and DBS; and rate of reoperation if recurrence was assumed to be the same between model arms) but considered that the assumptions were generally reasonably justified considering limited data to inform the model. ESC noted the commentary’s proposal that it would have been more informative for the model to stratify adverse events as health states, but it was unclear how this could be implemented in practice considering limited available evidence regarding numerous adverse events to be included in the model. ESC considered the 5-year timeframe of the model was appropriate, but that there may be opportunity in the future to extend this due to emerging (albeit weak) evidence.</w:t>
      </w:r>
    </w:p>
    <w:p w14:paraId="7D9129BE" w14:textId="77777777" w:rsidR="00E706AC" w:rsidRPr="00E706AC" w:rsidRDefault="00E706AC" w:rsidP="00234DD6">
      <w:pPr>
        <w:spacing w:before="240"/>
        <w:rPr>
          <w:rFonts w:ascii="Franklin Gothic Book" w:hAnsi="Franklin Gothic Book"/>
          <w:color w:val="000000"/>
          <w:sz w:val="22"/>
          <w:szCs w:val="22"/>
        </w:rPr>
      </w:pPr>
      <w:r w:rsidRPr="00E706AC">
        <w:rPr>
          <w:rFonts w:ascii="Franklin Gothic Book" w:hAnsi="Franklin Gothic Book"/>
          <w:color w:val="000000"/>
          <w:sz w:val="22"/>
          <w:szCs w:val="22"/>
        </w:rPr>
        <w:t>ESC considered the most significant issue with the resubmission’s model was the quantification of adverse events and the impact these events have in the model. ESC considered it unclear why the long-term adverse event “multiplier” (</w:t>
      </w:r>
      <w:r w:rsidRPr="006B180A">
        <w:rPr>
          <w:rFonts w:ascii="Franklin Gothic Book" w:hAnsi="Franklin Gothic Book"/>
          <w:color w:val="000000"/>
          <w:sz w:val="22"/>
          <w:szCs w:val="22"/>
        </w:rPr>
        <w:t xml:space="preserve">the base case used a multiplier of 0.814 for </w:t>
      </w:r>
      <w:proofErr w:type="spellStart"/>
      <w:r w:rsidRPr="006B180A">
        <w:rPr>
          <w:rFonts w:ascii="Franklin Gothic Book" w:hAnsi="Franklin Gothic Book"/>
          <w:color w:val="000000"/>
          <w:sz w:val="22"/>
          <w:szCs w:val="22"/>
        </w:rPr>
        <w:t>MRgFUS</w:t>
      </w:r>
      <w:proofErr w:type="spellEnd"/>
      <w:r w:rsidRPr="006B180A">
        <w:rPr>
          <w:rFonts w:ascii="Franklin Gothic Book" w:hAnsi="Franklin Gothic Book"/>
          <w:color w:val="000000"/>
          <w:sz w:val="22"/>
          <w:szCs w:val="22"/>
        </w:rPr>
        <w:t xml:space="preserve"> and 0.756 for DBS) was used instead of</w:t>
      </w:r>
      <w:r w:rsidRPr="00E706AC">
        <w:rPr>
          <w:rFonts w:ascii="Franklin Gothic Book" w:hAnsi="Franklin Gothic Book"/>
          <w:color w:val="000000"/>
          <w:sz w:val="22"/>
          <w:szCs w:val="22"/>
        </w:rPr>
        <w:t xml:space="preserve"> a standardised weighted utility or applying additional disutility. ESC also queried the behaviour of the long-term adverse event multiplier in the base case model, noting that it did not produce credible values under stress testing (</w:t>
      </w:r>
      <w:proofErr w:type="gramStart"/>
      <w:r w:rsidRPr="00E706AC">
        <w:rPr>
          <w:rFonts w:ascii="Franklin Gothic Book" w:hAnsi="Franklin Gothic Book"/>
          <w:color w:val="000000"/>
          <w:sz w:val="22"/>
          <w:szCs w:val="22"/>
        </w:rPr>
        <w:t>e.g.</w:t>
      </w:r>
      <w:proofErr w:type="gramEnd"/>
      <w:r w:rsidRPr="00E706AC">
        <w:rPr>
          <w:rFonts w:ascii="Franklin Gothic Book" w:hAnsi="Franklin Gothic Book"/>
          <w:color w:val="000000"/>
          <w:sz w:val="22"/>
          <w:szCs w:val="22"/>
        </w:rPr>
        <w:t xml:space="preserve"> such as setting all AE rates set to 0 or to 100%). ESC noted the commentary’s threshold analysis but considered it was unclear why testing would be performed over the value range 0-1 and queried if an alternative range of values may be appropriate for this parameter. Overall, ESC considered that the method used to model long-term adverse events did not appear to be conceptually appropriate. However, ESC recognised that opportunities for further improving the model may be </w:t>
      </w:r>
      <w:proofErr w:type="gramStart"/>
      <w:r w:rsidRPr="00E706AC">
        <w:rPr>
          <w:rFonts w:ascii="Franklin Gothic Book" w:hAnsi="Franklin Gothic Book"/>
          <w:color w:val="000000"/>
          <w:sz w:val="22"/>
          <w:szCs w:val="22"/>
        </w:rPr>
        <w:t>limited, and</w:t>
      </w:r>
      <w:proofErr w:type="gramEnd"/>
      <w:r w:rsidRPr="00E706AC">
        <w:rPr>
          <w:rFonts w:ascii="Franklin Gothic Book" w:hAnsi="Franklin Gothic Book"/>
          <w:color w:val="000000"/>
          <w:sz w:val="22"/>
          <w:szCs w:val="22"/>
        </w:rPr>
        <w:t xml:space="preserve"> considered that the model presented in the resubmission might be sufficient to enable general exploration and establishing a broad range of plausible ICERs to inform MSAC’s considerations. ESC queried whether the multiplier was a limitation of the OHTAS model approach adopted. The assessment group clarified it was not and that the presented approach was independently developed by the resubmission.</w:t>
      </w:r>
    </w:p>
    <w:p w14:paraId="76FC4F9D" w14:textId="77777777" w:rsidR="00E706AC" w:rsidRPr="00E706AC" w:rsidRDefault="00E706AC" w:rsidP="00234DD6">
      <w:pPr>
        <w:spacing w:before="240" w:after="240"/>
        <w:rPr>
          <w:rFonts w:ascii="Franklin Gothic Book" w:hAnsi="Franklin Gothic Book"/>
          <w:color w:val="000000"/>
          <w:sz w:val="22"/>
          <w:szCs w:val="22"/>
        </w:rPr>
      </w:pPr>
      <w:r w:rsidRPr="00E706AC">
        <w:rPr>
          <w:rFonts w:ascii="Franklin Gothic Book" w:hAnsi="Franklin Gothic Book"/>
          <w:color w:val="000000"/>
          <w:sz w:val="22"/>
          <w:szCs w:val="22"/>
        </w:rPr>
        <w:t>ESC noted that the interpretation of the “fewer QALYs, lower cost” (southwest ICER quadrant) outcome should consider that the modelled QALY loss is small, consistent with the “different but non-inferior” safety profile and non-inferior effectiveness claim; cost savings are likely to be substantial; and, importantly, the intervention presents an opportunity for patients to align their treatment with preferences regarding invasiveness and safety profile.</w:t>
      </w:r>
    </w:p>
    <w:p w14:paraId="48872316"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t xml:space="preserve">ESC noted that the resubmission’s model had </w:t>
      </w:r>
      <w:proofErr w:type="gramStart"/>
      <w:r w:rsidRPr="00E706AC">
        <w:rPr>
          <w:rFonts w:ascii="Franklin Gothic Book" w:hAnsi="Franklin Gothic Book"/>
          <w:color w:val="000000"/>
          <w:sz w:val="22"/>
          <w:szCs w:val="22"/>
        </w:rPr>
        <w:t>a number of</w:t>
      </w:r>
      <w:proofErr w:type="gramEnd"/>
      <w:r w:rsidRPr="00E706AC">
        <w:rPr>
          <w:rFonts w:ascii="Franklin Gothic Book" w:hAnsi="Franklin Gothic Book"/>
          <w:color w:val="000000"/>
          <w:sz w:val="22"/>
          <w:szCs w:val="22"/>
        </w:rPr>
        <w:t xml:space="preserve"> transparency and quality issues and ideally more work could be done for its consideration by MSAC. However, ESC also considered that further refinements of the model may not contribute enough additional understanding to substantially progress decision-making, and that any attempts at improving the model will be subject to limitations in the evidence that is required to inform its structure and inputs.</w:t>
      </w:r>
    </w:p>
    <w:p w14:paraId="0359CFF3" w14:textId="77777777" w:rsidR="00E706AC" w:rsidRPr="00E706AC" w:rsidRDefault="00E706AC" w:rsidP="00E706AC">
      <w:pPr>
        <w:spacing w:after="240"/>
        <w:rPr>
          <w:rFonts w:ascii="Franklin Gothic Book" w:hAnsi="Franklin Gothic Book"/>
          <w:color w:val="000000"/>
          <w:sz w:val="22"/>
          <w:szCs w:val="22"/>
        </w:rPr>
      </w:pPr>
      <w:r w:rsidRPr="00E706AC">
        <w:rPr>
          <w:rFonts w:ascii="Franklin Gothic Book" w:hAnsi="Franklin Gothic Book"/>
          <w:color w:val="000000"/>
          <w:sz w:val="22"/>
          <w:szCs w:val="22"/>
        </w:rPr>
        <w:t xml:space="preserve">ESC noted the method and data sources to estimate the financial estimates were unchanged in the resubmission. ESC noted that market growth was accounted for, assumed at 80% in Year 1, equivalent to all current cases being conducted outside the MBS shifting to the MBS, which could be an overestimate. ESC noted retreatment with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was appropriately not included in the financial estimates. ESC also noted that the commentary revised the financial estimates (see </w:t>
      </w:r>
      <w:r w:rsidRPr="00E706AC">
        <w:rPr>
          <w:rFonts w:ascii="Franklin Gothic Book" w:hAnsi="Franklin Gothic Book"/>
          <w:color w:val="000000"/>
          <w:sz w:val="22"/>
          <w:szCs w:val="22"/>
        </w:rPr>
        <w:lastRenderedPageBreak/>
        <w:t xml:space="preserve">Table 14) taking into account that all current DBS procedures are performed in private setting, </w:t>
      </w:r>
      <w:proofErr w:type="gramStart"/>
      <w:r w:rsidRPr="00E706AC">
        <w:rPr>
          <w:rFonts w:ascii="Franklin Gothic Book" w:hAnsi="Franklin Gothic Book"/>
          <w:color w:val="000000"/>
          <w:sz w:val="22"/>
          <w:szCs w:val="22"/>
        </w:rPr>
        <w:t>i.e.</w:t>
      </w:r>
      <w:proofErr w:type="gramEnd"/>
      <w:r w:rsidRPr="00E706AC">
        <w:rPr>
          <w:rFonts w:ascii="Franklin Gothic Book" w:hAnsi="Franklin Gothic Book"/>
          <w:color w:val="000000"/>
          <w:sz w:val="22"/>
          <w:szCs w:val="22"/>
        </w:rPr>
        <w:t xml:space="preserve"> assuming no DBS procedures in public hospital setting. ESC noted the pre-ESC response suggesting there is little data available to inform how patients are managed through the public hospital system. However, as noted in the commentary, a greater increase in utilisation results in a higher cost to the MBS but also a higher cost savings to the overall healthcare system. </w:t>
      </w:r>
    </w:p>
    <w:p w14:paraId="278B3F4C" w14:textId="77777777" w:rsidR="00E706AC" w:rsidRPr="00E706AC" w:rsidRDefault="00E706AC" w:rsidP="00E706AC">
      <w:pPr>
        <w:rPr>
          <w:rFonts w:ascii="Franklin Gothic Book" w:hAnsi="Franklin Gothic Book"/>
          <w:color w:val="000000"/>
          <w:sz w:val="22"/>
          <w:szCs w:val="22"/>
        </w:rPr>
      </w:pPr>
      <w:r w:rsidRPr="00E706AC">
        <w:rPr>
          <w:rFonts w:ascii="Franklin Gothic Book" w:hAnsi="Franklin Gothic Book"/>
          <w:color w:val="000000"/>
          <w:sz w:val="22"/>
          <w:szCs w:val="22"/>
        </w:rPr>
        <w:t xml:space="preserve">ESC queried how the consumables included in the procedure will be funded. ESC noted that the single-use patient kit necessary for the procedure was rejected for inclusion on the Prostheses List (PL). Application N002552 was found to be unsuitable as it did not meet the PL criteria for listing given the PL is not intended to cover consumable products. ESC queried whether this could change in the future, as the PL is currently under review. ESC noted that the Department queried whether the cost of the consumable should be added to the procedural fee or if it has already been captured in the descriptor. </w:t>
      </w:r>
      <w:bookmarkStart w:id="53" w:name="_Hlk97033979"/>
      <w:r w:rsidRPr="00E706AC">
        <w:rPr>
          <w:rFonts w:ascii="Franklin Gothic Book" w:hAnsi="Franklin Gothic Book"/>
          <w:color w:val="000000"/>
          <w:sz w:val="22"/>
          <w:szCs w:val="22"/>
        </w:rPr>
        <w:t xml:space="preserve">Post-ESC, the Department reiterated that if the patient kit could not be listed on the PL the applicant would still need to resolve the question of the source of its funding.  </w:t>
      </w:r>
      <w:bookmarkEnd w:id="53"/>
    </w:p>
    <w:p w14:paraId="63BE10E2" w14:textId="77777777" w:rsidR="00E706AC" w:rsidRPr="00E706AC" w:rsidRDefault="00E706AC" w:rsidP="008E4339">
      <w:pPr>
        <w:spacing w:before="240"/>
        <w:rPr>
          <w:rFonts w:ascii="Franklin Gothic Book" w:hAnsi="Franklin Gothic Book"/>
          <w:color w:val="000000"/>
          <w:sz w:val="22"/>
          <w:szCs w:val="22"/>
        </w:rPr>
      </w:pPr>
      <w:r w:rsidRPr="00E706AC">
        <w:rPr>
          <w:rFonts w:ascii="Franklin Gothic Book" w:hAnsi="Franklin Gothic Book"/>
          <w:color w:val="000000"/>
          <w:sz w:val="22"/>
          <w:szCs w:val="22"/>
        </w:rPr>
        <w:t>ESC noted that the intervention is currently available in two private centres in Australia (St Vincent’s Hospital, Sydney, and the Future Medical Imaging Group Centre, Melbourne) and that there would be significant equity of access issues. In the private setting, the intervention is currently self-funded by patients. ESC considered the small volume of services undertaken in private centres and whether additional service centres were overall a more efficient means of meeting demand than facilitating travel to one of the existing centres.</w:t>
      </w:r>
    </w:p>
    <w:p w14:paraId="7ECADE49" w14:textId="24FF9CD0" w:rsidR="00E706AC" w:rsidRDefault="00E706AC" w:rsidP="008E4339">
      <w:pPr>
        <w:spacing w:before="240" w:after="160" w:line="259" w:lineRule="auto"/>
        <w:rPr>
          <w:rFonts w:ascii="Franklin Gothic Book" w:hAnsi="Franklin Gothic Book"/>
          <w:color w:val="000000"/>
          <w:sz w:val="22"/>
          <w:szCs w:val="22"/>
        </w:rPr>
      </w:pPr>
      <w:r w:rsidRPr="00E706AC">
        <w:rPr>
          <w:rFonts w:ascii="Franklin Gothic Book" w:hAnsi="Franklin Gothic Book"/>
          <w:color w:val="000000"/>
          <w:sz w:val="22"/>
          <w:szCs w:val="22"/>
        </w:rPr>
        <w:t xml:space="preserve">ESC noted </w:t>
      </w:r>
      <w:r w:rsidRPr="00E706AC">
        <w:rPr>
          <w:rFonts w:ascii="Franklin Gothic Book" w:eastAsiaTheme="minorHAnsi" w:hAnsi="Franklin Gothic Book" w:cstheme="minorBidi"/>
          <w:sz w:val="22"/>
          <w:szCs w:val="22"/>
          <w:lang w:eastAsia="en-US"/>
        </w:rPr>
        <w:t>there</w:t>
      </w:r>
      <w:r w:rsidRPr="00E706AC">
        <w:rPr>
          <w:rFonts w:ascii="Franklin Gothic Book" w:hAnsi="Franklin Gothic Book"/>
          <w:color w:val="000000"/>
          <w:sz w:val="22"/>
          <w:szCs w:val="22"/>
        </w:rPr>
        <w:t xml:space="preserve"> was no new consumer feedback for the resubmission.   ESC discussed consumer issues such as: the uncertainty and risk of high out-of-pocket costs to the consumer, the fact consumers may prefer </w:t>
      </w:r>
      <w:proofErr w:type="spellStart"/>
      <w:r w:rsidRPr="00E706AC">
        <w:rPr>
          <w:rFonts w:ascii="Franklin Gothic Book" w:hAnsi="Franklin Gothic Book"/>
          <w:color w:val="000000"/>
          <w:sz w:val="22"/>
          <w:szCs w:val="22"/>
        </w:rPr>
        <w:t>MRgFUS</w:t>
      </w:r>
      <w:proofErr w:type="spellEnd"/>
      <w:r w:rsidRPr="00E706AC">
        <w:rPr>
          <w:rFonts w:ascii="Franklin Gothic Book" w:hAnsi="Franklin Gothic Book"/>
          <w:color w:val="000000"/>
          <w:sz w:val="22"/>
          <w:szCs w:val="22"/>
        </w:rPr>
        <w:t xml:space="preserve"> because it is less invasive than DBS, and uncertainty around whether a radiologist or a neurosurgeon is required to perform the procedure.</w:t>
      </w:r>
    </w:p>
    <w:p w14:paraId="635DCEA0" w14:textId="09E7F769" w:rsidR="00401F6B" w:rsidRDefault="008E4339" w:rsidP="00D960B0">
      <w:pPr>
        <w:pStyle w:val="Heading1"/>
        <w:numPr>
          <w:ilvl w:val="0"/>
          <w:numId w:val="13"/>
        </w:numPr>
        <w:spacing w:before="360" w:after="240"/>
        <w:ind w:hanging="720"/>
        <w:rPr>
          <w:rFonts w:eastAsia="Calibri"/>
          <w:lang w:eastAsia="en-US"/>
        </w:rPr>
      </w:pPr>
      <w:r w:rsidRPr="008E4339">
        <w:rPr>
          <w:rFonts w:ascii="Franklin Gothic Medium" w:eastAsia="SimSun" w:hAnsi="Franklin Gothic Medium" w:cs="Times New Roman"/>
          <w:b w:val="0"/>
          <w:bCs w:val="0"/>
          <w:color w:val="000000"/>
          <w:sz w:val="32"/>
          <w:szCs w:val="26"/>
          <w:lang w:eastAsia="en-US"/>
        </w:rPr>
        <w:t>Applicant comments on MSAC’s Public Summary Document</w:t>
      </w:r>
    </w:p>
    <w:p w14:paraId="2FBB3D17" w14:textId="230B3257" w:rsidR="00401F6B" w:rsidRDefault="00401F6B" w:rsidP="008E4339">
      <w:pPr>
        <w:spacing w:before="120" w:after="160" w:line="259" w:lineRule="auto"/>
        <w:rPr>
          <w:rFonts w:ascii="Franklin Gothic Book" w:hAnsi="Franklin Gothic Book"/>
          <w:sz w:val="22"/>
          <w:szCs w:val="22"/>
        </w:rPr>
      </w:pPr>
      <w:r w:rsidRPr="00957845">
        <w:rPr>
          <w:rFonts w:ascii="Franklin Gothic Book" w:hAnsi="Franklin Gothic Book"/>
          <w:iCs/>
          <w:sz w:val="22"/>
          <w:szCs w:val="22"/>
        </w:rPr>
        <w:t xml:space="preserve">The </w:t>
      </w:r>
      <w:r>
        <w:rPr>
          <w:rFonts w:ascii="Franklin Gothic Book" w:hAnsi="Franklin Gothic Book"/>
          <w:iCs/>
          <w:sz w:val="22"/>
          <w:szCs w:val="22"/>
        </w:rPr>
        <w:t xml:space="preserve">applicant, </w:t>
      </w:r>
      <w:proofErr w:type="spellStart"/>
      <w:r>
        <w:rPr>
          <w:rFonts w:ascii="Franklin Gothic Book" w:hAnsi="Franklin Gothic Book"/>
          <w:iCs/>
          <w:sz w:val="22"/>
          <w:szCs w:val="22"/>
        </w:rPr>
        <w:t>Insightec</w:t>
      </w:r>
      <w:proofErr w:type="spellEnd"/>
      <w:r>
        <w:rPr>
          <w:rFonts w:ascii="Franklin Gothic Book" w:hAnsi="Franklin Gothic Book"/>
          <w:iCs/>
          <w:sz w:val="22"/>
          <w:szCs w:val="22"/>
        </w:rPr>
        <w:t xml:space="preserve">, welcomes MSAC’s support for the MBS listing </w:t>
      </w:r>
      <w:proofErr w:type="spellStart"/>
      <w:r>
        <w:rPr>
          <w:rFonts w:ascii="Franklin Gothic Book" w:hAnsi="Franklin Gothic Book"/>
          <w:iCs/>
          <w:sz w:val="22"/>
          <w:szCs w:val="22"/>
        </w:rPr>
        <w:t>MRgFUS</w:t>
      </w:r>
      <w:proofErr w:type="spellEnd"/>
      <w:r>
        <w:rPr>
          <w:rFonts w:ascii="Franklin Gothic Book" w:hAnsi="Franklin Gothic Book"/>
          <w:iCs/>
          <w:sz w:val="22"/>
          <w:szCs w:val="22"/>
        </w:rPr>
        <w:t xml:space="preserve"> in the </w:t>
      </w:r>
      <w:r w:rsidRPr="0088629E">
        <w:rPr>
          <w:rFonts w:ascii="Franklin Gothic Book" w:hAnsi="Franklin Gothic Book"/>
          <w:sz w:val="22"/>
          <w:szCs w:val="22"/>
        </w:rPr>
        <w:t xml:space="preserve">treatment </w:t>
      </w:r>
      <w:r>
        <w:rPr>
          <w:rFonts w:ascii="Franklin Gothic Book" w:hAnsi="Franklin Gothic Book"/>
          <w:sz w:val="22"/>
          <w:szCs w:val="22"/>
        </w:rPr>
        <w:t xml:space="preserve">of </w:t>
      </w:r>
      <w:r w:rsidRPr="0088629E">
        <w:rPr>
          <w:rFonts w:ascii="Franklin Gothic Book" w:hAnsi="Franklin Gothic Book"/>
          <w:sz w:val="22"/>
          <w:szCs w:val="22"/>
        </w:rPr>
        <w:t xml:space="preserve">medically refractory </w:t>
      </w:r>
      <w:r>
        <w:rPr>
          <w:rFonts w:ascii="Franklin Gothic Book" w:hAnsi="Franklin Gothic Book"/>
          <w:sz w:val="22"/>
          <w:szCs w:val="22"/>
        </w:rPr>
        <w:t>essential tremor. We thank the clinicians and patients who helped in achieving this recommendation.</w:t>
      </w:r>
    </w:p>
    <w:p w14:paraId="20CFAF31" w14:textId="7EAE44F9" w:rsidR="00401F6B" w:rsidRDefault="00401F6B" w:rsidP="008E4339">
      <w:pPr>
        <w:spacing w:before="120" w:after="160" w:line="259" w:lineRule="auto"/>
        <w:rPr>
          <w:rFonts w:ascii="Franklin Gothic Book" w:hAnsi="Franklin Gothic Book"/>
          <w:sz w:val="22"/>
          <w:szCs w:val="22"/>
        </w:rPr>
      </w:pPr>
      <w:r>
        <w:rPr>
          <w:rFonts w:ascii="Franklin Gothic Book" w:hAnsi="Franklin Gothic Book"/>
          <w:sz w:val="22"/>
          <w:szCs w:val="22"/>
        </w:rPr>
        <w:t xml:space="preserve">As alluded to by MSAC, we will work directly with the Department of Health to determine the most efficient and equitable item descriptors and associated fees so that </w:t>
      </w:r>
      <w:proofErr w:type="spellStart"/>
      <w:r>
        <w:rPr>
          <w:rFonts w:ascii="Franklin Gothic Book" w:hAnsi="Franklin Gothic Book"/>
          <w:sz w:val="22"/>
          <w:szCs w:val="22"/>
        </w:rPr>
        <w:t>MRgFUS</w:t>
      </w:r>
      <w:proofErr w:type="spellEnd"/>
      <w:r>
        <w:rPr>
          <w:rFonts w:ascii="Franklin Gothic Book" w:hAnsi="Franklin Gothic Book"/>
          <w:sz w:val="22"/>
          <w:szCs w:val="22"/>
        </w:rPr>
        <w:t xml:space="preserve"> can be included on the MBS for the benefit of patients without unnecessary delay.</w:t>
      </w:r>
    </w:p>
    <w:p w14:paraId="24672CD8" w14:textId="77777777" w:rsidR="00401F6B" w:rsidRPr="008E4339" w:rsidRDefault="00401F6B" w:rsidP="008E4339">
      <w:pPr>
        <w:spacing w:before="120" w:after="160" w:line="259" w:lineRule="auto"/>
        <w:rPr>
          <w:rFonts w:ascii="Franklin Gothic Book" w:eastAsia="Calibri" w:hAnsi="Franklin Gothic Book"/>
          <w:color w:val="00B0F0"/>
          <w:sz w:val="22"/>
          <w:szCs w:val="22"/>
          <w:lang w:eastAsia="en-US"/>
        </w:rPr>
      </w:pPr>
    </w:p>
    <w:p w14:paraId="2F6D057B" w14:textId="34331553" w:rsidR="008E4339" w:rsidRPr="008E4339" w:rsidRDefault="008E4339" w:rsidP="008E4339">
      <w:pPr>
        <w:pStyle w:val="Heading1"/>
        <w:numPr>
          <w:ilvl w:val="0"/>
          <w:numId w:val="13"/>
        </w:numPr>
        <w:spacing w:before="360" w:after="240"/>
        <w:ind w:hanging="720"/>
        <w:rPr>
          <w:rFonts w:ascii="Franklin Gothic Medium" w:eastAsia="SimSun" w:hAnsi="Franklin Gothic Medium" w:cs="Times New Roman"/>
          <w:b w:val="0"/>
          <w:bCs w:val="0"/>
          <w:color w:val="000000"/>
          <w:sz w:val="32"/>
          <w:szCs w:val="26"/>
          <w:lang w:eastAsia="en-US"/>
        </w:rPr>
      </w:pPr>
      <w:r w:rsidRPr="008E4339">
        <w:rPr>
          <w:rFonts w:ascii="Franklin Gothic Medium" w:eastAsia="SimSun" w:hAnsi="Franklin Gothic Medium" w:cs="Times New Roman"/>
          <w:b w:val="0"/>
          <w:bCs w:val="0"/>
          <w:color w:val="000000"/>
          <w:sz w:val="32"/>
          <w:szCs w:val="26"/>
          <w:lang w:eastAsia="en-US"/>
        </w:rPr>
        <w:t>Further information on MSAC</w:t>
      </w:r>
    </w:p>
    <w:p w14:paraId="7D2FAFF9" w14:textId="0FE67A31" w:rsidR="008E4339" w:rsidRPr="008E4339" w:rsidRDefault="008E4339" w:rsidP="008E4339">
      <w:pPr>
        <w:spacing w:before="120" w:after="160" w:line="259" w:lineRule="auto"/>
        <w:rPr>
          <w:rFonts w:ascii="Franklin Gothic Book" w:eastAsia="Calibri" w:hAnsi="Franklin Gothic Book"/>
          <w:sz w:val="22"/>
          <w:szCs w:val="22"/>
          <w:lang w:eastAsia="en-US"/>
        </w:rPr>
      </w:pPr>
      <w:r w:rsidRPr="008E4339">
        <w:rPr>
          <w:rFonts w:ascii="Franklin Gothic Book" w:eastAsia="Calibri" w:hAnsi="Franklin Gothic Book"/>
          <w:sz w:val="22"/>
          <w:szCs w:val="22"/>
          <w:lang w:eastAsia="en-US"/>
        </w:rPr>
        <w:t xml:space="preserve">MSAC Terms of Reference and other information are available on the MSAC Website: </w:t>
      </w:r>
      <w:hyperlink r:id="rId24" w:tooltip="Link to the MSAC website" w:history="1">
        <w:r w:rsidRPr="008E4339">
          <w:rPr>
            <w:rFonts w:ascii="Franklin Gothic Book" w:eastAsia="Calibri" w:hAnsi="Franklin Gothic Book"/>
            <w:color w:val="0070C0"/>
            <w:sz w:val="22"/>
            <w:szCs w:val="22"/>
            <w:u w:val="single"/>
            <w:lang w:eastAsia="en-US"/>
          </w:rPr>
          <w:t>visit the MSAC website</w:t>
        </w:r>
      </w:hyperlink>
    </w:p>
    <w:sectPr w:rsidR="008E4339" w:rsidRPr="008E4339" w:rsidSect="006431C1">
      <w:headerReference w:type="even" r:id="rId25"/>
      <w:headerReference w:type="default" r:id="rId26"/>
      <w:footerReference w:type="even" r:id="rId27"/>
      <w:footerReference w:type="default" r:id="rId28"/>
      <w:headerReference w:type="first" r:id="rId29"/>
      <w:footerReference w:type="first" r:id="rId30"/>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281D0" w14:textId="77777777" w:rsidR="00A10004" w:rsidRDefault="00A10004" w:rsidP="00065623">
      <w:r>
        <w:separator/>
      </w:r>
    </w:p>
  </w:endnote>
  <w:endnote w:type="continuationSeparator" w:id="0">
    <w:p w14:paraId="26877300" w14:textId="77777777" w:rsidR="00A10004" w:rsidRDefault="00A10004" w:rsidP="00065623">
      <w:r>
        <w:continuationSeparator/>
      </w:r>
    </w:p>
  </w:endnote>
  <w:endnote w:type="continuationNotice" w:id="1">
    <w:p w14:paraId="62823E78" w14:textId="77777777" w:rsidR="00A10004" w:rsidRDefault="00A10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B4C4" w14:textId="77777777" w:rsidR="00D960B0" w:rsidRDefault="00D96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noProof/>
      </w:rPr>
    </w:sdtEndPr>
    <w:sdtContent>
      <w:p w14:paraId="57D6A905" w14:textId="0BCD72CB" w:rsidR="00A10004" w:rsidRDefault="00A100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11F0B18" w14:textId="77777777" w:rsidR="00A10004" w:rsidRDefault="00A10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B6B6" w14:textId="77777777" w:rsidR="00D960B0" w:rsidRDefault="00D96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61686" w14:textId="77777777" w:rsidR="00A10004" w:rsidRDefault="00A10004" w:rsidP="00065623">
      <w:r>
        <w:separator/>
      </w:r>
    </w:p>
  </w:footnote>
  <w:footnote w:type="continuationSeparator" w:id="0">
    <w:p w14:paraId="6755AA8B" w14:textId="77777777" w:rsidR="00A10004" w:rsidRDefault="00A10004" w:rsidP="00065623">
      <w:r>
        <w:continuationSeparator/>
      </w:r>
    </w:p>
  </w:footnote>
  <w:footnote w:type="continuationNotice" w:id="1">
    <w:p w14:paraId="30B9F934" w14:textId="77777777" w:rsidR="00A10004" w:rsidRDefault="00A10004"/>
  </w:footnote>
  <w:footnote w:id="2">
    <w:p w14:paraId="3062CE8B" w14:textId="77777777" w:rsidR="00A10004" w:rsidRDefault="00A10004" w:rsidP="0088629E">
      <w:pPr>
        <w:pStyle w:val="FootnoteText"/>
      </w:pPr>
      <w:r>
        <w:rPr>
          <w:rStyle w:val="FootnoteReference"/>
        </w:rPr>
        <w:footnoteRef/>
      </w:r>
      <w:r>
        <w:t xml:space="preserve"> </w:t>
      </w:r>
      <w:r w:rsidRPr="00331534">
        <w:t xml:space="preserve">Elias WJ, Lipsman N, Ondo WG, </w:t>
      </w:r>
      <w:proofErr w:type="spellStart"/>
      <w:r w:rsidRPr="00331534">
        <w:t>Ghanouni</w:t>
      </w:r>
      <w:proofErr w:type="spellEnd"/>
      <w:r w:rsidRPr="00331534">
        <w:t xml:space="preserve"> P, Kim YG, Lee W</w:t>
      </w:r>
      <w:r>
        <w:t xml:space="preserve"> et al. (2016)</w:t>
      </w:r>
      <w:r w:rsidRPr="00331534">
        <w:t xml:space="preserve">. A </w:t>
      </w:r>
      <w:r>
        <w:t>r</w:t>
      </w:r>
      <w:r w:rsidRPr="00331534">
        <w:t xml:space="preserve">andomized </w:t>
      </w:r>
      <w:r>
        <w:t>t</w:t>
      </w:r>
      <w:r w:rsidRPr="00331534">
        <w:t xml:space="preserve">rial of </w:t>
      </w:r>
      <w:r>
        <w:t>f</w:t>
      </w:r>
      <w:r w:rsidRPr="00331534">
        <w:t xml:space="preserve">ocused </w:t>
      </w:r>
      <w:r>
        <w:t>u</w:t>
      </w:r>
      <w:r w:rsidRPr="00331534">
        <w:t xml:space="preserve">ltrasound </w:t>
      </w:r>
      <w:r>
        <w:t>t</w:t>
      </w:r>
      <w:r w:rsidRPr="00331534">
        <w:t xml:space="preserve">halamotomy for </w:t>
      </w:r>
      <w:r>
        <w:t>e</w:t>
      </w:r>
      <w:r w:rsidRPr="00331534">
        <w:t xml:space="preserve">ssential </w:t>
      </w:r>
      <w:r>
        <w:t>t</w:t>
      </w:r>
      <w:r w:rsidRPr="00331534">
        <w:t xml:space="preserve">remor. </w:t>
      </w:r>
      <w:r w:rsidRPr="00331534">
        <w:rPr>
          <w:i/>
          <w:iCs/>
        </w:rPr>
        <w:t>N Engl J Med</w:t>
      </w:r>
      <w:r>
        <w:t xml:space="preserve">, </w:t>
      </w:r>
      <w:r w:rsidRPr="00331534">
        <w:rPr>
          <w:b/>
          <w:bCs/>
        </w:rPr>
        <w:t>375</w:t>
      </w:r>
      <w:r w:rsidRPr="00331534">
        <w:t>(8):730</w:t>
      </w:r>
      <w:r>
        <w:t>–73</w:t>
      </w:r>
      <w:r w:rsidRPr="00331534">
        <w:t>9.</w:t>
      </w:r>
    </w:p>
  </w:footnote>
  <w:footnote w:id="3">
    <w:p w14:paraId="599A726D" w14:textId="77777777" w:rsidR="00A10004" w:rsidRPr="00A42399" w:rsidRDefault="00A10004" w:rsidP="0088629E">
      <w:pPr>
        <w:pStyle w:val="FootnoteText"/>
        <w:rPr>
          <w:lang w:val="it-IT"/>
        </w:rPr>
      </w:pPr>
      <w:r>
        <w:rPr>
          <w:rStyle w:val="FootnoteReference"/>
        </w:rPr>
        <w:footnoteRef/>
      </w:r>
      <w:r>
        <w:t xml:space="preserve"> </w:t>
      </w:r>
      <w:r w:rsidRPr="00001BEA">
        <w:t xml:space="preserve">Cosgrove, GR (2021). Magnetic </w:t>
      </w:r>
      <w:r>
        <w:t>r</w:t>
      </w:r>
      <w:r w:rsidRPr="00001BEA">
        <w:t xml:space="preserve">esonance </w:t>
      </w:r>
      <w:r>
        <w:t>g</w:t>
      </w:r>
      <w:r w:rsidRPr="00001BEA">
        <w:t xml:space="preserve">uided </w:t>
      </w:r>
      <w:r>
        <w:t>f</w:t>
      </w:r>
      <w:r w:rsidRPr="00001BEA">
        <w:t xml:space="preserve">ocused </w:t>
      </w:r>
      <w:r>
        <w:t>u</w:t>
      </w:r>
      <w:r w:rsidRPr="00001BEA">
        <w:t xml:space="preserve">ltrasound </w:t>
      </w:r>
      <w:r>
        <w:t>t</w:t>
      </w:r>
      <w:r w:rsidRPr="00001BEA">
        <w:t xml:space="preserve">halamotomy </w:t>
      </w:r>
      <w:r>
        <w:t>f</w:t>
      </w:r>
      <w:r w:rsidRPr="00001BEA">
        <w:t xml:space="preserve">or </w:t>
      </w:r>
      <w:r>
        <w:t>e</w:t>
      </w:r>
      <w:r w:rsidRPr="00001BEA">
        <w:t xml:space="preserve">ssential </w:t>
      </w:r>
      <w:r>
        <w:t>t</w:t>
      </w:r>
      <w:r w:rsidRPr="00001BEA">
        <w:t xml:space="preserve">remor – </w:t>
      </w:r>
      <w:r>
        <w:t>l</w:t>
      </w:r>
      <w:r w:rsidRPr="00001BEA">
        <w:t xml:space="preserve">ong </w:t>
      </w:r>
      <w:r>
        <w:t>t</w:t>
      </w:r>
      <w:r w:rsidRPr="00001BEA">
        <w:t xml:space="preserve">erm </w:t>
      </w:r>
      <w:r>
        <w:t>f</w:t>
      </w:r>
      <w:r w:rsidRPr="00001BEA">
        <w:t>ollow-</w:t>
      </w:r>
      <w:r>
        <w:t>u</w:t>
      </w:r>
      <w:r w:rsidRPr="00001BEA">
        <w:t xml:space="preserve">p </w:t>
      </w:r>
      <w:r>
        <w:t>r</w:t>
      </w:r>
      <w:r w:rsidRPr="00001BEA">
        <w:t xml:space="preserve">esults. </w:t>
      </w:r>
      <w:r w:rsidRPr="00A42399">
        <w:rPr>
          <w:lang w:val="it-IT"/>
        </w:rPr>
        <w:t>Not published.</w:t>
      </w:r>
    </w:p>
  </w:footnote>
  <w:footnote w:id="4">
    <w:p w14:paraId="1524A7D3" w14:textId="77777777" w:rsidR="00A10004" w:rsidRDefault="00A10004" w:rsidP="0088629E">
      <w:pPr>
        <w:pStyle w:val="FootnoteText"/>
      </w:pPr>
      <w:r>
        <w:rPr>
          <w:rStyle w:val="FootnoteReference"/>
        </w:rPr>
        <w:footnoteRef/>
      </w:r>
      <w:r w:rsidRPr="00001BEA">
        <w:rPr>
          <w:lang w:val="it-IT"/>
        </w:rPr>
        <w:t xml:space="preserve"> Giordano M, Caccavella VM, Zaed I, Foglia Manzillo L, Montano N, Olivi A</w:t>
      </w:r>
      <w:r>
        <w:rPr>
          <w:lang w:val="it-IT"/>
        </w:rPr>
        <w:t xml:space="preserve"> et al</w:t>
      </w:r>
      <w:r w:rsidRPr="00001BEA">
        <w:rPr>
          <w:lang w:val="it-IT"/>
        </w:rPr>
        <w:t>.</w:t>
      </w:r>
      <w:r>
        <w:rPr>
          <w:lang w:val="it-IT"/>
        </w:rPr>
        <w:t xml:space="preserve"> </w:t>
      </w:r>
      <w:r w:rsidRPr="00001BEA">
        <w:t>(2020)</w:t>
      </w:r>
      <w:r>
        <w:t>.</w:t>
      </w:r>
      <w:r w:rsidRPr="00001BEA">
        <w:t xml:space="preserve"> Comparison between deep brain stimulation and magnetic resonance-guided focused ultrasound in the treatment of essential tremor: a systematic review and pooled analysis of functional outcomes. </w:t>
      </w:r>
      <w:r w:rsidRPr="00001BEA">
        <w:rPr>
          <w:i/>
          <w:iCs/>
        </w:rPr>
        <w:t xml:space="preserve">J Neurol </w:t>
      </w:r>
      <w:proofErr w:type="spellStart"/>
      <w:r w:rsidRPr="00001BEA">
        <w:rPr>
          <w:i/>
          <w:iCs/>
        </w:rPr>
        <w:t>Neurosurg</w:t>
      </w:r>
      <w:proofErr w:type="spellEnd"/>
      <w:r w:rsidRPr="00001BEA">
        <w:rPr>
          <w:i/>
          <w:iCs/>
        </w:rPr>
        <w:t xml:space="preserve"> Psychiatry</w:t>
      </w:r>
      <w:r>
        <w:t>,</w:t>
      </w:r>
      <w:r w:rsidRPr="00001BEA">
        <w:t xml:space="preserve"> </w:t>
      </w:r>
      <w:r w:rsidRPr="00001BEA">
        <w:rPr>
          <w:b/>
          <w:bCs/>
        </w:rPr>
        <w:t>91</w:t>
      </w:r>
      <w:r w:rsidRPr="00001BEA">
        <w:t>(12):1270</w:t>
      </w:r>
      <w:r>
        <w:t>–</w:t>
      </w:r>
      <w:r w:rsidRPr="00001BEA">
        <w:t>1278.</w:t>
      </w:r>
    </w:p>
  </w:footnote>
  <w:footnote w:id="5">
    <w:p w14:paraId="344D3644" w14:textId="264A7320" w:rsidR="00A10004" w:rsidRDefault="00A10004">
      <w:pPr>
        <w:pStyle w:val="FootnoteText"/>
      </w:pPr>
      <w:r>
        <w:rPr>
          <w:rStyle w:val="FootnoteReference"/>
        </w:rPr>
        <w:footnoteRef/>
      </w:r>
      <w:r>
        <w:t xml:space="preserve"> Tsuboi, T., et al. (2020). "Longitudinal follow-up with Vim thalamic deep brain stimulation for dystonic or essential tremor." Neurology 94(10): e1073-e1084.</w:t>
      </w:r>
    </w:p>
  </w:footnote>
  <w:footnote w:id="6">
    <w:p w14:paraId="030EA0FB" w14:textId="4DB1A9E6" w:rsidR="00A10004" w:rsidRDefault="00A10004" w:rsidP="007E744A">
      <w:pPr>
        <w:pStyle w:val="FootnoteText"/>
      </w:pPr>
      <w:r>
        <w:rPr>
          <w:rStyle w:val="FootnoteReference"/>
        </w:rPr>
        <w:footnoteRef/>
      </w:r>
      <w:r>
        <w:t xml:space="preserve"> NHS England, Clinical Commissioning Policy: Transcranial magnetic resonance guided focused ultrasound</w:t>
      </w:r>
    </w:p>
    <w:p w14:paraId="206C235E" w14:textId="649857C7" w:rsidR="00A10004" w:rsidRDefault="00A10004" w:rsidP="007E744A">
      <w:pPr>
        <w:pStyle w:val="FootnoteText"/>
      </w:pPr>
      <w:r>
        <w:t xml:space="preserve">thalamotomy for treatment of medication-refractory essential tremor (adults) [200803P] (URN 1904), November 2020, available at </w:t>
      </w:r>
      <w:r w:rsidRPr="007E744A">
        <w:t>https://www.england.nhs.uk/wp-content/uploads/2020/11/1904-transcranial-magnetic-resonance-guided-focused-ultrasound-thalamotomy-for-treatment-of-medication-refract.pdf</w:t>
      </w:r>
    </w:p>
  </w:footnote>
  <w:footnote w:id="7">
    <w:p w14:paraId="10BB8154" w14:textId="4751659F" w:rsidR="00A10004" w:rsidRDefault="00A10004" w:rsidP="00D643A1">
      <w:pPr>
        <w:pStyle w:val="FootnoteText"/>
      </w:pPr>
      <w:r>
        <w:rPr>
          <w:rStyle w:val="FootnoteReference"/>
        </w:rPr>
        <w:footnoteRef/>
      </w:r>
      <w:r>
        <w:t xml:space="preserve"> </w:t>
      </w:r>
      <w:r w:rsidRPr="0021332C">
        <w:t xml:space="preserve">Huss DS, Dallapiazza RF, Shah BB, Harrison MB, Diamond J, Elias WJ. Functional assessment and quality of life in essential tremor with bilateral or unilateral DBS and focused ultrasound thalamotomy. Mov </w:t>
      </w:r>
      <w:proofErr w:type="spellStart"/>
      <w:r w:rsidRPr="0021332C">
        <w:t>Disord</w:t>
      </w:r>
      <w:proofErr w:type="spellEnd"/>
      <w:r w:rsidRPr="0021332C">
        <w:t xml:space="preserve">. 2015 Dec;30(14):1937-43. </w:t>
      </w:r>
    </w:p>
  </w:footnote>
  <w:footnote w:id="8">
    <w:p w14:paraId="045D330F" w14:textId="45115F1B" w:rsidR="00A10004" w:rsidRDefault="00A10004" w:rsidP="00D643A1">
      <w:pPr>
        <w:pStyle w:val="FootnoteText"/>
      </w:pPr>
      <w:r>
        <w:rPr>
          <w:rStyle w:val="FootnoteReference"/>
        </w:rPr>
        <w:footnoteRef/>
      </w:r>
      <w:r>
        <w:t xml:space="preserve"> </w:t>
      </w:r>
      <w:r w:rsidRPr="0021332C">
        <w:t xml:space="preserve">Kim M, Jung NY, Park CK, Chang WS, Jung HH, Chang JW. Comparative Evaluation of Magnetic Resonance-Guided Focused Ultrasound Surgery for Essential Tremor. </w:t>
      </w:r>
      <w:proofErr w:type="spellStart"/>
      <w:r w:rsidRPr="0021332C">
        <w:t>Stereotact</w:t>
      </w:r>
      <w:proofErr w:type="spellEnd"/>
      <w:r w:rsidRPr="0021332C">
        <w:t xml:space="preserve"> </w:t>
      </w:r>
      <w:proofErr w:type="spellStart"/>
      <w:r w:rsidRPr="0021332C">
        <w:t>Funct</w:t>
      </w:r>
      <w:proofErr w:type="spellEnd"/>
      <w:r w:rsidRPr="0021332C">
        <w:t xml:space="preserve"> </w:t>
      </w:r>
      <w:proofErr w:type="spellStart"/>
      <w:r w:rsidRPr="0021332C">
        <w:t>Neurosurg</w:t>
      </w:r>
      <w:proofErr w:type="spellEnd"/>
      <w:r w:rsidRPr="0021332C">
        <w:t xml:space="preserve">. 2017;95(4):279-286. </w:t>
      </w:r>
    </w:p>
  </w:footnote>
  <w:footnote w:id="9">
    <w:p w14:paraId="067C7B21" w14:textId="3D80471D" w:rsidR="00A10004" w:rsidRDefault="00A10004" w:rsidP="00D643A1">
      <w:pPr>
        <w:pStyle w:val="FootnoteText"/>
      </w:pPr>
      <w:r>
        <w:rPr>
          <w:rStyle w:val="FootnoteReference"/>
        </w:rPr>
        <w:footnoteRef/>
      </w:r>
      <w:r>
        <w:t xml:space="preserve"> </w:t>
      </w:r>
      <w:r w:rsidRPr="0021332C">
        <w:t xml:space="preserve">Langford BE, Ridley CJA, Beale RC, </w:t>
      </w:r>
      <w:proofErr w:type="spellStart"/>
      <w:r w:rsidRPr="0021332C">
        <w:t>Caseby</w:t>
      </w:r>
      <w:proofErr w:type="spellEnd"/>
      <w:r w:rsidRPr="0021332C">
        <w:t xml:space="preserve"> SCL, Marsh WJ, Richard L. Focused Ultrasound Thalamotomy and Other Interventions for Medication-Refractory Essential Tremor: An Indirect Comparison of Short-Term Impact on Health-Related Quality of Life. Value Health. 2018 Oct;21(10):1168-1175</w:t>
      </w:r>
      <w:r w:rsidRPr="006220DF">
        <w:t>.</w:t>
      </w:r>
    </w:p>
  </w:footnote>
  <w:footnote w:id="10">
    <w:p w14:paraId="7A9B6EBC" w14:textId="4679F0E7" w:rsidR="00A10004" w:rsidRDefault="00A10004">
      <w:pPr>
        <w:pStyle w:val="FootnoteText"/>
      </w:pPr>
      <w:r>
        <w:rPr>
          <w:rStyle w:val="FootnoteReference"/>
        </w:rPr>
        <w:footnoteRef/>
      </w:r>
      <w:r>
        <w:t xml:space="preserve"> </w:t>
      </w:r>
      <w:r w:rsidRPr="0021332C">
        <w:t xml:space="preserve">Abe K, </w:t>
      </w:r>
      <w:proofErr w:type="spellStart"/>
      <w:r w:rsidRPr="0021332C">
        <w:t>Horisawa</w:t>
      </w:r>
      <w:proofErr w:type="spellEnd"/>
      <w:r w:rsidRPr="0021332C">
        <w:t xml:space="preserve"> S, Yamaguchi T, Hori H, Yamada K, Kondo K, Furukawa H, </w:t>
      </w:r>
      <w:proofErr w:type="spellStart"/>
      <w:r w:rsidRPr="0021332C">
        <w:t>Kamada</w:t>
      </w:r>
      <w:proofErr w:type="spellEnd"/>
      <w:r w:rsidRPr="0021332C">
        <w:t xml:space="preserve"> H, </w:t>
      </w:r>
      <w:proofErr w:type="spellStart"/>
      <w:r w:rsidRPr="0021332C">
        <w:t>Kishima</w:t>
      </w:r>
      <w:proofErr w:type="spellEnd"/>
      <w:r w:rsidRPr="0021332C">
        <w:t xml:space="preserve"> H, </w:t>
      </w:r>
      <w:proofErr w:type="spellStart"/>
      <w:r w:rsidRPr="0021332C">
        <w:t>Oshino</w:t>
      </w:r>
      <w:proofErr w:type="spellEnd"/>
      <w:r w:rsidRPr="0021332C">
        <w:t xml:space="preserve"> S, Mochizuki H, </w:t>
      </w:r>
      <w:proofErr w:type="spellStart"/>
      <w:r w:rsidRPr="0021332C">
        <w:t>Kanemoto</w:t>
      </w:r>
      <w:proofErr w:type="spellEnd"/>
      <w:r w:rsidRPr="0021332C">
        <w:t xml:space="preserve"> M, </w:t>
      </w:r>
      <w:proofErr w:type="spellStart"/>
      <w:r w:rsidRPr="0021332C">
        <w:t>Hirabayashi</w:t>
      </w:r>
      <w:proofErr w:type="spellEnd"/>
      <w:r w:rsidRPr="0021332C">
        <w:t xml:space="preserve"> H, </w:t>
      </w:r>
      <w:proofErr w:type="spellStart"/>
      <w:r w:rsidRPr="0021332C">
        <w:t>Fukutome</w:t>
      </w:r>
      <w:proofErr w:type="spellEnd"/>
      <w:r w:rsidRPr="0021332C">
        <w:t xml:space="preserve"> K, Ohnishi H, </w:t>
      </w:r>
      <w:proofErr w:type="spellStart"/>
      <w:r w:rsidRPr="0021332C">
        <w:t>Igase</w:t>
      </w:r>
      <w:proofErr w:type="spellEnd"/>
      <w:r w:rsidRPr="0021332C">
        <w:t xml:space="preserve"> K, Matsubara I, Ohnishi T, </w:t>
      </w:r>
      <w:proofErr w:type="spellStart"/>
      <w:r w:rsidRPr="0021332C">
        <w:t>Sadamoto</w:t>
      </w:r>
      <w:proofErr w:type="spellEnd"/>
      <w:r w:rsidRPr="0021332C">
        <w:t xml:space="preserve"> K, Taira T. Focused Ultrasound Thalamotomy for Refractory Essential Tremor: A Japanese </w:t>
      </w:r>
      <w:proofErr w:type="spellStart"/>
      <w:r w:rsidRPr="0021332C">
        <w:t>Multicenter</w:t>
      </w:r>
      <w:proofErr w:type="spellEnd"/>
      <w:r w:rsidRPr="0021332C">
        <w:t xml:space="preserve"> Single-Arm Study. Neurosurgery. 2021 Mar 15;88(4):751-757. </w:t>
      </w:r>
    </w:p>
  </w:footnote>
  <w:footnote w:id="11">
    <w:p w14:paraId="33471B7A" w14:textId="72A39349" w:rsidR="00A10004" w:rsidRDefault="00A10004">
      <w:pPr>
        <w:pStyle w:val="FootnoteText"/>
      </w:pPr>
      <w:r>
        <w:rPr>
          <w:rStyle w:val="FootnoteReference"/>
        </w:rPr>
        <w:footnoteRef/>
      </w:r>
      <w:r>
        <w:t xml:space="preserve"> </w:t>
      </w:r>
      <w:r w:rsidRPr="0021332C">
        <w:t xml:space="preserve">Jameel A, </w:t>
      </w:r>
      <w:proofErr w:type="spellStart"/>
      <w:r w:rsidRPr="0021332C">
        <w:t>Gedroyc</w:t>
      </w:r>
      <w:proofErr w:type="spellEnd"/>
      <w:r w:rsidRPr="0021332C">
        <w:t xml:space="preserve"> W, Nandi D, Jones B, Kirmi O, Molloy S, Tai Y, Charlesworth G, Bain P. Double lesion </w:t>
      </w:r>
      <w:proofErr w:type="spellStart"/>
      <w:r w:rsidRPr="0021332C">
        <w:t>MRgFUS</w:t>
      </w:r>
      <w:proofErr w:type="spellEnd"/>
      <w:r w:rsidRPr="0021332C">
        <w:t xml:space="preserve"> treatment of essential tremor targeting the thalamus and posterior sub-thalamic area: preliminary study with </w:t>
      </w:r>
      <w:proofErr w:type="gramStart"/>
      <w:r w:rsidRPr="0021332C">
        <w:t>two year</w:t>
      </w:r>
      <w:proofErr w:type="gramEnd"/>
      <w:r w:rsidRPr="0021332C">
        <w:t xml:space="preserve"> follow-up. Br J </w:t>
      </w:r>
      <w:proofErr w:type="spellStart"/>
      <w:r w:rsidRPr="0021332C">
        <w:t>Neurosurg</w:t>
      </w:r>
      <w:proofErr w:type="spellEnd"/>
      <w:r w:rsidRPr="0021332C">
        <w:t xml:space="preserve">. 2021 Aug 12:1-10. </w:t>
      </w:r>
    </w:p>
  </w:footnote>
  <w:footnote w:id="12">
    <w:p w14:paraId="095EB5E4" w14:textId="085641B2" w:rsidR="00A10004" w:rsidRDefault="00A10004">
      <w:pPr>
        <w:pStyle w:val="FootnoteText"/>
      </w:pPr>
      <w:r>
        <w:rPr>
          <w:rStyle w:val="FootnoteReference"/>
        </w:rPr>
        <w:footnoteRef/>
      </w:r>
      <w:r>
        <w:t xml:space="preserve"> </w:t>
      </w:r>
      <w:r w:rsidRPr="0021332C">
        <w:t xml:space="preserve">Kim MJ, Park SH, Chang KW, Kim Y, Gao J, Kovalevsky M, </w:t>
      </w:r>
      <w:proofErr w:type="spellStart"/>
      <w:r w:rsidRPr="0021332C">
        <w:t>Rachmilevitch</w:t>
      </w:r>
      <w:proofErr w:type="spellEnd"/>
      <w:r w:rsidRPr="0021332C">
        <w:t xml:space="preserve"> I, </w:t>
      </w:r>
      <w:proofErr w:type="spellStart"/>
      <w:r w:rsidRPr="0021332C">
        <w:t>Zadicario</w:t>
      </w:r>
      <w:proofErr w:type="spellEnd"/>
      <w:r w:rsidRPr="0021332C">
        <w:t xml:space="preserve"> E, Chang WS, Jung HH, Chang JW. Technical and operative factors affecting magnetic resonance imaging-guided focused ultrasound thalamotomy for essential tremor: experience from 250 treatments. J </w:t>
      </w:r>
      <w:proofErr w:type="spellStart"/>
      <w:r w:rsidRPr="0021332C">
        <w:t>Neurosurg</w:t>
      </w:r>
      <w:proofErr w:type="spellEnd"/>
      <w:r w:rsidRPr="0021332C">
        <w:t>. 2021 May 21:1-</w:t>
      </w:r>
      <w:proofErr w:type="gramStart"/>
      <w:r w:rsidRPr="0021332C">
        <w:t>9.</w:t>
      </w:r>
      <w:r>
        <w:t>.</w:t>
      </w:r>
      <w:proofErr w:type="gramEnd"/>
    </w:p>
  </w:footnote>
  <w:footnote w:id="13">
    <w:p w14:paraId="78844840" w14:textId="0B8F4626" w:rsidR="00A10004" w:rsidRDefault="00A10004">
      <w:pPr>
        <w:pStyle w:val="FootnoteText"/>
      </w:pPr>
      <w:r>
        <w:rPr>
          <w:rStyle w:val="FootnoteReference"/>
        </w:rPr>
        <w:footnoteRef/>
      </w:r>
      <w:r>
        <w:t xml:space="preserve"> </w:t>
      </w:r>
      <w:proofErr w:type="spellStart"/>
      <w:r w:rsidRPr="0021332C">
        <w:t>Fukutome</w:t>
      </w:r>
      <w:proofErr w:type="spellEnd"/>
      <w:r w:rsidRPr="0021332C">
        <w:t xml:space="preserve"> K, Kuga Y, Ohnishi H, Hirabayashi H, Nakase H. What factors impact the clinical outcome of magnetic resonance imaging-guided focused ultrasound thalamotomy for essential tremor? J </w:t>
      </w:r>
      <w:proofErr w:type="spellStart"/>
      <w:r w:rsidRPr="0021332C">
        <w:t>Neurosurg</w:t>
      </w:r>
      <w:proofErr w:type="spellEnd"/>
      <w:r w:rsidRPr="0021332C">
        <w:t xml:space="preserve">. 2020 May 1;134(5):1618-1623. </w:t>
      </w:r>
    </w:p>
  </w:footnote>
  <w:footnote w:id="14">
    <w:p w14:paraId="1E8E43CA" w14:textId="77A50826" w:rsidR="00A10004" w:rsidRDefault="00A10004">
      <w:pPr>
        <w:pStyle w:val="FootnoteText"/>
      </w:pPr>
      <w:r>
        <w:rPr>
          <w:rStyle w:val="FootnoteReference"/>
        </w:rPr>
        <w:footnoteRef/>
      </w:r>
      <w:r>
        <w:t xml:space="preserve"> </w:t>
      </w:r>
      <w:r w:rsidRPr="0021332C">
        <w:t xml:space="preserve">Wu P, Lin W, Li KH, Lai HC, Lee MT, Tsai KW, Chiu PY, Chang WC, Wei CY, Taira T. Focused Ultrasound Thalamotomy for the Treatment of Essential Tremor: A 2-Year Outcome Study of Chinese People. Front Aging </w:t>
      </w:r>
      <w:proofErr w:type="spellStart"/>
      <w:r w:rsidRPr="0021332C">
        <w:t>Neurosci</w:t>
      </w:r>
      <w:proofErr w:type="spellEnd"/>
      <w:r w:rsidRPr="0021332C">
        <w:t xml:space="preserve">. 2021 Jul </w:t>
      </w:r>
      <w:proofErr w:type="gramStart"/>
      <w:r w:rsidRPr="0021332C">
        <w:t>14;13:697029</w:t>
      </w:r>
      <w:proofErr w:type="gramEnd"/>
      <w:r w:rsidRPr="006A5746">
        <w:t>.</w:t>
      </w:r>
    </w:p>
  </w:footnote>
  <w:footnote w:id="15">
    <w:p w14:paraId="5819C798" w14:textId="72AB9F57" w:rsidR="00A10004" w:rsidRDefault="00A10004" w:rsidP="006A5746">
      <w:pPr>
        <w:pStyle w:val="FootnoteText"/>
      </w:pPr>
      <w:r>
        <w:rPr>
          <w:rStyle w:val="FootnoteReference"/>
        </w:rPr>
        <w:footnoteRef/>
      </w:r>
      <w:r>
        <w:t xml:space="preserve"> </w:t>
      </w:r>
      <w:r w:rsidRPr="0021332C">
        <w:t xml:space="preserve">Giordano M, </w:t>
      </w:r>
      <w:proofErr w:type="spellStart"/>
      <w:r w:rsidRPr="0021332C">
        <w:t>Caccavella</w:t>
      </w:r>
      <w:proofErr w:type="spellEnd"/>
      <w:r w:rsidRPr="0021332C">
        <w:t xml:space="preserve"> VM, </w:t>
      </w:r>
      <w:proofErr w:type="spellStart"/>
      <w:r w:rsidRPr="0021332C">
        <w:t>Zaed</w:t>
      </w:r>
      <w:proofErr w:type="spellEnd"/>
      <w:r w:rsidRPr="0021332C">
        <w:t xml:space="preserve"> I, </w:t>
      </w:r>
      <w:proofErr w:type="spellStart"/>
      <w:r w:rsidRPr="0021332C">
        <w:t>Foglia</w:t>
      </w:r>
      <w:proofErr w:type="spellEnd"/>
      <w:r w:rsidRPr="0021332C">
        <w:t xml:space="preserve"> </w:t>
      </w:r>
      <w:proofErr w:type="spellStart"/>
      <w:r w:rsidRPr="0021332C">
        <w:t>Manzillo</w:t>
      </w:r>
      <w:proofErr w:type="spellEnd"/>
      <w:r w:rsidRPr="0021332C">
        <w:t xml:space="preserve"> L, Montano N, Olivi A, Polli FM. Comparison between deep brain stimulation and magnetic resonance-guided focused ultrasound in the treatment of essential tremor: a systematic review and pooled analysis of functional outcomes. J Neurol </w:t>
      </w:r>
      <w:proofErr w:type="spellStart"/>
      <w:r w:rsidRPr="0021332C">
        <w:t>Neurosurg</w:t>
      </w:r>
      <w:proofErr w:type="spellEnd"/>
      <w:r w:rsidRPr="0021332C">
        <w:t xml:space="preserve"> Psychiatry. 2020 Dec;91(12):1270-1278. </w:t>
      </w:r>
    </w:p>
  </w:footnote>
  <w:footnote w:id="16">
    <w:p w14:paraId="74841599" w14:textId="2F001430" w:rsidR="00A10004" w:rsidRDefault="00A10004">
      <w:pPr>
        <w:pStyle w:val="FootnoteText"/>
      </w:pPr>
      <w:r>
        <w:rPr>
          <w:rStyle w:val="FootnoteReference"/>
        </w:rPr>
        <w:footnoteRef/>
      </w:r>
      <w:r>
        <w:t xml:space="preserve"> </w:t>
      </w:r>
      <w:r w:rsidRPr="0021332C">
        <w:t xml:space="preserve">Elias WJ, Huss D, Voss T, Loomba J, Khaled M, </w:t>
      </w:r>
      <w:proofErr w:type="spellStart"/>
      <w:r w:rsidRPr="0021332C">
        <w:t>Zadicario</w:t>
      </w:r>
      <w:proofErr w:type="spellEnd"/>
      <w:r w:rsidRPr="0021332C">
        <w:t xml:space="preserve"> E, </w:t>
      </w:r>
      <w:proofErr w:type="spellStart"/>
      <w:r w:rsidRPr="0021332C">
        <w:t>Frysinger</w:t>
      </w:r>
      <w:proofErr w:type="spellEnd"/>
      <w:r w:rsidRPr="0021332C">
        <w:t xml:space="preserve"> RC, Sperling SA, Wylie S, Monteith SJ, </w:t>
      </w:r>
      <w:proofErr w:type="spellStart"/>
      <w:r w:rsidRPr="0021332C">
        <w:t>Druzgal</w:t>
      </w:r>
      <w:proofErr w:type="spellEnd"/>
      <w:r w:rsidRPr="0021332C">
        <w:t xml:space="preserve"> J, Shah BB, Harrison M, Wintermark M. A pilot study of focused ultrasound thalamotomy for essential tremor. N Engl J Med. 2013 Aug 15;369(7):640-8. </w:t>
      </w:r>
    </w:p>
  </w:footnote>
  <w:footnote w:id="17">
    <w:p w14:paraId="3C873A39" w14:textId="48E9F599" w:rsidR="00A10004" w:rsidRDefault="00A10004">
      <w:pPr>
        <w:pStyle w:val="FootnoteText"/>
      </w:pPr>
      <w:r>
        <w:rPr>
          <w:rStyle w:val="FootnoteReference"/>
        </w:rPr>
        <w:footnoteRef/>
      </w:r>
      <w:r>
        <w:t xml:space="preserve"> </w:t>
      </w:r>
      <w:r w:rsidRPr="0021332C">
        <w:t xml:space="preserve">Elias WJ, Lipsman N, Ondo WG, </w:t>
      </w:r>
      <w:proofErr w:type="spellStart"/>
      <w:r w:rsidRPr="0021332C">
        <w:t>Ghanouni</w:t>
      </w:r>
      <w:proofErr w:type="spellEnd"/>
      <w:r w:rsidRPr="0021332C">
        <w:t xml:space="preserve"> P, Kim YG, Lee W, Schwartz M, Hynynen K, Lozano AM, Shah BB, Huss D, Dallapiazza RF, Gwinn R, Witt J, Ro S, Eisenberg HM, Fishman PS, Gandhi D, Halpern CH, Chuang R, Butts Pauly K, Tierney TS, Hayes MT, Cosgrove GR, Yamaguchi T, Abe K, Taira T, Chang JW. A Randomized Trial of Focused Ultrasound Thalamotomy for Essential Tremor. N Engl J Med. 2016 Aug 25;375(8):730-9. </w:t>
      </w:r>
    </w:p>
  </w:footnote>
  <w:footnote w:id="18">
    <w:p w14:paraId="3C922DA3" w14:textId="2117FCE3" w:rsidR="00A10004" w:rsidRDefault="00A10004">
      <w:pPr>
        <w:pStyle w:val="FootnoteText"/>
      </w:pPr>
      <w:r>
        <w:rPr>
          <w:rStyle w:val="FootnoteReference"/>
        </w:rPr>
        <w:footnoteRef/>
      </w:r>
      <w:r>
        <w:t xml:space="preserve"> </w:t>
      </w:r>
      <w:r w:rsidRPr="0021332C">
        <w:t xml:space="preserve">Krishna V, Sammartino F, Cosgrove R, </w:t>
      </w:r>
      <w:proofErr w:type="spellStart"/>
      <w:r w:rsidRPr="0021332C">
        <w:t>Ghanouni</w:t>
      </w:r>
      <w:proofErr w:type="spellEnd"/>
      <w:r w:rsidRPr="0021332C">
        <w:t xml:space="preserve"> P, Schwartz M, Gwinn R, Eisenberg H, Fishman P, Chang JW, Taira T, </w:t>
      </w:r>
      <w:proofErr w:type="spellStart"/>
      <w:r w:rsidRPr="0021332C">
        <w:t>Kaplitt</w:t>
      </w:r>
      <w:proofErr w:type="spellEnd"/>
      <w:r w:rsidRPr="0021332C">
        <w:t xml:space="preserve"> M, </w:t>
      </w:r>
      <w:proofErr w:type="spellStart"/>
      <w:r w:rsidRPr="0021332C">
        <w:t>Rezai</w:t>
      </w:r>
      <w:proofErr w:type="spellEnd"/>
      <w:r w:rsidRPr="0021332C">
        <w:t xml:space="preserve"> A, </w:t>
      </w:r>
      <w:proofErr w:type="spellStart"/>
      <w:r w:rsidRPr="0021332C">
        <w:t>Rumià</w:t>
      </w:r>
      <w:proofErr w:type="spellEnd"/>
      <w:r w:rsidRPr="0021332C">
        <w:t xml:space="preserve"> J, </w:t>
      </w:r>
      <w:proofErr w:type="spellStart"/>
      <w:r w:rsidRPr="0021332C">
        <w:t>Gedroyc</w:t>
      </w:r>
      <w:proofErr w:type="spellEnd"/>
      <w:r w:rsidRPr="0021332C">
        <w:t xml:space="preserve"> W, </w:t>
      </w:r>
      <w:proofErr w:type="spellStart"/>
      <w:r w:rsidRPr="0021332C">
        <w:t>Igase</w:t>
      </w:r>
      <w:proofErr w:type="spellEnd"/>
      <w:r w:rsidRPr="0021332C">
        <w:t xml:space="preserve"> K, </w:t>
      </w:r>
      <w:proofErr w:type="spellStart"/>
      <w:r w:rsidRPr="0021332C">
        <w:t>Kishima</w:t>
      </w:r>
      <w:proofErr w:type="spellEnd"/>
      <w:r w:rsidRPr="0021332C">
        <w:t xml:space="preserve"> H, Yamada K, Ohnishi H, Halpern C. Predictors of Outcomes After Focused Ultrasound Thalamotomy. Neurosurgery. 2020 Aug 1;87(2):229-237. </w:t>
      </w:r>
    </w:p>
  </w:footnote>
  <w:footnote w:id="19">
    <w:p w14:paraId="33D2B6B5" w14:textId="081D40A3" w:rsidR="00A10004" w:rsidRDefault="00A10004">
      <w:pPr>
        <w:pStyle w:val="FootnoteText"/>
      </w:pPr>
      <w:r>
        <w:rPr>
          <w:rStyle w:val="FootnoteReference"/>
        </w:rPr>
        <w:footnoteRef/>
      </w:r>
      <w:r>
        <w:t xml:space="preserve"> </w:t>
      </w:r>
      <w:r w:rsidRPr="0021332C">
        <w:t xml:space="preserve">Sinai A, Nassar M, Eran A, Constantinescu M, </w:t>
      </w:r>
      <w:proofErr w:type="spellStart"/>
      <w:r w:rsidRPr="0021332C">
        <w:t>Zaaroor</w:t>
      </w:r>
      <w:proofErr w:type="spellEnd"/>
      <w:r w:rsidRPr="0021332C">
        <w:t xml:space="preserve"> M, Sprecher E, Schlesinger I. Magnetic resonance-guided focused ultrasound thalamotomy for essential tremor: a 5-year single-</w:t>
      </w:r>
      <w:proofErr w:type="spellStart"/>
      <w:r w:rsidRPr="0021332C">
        <w:t>center</w:t>
      </w:r>
      <w:proofErr w:type="spellEnd"/>
      <w:r w:rsidRPr="0021332C">
        <w:t xml:space="preserve"> experience. J </w:t>
      </w:r>
      <w:proofErr w:type="spellStart"/>
      <w:r w:rsidRPr="0021332C">
        <w:t>Neurosurg</w:t>
      </w:r>
      <w:proofErr w:type="spellEnd"/>
      <w:r w:rsidRPr="0021332C">
        <w:t>. 2019 Jul 5:1-8.</w:t>
      </w:r>
    </w:p>
  </w:footnote>
  <w:footnote w:id="20">
    <w:p w14:paraId="4CEBD9EF" w14:textId="33F6DCD1" w:rsidR="00A10004" w:rsidRDefault="00A10004">
      <w:pPr>
        <w:pStyle w:val="FootnoteText"/>
      </w:pPr>
      <w:r>
        <w:rPr>
          <w:rStyle w:val="FootnoteReference"/>
        </w:rPr>
        <w:footnoteRef/>
      </w:r>
      <w:r>
        <w:t xml:space="preserve"> </w:t>
      </w:r>
      <w:proofErr w:type="spellStart"/>
      <w:r w:rsidRPr="0021332C">
        <w:t>Wharen</w:t>
      </w:r>
      <w:proofErr w:type="spellEnd"/>
      <w:r w:rsidRPr="0021332C">
        <w:t xml:space="preserve"> RE Jr, Okun MS, Guthrie BL, </w:t>
      </w:r>
      <w:proofErr w:type="spellStart"/>
      <w:r w:rsidRPr="0021332C">
        <w:t>Uitti</w:t>
      </w:r>
      <w:proofErr w:type="spellEnd"/>
      <w:r w:rsidRPr="0021332C">
        <w:t xml:space="preserve"> RJ, Larson P, Foote K, Walker H, Marshall FJ, Schwalb J, Ford B, Jankovic J, Simpson R, </w:t>
      </w:r>
      <w:proofErr w:type="spellStart"/>
      <w:r w:rsidRPr="0021332C">
        <w:t>Dashtipour</w:t>
      </w:r>
      <w:proofErr w:type="spellEnd"/>
      <w:r w:rsidRPr="0021332C">
        <w:t xml:space="preserve"> K, </w:t>
      </w:r>
      <w:proofErr w:type="spellStart"/>
      <w:r w:rsidRPr="0021332C">
        <w:t>Phibbs</w:t>
      </w:r>
      <w:proofErr w:type="spellEnd"/>
      <w:r w:rsidRPr="0021332C">
        <w:t xml:space="preserve"> F, Neimat JS, Stewart RM, Peichel D, Pahwa R, Ostrem JL; SJM DBS ET Study Group. Thalamic DBS with a constant-current device in essential tremor: A controlled clinical trial. Parkinsonism </w:t>
      </w:r>
      <w:proofErr w:type="spellStart"/>
      <w:r w:rsidRPr="0021332C">
        <w:t>Relat</w:t>
      </w:r>
      <w:proofErr w:type="spellEnd"/>
      <w:r w:rsidRPr="0021332C">
        <w:t xml:space="preserve"> </w:t>
      </w:r>
      <w:proofErr w:type="spellStart"/>
      <w:r w:rsidRPr="0021332C">
        <w:t>Disord</w:t>
      </w:r>
      <w:proofErr w:type="spellEnd"/>
      <w:r w:rsidRPr="0021332C">
        <w:t xml:space="preserve">. 2017 </w:t>
      </w:r>
      <w:proofErr w:type="gramStart"/>
      <w:r w:rsidRPr="0021332C">
        <w:t>Jul;40:18</w:t>
      </w:r>
      <w:proofErr w:type="gramEnd"/>
      <w:r w:rsidRPr="0021332C">
        <w:t>-26</w:t>
      </w:r>
      <w:r>
        <w:t>.</w:t>
      </w:r>
    </w:p>
  </w:footnote>
  <w:footnote w:id="21">
    <w:p w14:paraId="378FC996" w14:textId="52D53B67" w:rsidR="00A10004" w:rsidRDefault="00A10004">
      <w:pPr>
        <w:pStyle w:val="FootnoteText"/>
      </w:pPr>
      <w:r>
        <w:rPr>
          <w:rStyle w:val="FootnoteReference"/>
        </w:rPr>
        <w:footnoteRef/>
      </w:r>
      <w:r>
        <w:t xml:space="preserve"> </w:t>
      </w:r>
      <w:r w:rsidRPr="003053BD">
        <w:t>Cosgrove, G. R. (2021). Magnetic Resonance Guided Focused Ultrasound Thalamotomy For Essential Tremor – Long Term Follow-Up Results. Not published</w:t>
      </w:r>
    </w:p>
  </w:footnote>
  <w:footnote w:id="22">
    <w:p w14:paraId="0336FC1E" w14:textId="2E7021B1" w:rsidR="00A10004" w:rsidRDefault="00A10004">
      <w:pPr>
        <w:pStyle w:val="FootnoteText"/>
      </w:pPr>
      <w:r>
        <w:rPr>
          <w:rStyle w:val="FootnoteReference"/>
        </w:rPr>
        <w:footnoteRef/>
      </w:r>
      <w:r>
        <w:t xml:space="preserve"> </w:t>
      </w:r>
      <w:r w:rsidRPr="0021332C">
        <w:t xml:space="preserve">Ravikumar VK, Parker JJ, Hornbeck TS, Santini VE, Pauly KB, </w:t>
      </w:r>
      <w:proofErr w:type="spellStart"/>
      <w:r w:rsidRPr="0021332C">
        <w:t>Wintermark</w:t>
      </w:r>
      <w:proofErr w:type="spellEnd"/>
      <w:r w:rsidRPr="0021332C">
        <w:t xml:space="preserve"> M, </w:t>
      </w:r>
      <w:proofErr w:type="spellStart"/>
      <w:r w:rsidRPr="0021332C">
        <w:t>Ghanouni</w:t>
      </w:r>
      <w:proofErr w:type="spellEnd"/>
      <w:r w:rsidRPr="0021332C">
        <w:t xml:space="preserve"> P, Stein SC, Halpern CH. Cost-effectiveness of focused ultrasound, radiosurgery, and DBS for essential tremor. Mov </w:t>
      </w:r>
      <w:proofErr w:type="spellStart"/>
      <w:r w:rsidRPr="0021332C">
        <w:t>Disord</w:t>
      </w:r>
      <w:proofErr w:type="spellEnd"/>
      <w:r w:rsidRPr="0021332C">
        <w:t>. 2017 Aug;32(8):1165-1173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BAF2" w14:textId="77777777" w:rsidR="00D960B0" w:rsidRDefault="00D96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0A3AC" w14:textId="77777777" w:rsidR="00D960B0" w:rsidRDefault="00D96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FB6A4" w14:textId="77777777" w:rsidR="00D960B0" w:rsidRDefault="00D96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E78"/>
    <w:multiLevelType w:val="hybridMultilevel"/>
    <w:tmpl w:val="063C77A6"/>
    <w:lvl w:ilvl="0" w:tplc="FE06ED30">
      <w:start w:val="2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23209"/>
    <w:multiLevelType w:val="hybridMultilevel"/>
    <w:tmpl w:val="795C3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C14B67"/>
    <w:multiLevelType w:val="hybridMultilevel"/>
    <w:tmpl w:val="682E0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152C7"/>
    <w:multiLevelType w:val="hybridMultilevel"/>
    <w:tmpl w:val="DF34606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24907155"/>
    <w:multiLevelType w:val="hybridMultilevel"/>
    <w:tmpl w:val="5F746A22"/>
    <w:lvl w:ilvl="0" w:tplc="38B4A9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807A7"/>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3716BA"/>
    <w:multiLevelType w:val="hybridMultilevel"/>
    <w:tmpl w:val="280E2490"/>
    <w:lvl w:ilvl="0" w:tplc="7D1ABA50">
      <w:start w:val="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725309"/>
    <w:multiLevelType w:val="hybridMultilevel"/>
    <w:tmpl w:val="A672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0E3514"/>
    <w:multiLevelType w:val="hybridMultilevel"/>
    <w:tmpl w:val="C364684C"/>
    <w:lvl w:ilvl="0" w:tplc="750007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58043D"/>
    <w:multiLevelType w:val="hybridMultilevel"/>
    <w:tmpl w:val="7E784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92CD4"/>
    <w:multiLevelType w:val="multilevel"/>
    <w:tmpl w:val="7ECE1C76"/>
    <w:lvl w:ilvl="0">
      <w:numFmt w:val="decimal"/>
      <w:pStyle w:val="Tablenotes"/>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EA03EDD"/>
    <w:multiLevelType w:val="hybridMultilevel"/>
    <w:tmpl w:val="A50A0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7" w15:restartNumberingAfterBreak="0">
    <w:nsid w:val="45F473A9"/>
    <w:multiLevelType w:val="hybridMultilevel"/>
    <w:tmpl w:val="BB80D428"/>
    <w:lvl w:ilvl="0" w:tplc="6A500F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1946F20"/>
    <w:multiLevelType w:val="hybridMultilevel"/>
    <w:tmpl w:val="F07EB8AC"/>
    <w:lvl w:ilvl="0" w:tplc="7D1ABA50">
      <w:start w:val="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6891D8A"/>
    <w:multiLevelType w:val="multilevel"/>
    <w:tmpl w:val="FEE071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387448"/>
    <w:multiLevelType w:val="multilevel"/>
    <w:tmpl w:val="B22A93B6"/>
    <w:numStyleLink w:val="Heading1a"/>
  </w:abstractNum>
  <w:abstractNum w:abstractNumId="2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C352DC"/>
    <w:multiLevelType w:val="hybridMultilevel"/>
    <w:tmpl w:val="EDC64F14"/>
    <w:lvl w:ilvl="0" w:tplc="3C4E0FD2">
      <w:start w:val="1"/>
      <w:numFmt w:val="bullet"/>
      <w:lvlText w:val="•"/>
      <w:lvlJc w:val="left"/>
      <w:pPr>
        <w:tabs>
          <w:tab w:val="num" w:pos="720"/>
        </w:tabs>
        <w:ind w:left="720" w:hanging="360"/>
      </w:pPr>
      <w:rPr>
        <w:rFonts w:ascii="Arial" w:hAnsi="Arial" w:hint="default"/>
      </w:rPr>
    </w:lvl>
    <w:lvl w:ilvl="1" w:tplc="54ACA7E0" w:tentative="1">
      <w:start w:val="1"/>
      <w:numFmt w:val="bullet"/>
      <w:lvlText w:val="•"/>
      <w:lvlJc w:val="left"/>
      <w:pPr>
        <w:tabs>
          <w:tab w:val="num" w:pos="1440"/>
        </w:tabs>
        <w:ind w:left="1440" w:hanging="360"/>
      </w:pPr>
      <w:rPr>
        <w:rFonts w:ascii="Arial" w:hAnsi="Arial" w:hint="default"/>
      </w:rPr>
    </w:lvl>
    <w:lvl w:ilvl="2" w:tplc="D5E072FE" w:tentative="1">
      <w:start w:val="1"/>
      <w:numFmt w:val="bullet"/>
      <w:lvlText w:val="•"/>
      <w:lvlJc w:val="left"/>
      <w:pPr>
        <w:tabs>
          <w:tab w:val="num" w:pos="2160"/>
        </w:tabs>
        <w:ind w:left="2160" w:hanging="360"/>
      </w:pPr>
      <w:rPr>
        <w:rFonts w:ascii="Arial" w:hAnsi="Arial" w:hint="default"/>
      </w:rPr>
    </w:lvl>
    <w:lvl w:ilvl="3" w:tplc="F170D708" w:tentative="1">
      <w:start w:val="1"/>
      <w:numFmt w:val="bullet"/>
      <w:lvlText w:val="•"/>
      <w:lvlJc w:val="left"/>
      <w:pPr>
        <w:tabs>
          <w:tab w:val="num" w:pos="2880"/>
        </w:tabs>
        <w:ind w:left="2880" w:hanging="360"/>
      </w:pPr>
      <w:rPr>
        <w:rFonts w:ascii="Arial" w:hAnsi="Arial" w:hint="default"/>
      </w:rPr>
    </w:lvl>
    <w:lvl w:ilvl="4" w:tplc="EA206D9E" w:tentative="1">
      <w:start w:val="1"/>
      <w:numFmt w:val="bullet"/>
      <w:lvlText w:val="•"/>
      <w:lvlJc w:val="left"/>
      <w:pPr>
        <w:tabs>
          <w:tab w:val="num" w:pos="3600"/>
        </w:tabs>
        <w:ind w:left="3600" w:hanging="360"/>
      </w:pPr>
      <w:rPr>
        <w:rFonts w:ascii="Arial" w:hAnsi="Arial" w:hint="default"/>
      </w:rPr>
    </w:lvl>
    <w:lvl w:ilvl="5" w:tplc="B5BEF160" w:tentative="1">
      <w:start w:val="1"/>
      <w:numFmt w:val="bullet"/>
      <w:lvlText w:val="•"/>
      <w:lvlJc w:val="left"/>
      <w:pPr>
        <w:tabs>
          <w:tab w:val="num" w:pos="4320"/>
        </w:tabs>
        <w:ind w:left="4320" w:hanging="360"/>
      </w:pPr>
      <w:rPr>
        <w:rFonts w:ascii="Arial" w:hAnsi="Arial" w:hint="default"/>
      </w:rPr>
    </w:lvl>
    <w:lvl w:ilvl="6" w:tplc="8C96DE24" w:tentative="1">
      <w:start w:val="1"/>
      <w:numFmt w:val="bullet"/>
      <w:lvlText w:val="•"/>
      <w:lvlJc w:val="left"/>
      <w:pPr>
        <w:tabs>
          <w:tab w:val="num" w:pos="5040"/>
        </w:tabs>
        <w:ind w:left="5040" w:hanging="360"/>
      </w:pPr>
      <w:rPr>
        <w:rFonts w:ascii="Arial" w:hAnsi="Arial" w:hint="default"/>
      </w:rPr>
    </w:lvl>
    <w:lvl w:ilvl="7" w:tplc="A5620A12" w:tentative="1">
      <w:start w:val="1"/>
      <w:numFmt w:val="bullet"/>
      <w:lvlText w:val="•"/>
      <w:lvlJc w:val="left"/>
      <w:pPr>
        <w:tabs>
          <w:tab w:val="num" w:pos="5760"/>
        </w:tabs>
        <w:ind w:left="5760" w:hanging="360"/>
      </w:pPr>
      <w:rPr>
        <w:rFonts w:ascii="Arial" w:hAnsi="Arial" w:hint="default"/>
      </w:rPr>
    </w:lvl>
    <w:lvl w:ilvl="8" w:tplc="C19863C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BA68DD"/>
    <w:multiLevelType w:val="hybridMultilevel"/>
    <w:tmpl w:val="5C7C8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9003DB"/>
    <w:multiLevelType w:val="hybridMultilevel"/>
    <w:tmpl w:val="0F242E1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68D1725B"/>
    <w:multiLevelType w:val="hybridMultilevel"/>
    <w:tmpl w:val="494E9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5D4E9A"/>
    <w:multiLevelType w:val="hybridMultilevel"/>
    <w:tmpl w:val="58563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8250FF"/>
    <w:multiLevelType w:val="hybridMultilevel"/>
    <w:tmpl w:val="E9526BA8"/>
    <w:lvl w:ilvl="0" w:tplc="AD227B84">
      <w:start w:val="12"/>
      <w:numFmt w:val="bullet"/>
      <w:lvlText w:val="-"/>
      <w:lvlJc w:val="left"/>
      <w:pPr>
        <w:ind w:left="720" w:hanging="360"/>
      </w:pPr>
      <w:rPr>
        <w:rFonts w:ascii="Tms Rmn" w:eastAsia="Times New Roman" w:hAnsi="Tms Rm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BD1678"/>
    <w:multiLevelType w:val="hybridMultilevel"/>
    <w:tmpl w:val="123ABC34"/>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750EE5"/>
    <w:multiLevelType w:val="hybridMultilevel"/>
    <w:tmpl w:val="32B83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E24436"/>
    <w:multiLevelType w:val="hybridMultilevel"/>
    <w:tmpl w:val="07FA3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8"/>
  </w:num>
  <w:num w:numId="4">
    <w:abstractNumId w:val="36"/>
  </w:num>
  <w:num w:numId="5">
    <w:abstractNumId w:val="25"/>
  </w:num>
  <w:num w:numId="6">
    <w:abstractNumId w:val="22"/>
  </w:num>
  <w:num w:numId="7">
    <w:abstractNumId w:val="16"/>
  </w:num>
  <w:num w:numId="8">
    <w:abstractNumId w:val="10"/>
  </w:num>
  <w:num w:numId="9">
    <w:abstractNumId w:val="28"/>
  </w:num>
  <w:num w:numId="10">
    <w:abstractNumId w:val="35"/>
  </w:num>
  <w:num w:numId="11">
    <w:abstractNumId w:val="9"/>
  </w:num>
  <w:num w:numId="12">
    <w:abstractNumId w:val="21"/>
  </w:num>
  <w:num w:numId="13">
    <w:abstractNumId w:val="17"/>
  </w:num>
  <w:num w:numId="14">
    <w:abstractNumId w:val="37"/>
  </w:num>
  <w:num w:numId="15">
    <w:abstractNumId w:val="29"/>
  </w:num>
  <w:num w:numId="16">
    <w:abstractNumId w:val="0"/>
  </w:num>
  <w:num w:numId="17">
    <w:abstractNumId w:val="7"/>
  </w:num>
  <w:num w:numId="18">
    <w:abstractNumId w:val="26"/>
  </w:num>
  <w:num w:numId="19">
    <w:abstractNumId w:val="30"/>
  </w:num>
  <w:num w:numId="20">
    <w:abstractNumId w:val="15"/>
  </w:num>
  <w:num w:numId="21">
    <w:abstractNumId w:val="3"/>
  </w:num>
  <w:num w:numId="22">
    <w:abstractNumId w:val="27"/>
  </w:num>
  <w:num w:numId="23">
    <w:abstractNumId w:val="20"/>
  </w:num>
  <w:num w:numId="24">
    <w:abstractNumId w:val="19"/>
  </w:num>
  <w:num w:numId="25">
    <w:abstractNumId w:val="8"/>
  </w:num>
  <w:num w:numId="26">
    <w:abstractNumId w:val="23"/>
  </w:num>
  <w:num w:numId="27">
    <w:abstractNumId w:val="5"/>
  </w:num>
  <w:num w:numId="28">
    <w:abstractNumId w:val="12"/>
  </w:num>
  <w:num w:numId="29">
    <w:abstractNumId w:val="33"/>
  </w:num>
  <w:num w:numId="30">
    <w:abstractNumId w:val="1"/>
  </w:num>
  <w:num w:numId="31">
    <w:abstractNumId w:val="13"/>
  </w:num>
  <w:num w:numId="32">
    <w:abstractNumId w:val="14"/>
  </w:num>
  <w:num w:numId="33">
    <w:abstractNumId w:val="31"/>
  </w:num>
  <w:num w:numId="34">
    <w:abstractNumId w:val="24"/>
  </w:num>
  <w:num w:numId="35">
    <w:abstractNumId w:val="32"/>
  </w:num>
  <w:num w:numId="36">
    <w:abstractNumId w:val="34"/>
  </w:num>
  <w:num w:numId="37">
    <w:abstractNumId w:val="11"/>
  </w:num>
  <w:num w:numId="3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1884"/>
    <w:rsid w:val="00001DAC"/>
    <w:rsid w:val="000036AF"/>
    <w:rsid w:val="00007158"/>
    <w:rsid w:val="0001042D"/>
    <w:rsid w:val="00014731"/>
    <w:rsid w:val="000160F4"/>
    <w:rsid w:val="000171A6"/>
    <w:rsid w:val="000213E9"/>
    <w:rsid w:val="00021DA2"/>
    <w:rsid w:val="000229A1"/>
    <w:rsid w:val="000268A1"/>
    <w:rsid w:val="0002791D"/>
    <w:rsid w:val="000318C4"/>
    <w:rsid w:val="00037017"/>
    <w:rsid w:val="00043A86"/>
    <w:rsid w:val="000455D2"/>
    <w:rsid w:val="00054151"/>
    <w:rsid w:val="0006073C"/>
    <w:rsid w:val="00060DDF"/>
    <w:rsid w:val="0006179C"/>
    <w:rsid w:val="000632EF"/>
    <w:rsid w:val="0006350E"/>
    <w:rsid w:val="00064E12"/>
    <w:rsid w:val="000655FB"/>
    <w:rsid w:val="00065623"/>
    <w:rsid w:val="00067DD6"/>
    <w:rsid w:val="00080086"/>
    <w:rsid w:val="00080A3D"/>
    <w:rsid w:val="000827F0"/>
    <w:rsid w:val="00083FA7"/>
    <w:rsid w:val="0008767E"/>
    <w:rsid w:val="00094BA6"/>
    <w:rsid w:val="00097590"/>
    <w:rsid w:val="000A63D3"/>
    <w:rsid w:val="000A6C6D"/>
    <w:rsid w:val="000A738E"/>
    <w:rsid w:val="000B1EFD"/>
    <w:rsid w:val="000B3D18"/>
    <w:rsid w:val="000C0297"/>
    <w:rsid w:val="000C29BF"/>
    <w:rsid w:val="000C6C1F"/>
    <w:rsid w:val="000D2812"/>
    <w:rsid w:val="000E053E"/>
    <w:rsid w:val="000E396B"/>
    <w:rsid w:val="000E3C10"/>
    <w:rsid w:val="000E6588"/>
    <w:rsid w:val="000F21FE"/>
    <w:rsid w:val="000F559E"/>
    <w:rsid w:val="000F5699"/>
    <w:rsid w:val="000F5E15"/>
    <w:rsid w:val="0010320F"/>
    <w:rsid w:val="00104710"/>
    <w:rsid w:val="00104996"/>
    <w:rsid w:val="001052C5"/>
    <w:rsid w:val="00105672"/>
    <w:rsid w:val="00107600"/>
    <w:rsid w:val="001109E1"/>
    <w:rsid w:val="00114251"/>
    <w:rsid w:val="001170D3"/>
    <w:rsid w:val="001218D2"/>
    <w:rsid w:val="0012346A"/>
    <w:rsid w:val="0013032B"/>
    <w:rsid w:val="0013112F"/>
    <w:rsid w:val="00135C31"/>
    <w:rsid w:val="00136257"/>
    <w:rsid w:val="00136277"/>
    <w:rsid w:val="00136969"/>
    <w:rsid w:val="00141CA1"/>
    <w:rsid w:val="0014545A"/>
    <w:rsid w:val="00145624"/>
    <w:rsid w:val="00145689"/>
    <w:rsid w:val="00146322"/>
    <w:rsid w:val="001538CF"/>
    <w:rsid w:val="00155BF4"/>
    <w:rsid w:val="0015635D"/>
    <w:rsid w:val="00156EF3"/>
    <w:rsid w:val="00157D30"/>
    <w:rsid w:val="00162474"/>
    <w:rsid w:val="00162BF7"/>
    <w:rsid w:val="00167C8A"/>
    <w:rsid w:val="0017079B"/>
    <w:rsid w:val="00171759"/>
    <w:rsid w:val="0017264F"/>
    <w:rsid w:val="00177CF3"/>
    <w:rsid w:val="00182325"/>
    <w:rsid w:val="0018654E"/>
    <w:rsid w:val="001921DF"/>
    <w:rsid w:val="001951EC"/>
    <w:rsid w:val="00196352"/>
    <w:rsid w:val="0019723D"/>
    <w:rsid w:val="001A669F"/>
    <w:rsid w:val="001B1DFA"/>
    <w:rsid w:val="001B53F8"/>
    <w:rsid w:val="001C0AB9"/>
    <w:rsid w:val="001C1475"/>
    <w:rsid w:val="001C4372"/>
    <w:rsid w:val="001C6308"/>
    <w:rsid w:val="001C7004"/>
    <w:rsid w:val="001C75D8"/>
    <w:rsid w:val="001D1331"/>
    <w:rsid w:val="001D1969"/>
    <w:rsid w:val="001D24A5"/>
    <w:rsid w:val="001D2A85"/>
    <w:rsid w:val="001D47FB"/>
    <w:rsid w:val="001D7B39"/>
    <w:rsid w:val="001E2B3D"/>
    <w:rsid w:val="001E3225"/>
    <w:rsid w:val="001E457C"/>
    <w:rsid w:val="001F0249"/>
    <w:rsid w:val="001F11FA"/>
    <w:rsid w:val="001F1C00"/>
    <w:rsid w:val="001F3111"/>
    <w:rsid w:val="001F3C4C"/>
    <w:rsid w:val="001F4D4E"/>
    <w:rsid w:val="00205276"/>
    <w:rsid w:val="00205647"/>
    <w:rsid w:val="00206760"/>
    <w:rsid w:val="002101CE"/>
    <w:rsid w:val="0021159F"/>
    <w:rsid w:val="002118F7"/>
    <w:rsid w:val="00211CB8"/>
    <w:rsid w:val="0021332C"/>
    <w:rsid w:val="00213E75"/>
    <w:rsid w:val="00215359"/>
    <w:rsid w:val="00217B3A"/>
    <w:rsid w:val="00217F10"/>
    <w:rsid w:val="00221B22"/>
    <w:rsid w:val="002224CF"/>
    <w:rsid w:val="00224806"/>
    <w:rsid w:val="002248E4"/>
    <w:rsid w:val="0023026C"/>
    <w:rsid w:val="002314C5"/>
    <w:rsid w:val="002334AB"/>
    <w:rsid w:val="00233F56"/>
    <w:rsid w:val="00234458"/>
    <w:rsid w:val="00234DD6"/>
    <w:rsid w:val="00236247"/>
    <w:rsid w:val="00242AD4"/>
    <w:rsid w:val="00242D17"/>
    <w:rsid w:val="00247038"/>
    <w:rsid w:val="00252638"/>
    <w:rsid w:val="002539C1"/>
    <w:rsid w:val="0025517C"/>
    <w:rsid w:val="002568E9"/>
    <w:rsid w:val="00257201"/>
    <w:rsid w:val="0025762D"/>
    <w:rsid w:val="002600FD"/>
    <w:rsid w:val="00263ACD"/>
    <w:rsid w:val="0026665D"/>
    <w:rsid w:val="00266A26"/>
    <w:rsid w:val="00267F42"/>
    <w:rsid w:val="002700AD"/>
    <w:rsid w:val="0027168E"/>
    <w:rsid w:val="00273B50"/>
    <w:rsid w:val="00280998"/>
    <w:rsid w:val="002856EF"/>
    <w:rsid w:val="0028654A"/>
    <w:rsid w:val="00286676"/>
    <w:rsid w:val="00286BC8"/>
    <w:rsid w:val="00287B1C"/>
    <w:rsid w:val="00291DA4"/>
    <w:rsid w:val="0029348E"/>
    <w:rsid w:val="002964D3"/>
    <w:rsid w:val="00296954"/>
    <w:rsid w:val="002A1A31"/>
    <w:rsid w:val="002A3354"/>
    <w:rsid w:val="002A4236"/>
    <w:rsid w:val="002A6218"/>
    <w:rsid w:val="002A65FE"/>
    <w:rsid w:val="002A7743"/>
    <w:rsid w:val="002B34D5"/>
    <w:rsid w:val="002B3722"/>
    <w:rsid w:val="002B4154"/>
    <w:rsid w:val="002B62FA"/>
    <w:rsid w:val="002B6A07"/>
    <w:rsid w:val="002B6E88"/>
    <w:rsid w:val="002C0A0A"/>
    <w:rsid w:val="002C2718"/>
    <w:rsid w:val="002C50A8"/>
    <w:rsid w:val="002C6C94"/>
    <w:rsid w:val="002D0267"/>
    <w:rsid w:val="002D08AA"/>
    <w:rsid w:val="002D2973"/>
    <w:rsid w:val="002D43CE"/>
    <w:rsid w:val="002D4A7E"/>
    <w:rsid w:val="002D57BB"/>
    <w:rsid w:val="002E4460"/>
    <w:rsid w:val="002E6094"/>
    <w:rsid w:val="002F35A4"/>
    <w:rsid w:val="002F3610"/>
    <w:rsid w:val="002F3D9D"/>
    <w:rsid w:val="002F54B1"/>
    <w:rsid w:val="002F693D"/>
    <w:rsid w:val="0030127D"/>
    <w:rsid w:val="00301462"/>
    <w:rsid w:val="003020C9"/>
    <w:rsid w:val="003025D8"/>
    <w:rsid w:val="00303414"/>
    <w:rsid w:val="003053BD"/>
    <w:rsid w:val="0030702C"/>
    <w:rsid w:val="00312A39"/>
    <w:rsid w:val="00312BAA"/>
    <w:rsid w:val="00324B29"/>
    <w:rsid w:val="00330577"/>
    <w:rsid w:val="00335354"/>
    <w:rsid w:val="003373D4"/>
    <w:rsid w:val="00337945"/>
    <w:rsid w:val="0034047C"/>
    <w:rsid w:val="00342FAC"/>
    <w:rsid w:val="00344582"/>
    <w:rsid w:val="00346137"/>
    <w:rsid w:val="00346267"/>
    <w:rsid w:val="003478E8"/>
    <w:rsid w:val="003515D1"/>
    <w:rsid w:val="003542B3"/>
    <w:rsid w:val="0035535A"/>
    <w:rsid w:val="00355B86"/>
    <w:rsid w:val="00355E7A"/>
    <w:rsid w:val="0035718D"/>
    <w:rsid w:val="00357C85"/>
    <w:rsid w:val="00361672"/>
    <w:rsid w:val="00361DD2"/>
    <w:rsid w:val="0036217B"/>
    <w:rsid w:val="00365D62"/>
    <w:rsid w:val="003700A9"/>
    <w:rsid w:val="00371A81"/>
    <w:rsid w:val="0037475B"/>
    <w:rsid w:val="00377B1B"/>
    <w:rsid w:val="003866FE"/>
    <w:rsid w:val="0038694A"/>
    <w:rsid w:val="00386D67"/>
    <w:rsid w:val="003948C9"/>
    <w:rsid w:val="003A078D"/>
    <w:rsid w:val="003A1964"/>
    <w:rsid w:val="003A326F"/>
    <w:rsid w:val="003A4F78"/>
    <w:rsid w:val="003B02B8"/>
    <w:rsid w:val="003B0CA4"/>
    <w:rsid w:val="003B526F"/>
    <w:rsid w:val="003B70B8"/>
    <w:rsid w:val="003C11C4"/>
    <w:rsid w:val="003C4A86"/>
    <w:rsid w:val="003C5D2D"/>
    <w:rsid w:val="003C5E1F"/>
    <w:rsid w:val="003C7C6D"/>
    <w:rsid w:val="003D2396"/>
    <w:rsid w:val="003D2991"/>
    <w:rsid w:val="003D4440"/>
    <w:rsid w:val="003D468C"/>
    <w:rsid w:val="003D4BFC"/>
    <w:rsid w:val="003D5F8D"/>
    <w:rsid w:val="003D6A0F"/>
    <w:rsid w:val="003D7414"/>
    <w:rsid w:val="003E0E55"/>
    <w:rsid w:val="003E1045"/>
    <w:rsid w:val="003E36E9"/>
    <w:rsid w:val="003E3728"/>
    <w:rsid w:val="003E44A3"/>
    <w:rsid w:val="003E63C9"/>
    <w:rsid w:val="003F0834"/>
    <w:rsid w:val="003F30AD"/>
    <w:rsid w:val="003F5EE6"/>
    <w:rsid w:val="003F6786"/>
    <w:rsid w:val="00401F67"/>
    <w:rsid w:val="00401F6B"/>
    <w:rsid w:val="004031F7"/>
    <w:rsid w:val="00405FA0"/>
    <w:rsid w:val="00406152"/>
    <w:rsid w:val="00406D64"/>
    <w:rsid w:val="00410178"/>
    <w:rsid w:val="0041317E"/>
    <w:rsid w:val="0041438D"/>
    <w:rsid w:val="004157D5"/>
    <w:rsid w:val="004175CF"/>
    <w:rsid w:val="0042114B"/>
    <w:rsid w:val="004216B2"/>
    <w:rsid w:val="004309B9"/>
    <w:rsid w:val="00433060"/>
    <w:rsid w:val="004359E1"/>
    <w:rsid w:val="0044045C"/>
    <w:rsid w:val="004407D9"/>
    <w:rsid w:val="00443F1D"/>
    <w:rsid w:val="00450F25"/>
    <w:rsid w:val="00451310"/>
    <w:rsid w:val="00452DFC"/>
    <w:rsid w:val="00454294"/>
    <w:rsid w:val="00455C5B"/>
    <w:rsid w:val="004568B5"/>
    <w:rsid w:val="00457995"/>
    <w:rsid w:val="00457C43"/>
    <w:rsid w:val="00460DB6"/>
    <w:rsid w:val="00461EB5"/>
    <w:rsid w:val="0046745E"/>
    <w:rsid w:val="0047765F"/>
    <w:rsid w:val="004777C6"/>
    <w:rsid w:val="00477B70"/>
    <w:rsid w:val="004812B2"/>
    <w:rsid w:val="004824EF"/>
    <w:rsid w:val="00483169"/>
    <w:rsid w:val="0048414B"/>
    <w:rsid w:val="00484A7F"/>
    <w:rsid w:val="004851AB"/>
    <w:rsid w:val="00486219"/>
    <w:rsid w:val="00491E64"/>
    <w:rsid w:val="004933BB"/>
    <w:rsid w:val="00493F39"/>
    <w:rsid w:val="00495285"/>
    <w:rsid w:val="00495C4C"/>
    <w:rsid w:val="0049670A"/>
    <w:rsid w:val="004A4E41"/>
    <w:rsid w:val="004A5842"/>
    <w:rsid w:val="004B01A4"/>
    <w:rsid w:val="004B0789"/>
    <w:rsid w:val="004B2358"/>
    <w:rsid w:val="004C0219"/>
    <w:rsid w:val="004C1165"/>
    <w:rsid w:val="004C2F2F"/>
    <w:rsid w:val="004C392A"/>
    <w:rsid w:val="004C6D14"/>
    <w:rsid w:val="004D1800"/>
    <w:rsid w:val="004D2525"/>
    <w:rsid w:val="004E348D"/>
    <w:rsid w:val="004E432D"/>
    <w:rsid w:val="004E5C21"/>
    <w:rsid w:val="0050188B"/>
    <w:rsid w:val="00511EE0"/>
    <w:rsid w:val="005134CE"/>
    <w:rsid w:val="00513F46"/>
    <w:rsid w:val="00514BAF"/>
    <w:rsid w:val="00516731"/>
    <w:rsid w:val="00516ACE"/>
    <w:rsid w:val="00516F87"/>
    <w:rsid w:val="00531157"/>
    <w:rsid w:val="00532E6B"/>
    <w:rsid w:val="00536E51"/>
    <w:rsid w:val="0054098E"/>
    <w:rsid w:val="005420D3"/>
    <w:rsid w:val="00543D19"/>
    <w:rsid w:val="00544BA0"/>
    <w:rsid w:val="00545F04"/>
    <w:rsid w:val="00552DFF"/>
    <w:rsid w:val="005552CD"/>
    <w:rsid w:val="005613BB"/>
    <w:rsid w:val="00562ED5"/>
    <w:rsid w:val="00565193"/>
    <w:rsid w:val="00565224"/>
    <w:rsid w:val="00566DC3"/>
    <w:rsid w:val="00567131"/>
    <w:rsid w:val="0056736C"/>
    <w:rsid w:val="00573F22"/>
    <w:rsid w:val="005767FA"/>
    <w:rsid w:val="00576B02"/>
    <w:rsid w:val="00576ED3"/>
    <w:rsid w:val="005801A2"/>
    <w:rsid w:val="00583D1B"/>
    <w:rsid w:val="005856E5"/>
    <w:rsid w:val="00585DE0"/>
    <w:rsid w:val="0058659C"/>
    <w:rsid w:val="0059067D"/>
    <w:rsid w:val="00590817"/>
    <w:rsid w:val="00590A73"/>
    <w:rsid w:val="005922DB"/>
    <w:rsid w:val="00592D04"/>
    <w:rsid w:val="005938FD"/>
    <w:rsid w:val="00594478"/>
    <w:rsid w:val="005A14E4"/>
    <w:rsid w:val="005A45DF"/>
    <w:rsid w:val="005A796D"/>
    <w:rsid w:val="005A7ECB"/>
    <w:rsid w:val="005B5538"/>
    <w:rsid w:val="005B59F4"/>
    <w:rsid w:val="005B68A0"/>
    <w:rsid w:val="005B73B2"/>
    <w:rsid w:val="005C585A"/>
    <w:rsid w:val="005D0332"/>
    <w:rsid w:val="005D03B3"/>
    <w:rsid w:val="005D637D"/>
    <w:rsid w:val="005E3645"/>
    <w:rsid w:val="005E42A8"/>
    <w:rsid w:val="005F004E"/>
    <w:rsid w:val="005F2A3C"/>
    <w:rsid w:val="005F3E4F"/>
    <w:rsid w:val="005F432A"/>
    <w:rsid w:val="005F6AB6"/>
    <w:rsid w:val="00603860"/>
    <w:rsid w:val="00604D4A"/>
    <w:rsid w:val="00605C53"/>
    <w:rsid w:val="00605E60"/>
    <w:rsid w:val="0060734F"/>
    <w:rsid w:val="006074D3"/>
    <w:rsid w:val="00607D37"/>
    <w:rsid w:val="00611744"/>
    <w:rsid w:val="00612A11"/>
    <w:rsid w:val="00613330"/>
    <w:rsid w:val="00615EB3"/>
    <w:rsid w:val="0061621F"/>
    <w:rsid w:val="0062064D"/>
    <w:rsid w:val="00627139"/>
    <w:rsid w:val="00630753"/>
    <w:rsid w:val="00631839"/>
    <w:rsid w:val="006348B8"/>
    <w:rsid w:val="0063619A"/>
    <w:rsid w:val="0063740F"/>
    <w:rsid w:val="00640A46"/>
    <w:rsid w:val="00640D52"/>
    <w:rsid w:val="006431C1"/>
    <w:rsid w:val="00644201"/>
    <w:rsid w:val="00650494"/>
    <w:rsid w:val="00650F6B"/>
    <w:rsid w:val="00652843"/>
    <w:rsid w:val="00652E31"/>
    <w:rsid w:val="0065529B"/>
    <w:rsid w:val="0066759D"/>
    <w:rsid w:val="00674C25"/>
    <w:rsid w:val="0067640A"/>
    <w:rsid w:val="00676A80"/>
    <w:rsid w:val="00676C49"/>
    <w:rsid w:val="00676E33"/>
    <w:rsid w:val="00676FCE"/>
    <w:rsid w:val="006837FB"/>
    <w:rsid w:val="006838A7"/>
    <w:rsid w:val="00684A2F"/>
    <w:rsid w:val="00685001"/>
    <w:rsid w:val="00693716"/>
    <w:rsid w:val="006942CF"/>
    <w:rsid w:val="0069571B"/>
    <w:rsid w:val="00696EC8"/>
    <w:rsid w:val="0069769D"/>
    <w:rsid w:val="006A27C7"/>
    <w:rsid w:val="006A2AFC"/>
    <w:rsid w:val="006A5746"/>
    <w:rsid w:val="006B180A"/>
    <w:rsid w:val="006B241A"/>
    <w:rsid w:val="006B3B5A"/>
    <w:rsid w:val="006B5AB5"/>
    <w:rsid w:val="006B5BE7"/>
    <w:rsid w:val="006B76DF"/>
    <w:rsid w:val="006B79F2"/>
    <w:rsid w:val="006B7F3E"/>
    <w:rsid w:val="006C1938"/>
    <w:rsid w:val="006C26E3"/>
    <w:rsid w:val="006C282F"/>
    <w:rsid w:val="006C3324"/>
    <w:rsid w:val="006C5230"/>
    <w:rsid w:val="006C6F74"/>
    <w:rsid w:val="006D1EA3"/>
    <w:rsid w:val="006D2809"/>
    <w:rsid w:val="006D4E16"/>
    <w:rsid w:val="006D5D55"/>
    <w:rsid w:val="006D682A"/>
    <w:rsid w:val="006D7D0C"/>
    <w:rsid w:val="006E0B0D"/>
    <w:rsid w:val="006E0F7A"/>
    <w:rsid w:val="006E2F06"/>
    <w:rsid w:val="006E7A8E"/>
    <w:rsid w:val="006F2A30"/>
    <w:rsid w:val="006F47F4"/>
    <w:rsid w:val="006F67FE"/>
    <w:rsid w:val="006F6CCC"/>
    <w:rsid w:val="00703892"/>
    <w:rsid w:val="00704085"/>
    <w:rsid w:val="0070550B"/>
    <w:rsid w:val="00705BF9"/>
    <w:rsid w:val="00707FED"/>
    <w:rsid w:val="00710A0E"/>
    <w:rsid w:val="007113DC"/>
    <w:rsid w:val="00712BB2"/>
    <w:rsid w:val="00713D11"/>
    <w:rsid w:val="0071469C"/>
    <w:rsid w:val="0071498A"/>
    <w:rsid w:val="00715ED2"/>
    <w:rsid w:val="007174E3"/>
    <w:rsid w:val="00720DE2"/>
    <w:rsid w:val="00722408"/>
    <w:rsid w:val="00722776"/>
    <w:rsid w:val="007229D6"/>
    <w:rsid w:val="00722D4B"/>
    <w:rsid w:val="00723375"/>
    <w:rsid w:val="007233C3"/>
    <w:rsid w:val="00726A25"/>
    <w:rsid w:val="00731148"/>
    <w:rsid w:val="007313E3"/>
    <w:rsid w:val="00731492"/>
    <w:rsid w:val="007315E6"/>
    <w:rsid w:val="00732C4E"/>
    <w:rsid w:val="00734A7D"/>
    <w:rsid w:val="00736B3B"/>
    <w:rsid w:val="007379FE"/>
    <w:rsid w:val="007431A1"/>
    <w:rsid w:val="00744A81"/>
    <w:rsid w:val="00744C5D"/>
    <w:rsid w:val="0074567E"/>
    <w:rsid w:val="007514B0"/>
    <w:rsid w:val="00752E92"/>
    <w:rsid w:val="007554DA"/>
    <w:rsid w:val="0075550C"/>
    <w:rsid w:val="00755CEC"/>
    <w:rsid w:val="00762C8F"/>
    <w:rsid w:val="0076305C"/>
    <w:rsid w:val="00766BE1"/>
    <w:rsid w:val="00766E36"/>
    <w:rsid w:val="00766EE9"/>
    <w:rsid w:val="00770092"/>
    <w:rsid w:val="00772621"/>
    <w:rsid w:val="00775963"/>
    <w:rsid w:val="007766FE"/>
    <w:rsid w:val="00783E3B"/>
    <w:rsid w:val="007849B8"/>
    <w:rsid w:val="007855A8"/>
    <w:rsid w:val="00792A74"/>
    <w:rsid w:val="0079324B"/>
    <w:rsid w:val="00794D30"/>
    <w:rsid w:val="007964EB"/>
    <w:rsid w:val="00796A38"/>
    <w:rsid w:val="00797D8D"/>
    <w:rsid w:val="007A0F08"/>
    <w:rsid w:val="007A6BE5"/>
    <w:rsid w:val="007A6DD2"/>
    <w:rsid w:val="007A7B08"/>
    <w:rsid w:val="007B15DE"/>
    <w:rsid w:val="007C2D6A"/>
    <w:rsid w:val="007C3A41"/>
    <w:rsid w:val="007C4959"/>
    <w:rsid w:val="007C6178"/>
    <w:rsid w:val="007D10A5"/>
    <w:rsid w:val="007D3F4F"/>
    <w:rsid w:val="007D4572"/>
    <w:rsid w:val="007D6BE0"/>
    <w:rsid w:val="007D6C35"/>
    <w:rsid w:val="007D7AF8"/>
    <w:rsid w:val="007D7D75"/>
    <w:rsid w:val="007D7ECB"/>
    <w:rsid w:val="007E0EAF"/>
    <w:rsid w:val="007E58D3"/>
    <w:rsid w:val="007E744A"/>
    <w:rsid w:val="007F04F2"/>
    <w:rsid w:val="007F4E20"/>
    <w:rsid w:val="007F5142"/>
    <w:rsid w:val="00803BAB"/>
    <w:rsid w:val="00804500"/>
    <w:rsid w:val="00806A9C"/>
    <w:rsid w:val="00810955"/>
    <w:rsid w:val="00815220"/>
    <w:rsid w:val="008227C1"/>
    <w:rsid w:val="00826D82"/>
    <w:rsid w:val="00827C06"/>
    <w:rsid w:val="0083013B"/>
    <w:rsid w:val="00831189"/>
    <w:rsid w:val="00842DE0"/>
    <w:rsid w:val="008433DC"/>
    <w:rsid w:val="00843E60"/>
    <w:rsid w:val="008441EA"/>
    <w:rsid w:val="0084645A"/>
    <w:rsid w:val="00850724"/>
    <w:rsid w:val="008529FC"/>
    <w:rsid w:val="00854FFE"/>
    <w:rsid w:val="0086104A"/>
    <w:rsid w:val="0088197A"/>
    <w:rsid w:val="008823FB"/>
    <w:rsid w:val="0088629E"/>
    <w:rsid w:val="00886571"/>
    <w:rsid w:val="00893FA3"/>
    <w:rsid w:val="0089471B"/>
    <w:rsid w:val="00896D20"/>
    <w:rsid w:val="00896E79"/>
    <w:rsid w:val="008A0363"/>
    <w:rsid w:val="008A0D74"/>
    <w:rsid w:val="008A5C67"/>
    <w:rsid w:val="008A6C0C"/>
    <w:rsid w:val="008A7405"/>
    <w:rsid w:val="008B4A4F"/>
    <w:rsid w:val="008B6A2D"/>
    <w:rsid w:val="008B6C92"/>
    <w:rsid w:val="008C0C95"/>
    <w:rsid w:val="008C5E6C"/>
    <w:rsid w:val="008C619A"/>
    <w:rsid w:val="008C6DE4"/>
    <w:rsid w:val="008D08A2"/>
    <w:rsid w:val="008D301E"/>
    <w:rsid w:val="008D6073"/>
    <w:rsid w:val="008D7DE6"/>
    <w:rsid w:val="008E2DF5"/>
    <w:rsid w:val="008E4339"/>
    <w:rsid w:val="008E590A"/>
    <w:rsid w:val="008E59CE"/>
    <w:rsid w:val="008E70C7"/>
    <w:rsid w:val="008E752A"/>
    <w:rsid w:val="008E799D"/>
    <w:rsid w:val="008F0B7F"/>
    <w:rsid w:val="008F16B4"/>
    <w:rsid w:val="008F3182"/>
    <w:rsid w:val="008F55FD"/>
    <w:rsid w:val="00900B3C"/>
    <w:rsid w:val="00901821"/>
    <w:rsid w:val="009067B6"/>
    <w:rsid w:val="00907CC6"/>
    <w:rsid w:val="009110E5"/>
    <w:rsid w:val="00912AD8"/>
    <w:rsid w:val="00915F3D"/>
    <w:rsid w:val="00916C94"/>
    <w:rsid w:val="00920A83"/>
    <w:rsid w:val="00921A2C"/>
    <w:rsid w:val="00922535"/>
    <w:rsid w:val="009306C7"/>
    <w:rsid w:val="00931247"/>
    <w:rsid w:val="009314AE"/>
    <w:rsid w:val="00933B33"/>
    <w:rsid w:val="009351F0"/>
    <w:rsid w:val="0094070F"/>
    <w:rsid w:val="00940F74"/>
    <w:rsid w:val="0094121E"/>
    <w:rsid w:val="0094152C"/>
    <w:rsid w:val="009418C0"/>
    <w:rsid w:val="00943312"/>
    <w:rsid w:val="009454EB"/>
    <w:rsid w:val="00950C0C"/>
    <w:rsid w:val="00950D1B"/>
    <w:rsid w:val="0095737F"/>
    <w:rsid w:val="00957845"/>
    <w:rsid w:val="009606B7"/>
    <w:rsid w:val="00961AD6"/>
    <w:rsid w:val="00964755"/>
    <w:rsid w:val="00966F45"/>
    <w:rsid w:val="00967848"/>
    <w:rsid w:val="00967B88"/>
    <w:rsid w:val="00971897"/>
    <w:rsid w:val="009718C8"/>
    <w:rsid w:val="0097451A"/>
    <w:rsid w:val="0097455C"/>
    <w:rsid w:val="009748DD"/>
    <w:rsid w:val="00976B13"/>
    <w:rsid w:val="009808DF"/>
    <w:rsid w:val="00980F82"/>
    <w:rsid w:val="00983C29"/>
    <w:rsid w:val="00984821"/>
    <w:rsid w:val="00990BF9"/>
    <w:rsid w:val="00993D0B"/>
    <w:rsid w:val="009A005D"/>
    <w:rsid w:val="009A702B"/>
    <w:rsid w:val="009A7275"/>
    <w:rsid w:val="009B1EB2"/>
    <w:rsid w:val="009B29A6"/>
    <w:rsid w:val="009B2DD5"/>
    <w:rsid w:val="009B2FEE"/>
    <w:rsid w:val="009B4FB9"/>
    <w:rsid w:val="009B55AF"/>
    <w:rsid w:val="009B7E2B"/>
    <w:rsid w:val="009C0B8F"/>
    <w:rsid w:val="009C13B9"/>
    <w:rsid w:val="009C34E7"/>
    <w:rsid w:val="009C5E6A"/>
    <w:rsid w:val="009D1BAC"/>
    <w:rsid w:val="009D2589"/>
    <w:rsid w:val="009D64AB"/>
    <w:rsid w:val="009E2FFB"/>
    <w:rsid w:val="009E3727"/>
    <w:rsid w:val="009E4714"/>
    <w:rsid w:val="009E68CA"/>
    <w:rsid w:val="009F591F"/>
    <w:rsid w:val="009F68DF"/>
    <w:rsid w:val="00A009C9"/>
    <w:rsid w:val="00A021B7"/>
    <w:rsid w:val="00A0243D"/>
    <w:rsid w:val="00A057DF"/>
    <w:rsid w:val="00A10004"/>
    <w:rsid w:val="00A167DB"/>
    <w:rsid w:val="00A16EC9"/>
    <w:rsid w:val="00A254A9"/>
    <w:rsid w:val="00A30752"/>
    <w:rsid w:val="00A30A85"/>
    <w:rsid w:val="00A313B1"/>
    <w:rsid w:val="00A317E6"/>
    <w:rsid w:val="00A32BC5"/>
    <w:rsid w:val="00A3355B"/>
    <w:rsid w:val="00A35A4F"/>
    <w:rsid w:val="00A36CB8"/>
    <w:rsid w:val="00A376B1"/>
    <w:rsid w:val="00A436C5"/>
    <w:rsid w:val="00A44C6E"/>
    <w:rsid w:val="00A45DCB"/>
    <w:rsid w:val="00A46CF1"/>
    <w:rsid w:val="00A47146"/>
    <w:rsid w:val="00A508A6"/>
    <w:rsid w:val="00A52FEC"/>
    <w:rsid w:val="00A54637"/>
    <w:rsid w:val="00A573FF"/>
    <w:rsid w:val="00A600C8"/>
    <w:rsid w:val="00A660DB"/>
    <w:rsid w:val="00A66FAF"/>
    <w:rsid w:val="00A67FD3"/>
    <w:rsid w:val="00A71A3C"/>
    <w:rsid w:val="00A82106"/>
    <w:rsid w:val="00A8307D"/>
    <w:rsid w:val="00A83E67"/>
    <w:rsid w:val="00A858C5"/>
    <w:rsid w:val="00A8603E"/>
    <w:rsid w:val="00A8674A"/>
    <w:rsid w:val="00A957AD"/>
    <w:rsid w:val="00A96916"/>
    <w:rsid w:val="00AA3A79"/>
    <w:rsid w:val="00AA3E4B"/>
    <w:rsid w:val="00AA4BAB"/>
    <w:rsid w:val="00AA502F"/>
    <w:rsid w:val="00AA5C28"/>
    <w:rsid w:val="00AA689B"/>
    <w:rsid w:val="00AB01FA"/>
    <w:rsid w:val="00AB0385"/>
    <w:rsid w:val="00AB0C75"/>
    <w:rsid w:val="00AB24C5"/>
    <w:rsid w:val="00AB37FD"/>
    <w:rsid w:val="00AB47BA"/>
    <w:rsid w:val="00AB4E59"/>
    <w:rsid w:val="00AB58BB"/>
    <w:rsid w:val="00AC0916"/>
    <w:rsid w:val="00AC4123"/>
    <w:rsid w:val="00AC6AEC"/>
    <w:rsid w:val="00AC6D10"/>
    <w:rsid w:val="00AD026F"/>
    <w:rsid w:val="00AD34CB"/>
    <w:rsid w:val="00AD36A1"/>
    <w:rsid w:val="00AE4C2D"/>
    <w:rsid w:val="00AE6770"/>
    <w:rsid w:val="00AE76A3"/>
    <w:rsid w:val="00AF62F2"/>
    <w:rsid w:val="00AF64E7"/>
    <w:rsid w:val="00AF72BF"/>
    <w:rsid w:val="00B010C2"/>
    <w:rsid w:val="00B02E35"/>
    <w:rsid w:val="00B03054"/>
    <w:rsid w:val="00B03576"/>
    <w:rsid w:val="00B0472C"/>
    <w:rsid w:val="00B0563D"/>
    <w:rsid w:val="00B102D9"/>
    <w:rsid w:val="00B106A5"/>
    <w:rsid w:val="00B1779B"/>
    <w:rsid w:val="00B20761"/>
    <w:rsid w:val="00B2203D"/>
    <w:rsid w:val="00B22E9B"/>
    <w:rsid w:val="00B23DF5"/>
    <w:rsid w:val="00B25223"/>
    <w:rsid w:val="00B31172"/>
    <w:rsid w:val="00B33D7B"/>
    <w:rsid w:val="00B358F6"/>
    <w:rsid w:val="00B360D5"/>
    <w:rsid w:val="00B37582"/>
    <w:rsid w:val="00B40410"/>
    <w:rsid w:val="00B411FE"/>
    <w:rsid w:val="00B4122E"/>
    <w:rsid w:val="00B4264C"/>
    <w:rsid w:val="00B458FB"/>
    <w:rsid w:val="00B46C7E"/>
    <w:rsid w:val="00B5107E"/>
    <w:rsid w:val="00B51F1B"/>
    <w:rsid w:val="00B52FCF"/>
    <w:rsid w:val="00B54F3B"/>
    <w:rsid w:val="00B56047"/>
    <w:rsid w:val="00B6033B"/>
    <w:rsid w:val="00B607CF"/>
    <w:rsid w:val="00B66572"/>
    <w:rsid w:val="00B7495A"/>
    <w:rsid w:val="00B75179"/>
    <w:rsid w:val="00B83E8F"/>
    <w:rsid w:val="00B90A4E"/>
    <w:rsid w:val="00B9106A"/>
    <w:rsid w:val="00B9272A"/>
    <w:rsid w:val="00B93B02"/>
    <w:rsid w:val="00B95382"/>
    <w:rsid w:val="00BA2624"/>
    <w:rsid w:val="00BA3C93"/>
    <w:rsid w:val="00BA5A83"/>
    <w:rsid w:val="00BA6799"/>
    <w:rsid w:val="00BB0D8D"/>
    <w:rsid w:val="00BB18CD"/>
    <w:rsid w:val="00BB26AB"/>
    <w:rsid w:val="00BB7008"/>
    <w:rsid w:val="00BB74D7"/>
    <w:rsid w:val="00BC04A2"/>
    <w:rsid w:val="00BC33B5"/>
    <w:rsid w:val="00BC3A8F"/>
    <w:rsid w:val="00BC44F4"/>
    <w:rsid w:val="00BC7353"/>
    <w:rsid w:val="00BD3822"/>
    <w:rsid w:val="00BD6C4E"/>
    <w:rsid w:val="00BE396E"/>
    <w:rsid w:val="00BE5C9A"/>
    <w:rsid w:val="00BE69AC"/>
    <w:rsid w:val="00BE7108"/>
    <w:rsid w:val="00BF0479"/>
    <w:rsid w:val="00BF0DFE"/>
    <w:rsid w:val="00BF3109"/>
    <w:rsid w:val="00BF4914"/>
    <w:rsid w:val="00C0013C"/>
    <w:rsid w:val="00C01C23"/>
    <w:rsid w:val="00C05EDF"/>
    <w:rsid w:val="00C13B47"/>
    <w:rsid w:val="00C14A89"/>
    <w:rsid w:val="00C14D06"/>
    <w:rsid w:val="00C16A8E"/>
    <w:rsid w:val="00C1782D"/>
    <w:rsid w:val="00C20B8A"/>
    <w:rsid w:val="00C20BEE"/>
    <w:rsid w:val="00C22E46"/>
    <w:rsid w:val="00C23B01"/>
    <w:rsid w:val="00C23C0A"/>
    <w:rsid w:val="00C30420"/>
    <w:rsid w:val="00C34180"/>
    <w:rsid w:val="00C354E5"/>
    <w:rsid w:val="00C37AFC"/>
    <w:rsid w:val="00C42AEE"/>
    <w:rsid w:val="00C45D90"/>
    <w:rsid w:val="00C50B10"/>
    <w:rsid w:val="00C55BE8"/>
    <w:rsid w:val="00C56A40"/>
    <w:rsid w:val="00C60049"/>
    <w:rsid w:val="00C614AF"/>
    <w:rsid w:val="00C637BC"/>
    <w:rsid w:val="00C67123"/>
    <w:rsid w:val="00C703C1"/>
    <w:rsid w:val="00C7771E"/>
    <w:rsid w:val="00C808E5"/>
    <w:rsid w:val="00C8305C"/>
    <w:rsid w:val="00C84009"/>
    <w:rsid w:val="00C84992"/>
    <w:rsid w:val="00C84EFB"/>
    <w:rsid w:val="00C87614"/>
    <w:rsid w:val="00C90108"/>
    <w:rsid w:val="00C90EB4"/>
    <w:rsid w:val="00C92EAE"/>
    <w:rsid w:val="00CA0101"/>
    <w:rsid w:val="00CA0C64"/>
    <w:rsid w:val="00CA6245"/>
    <w:rsid w:val="00CA7829"/>
    <w:rsid w:val="00CB1778"/>
    <w:rsid w:val="00CB4F19"/>
    <w:rsid w:val="00CB61C1"/>
    <w:rsid w:val="00CB7140"/>
    <w:rsid w:val="00CB7E7D"/>
    <w:rsid w:val="00CC038A"/>
    <w:rsid w:val="00CC1CFB"/>
    <w:rsid w:val="00CC23B0"/>
    <w:rsid w:val="00CC642B"/>
    <w:rsid w:val="00CC6B76"/>
    <w:rsid w:val="00CD0E20"/>
    <w:rsid w:val="00CD120E"/>
    <w:rsid w:val="00CD1C48"/>
    <w:rsid w:val="00CD2B90"/>
    <w:rsid w:val="00CD2D8B"/>
    <w:rsid w:val="00CD5843"/>
    <w:rsid w:val="00CD606B"/>
    <w:rsid w:val="00CD712E"/>
    <w:rsid w:val="00CD7AAF"/>
    <w:rsid w:val="00CF305A"/>
    <w:rsid w:val="00CF46D1"/>
    <w:rsid w:val="00CF4C19"/>
    <w:rsid w:val="00CF4DCE"/>
    <w:rsid w:val="00CF656A"/>
    <w:rsid w:val="00D001F1"/>
    <w:rsid w:val="00D0109D"/>
    <w:rsid w:val="00D02FD8"/>
    <w:rsid w:val="00D10820"/>
    <w:rsid w:val="00D118AD"/>
    <w:rsid w:val="00D130E4"/>
    <w:rsid w:val="00D15284"/>
    <w:rsid w:val="00D15411"/>
    <w:rsid w:val="00D230FF"/>
    <w:rsid w:val="00D23900"/>
    <w:rsid w:val="00D248DF"/>
    <w:rsid w:val="00D261EA"/>
    <w:rsid w:val="00D27B27"/>
    <w:rsid w:val="00D32522"/>
    <w:rsid w:val="00D32C7F"/>
    <w:rsid w:val="00D35913"/>
    <w:rsid w:val="00D37BEC"/>
    <w:rsid w:val="00D415B3"/>
    <w:rsid w:val="00D42F4F"/>
    <w:rsid w:val="00D4370A"/>
    <w:rsid w:val="00D43857"/>
    <w:rsid w:val="00D44E5F"/>
    <w:rsid w:val="00D4755A"/>
    <w:rsid w:val="00D47A2C"/>
    <w:rsid w:val="00D51055"/>
    <w:rsid w:val="00D51E24"/>
    <w:rsid w:val="00D52693"/>
    <w:rsid w:val="00D54473"/>
    <w:rsid w:val="00D54EA3"/>
    <w:rsid w:val="00D55D87"/>
    <w:rsid w:val="00D55F83"/>
    <w:rsid w:val="00D62669"/>
    <w:rsid w:val="00D643A1"/>
    <w:rsid w:val="00D65791"/>
    <w:rsid w:val="00D701CC"/>
    <w:rsid w:val="00D70C50"/>
    <w:rsid w:val="00D769FB"/>
    <w:rsid w:val="00D8333B"/>
    <w:rsid w:val="00D8507F"/>
    <w:rsid w:val="00D933E3"/>
    <w:rsid w:val="00D93418"/>
    <w:rsid w:val="00D960B0"/>
    <w:rsid w:val="00D96C47"/>
    <w:rsid w:val="00DA04E1"/>
    <w:rsid w:val="00DA2F53"/>
    <w:rsid w:val="00DA468D"/>
    <w:rsid w:val="00DA4FFC"/>
    <w:rsid w:val="00DA7993"/>
    <w:rsid w:val="00DB0EB0"/>
    <w:rsid w:val="00DB1DC9"/>
    <w:rsid w:val="00DB1E71"/>
    <w:rsid w:val="00DB4A4B"/>
    <w:rsid w:val="00DB5ECA"/>
    <w:rsid w:val="00DB770F"/>
    <w:rsid w:val="00DB79E4"/>
    <w:rsid w:val="00DC0623"/>
    <w:rsid w:val="00DC0DA2"/>
    <w:rsid w:val="00DC0E3C"/>
    <w:rsid w:val="00DC3FFD"/>
    <w:rsid w:val="00DC494F"/>
    <w:rsid w:val="00DC545E"/>
    <w:rsid w:val="00DC5F1B"/>
    <w:rsid w:val="00DC68DC"/>
    <w:rsid w:val="00DD0AF1"/>
    <w:rsid w:val="00DD311A"/>
    <w:rsid w:val="00DD3A89"/>
    <w:rsid w:val="00DE15B6"/>
    <w:rsid w:val="00DE1748"/>
    <w:rsid w:val="00DE1F8D"/>
    <w:rsid w:val="00DE4AED"/>
    <w:rsid w:val="00DE4CAC"/>
    <w:rsid w:val="00DE4F05"/>
    <w:rsid w:val="00DE552A"/>
    <w:rsid w:val="00DE7060"/>
    <w:rsid w:val="00DE7EDC"/>
    <w:rsid w:val="00DF0839"/>
    <w:rsid w:val="00DF0E6F"/>
    <w:rsid w:val="00DF7F04"/>
    <w:rsid w:val="00E02561"/>
    <w:rsid w:val="00E02DCD"/>
    <w:rsid w:val="00E031DE"/>
    <w:rsid w:val="00E06462"/>
    <w:rsid w:val="00E101B6"/>
    <w:rsid w:val="00E116CD"/>
    <w:rsid w:val="00E11FC6"/>
    <w:rsid w:val="00E124AC"/>
    <w:rsid w:val="00E15AFE"/>
    <w:rsid w:val="00E16CCC"/>
    <w:rsid w:val="00E25066"/>
    <w:rsid w:val="00E302C8"/>
    <w:rsid w:val="00E31DB6"/>
    <w:rsid w:val="00E31F56"/>
    <w:rsid w:val="00E35B4A"/>
    <w:rsid w:val="00E37370"/>
    <w:rsid w:val="00E429D3"/>
    <w:rsid w:val="00E465AA"/>
    <w:rsid w:val="00E51AB6"/>
    <w:rsid w:val="00E521B1"/>
    <w:rsid w:val="00E54B84"/>
    <w:rsid w:val="00E57B85"/>
    <w:rsid w:val="00E62F27"/>
    <w:rsid w:val="00E647D2"/>
    <w:rsid w:val="00E65A0F"/>
    <w:rsid w:val="00E65F85"/>
    <w:rsid w:val="00E67571"/>
    <w:rsid w:val="00E706AC"/>
    <w:rsid w:val="00E713BF"/>
    <w:rsid w:val="00E71A72"/>
    <w:rsid w:val="00E736CF"/>
    <w:rsid w:val="00E7422C"/>
    <w:rsid w:val="00E74504"/>
    <w:rsid w:val="00E7560F"/>
    <w:rsid w:val="00E82003"/>
    <w:rsid w:val="00E837F6"/>
    <w:rsid w:val="00E84587"/>
    <w:rsid w:val="00E846B1"/>
    <w:rsid w:val="00E924FD"/>
    <w:rsid w:val="00E9330E"/>
    <w:rsid w:val="00E936DA"/>
    <w:rsid w:val="00E97375"/>
    <w:rsid w:val="00EA3CBC"/>
    <w:rsid w:val="00EA410D"/>
    <w:rsid w:val="00EA5B5B"/>
    <w:rsid w:val="00EB3D7F"/>
    <w:rsid w:val="00EB3FB7"/>
    <w:rsid w:val="00EB44AD"/>
    <w:rsid w:val="00EC3402"/>
    <w:rsid w:val="00EC745D"/>
    <w:rsid w:val="00ED270C"/>
    <w:rsid w:val="00ED3FB8"/>
    <w:rsid w:val="00ED4E80"/>
    <w:rsid w:val="00ED5C7B"/>
    <w:rsid w:val="00ED7B5E"/>
    <w:rsid w:val="00EE2D09"/>
    <w:rsid w:val="00EE48BF"/>
    <w:rsid w:val="00EE4ABF"/>
    <w:rsid w:val="00EF3110"/>
    <w:rsid w:val="00EF5D26"/>
    <w:rsid w:val="00EF7CF5"/>
    <w:rsid w:val="00F00BF2"/>
    <w:rsid w:val="00F019FA"/>
    <w:rsid w:val="00F04D70"/>
    <w:rsid w:val="00F04F02"/>
    <w:rsid w:val="00F05617"/>
    <w:rsid w:val="00F16E5D"/>
    <w:rsid w:val="00F2152F"/>
    <w:rsid w:val="00F21F55"/>
    <w:rsid w:val="00F2353D"/>
    <w:rsid w:val="00F25113"/>
    <w:rsid w:val="00F27E9B"/>
    <w:rsid w:val="00F312A7"/>
    <w:rsid w:val="00F31DCF"/>
    <w:rsid w:val="00F3211D"/>
    <w:rsid w:val="00F326F1"/>
    <w:rsid w:val="00F32C02"/>
    <w:rsid w:val="00F369A2"/>
    <w:rsid w:val="00F37B4A"/>
    <w:rsid w:val="00F45962"/>
    <w:rsid w:val="00F46C7F"/>
    <w:rsid w:val="00F51E0F"/>
    <w:rsid w:val="00F530A0"/>
    <w:rsid w:val="00F53378"/>
    <w:rsid w:val="00F5352E"/>
    <w:rsid w:val="00F53645"/>
    <w:rsid w:val="00F54DAC"/>
    <w:rsid w:val="00F575C5"/>
    <w:rsid w:val="00F60503"/>
    <w:rsid w:val="00F60AAE"/>
    <w:rsid w:val="00F6150D"/>
    <w:rsid w:val="00F64363"/>
    <w:rsid w:val="00F64B99"/>
    <w:rsid w:val="00F657EA"/>
    <w:rsid w:val="00F664CC"/>
    <w:rsid w:val="00F66B80"/>
    <w:rsid w:val="00F67261"/>
    <w:rsid w:val="00F67BCF"/>
    <w:rsid w:val="00F70F43"/>
    <w:rsid w:val="00F7360A"/>
    <w:rsid w:val="00F741E3"/>
    <w:rsid w:val="00F74656"/>
    <w:rsid w:val="00F7484F"/>
    <w:rsid w:val="00F76F7D"/>
    <w:rsid w:val="00F8174C"/>
    <w:rsid w:val="00F818EA"/>
    <w:rsid w:val="00F956BF"/>
    <w:rsid w:val="00F972E7"/>
    <w:rsid w:val="00FA069A"/>
    <w:rsid w:val="00FA36DD"/>
    <w:rsid w:val="00FA5790"/>
    <w:rsid w:val="00FB345E"/>
    <w:rsid w:val="00FB6761"/>
    <w:rsid w:val="00FB69F3"/>
    <w:rsid w:val="00FB7083"/>
    <w:rsid w:val="00FC13AA"/>
    <w:rsid w:val="00FC1A4D"/>
    <w:rsid w:val="00FC270F"/>
    <w:rsid w:val="00FC2897"/>
    <w:rsid w:val="00FD450F"/>
    <w:rsid w:val="00FD5241"/>
    <w:rsid w:val="00FD60FF"/>
    <w:rsid w:val="00FD6156"/>
    <w:rsid w:val="00FD7E16"/>
    <w:rsid w:val="00FD7F32"/>
    <w:rsid w:val="00FE1A4B"/>
    <w:rsid w:val="00FE504F"/>
    <w:rsid w:val="00FE5F2A"/>
    <w:rsid w:val="00FE6CDE"/>
    <w:rsid w:val="00FE7EE3"/>
    <w:rsid w:val="00FF1177"/>
    <w:rsid w:val="00FF45E3"/>
    <w:rsid w:val="00FF6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
    <w:qFormat/>
    <w:rsid w:val="00AF64E7"/>
    <w:pPr>
      <w:keepNext/>
      <w:keepLines/>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vertAlign w:val="superscript"/>
    </w:rPr>
  </w:style>
  <w:style w:type="paragraph" w:styleId="ListParagraph">
    <w:name w:val="List Paragraph"/>
    <w:aliases w:val="Styl moj,Akapit z listą1,Akapit z listą11,Bullets Points,Body Text Bullet Points,Numbered para,BulletPoints,List Paragraph1,Bullet point,List Paragraph11,Recommendation,Section heading,Footnote,ES Paragraph,PBAC ES Paragraph,Bullet List"/>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Summary box,Table Gridbeth,ASD Table,new style,PBAC table,RTI AMCP Table,HTAtableplain"/>
    <w:basedOn w:val="TableNormal"/>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7379FE"/>
    <w:pPr>
      <w:widowControl w:val="0"/>
      <w:numPr>
        <w:numId w:val="32"/>
      </w:numPr>
      <w:snapToGrid w:val="0"/>
      <w:spacing w:after="360"/>
    </w:pPr>
    <w:rPr>
      <w:rFonts w:ascii="Arial Narrow" w:hAnsi="Arial Narrow" w:cs="Arial"/>
      <w:snapToGrid w:val="0"/>
      <w:sz w:val="18"/>
      <w:lang w:eastAsia="en-US"/>
    </w:rPr>
  </w:style>
  <w:style w:type="character" w:customStyle="1" w:styleId="TablenotesChar">
    <w:name w:val="Tablenotes Char"/>
    <w:basedOn w:val="DefaultParagraphFont"/>
    <w:link w:val="Tablenotes"/>
    <w:rsid w:val="007379FE"/>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Bullets Points Char,Body Text Bullet Points Char,Numbered para Char,BulletPoints Char,List Paragraph1 Char,Bullet point Char,List Paragraph11 Char,Recommendation Char"/>
    <w:link w:val="ListParagraph"/>
    <w:uiPriority w:val="34"/>
    <w:qFormat/>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Bodytext">
    <w:name w:val="5. Body text"/>
    <w:basedOn w:val="ListParagraph"/>
    <w:link w:val="5BodytextChar"/>
    <w:qFormat/>
    <w:rsid w:val="004C392A"/>
    <w:pPr>
      <w:autoSpaceDE w:val="0"/>
      <w:autoSpaceDN w:val="0"/>
      <w:adjustRightInd w:val="0"/>
      <w:spacing w:after="240"/>
      <w:ind w:left="0"/>
      <w:contextualSpacing w:val="0"/>
    </w:pPr>
    <w:rPr>
      <w:rFonts w:ascii="Tms Rmn" w:hAnsi="Tms Rmn"/>
      <w:szCs w:val="24"/>
    </w:rPr>
  </w:style>
  <w:style w:type="character" w:customStyle="1" w:styleId="5BodytextChar">
    <w:name w:val="5. Body text Char"/>
    <w:basedOn w:val="DefaultParagraphFont"/>
    <w:link w:val="5Bodytext"/>
    <w:rsid w:val="004C392A"/>
    <w:rPr>
      <w:rFonts w:ascii="Tms Rmn" w:eastAsia="Times New Roman" w:hAnsi="Tms Rmn" w:cs="Times New Roman"/>
      <w:szCs w:val="24"/>
      <w:lang w:eastAsia="en-AU"/>
    </w:rPr>
  </w:style>
  <w:style w:type="paragraph" w:customStyle="1" w:styleId="TableText0">
    <w:name w:val="TableText"/>
    <w:basedOn w:val="Normal"/>
    <w:link w:val="TableTextChar0"/>
    <w:qFormat/>
    <w:rsid w:val="004C392A"/>
    <w:pPr>
      <w:keepNext/>
      <w:spacing w:before="40" w:after="40" w:line="312" w:lineRule="auto"/>
    </w:pPr>
    <w:rPr>
      <w:rFonts w:ascii="Arial Narrow" w:hAnsi="Arial Narrow" w:cs="Tahoma"/>
      <w:sz w:val="18"/>
      <w:szCs w:val="22"/>
    </w:rPr>
  </w:style>
  <w:style w:type="character" w:customStyle="1" w:styleId="TableTextChar0">
    <w:name w:val="TableText Char"/>
    <w:link w:val="TableText0"/>
    <w:rsid w:val="004C392A"/>
    <w:rPr>
      <w:rFonts w:ascii="Arial Narrow" w:eastAsia="Times New Roman" w:hAnsi="Arial Narrow" w:cs="Tahoma"/>
      <w:sz w:val="18"/>
      <w:lang w:eastAsia="en-AU"/>
    </w:rPr>
  </w:style>
  <w:style w:type="paragraph" w:customStyle="1" w:styleId="Tabletextright">
    <w:name w:val="Table text right"/>
    <w:basedOn w:val="Normal"/>
    <w:link w:val="TabletextrightChar"/>
    <w:qFormat/>
    <w:rsid w:val="003020C9"/>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3020C9"/>
    <w:rPr>
      <w:rFonts w:ascii="Arial Narrow" w:eastAsia="Times New Roman" w:hAnsi="Arial Narrow" w:cs="Arial"/>
      <w:sz w:val="20"/>
      <w:szCs w:val="20"/>
    </w:rPr>
  </w:style>
  <w:style w:type="paragraph" w:customStyle="1" w:styleId="TableNote">
    <w:name w:val="Table Note"/>
    <w:basedOn w:val="Normal"/>
    <w:qFormat/>
    <w:rsid w:val="003020C9"/>
    <w:pPr>
      <w:keepLines/>
      <w:spacing w:before="40" w:after="360"/>
      <w:contextualSpacing/>
    </w:pPr>
    <w:rPr>
      <w:rFonts w:ascii="Arial Narrow" w:eastAsiaTheme="minorHAnsi" w:hAnsi="Arial Narrow"/>
      <w:noProof/>
      <w:sz w:val="18"/>
      <w:szCs w:val="18"/>
      <w:lang w:eastAsia="en-US"/>
    </w:rPr>
  </w:style>
  <w:style w:type="paragraph" w:customStyle="1" w:styleId="Comment">
    <w:name w:val="Comment"/>
    <w:basedOn w:val="Normal"/>
    <w:link w:val="CommentChar"/>
    <w:qFormat/>
    <w:rsid w:val="00F664CC"/>
    <w:pPr>
      <w:tabs>
        <w:tab w:val="num" w:pos="720"/>
      </w:tabs>
      <w:spacing w:after="240" w:line="312" w:lineRule="auto"/>
      <w:jc w:val="both"/>
    </w:pPr>
    <w:rPr>
      <w:rFonts w:ascii="Calibri" w:hAnsi="Calibri" w:cs="Tahoma"/>
      <w:i/>
      <w:sz w:val="22"/>
      <w:szCs w:val="22"/>
    </w:rPr>
  </w:style>
  <w:style w:type="character" w:customStyle="1" w:styleId="CommentChar">
    <w:name w:val="Comment Char"/>
    <w:basedOn w:val="DefaultParagraphFont"/>
    <w:link w:val="Comment"/>
    <w:rsid w:val="00F664CC"/>
    <w:rPr>
      <w:rFonts w:ascii="Calibri" w:eastAsia="Times New Roman" w:hAnsi="Calibri" w:cs="Tahoma"/>
      <w:i/>
      <w:sz w:val="22"/>
      <w:lang w:eastAsia="en-AU"/>
    </w:rPr>
  </w:style>
  <w:style w:type="character" w:customStyle="1" w:styleId="EStextChar">
    <w:name w:val="ES text Char"/>
    <w:basedOn w:val="DefaultParagraphFont"/>
    <w:link w:val="EStext"/>
    <w:locked/>
    <w:rsid w:val="0030702C"/>
    <w:rPr>
      <w:rFonts w:ascii="Calibri" w:hAnsi="Calibri" w:cs="Tahoma"/>
      <w:sz w:val="22"/>
    </w:rPr>
  </w:style>
  <w:style w:type="paragraph" w:customStyle="1" w:styleId="EStext">
    <w:name w:val="ES text"/>
    <w:basedOn w:val="Normal"/>
    <w:link w:val="EStextChar"/>
    <w:qFormat/>
    <w:rsid w:val="0030702C"/>
    <w:pPr>
      <w:spacing w:after="120"/>
      <w:jc w:val="both"/>
    </w:pPr>
    <w:rPr>
      <w:rFonts w:ascii="Calibri" w:eastAsiaTheme="minorHAnsi" w:hAnsi="Calibri" w:cs="Tahoma"/>
      <w:sz w:val="22"/>
      <w:szCs w:val="22"/>
      <w:lang w:eastAsia="en-US"/>
    </w:rPr>
  </w:style>
  <w:style w:type="paragraph" w:customStyle="1" w:styleId="TableText1">
    <w:name w:val="Table Text"/>
    <w:basedOn w:val="Normal"/>
    <w:link w:val="TableTextChar1"/>
    <w:qFormat/>
    <w:rsid w:val="00083FA7"/>
    <w:pPr>
      <w:keepNext/>
      <w:spacing w:before="40" w:after="40"/>
    </w:pPr>
    <w:rPr>
      <w:rFonts w:ascii="Arial Narrow" w:hAnsi="Arial Narrow" w:cs="Tahoma"/>
      <w:sz w:val="20"/>
      <w:szCs w:val="22"/>
      <w:lang w:eastAsia="en-US"/>
    </w:rPr>
  </w:style>
  <w:style w:type="character" w:customStyle="1" w:styleId="TableTextChar1">
    <w:name w:val="Table Text Char"/>
    <w:link w:val="TableText1"/>
    <w:rsid w:val="00083FA7"/>
    <w:rPr>
      <w:rFonts w:ascii="Arial Narrow" w:eastAsia="Times New Roman" w:hAnsi="Arial Narrow" w:cs="Tahoma"/>
      <w:sz w:val="20"/>
    </w:rPr>
  </w:style>
  <w:style w:type="table" w:customStyle="1" w:styleId="TableGrid1">
    <w:name w:val="Table Grid1"/>
    <w:basedOn w:val="TableNormal"/>
    <w:next w:val="TableGrid"/>
    <w:uiPriority w:val="59"/>
    <w:rsid w:val="00EC3402"/>
    <w:pPr>
      <w:spacing w:after="0" w:line="240" w:lineRule="auto"/>
    </w:pPr>
    <w:rPr>
      <w:rFonts w:eastAsia="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3111"/>
    <w:rPr>
      <w:color w:val="605E5C"/>
      <w:shd w:val="clear" w:color="auto" w:fill="E1DFDD"/>
    </w:rPr>
  </w:style>
  <w:style w:type="paragraph" w:customStyle="1" w:styleId="NormalBeforeBullet">
    <w:name w:val="NormalBeforeBullet"/>
    <w:basedOn w:val="Normal"/>
    <w:qFormat/>
    <w:rsid w:val="005552CD"/>
    <w:pPr>
      <w:keepNext/>
      <w:spacing w:after="120"/>
    </w:pPr>
    <w:rPr>
      <w:color w:val="000000"/>
    </w:rPr>
  </w:style>
  <w:style w:type="paragraph" w:customStyle="1" w:styleId="Default">
    <w:name w:val="Default"/>
    <w:rsid w:val="00B31172"/>
    <w:pPr>
      <w:autoSpaceDE w:val="0"/>
      <w:autoSpaceDN w:val="0"/>
      <w:adjustRightInd w:val="0"/>
      <w:spacing w:after="0" w:line="240" w:lineRule="auto"/>
    </w:pPr>
    <w:rPr>
      <w:rFonts w:ascii="Arial Narrow" w:eastAsia="Times New Roman" w:hAnsi="Arial Narrow" w:cs="Arial Narrow"/>
      <w:color w:val="000000"/>
      <w:szCs w:val="24"/>
      <w:lang w:eastAsia="en-AU"/>
    </w:rPr>
  </w:style>
  <w:style w:type="character" w:styleId="FollowedHyperlink">
    <w:name w:val="FollowedHyperlink"/>
    <w:basedOn w:val="DefaultParagraphFont"/>
    <w:uiPriority w:val="99"/>
    <w:semiHidden/>
    <w:unhideWhenUsed/>
    <w:rsid w:val="008E799D"/>
    <w:rPr>
      <w:color w:val="800080" w:themeColor="followedHyperlink"/>
      <w:u w:val="single"/>
    </w:rPr>
  </w:style>
  <w:style w:type="paragraph" w:styleId="Revision">
    <w:name w:val="Revision"/>
    <w:hidden/>
    <w:uiPriority w:val="99"/>
    <w:semiHidden/>
    <w:rsid w:val="005B73B2"/>
    <w:pPr>
      <w:spacing w:after="0" w:line="240" w:lineRule="auto"/>
    </w:pPr>
    <w:rPr>
      <w:rFonts w:eastAsia="Times New Roman" w:cs="Times New Roman"/>
      <w:szCs w:val="20"/>
      <w:lang w:eastAsia="en-AU"/>
    </w:rPr>
  </w:style>
  <w:style w:type="paragraph" w:styleId="Subtitle">
    <w:name w:val="Subtitle"/>
    <w:basedOn w:val="Normal"/>
    <w:next w:val="Normal"/>
    <w:link w:val="SubtitleChar"/>
    <w:qFormat/>
    <w:rsid w:val="006431C1"/>
    <w:pPr>
      <w:spacing w:before="120"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6431C1"/>
    <w:rPr>
      <w:rFonts w:ascii="Arial" w:eastAsia="Times New Roman" w:hAnsi="Arial" w:cs="Arial"/>
      <w:b/>
      <w:bCs/>
      <w:i/>
      <w:color w:val="000080"/>
      <w:sz w:val="28"/>
      <w:szCs w:val="28"/>
      <w:lang w:eastAsia="en-AU"/>
    </w:rPr>
  </w:style>
  <w:style w:type="paragraph" w:customStyle="1" w:styleId="TableName">
    <w:name w:val="TableName"/>
    <w:basedOn w:val="TableText0"/>
    <w:rsid w:val="0088629E"/>
    <w:pPr>
      <w:tabs>
        <w:tab w:val="left" w:pos="1080"/>
      </w:tabs>
      <w:spacing w:before="120" w:after="120" w:line="240" w:lineRule="auto"/>
      <w:ind w:left="1080" w:hanging="1080"/>
    </w:pPr>
    <w:rPr>
      <w:rFonts w:ascii="Times New Roman" w:hAnsi="Times New Roman" w:cs="Times New Roman"/>
      <w:b/>
      <w:bCs/>
      <w:color w:val="000000"/>
      <w:sz w:val="22"/>
      <w:szCs w:val="21"/>
    </w:rPr>
  </w:style>
  <w:style w:type="paragraph" w:customStyle="1" w:styleId="BulletBeforeDash">
    <w:name w:val="BulletBeforeDash"/>
    <w:basedOn w:val="Normal"/>
    <w:rsid w:val="0088629E"/>
    <w:pPr>
      <w:numPr>
        <w:numId w:val="33"/>
      </w:numPr>
      <w:ind w:left="720"/>
    </w:pPr>
    <w:rPr>
      <w:color w:val="000000"/>
    </w:rPr>
  </w:style>
  <w:style w:type="paragraph" w:customStyle="1" w:styleId="Bullet">
    <w:name w:val="Bullet"/>
    <w:basedOn w:val="BulletBeforeDash"/>
    <w:qFormat/>
    <w:rsid w:val="0088629E"/>
    <w:pPr>
      <w:spacing w:after="120"/>
    </w:pPr>
  </w:style>
  <w:style w:type="paragraph" w:customStyle="1" w:styleId="BulletLast">
    <w:name w:val="BulletLast"/>
    <w:basedOn w:val="Bullet"/>
    <w:qFormat/>
    <w:rsid w:val="0088629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44934">
      <w:bodyDiv w:val="1"/>
      <w:marLeft w:val="0"/>
      <w:marRight w:val="0"/>
      <w:marTop w:val="0"/>
      <w:marBottom w:val="0"/>
      <w:divBdr>
        <w:top w:val="none" w:sz="0" w:space="0" w:color="auto"/>
        <w:left w:val="none" w:sz="0" w:space="0" w:color="auto"/>
        <w:bottom w:val="none" w:sz="0" w:space="0" w:color="auto"/>
        <w:right w:val="none" w:sz="0" w:space="0" w:color="auto"/>
      </w:divBdr>
    </w:div>
    <w:div w:id="289477130">
      <w:bodyDiv w:val="1"/>
      <w:marLeft w:val="0"/>
      <w:marRight w:val="0"/>
      <w:marTop w:val="0"/>
      <w:marBottom w:val="0"/>
      <w:divBdr>
        <w:top w:val="none" w:sz="0" w:space="0" w:color="auto"/>
        <w:left w:val="none" w:sz="0" w:space="0" w:color="auto"/>
        <w:bottom w:val="none" w:sz="0" w:space="0" w:color="auto"/>
        <w:right w:val="none" w:sz="0" w:space="0" w:color="auto"/>
      </w:divBdr>
    </w:div>
    <w:div w:id="482165268">
      <w:bodyDiv w:val="1"/>
      <w:marLeft w:val="0"/>
      <w:marRight w:val="0"/>
      <w:marTop w:val="0"/>
      <w:marBottom w:val="0"/>
      <w:divBdr>
        <w:top w:val="none" w:sz="0" w:space="0" w:color="auto"/>
        <w:left w:val="none" w:sz="0" w:space="0" w:color="auto"/>
        <w:bottom w:val="none" w:sz="0" w:space="0" w:color="auto"/>
        <w:right w:val="none" w:sz="0" w:space="0" w:color="auto"/>
      </w:divBdr>
      <w:divsChild>
        <w:div w:id="1180008075">
          <w:marLeft w:val="274"/>
          <w:marRight w:val="0"/>
          <w:marTop w:val="0"/>
          <w:marBottom w:val="0"/>
          <w:divBdr>
            <w:top w:val="none" w:sz="0" w:space="0" w:color="auto"/>
            <w:left w:val="none" w:sz="0" w:space="0" w:color="auto"/>
            <w:bottom w:val="none" w:sz="0" w:space="0" w:color="auto"/>
            <w:right w:val="none" w:sz="0" w:space="0" w:color="auto"/>
          </w:divBdr>
        </w:div>
        <w:div w:id="540092059">
          <w:marLeft w:val="274"/>
          <w:marRight w:val="0"/>
          <w:marTop w:val="0"/>
          <w:marBottom w:val="0"/>
          <w:divBdr>
            <w:top w:val="none" w:sz="0" w:space="0" w:color="auto"/>
            <w:left w:val="none" w:sz="0" w:space="0" w:color="auto"/>
            <w:bottom w:val="none" w:sz="0" w:space="0" w:color="auto"/>
            <w:right w:val="none" w:sz="0" w:space="0" w:color="auto"/>
          </w:divBdr>
        </w:div>
      </w:divsChild>
    </w:div>
    <w:div w:id="575673671">
      <w:bodyDiv w:val="1"/>
      <w:marLeft w:val="0"/>
      <w:marRight w:val="0"/>
      <w:marTop w:val="0"/>
      <w:marBottom w:val="0"/>
      <w:divBdr>
        <w:top w:val="none" w:sz="0" w:space="0" w:color="auto"/>
        <w:left w:val="none" w:sz="0" w:space="0" w:color="auto"/>
        <w:bottom w:val="none" w:sz="0" w:space="0" w:color="auto"/>
        <w:right w:val="none" w:sz="0" w:space="0" w:color="auto"/>
      </w:divBdr>
    </w:div>
    <w:div w:id="652831823">
      <w:bodyDiv w:val="1"/>
      <w:marLeft w:val="0"/>
      <w:marRight w:val="0"/>
      <w:marTop w:val="0"/>
      <w:marBottom w:val="0"/>
      <w:divBdr>
        <w:top w:val="none" w:sz="0" w:space="0" w:color="auto"/>
        <w:left w:val="none" w:sz="0" w:space="0" w:color="auto"/>
        <w:bottom w:val="none" w:sz="0" w:space="0" w:color="auto"/>
        <w:right w:val="none" w:sz="0" w:space="0" w:color="auto"/>
      </w:divBdr>
    </w:div>
    <w:div w:id="961613127">
      <w:bodyDiv w:val="1"/>
      <w:marLeft w:val="0"/>
      <w:marRight w:val="0"/>
      <w:marTop w:val="0"/>
      <w:marBottom w:val="0"/>
      <w:divBdr>
        <w:top w:val="none" w:sz="0" w:space="0" w:color="auto"/>
        <w:left w:val="none" w:sz="0" w:space="0" w:color="auto"/>
        <w:bottom w:val="none" w:sz="0" w:space="0" w:color="auto"/>
        <w:right w:val="none" w:sz="0" w:space="0" w:color="auto"/>
      </w:divBdr>
    </w:div>
    <w:div w:id="1164667591">
      <w:bodyDiv w:val="1"/>
      <w:marLeft w:val="0"/>
      <w:marRight w:val="0"/>
      <w:marTop w:val="0"/>
      <w:marBottom w:val="0"/>
      <w:divBdr>
        <w:top w:val="none" w:sz="0" w:space="0" w:color="auto"/>
        <w:left w:val="none" w:sz="0" w:space="0" w:color="auto"/>
        <w:bottom w:val="none" w:sz="0" w:space="0" w:color="auto"/>
        <w:right w:val="none" w:sz="0" w:space="0" w:color="auto"/>
      </w:divBdr>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426416047">
      <w:bodyDiv w:val="1"/>
      <w:marLeft w:val="0"/>
      <w:marRight w:val="0"/>
      <w:marTop w:val="0"/>
      <w:marBottom w:val="0"/>
      <w:divBdr>
        <w:top w:val="none" w:sz="0" w:space="0" w:color="auto"/>
        <w:left w:val="none" w:sz="0" w:space="0" w:color="auto"/>
        <w:bottom w:val="none" w:sz="0" w:space="0" w:color="auto"/>
        <w:right w:val="none" w:sz="0" w:space="0" w:color="auto"/>
      </w:divBdr>
    </w:div>
    <w:div w:id="1615794932">
      <w:bodyDiv w:val="1"/>
      <w:marLeft w:val="0"/>
      <w:marRight w:val="0"/>
      <w:marTop w:val="0"/>
      <w:marBottom w:val="0"/>
      <w:divBdr>
        <w:top w:val="none" w:sz="0" w:space="0" w:color="auto"/>
        <w:left w:val="none" w:sz="0" w:space="0" w:color="auto"/>
        <w:bottom w:val="none" w:sz="0" w:space="0" w:color="auto"/>
        <w:right w:val="none" w:sz="0" w:space="0" w:color="auto"/>
      </w:divBdr>
    </w:div>
    <w:div w:id="1684357218">
      <w:bodyDiv w:val="1"/>
      <w:marLeft w:val="0"/>
      <w:marRight w:val="0"/>
      <w:marTop w:val="0"/>
      <w:marBottom w:val="0"/>
      <w:divBdr>
        <w:top w:val="none" w:sz="0" w:space="0" w:color="auto"/>
        <w:left w:val="none" w:sz="0" w:space="0" w:color="auto"/>
        <w:bottom w:val="none" w:sz="0" w:space="0" w:color="auto"/>
        <w:right w:val="none" w:sz="0" w:space="0" w:color="auto"/>
      </w:divBdr>
    </w:div>
    <w:div w:id="1872575567">
      <w:bodyDiv w:val="1"/>
      <w:marLeft w:val="0"/>
      <w:marRight w:val="0"/>
      <w:marTop w:val="0"/>
      <w:marBottom w:val="0"/>
      <w:divBdr>
        <w:top w:val="none" w:sz="0" w:space="0" w:color="auto"/>
        <w:left w:val="none" w:sz="0" w:space="0" w:color="auto"/>
        <w:bottom w:val="none" w:sz="0" w:space="0" w:color="auto"/>
        <w:right w:val="none" w:sz="0" w:space="0" w:color="auto"/>
      </w:divBdr>
    </w:div>
    <w:div w:id="2046059366">
      <w:bodyDiv w:val="1"/>
      <w:marLeft w:val="0"/>
      <w:marRight w:val="0"/>
      <w:marTop w:val="0"/>
      <w:marBottom w:val="0"/>
      <w:divBdr>
        <w:top w:val="none" w:sz="0" w:space="0" w:color="auto"/>
        <w:left w:val="none" w:sz="0" w:space="0" w:color="auto"/>
        <w:bottom w:val="none" w:sz="0" w:space="0" w:color="auto"/>
        <w:right w:val="none" w:sz="0" w:space="0" w:color="auto"/>
      </w:divBdr>
    </w:div>
    <w:div w:id="2080246506">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17E39DC9F1DE6FB4CA25850B00045325/$File/1614%20Final%20PSD%20-%20Mar-Apr%202021_redacted.docx" TargetMode="External"/><Relationship Id="rId18" Type="http://schemas.openxmlformats.org/officeDocument/2006/relationships/hyperlink" Target="file:///I:\Staging\MSAC%20Reform%20Products\Documents\2.%20ESC\2022\ESC%20-%20February%202022\1614.1-%20ADAR%20-%20(received)\04.%201614.1_MRgFUS_EssentialTremor_Final%20Commentary.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msac.gov.au/internet/msac/publishing.nsf/Content/17E39DC9F1DE6FB4CA25850B00045325/$File/1614%20Final%20PSD%20-%20Mar-Apr%202021_redacted.docx" TargetMode="External"/><Relationship Id="rId17" Type="http://schemas.openxmlformats.org/officeDocument/2006/relationships/hyperlink" Target="file:///I:\Staging\MSAC%20Reform%20Products\Documents\2.%20ESC\2022\ESC%20-%20February%202022\1614.1-%20ADAR%20-%20(received)\04.%201614.1_MRgFUS_EssentialTremor_Final%20Commentary.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I:\Staging\MSAC%20Reform%20Products\Documents\2.%20ESC\2022\ESC%20-%20February%202022\1614.1-%20ADAR%20-%20(received)\04.%201614.1_MRgFUS_EssentialTremor_Final%20Commentary.docx" TargetMode="Externa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7E39DC9F1DE6FB4CA25850B00045325/$File/1614%20Final%20PSD%20-%20Mar-Apr%202021_redacted.docx" TargetMode="External"/><Relationship Id="rId24" Type="http://schemas.openxmlformats.org/officeDocument/2006/relationships/hyperlink" Target="http://msac.gov.au/internet/msac/publishing.nsf/Content/Home-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I:\Staging\MSAC%20Reform%20Products\Documents\2.%20ESC\2022\ESC%20-%20February%202022\1614.1-%20ADAR%20-%20(received)\04.%201614.1_MRgFUS_EssentialTremor_Final%20Commentary.docx" TargetMode="External"/><Relationship Id="rId23" Type="http://schemas.openxmlformats.org/officeDocument/2006/relationships/image" Target="media/image5.png"/><Relationship Id="rId28" Type="http://schemas.openxmlformats.org/officeDocument/2006/relationships/footer" Target="footer2.xml"/><Relationship Id="rId10" Type="http://schemas.openxmlformats.org/officeDocument/2006/relationships/hyperlink" Target="http://www.msac.gov.au/internet/msac/publishing.nsf/Content/17E39DC9F1DE6FB4CA25850B00045325/$File/1614%20Final%20PSD%20-%20Mar-Apr%202021_redacted.docx" TargetMode="External"/><Relationship Id="rId19" Type="http://schemas.openxmlformats.org/officeDocument/2006/relationships/hyperlink" Target="file:///I:\Staging\MSAC%20Reform%20Products\Documents\2.%20ESC\2022\ESC%20-%20February%202022\1614.1-%20ADAR%20-%20(received)\04.%201614.1_MRgFUS_EssentialTremor_Final%20Commentary.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sac.gov.au/internet/msac/publishing.nsf/Content/1614-public" TargetMode="External"/><Relationship Id="rId14" Type="http://schemas.openxmlformats.org/officeDocument/2006/relationships/hyperlink" Target="file:///I:\Staging\MSAC%20Reform%20Products\Documents\2.%20ESC\2022\ESC%20-%20February%202022\1614.1-%20ADAR%20-%20(received)\04.%201614.1_MRgFUS_EssentialTremor_Final%20Commentary.docx"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25D8-F6E3-4256-B896-AD345266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17458</Words>
  <Characters>99514</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2022-06-21T00:18:00Z</dcterms:created>
  <dcterms:modified xsi:type="dcterms:W3CDTF">2022-06-21T00:18:00Z</dcterms:modified>
</cp:coreProperties>
</file>