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715ED" w14:textId="77777777" w:rsidR="00E44B80" w:rsidRPr="00A41F07" w:rsidRDefault="00E44B80" w:rsidP="00E44B80">
      <w:pPr>
        <w:jc w:val="center"/>
        <w:rPr>
          <w:b/>
          <w:szCs w:val="20"/>
        </w:rPr>
      </w:pPr>
      <w:r w:rsidRPr="00A41F07">
        <w:rPr>
          <w:b/>
          <w:noProof/>
          <w:szCs w:val="20"/>
          <w:lang w:eastAsia="en-AU"/>
        </w:rPr>
        <w:drawing>
          <wp:inline distT="0" distB="0" distL="0" distR="0" wp14:anchorId="58271A76" wp14:editId="58271A77">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C795AAB" w14:textId="56985D1D" w:rsidR="009B72B6" w:rsidRPr="009B72B6" w:rsidRDefault="008B2610" w:rsidP="009B72B6">
      <w:pPr>
        <w:pStyle w:val="Title"/>
        <w:spacing w:before="2600"/>
      </w:pPr>
      <w:r w:rsidRPr="00A41F07">
        <w:t>Application Form</w:t>
      </w:r>
      <w:bookmarkStart w:id="0" w:name="_GoBack"/>
      <w:bookmarkEnd w:id="0"/>
    </w:p>
    <w:p w14:paraId="582715EF" w14:textId="77777777" w:rsidR="00E44B80" w:rsidRPr="00A41F07" w:rsidRDefault="00E44B80" w:rsidP="00EB0182">
      <w:pPr>
        <w:pStyle w:val="Title"/>
        <w:spacing w:before="240"/>
        <w:rPr>
          <w:sz w:val="28"/>
          <w:szCs w:val="28"/>
        </w:rPr>
      </w:pPr>
      <w:r w:rsidRPr="00A41F07">
        <w:rPr>
          <w:sz w:val="28"/>
          <w:szCs w:val="28"/>
        </w:rPr>
        <w:t>(</w:t>
      </w:r>
      <w:r w:rsidR="001906CD" w:rsidRPr="00A41F07">
        <w:rPr>
          <w:sz w:val="28"/>
          <w:szCs w:val="28"/>
        </w:rPr>
        <w:t>New and Amended</w:t>
      </w:r>
      <w:r w:rsidR="00EB0182" w:rsidRPr="00A41F07">
        <w:rPr>
          <w:sz w:val="28"/>
          <w:szCs w:val="28"/>
        </w:rPr>
        <w:t xml:space="preserve"> </w:t>
      </w:r>
      <w:r w:rsidR="003433D1" w:rsidRPr="00A41F07">
        <w:rPr>
          <w:sz w:val="28"/>
          <w:szCs w:val="28"/>
        </w:rPr>
        <w:t>Requests for Public Funding</w:t>
      </w:r>
      <w:r w:rsidR="008B2610" w:rsidRPr="00A41F07">
        <w:rPr>
          <w:sz w:val="28"/>
          <w:szCs w:val="28"/>
        </w:rPr>
        <w:t>)</w:t>
      </w:r>
    </w:p>
    <w:p w14:paraId="582715F0" w14:textId="77777777" w:rsidR="00EB0182" w:rsidRPr="00A41F07" w:rsidRDefault="003013A9" w:rsidP="006751A9">
      <w:pPr>
        <w:jc w:val="center"/>
        <w:rPr>
          <w:rFonts w:ascii="Arial" w:hAnsi="Arial" w:cs="Arial"/>
          <w:b/>
          <w:sz w:val="52"/>
          <w:szCs w:val="52"/>
        </w:rPr>
      </w:pPr>
      <w:r w:rsidRPr="00A41F07">
        <w:rPr>
          <w:sz w:val="28"/>
          <w:szCs w:val="28"/>
        </w:rPr>
        <w:t xml:space="preserve">(Version </w:t>
      </w:r>
      <w:r w:rsidR="0005089D" w:rsidRPr="00A41F07">
        <w:rPr>
          <w:sz w:val="28"/>
          <w:szCs w:val="28"/>
        </w:rPr>
        <w:t>2.</w:t>
      </w:r>
      <w:r w:rsidR="00FF1A00" w:rsidRPr="00A41F07">
        <w:rPr>
          <w:sz w:val="28"/>
          <w:szCs w:val="28"/>
        </w:rPr>
        <w:t>5</w:t>
      </w:r>
      <w:r w:rsidR="00EB0182" w:rsidRPr="00A41F07">
        <w:rPr>
          <w:sz w:val="28"/>
          <w:szCs w:val="28"/>
        </w:rPr>
        <w:t>)</w:t>
      </w:r>
    </w:p>
    <w:p w14:paraId="582715F1" w14:textId="77777777" w:rsidR="00EB0182" w:rsidRPr="00A41F07" w:rsidRDefault="00EB0182" w:rsidP="003F7CB9">
      <w:pPr>
        <w:rPr>
          <w:rFonts w:ascii="Arial" w:hAnsi="Arial" w:cs="Arial"/>
          <w:b/>
          <w:sz w:val="52"/>
          <w:szCs w:val="52"/>
        </w:rPr>
      </w:pPr>
    </w:p>
    <w:p w14:paraId="582715F2" w14:textId="77777777" w:rsidR="00EB0182" w:rsidRPr="00A41F07" w:rsidRDefault="00EB0182" w:rsidP="003F7CB9">
      <w:pPr>
        <w:rPr>
          <w:rFonts w:ascii="Arial" w:hAnsi="Arial" w:cs="Arial"/>
          <w:b/>
          <w:sz w:val="52"/>
          <w:szCs w:val="52"/>
        </w:rPr>
      </w:pPr>
    </w:p>
    <w:p w14:paraId="582715F3" w14:textId="77777777" w:rsidR="00E44B80" w:rsidRPr="00A41F07" w:rsidRDefault="00300EEB" w:rsidP="003F7CB9">
      <w:r w:rsidRPr="00A41F07">
        <w:t>T</w:t>
      </w:r>
      <w:r w:rsidR="008B2610" w:rsidRPr="00A41F07">
        <w:t xml:space="preserve">his application form is to be completed for new and amended </w:t>
      </w:r>
      <w:r w:rsidR="003433D1" w:rsidRPr="00A41F07">
        <w:t xml:space="preserve">requests for public funding (including but not limited to the </w:t>
      </w:r>
      <w:r w:rsidR="008B2610" w:rsidRPr="00A41F07">
        <w:t>Medicare Benefits Schedule (MBS)</w:t>
      </w:r>
      <w:r w:rsidR="003433D1" w:rsidRPr="00A41F07">
        <w:t>)</w:t>
      </w:r>
      <w:r w:rsidR="008B2610" w:rsidRPr="00A41F07">
        <w:t>.  It describes the detailed information that the</w:t>
      </w:r>
      <w:r w:rsidR="009F5758" w:rsidRPr="00A41F07">
        <w:t xml:space="preserve"> Australian Government</w:t>
      </w:r>
      <w:r w:rsidR="008B2610" w:rsidRPr="00A41F07">
        <w:t xml:space="preserve"> Department of Health requires in order to determine whether </w:t>
      </w:r>
      <w:r w:rsidR="003433D1" w:rsidRPr="00A41F07">
        <w:t>a</w:t>
      </w:r>
      <w:r w:rsidR="008B2610" w:rsidRPr="00A41F07">
        <w:t xml:space="preserve"> proposed </w:t>
      </w:r>
      <w:r w:rsidR="003433D1" w:rsidRPr="00A41F07">
        <w:t xml:space="preserve">medical </w:t>
      </w:r>
      <w:r w:rsidR="008B2610" w:rsidRPr="00A41F07">
        <w:t>service is suitable.</w:t>
      </w:r>
    </w:p>
    <w:p w14:paraId="582715F4" w14:textId="77777777" w:rsidR="008B2610" w:rsidRPr="00A41F07" w:rsidRDefault="008B2610" w:rsidP="003F7CB9">
      <w:r w:rsidRPr="00A41F07">
        <w:t>Please use this template, along with the associated Application Form Guidelines to prepare your application.  Please complete all questions that are applicable to the proposed service, providing relevant information only.</w:t>
      </w:r>
      <w:r w:rsidR="009F5758" w:rsidRPr="00A41F07">
        <w:t xml:space="preserve">  Applications not completed in full will not be accepted.</w:t>
      </w:r>
    </w:p>
    <w:p w14:paraId="582715F5" w14:textId="77777777" w:rsidR="00EB0182" w:rsidRPr="00A41F07" w:rsidRDefault="00EB0182" w:rsidP="00EB0182">
      <w:pPr>
        <w:jc w:val="both"/>
        <w:rPr>
          <w:szCs w:val="20"/>
        </w:rPr>
      </w:pPr>
      <w:r w:rsidRPr="00A41F07">
        <w:rPr>
          <w:szCs w:val="20"/>
        </w:rPr>
        <w:t xml:space="preserve">The application form will be disseminated to professional bodies / organisations and consumer organisations that have </w:t>
      </w:r>
      <w:r w:rsidR="004A68EF" w:rsidRPr="00A41F07">
        <w:rPr>
          <w:szCs w:val="20"/>
        </w:rPr>
        <w:t xml:space="preserve">will </w:t>
      </w:r>
      <w:r w:rsidRPr="00A41F07">
        <w:rPr>
          <w:szCs w:val="20"/>
        </w:rPr>
        <w:t xml:space="preserve">be identified in Part 5, and any additional groups that the Department </w:t>
      </w:r>
      <w:r w:rsidR="004A68EF" w:rsidRPr="00A41F07">
        <w:rPr>
          <w:szCs w:val="20"/>
        </w:rPr>
        <w:t>deem</w:t>
      </w:r>
      <w:r w:rsidRPr="00A41F07">
        <w:rPr>
          <w:szCs w:val="20"/>
        </w:rPr>
        <w:t xml:space="preserve"> should be consulted with.</w:t>
      </w:r>
      <w:r w:rsidR="004A68EF" w:rsidRPr="00A41F07">
        <w:rPr>
          <w:szCs w:val="20"/>
        </w:rPr>
        <w:t xml:space="preserve">  </w:t>
      </w:r>
      <w:r w:rsidRPr="00A41F07">
        <w:rPr>
          <w:szCs w:val="20"/>
        </w:rPr>
        <w:t>The application form, with relevant material can be redacted if requested by the Applicant.</w:t>
      </w:r>
    </w:p>
    <w:p w14:paraId="582715F6" w14:textId="77777777" w:rsidR="008B2610" w:rsidRPr="00A41F07" w:rsidRDefault="009F5758" w:rsidP="003F7CB9">
      <w:r w:rsidRPr="00A41F07">
        <w:t>Should you require any further assistance, d</w:t>
      </w:r>
      <w:r w:rsidR="008B2610" w:rsidRPr="00A41F07">
        <w:t>epartmental staff are available through the contact numbers and email below to discuss</w:t>
      </w:r>
      <w:r w:rsidRPr="00A41F07">
        <w:t xml:space="preserve"> the application form, or any other component of the Medical Services Advisory Committee process.</w:t>
      </w:r>
    </w:p>
    <w:p w14:paraId="582715F7" w14:textId="77777777" w:rsidR="008B2610" w:rsidRPr="00A41F07" w:rsidRDefault="009F5758" w:rsidP="003F7CB9">
      <w:pPr>
        <w:spacing w:before="0" w:after="0"/>
      </w:pPr>
      <w:r w:rsidRPr="00A41F07">
        <w:t>Phone:  +61 2 6289 7550</w:t>
      </w:r>
    </w:p>
    <w:p w14:paraId="582715F8" w14:textId="77777777" w:rsidR="009F5758" w:rsidRPr="00A41F07" w:rsidRDefault="009F5758" w:rsidP="003F7CB9">
      <w:pPr>
        <w:spacing w:before="0" w:after="0"/>
      </w:pPr>
      <w:r w:rsidRPr="00A41F07">
        <w:t>Fax:  +61 2 6289 5540</w:t>
      </w:r>
    </w:p>
    <w:p w14:paraId="582715F9" w14:textId="77777777" w:rsidR="009F5758" w:rsidRPr="00A41F07" w:rsidRDefault="009F5758" w:rsidP="003F7CB9">
      <w:pPr>
        <w:spacing w:before="0" w:after="0"/>
      </w:pPr>
      <w:r w:rsidRPr="00A41F07">
        <w:t xml:space="preserve">Email:  </w:t>
      </w:r>
      <w:hyperlink r:id="rId10" w:tooltip="click here to email the Department of Health HTA Team" w:history="1">
        <w:r w:rsidRPr="00A41F07">
          <w:rPr>
            <w:rStyle w:val="Hyperlink"/>
            <w:szCs w:val="20"/>
          </w:rPr>
          <w:t>hta@health.gov.au</w:t>
        </w:r>
      </w:hyperlink>
    </w:p>
    <w:p w14:paraId="582715FA" w14:textId="77777777" w:rsidR="009F5758" w:rsidRPr="00A41F07" w:rsidRDefault="009F5758" w:rsidP="003F7CB9">
      <w:pPr>
        <w:spacing w:before="0" w:after="0"/>
      </w:pPr>
      <w:r w:rsidRPr="00A41F07">
        <w:t xml:space="preserve">Website:  </w:t>
      </w:r>
      <w:hyperlink r:id="rId11" w:tooltip="click here to visit the Medical Services Advisory Committee website" w:history="1">
        <w:r w:rsidR="008E6227" w:rsidRPr="00A41F07">
          <w:rPr>
            <w:rStyle w:val="Hyperlink"/>
          </w:rPr>
          <w:t>www.msac.gov.au</w:t>
        </w:r>
      </w:hyperlink>
      <w:r w:rsidR="008E6227" w:rsidRPr="00A41F07">
        <w:t xml:space="preserve"> </w:t>
      </w:r>
      <w:r w:rsidR="001A02E3" w:rsidRPr="00A41F07">
        <w:t xml:space="preserve"> </w:t>
      </w:r>
    </w:p>
    <w:p w14:paraId="582715FB" w14:textId="77777777" w:rsidR="001D77ED" w:rsidRPr="00A41F07" w:rsidRDefault="00D73646" w:rsidP="006751A9">
      <w:bookmarkStart w:id="1" w:name="_Toc443555803"/>
      <w:r w:rsidRPr="00A41F07">
        <w:rPr>
          <w:rStyle w:val="IntenseReference"/>
        </w:rPr>
        <w:br w:type="page"/>
      </w:r>
      <w:bookmarkEnd w:id="1"/>
    </w:p>
    <w:p w14:paraId="582715FC" w14:textId="77777777" w:rsidR="00E04FB3" w:rsidRPr="00CB10B9" w:rsidRDefault="00494011" w:rsidP="00A8732C">
      <w:pPr>
        <w:pStyle w:val="Heading1"/>
      </w:pPr>
      <w:r w:rsidRPr="00CB10B9">
        <w:lastRenderedPageBreak/>
        <w:t>PART 1</w:t>
      </w:r>
      <w:r w:rsidR="00F93784" w:rsidRPr="00CB10B9">
        <w:t xml:space="preserve"> – </w:t>
      </w:r>
      <w:r w:rsidR="00E04FB3" w:rsidRPr="00CB10B9">
        <w:t>APPLICANT DETAILS</w:t>
      </w:r>
    </w:p>
    <w:p w14:paraId="582715FD" w14:textId="77777777" w:rsidR="00392F00" w:rsidRPr="00CB10B9" w:rsidRDefault="00D57F88" w:rsidP="004A0BF4">
      <w:pPr>
        <w:pStyle w:val="Heading2"/>
      </w:pPr>
      <w:r w:rsidRPr="00CB10B9">
        <w:t>Applicant d</w:t>
      </w:r>
      <w:r w:rsidR="00392F00" w:rsidRPr="00CB10B9">
        <w:t>etails</w:t>
      </w:r>
      <w:r w:rsidR="000D066E" w:rsidRPr="00CB10B9">
        <w:t xml:space="preserve"> (primary and alternative contacts)</w:t>
      </w:r>
    </w:p>
    <w:p w14:paraId="582715FE" w14:textId="77777777" w:rsidR="00C171FB" w:rsidRPr="00CB10B9" w:rsidRDefault="00C171FB" w:rsidP="00CB10B9">
      <w:pPr>
        <w:pBdr>
          <w:top w:val="single" w:sz="4" w:space="1" w:color="auto"/>
          <w:left w:val="single" w:sz="4" w:space="4" w:color="auto"/>
          <w:bottom w:val="single" w:sz="4" w:space="0" w:color="auto"/>
          <w:right w:val="single" w:sz="4" w:space="4" w:color="auto"/>
        </w:pBdr>
      </w:pPr>
      <w:r w:rsidRPr="00CB10B9">
        <w:t xml:space="preserve">Corporation / partnership details (where relevant): </w:t>
      </w:r>
    </w:p>
    <w:p w14:paraId="582715FF" w14:textId="77777777" w:rsidR="00C171FB" w:rsidRPr="00CB10B9" w:rsidRDefault="00C171FB" w:rsidP="00CB10B9">
      <w:pPr>
        <w:pBdr>
          <w:top w:val="single" w:sz="4" w:space="1" w:color="auto"/>
          <w:left w:val="single" w:sz="4" w:space="4" w:color="auto"/>
          <w:bottom w:val="single" w:sz="4" w:space="0" w:color="auto"/>
          <w:right w:val="single" w:sz="4" w:space="4" w:color="auto"/>
        </w:pBdr>
      </w:pPr>
      <w:r w:rsidRPr="00CB10B9">
        <w:t xml:space="preserve">Corporation name: </w:t>
      </w:r>
    </w:p>
    <w:p w14:paraId="58271600" w14:textId="77777777" w:rsidR="00C171FB" w:rsidRPr="00CB10B9" w:rsidRDefault="00C171FB" w:rsidP="00CB10B9">
      <w:pPr>
        <w:pBdr>
          <w:top w:val="single" w:sz="4" w:space="1" w:color="auto"/>
          <w:left w:val="single" w:sz="4" w:space="4" w:color="auto"/>
          <w:bottom w:val="single" w:sz="4" w:space="0" w:color="auto"/>
          <w:right w:val="single" w:sz="4" w:space="4" w:color="auto"/>
        </w:pBdr>
      </w:pPr>
      <w:r w:rsidRPr="00CB10B9">
        <w:t xml:space="preserve">ABN: </w:t>
      </w:r>
    </w:p>
    <w:p w14:paraId="58271601" w14:textId="77777777" w:rsidR="00C171FB" w:rsidRPr="00CB10B9" w:rsidRDefault="00C171FB" w:rsidP="00CB10B9">
      <w:pPr>
        <w:pBdr>
          <w:top w:val="single" w:sz="4" w:space="1" w:color="auto"/>
          <w:left w:val="single" w:sz="4" w:space="4" w:color="auto"/>
          <w:bottom w:val="single" w:sz="4" w:space="0" w:color="auto"/>
          <w:right w:val="single" w:sz="4" w:space="4" w:color="auto"/>
        </w:pBdr>
      </w:pPr>
      <w:r w:rsidRPr="00CB10B9">
        <w:t xml:space="preserve">Business trading name: </w:t>
      </w:r>
    </w:p>
    <w:p w14:paraId="58271602" w14:textId="77777777" w:rsidR="00C171FB" w:rsidRPr="000C0D66" w:rsidRDefault="00C171FB" w:rsidP="00C171FB">
      <w:pPr>
        <w:rPr>
          <w:highlight w:val="yellow"/>
        </w:rPr>
      </w:pPr>
    </w:p>
    <w:p w14:paraId="58271603" w14:textId="77777777" w:rsidR="00C171FB" w:rsidRPr="00CB10B9" w:rsidRDefault="00C171FB" w:rsidP="00C171FB">
      <w:pPr>
        <w:rPr>
          <w:b/>
        </w:rPr>
      </w:pPr>
      <w:r w:rsidRPr="00CB10B9">
        <w:rPr>
          <w:b/>
        </w:rPr>
        <w:t xml:space="preserve">Primary contact name: </w:t>
      </w:r>
    </w:p>
    <w:p w14:paraId="58271604"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Primary contact numbers</w:t>
      </w:r>
    </w:p>
    <w:p w14:paraId="58271605"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 xml:space="preserve">Business: </w:t>
      </w:r>
    </w:p>
    <w:p w14:paraId="58271606"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Mobile:</w:t>
      </w:r>
      <w:r w:rsidRPr="00CB10B9">
        <w:tab/>
      </w:r>
      <w:r w:rsidR="00120B70" w:rsidRPr="00CB10B9">
        <w:t xml:space="preserve"> </w:t>
      </w:r>
    </w:p>
    <w:p w14:paraId="58271607" w14:textId="77777777" w:rsidR="00120B70" w:rsidRPr="00CB10B9" w:rsidRDefault="00C171FB" w:rsidP="00C171FB">
      <w:pPr>
        <w:pBdr>
          <w:top w:val="single" w:sz="4" w:space="1" w:color="auto"/>
          <w:left w:val="single" w:sz="4" w:space="4" w:color="auto"/>
          <w:bottom w:val="single" w:sz="4" w:space="1" w:color="auto"/>
          <w:right w:val="single" w:sz="4" w:space="4" w:color="auto"/>
        </w:pBdr>
      </w:pPr>
      <w:r w:rsidRPr="00CB10B9">
        <w:t xml:space="preserve">Email: </w:t>
      </w:r>
    </w:p>
    <w:p w14:paraId="58271608" w14:textId="77777777" w:rsidR="00C171FB" w:rsidRPr="000C0D66" w:rsidRDefault="00C171FB" w:rsidP="00C171FB">
      <w:pPr>
        <w:rPr>
          <w:b/>
          <w:highlight w:val="yellow"/>
        </w:rPr>
      </w:pPr>
    </w:p>
    <w:p w14:paraId="58271609" w14:textId="77777777" w:rsidR="00C171FB" w:rsidRPr="00CB10B9" w:rsidRDefault="00C171FB" w:rsidP="00C171FB">
      <w:pPr>
        <w:rPr>
          <w:b/>
        </w:rPr>
      </w:pPr>
      <w:r w:rsidRPr="00CB10B9">
        <w:rPr>
          <w:b/>
        </w:rPr>
        <w:t xml:space="preserve">Alternative contact name: </w:t>
      </w:r>
    </w:p>
    <w:p w14:paraId="5827160A"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Alternative contact numbers</w:t>
      </w:r>
      <w:r w:rsidRPr="00CB10B9">
        <w:tab/>
      </w:r>
    </w:p>
    <w:p w14:paraId="5827160B"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 xml:space="preserve">Business: </w:t>
      </w:r>
    </w:p>
    <w:p w14:paraId="5827160C" w14:textId="77777777" w:rsidR="00C171FB" w:rsidRPr="00CB10B9" w:rsidRDefault="00C171FB" w:rsidP="00C171FB">
      <w:pPr>
        <w:pBdr>
          <w:top w:val="single" w:sz="4" w:space="1" w:color="auto"/>
          <w:left w:val="single" w:sz="4" w:space="4" w:color="auto"/>
          <w:bottom w:val="single" w:sz="4" w:space="1" w:color="auto"/>
          <w:right w:val="single" w:sz="4" w:space="4" w:color="auto"/>
        </w:pBdr>
      </w:pPr>
      <w:r w:rsidRPr="00CB10B9">
        <w:t xml:space="preserve">Mobile: </w:t>
      </w:r>
    </w:p>
    <w:p w14:paraId="5827160D" w14:textId="77777777" w:rsidR="00C171FB" w:rsidRPr="00A41F07" w:rsidRDefault="00C171FB" w:rsidP="00C171FB">
      <w:pPr>
        <w:pBdr>
          <w:top w:val="single" w:sz="4" w:space="1" w:color="auto"/>
          <w:left w:val="single" w:sz="4" w:space="4" w:color="auto"/>
          <w:bottom w:val="single" w:sz="4" w:space="1" w:color="auto"/>
          <w:right w:val="single" w:sz="4" w:space="4" w:color="auto"/>
        </w:pBdr>
      </w:pPr>
      <w:r w:rsidRPr="00CB10B9">
        <w:t>Email:</w:t>
      </w:r>
      <w:r w:rsidRPr="00CB10B9">
        <w:rPr>
          <w:szCs w:val="20"/>
        </w:rPr>
        <w:t xml:space="preserve"> </w:t>
      </w:r>
    </w:p>
    <w:p w14:paraId="5827160E" w14:textId="77777777" w:rsidR="00C171FB" w:rsidRPr="00A41F07" w:rsidRDefault="00C171FB" w:rsidP="00C171FB"/>
    <w:p w14:paraId="5827160F" w14:textId="77777777" w:rsidR="00F34AEC" w:rsidRPr="00A41F07" w:rsidRDefault="00F34AEC" w:rsidP="00F34AEC">
      <w:pPr>
        <w:pStyle w:val="Heading2"/>
      </w:pPr>
      <w:r w:rsidRPr="00A41F07">
        <w:t>(a) Are you a consultant acting on behalf of an Applicant?</w:t>
      </w:r>
    </w:p>
    <w:p w14:paraId="58271610" w14:textId="77777777" w:rsidR="00F34AEC" w:rsidRPr="00A41F07" w:rsidRDefault="00F34AEC" w:rsidP="00F34AEC">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11" w14:textId="77777777" w:rsidR="00F34AEC" w:rsidRPr="00A41F07" w:rsidRDefault="00120B70" w:rsidP="00F34AEC">
      <w:pPr>
        <w:spacing w:before="0" w:after="0"/>
        <w:ind w:left="426"/>
        <w:rPr>
          <w:szCs w:val="20"/>
        </w:rPr>
      </w:pPr>
      <w:r w:rsidRPr="00A41F07">
        <w:rPr>
          <w:szCs w:val="20"/>
        </w:rPr>
        <w:fldChar w:fldCharType="begin">
          <w:ffData>
            <w:name w:val="Check2"/>
            <w:enabled/>
            <w:calcOnExit w:val="0"/>
            <w:checkBox>
              <w:sizeAuto/>
              <w:default w:val="1"/>
            </w:checkBox>
          </w:ffData>
        </w:fldChar>
      </w:r>
      <w:bookmarkStart w:id="2" w:name="Check2"/>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bookmarkEnd w:id="2"/>
      <w:r w:rsidR="00F34AEC" w:rsidRPr="00A41F07">
        <w:rPr>
          <w:szCs w:val="20"/>
        </w:rPr>
        <w:t xml:space="preserve"> No</w:t>
      </w:r>
      <w:r w:rsidR="00352047" w:rsidRPr="00A41F07">
        <w:rPr>
          <w:szCs w:val="20"/>
        </w:rPr>
        <w:t xml:space="preserve"> </w:t>
      </w:r>
    </w:p>
    <w:p w14:paraId="58271612" w14:textId="77777777" w:rsidR="00F34AEC" w:rsidRPr="00A41F07" w:rsidRDefault="00F34AEC" w:rsidP="00C171FB"/>
    <w:p w14:paraId="58271613" w14:textId="77777777" w:rsidR="00F34AEC" w:rsidRPr="00A41F07" w:rsidRDefault="00F34AEC" w:rsidP="002F55EF">
      <w:pPr>
        <w:ind w:firstLine="360"/>
        <w:rPr>
          <w:b/>
        </w:rPr>
      </w:pPr>
      <w:r w:rsidRPr="00A41F07">
        <w:rPr>
          <w:b/>
        </w:rPr>
        <w:t>(b) If yes, what is the Applicant(s) name that you are acting on behalf of?</w:t>
      </w:r>
    </w:p>
    <w:p w14:paraId="58271614" w14:textId="77777777" w:rsidR="00F34AEC" w:rsidRPr="00A41F07" w:rsidRDefault="00F34AEC" w:rsidP="00F34AEC">
      <w:pPr>
        <w:ind w:left="284"/>
        <w:rPr>
          <w:noProof/>
        </w:rPr>
      </w:pPr>
      <w:r w:rsidRPr="00A41F07">
        <w:rPr>
          <w:noProof/>
        </w:rPr>
        <w:t>Insert relevant Applicant(s) name here.</w:t>
      </w:r>
    </w:p>
    <w:p w14:paraId="58271615" w14:textId="77777777" w:rsidR="00F34AEC" w:rsidRPr="00A41F07" w:rsidRDefault="00F34AEC" w:rsidP="00C171FB"/>
    <w:p w14:paraId="58271616" w14:textId="77777777" w:rsidR="00534C5F" w:rsidRPr="00A41F07" w:rsidRDefault="00494011" w:rsidP="004A0BF4">
      <w:pPr>
        <w:pStyle w:val="Heading2"/>
      </w:pPr>
      <w:r w:rsidRPr="00A41F07">
        <w:t xml:space="preserve">(a) </w:t>
      </w:r>
      <w:r w:rsidR="00534C5F" w:rsidRPr="00A41F07">
        <w:t>Are you a lobbyist acting on behalf of an Applicant?</w:t>
      </w:r>
    </w:p>
    <w:p w14:paraId="58271617" w14:textId="77777777" w:rsidR="00A6491A" w:rsidRPr="00A41F07" w:rsidRDefault="00A6491A" w:rsidP="00A6491A">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18" w14:textId="77777777" w:rsidR="00A6491A" w:rsidRPr="00A41F07" w:rsidRDefault="00120B70" w:rsidP="00A6491A">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A6491A" w:rsidRPr="00A41F07">
        <w:rPr>
          <w:szCs w:val="20"/>
        </w:rPr>
        <w:t xml:space="preserve"> No  </w:t>
      </w:r>
    </w:p>
    <w:p w14:paraId="58271619" w14:textId="77777777" w:rsidR="00534C5F" w:rsidRPr="00A41F07" w:rsidRDefault="00534C5F" w:rsidP="00494011">
      <w:pPr>
        <w:pStyle w:val="Heading2"/>
        <w:numPr>
          <w:ilvl w:val="0"/>
          <w:numId w:val="23"/>
        </w:numPr>
      </w:pPr>
      <w:r w:rsidRPr="00A41F07">
        <w:t>If yes, are you listed on the Register of Lobbyists?</w:t>
      </w:r>
    </w:p>
    <w:p w14:paraId="5827161A" w14:textId="77777777" w:rsidR="00A6491A" w:rsidRPr="00A41F07" w:rsidRDefault="00A6491A" w:rsidP="00A6491A">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1B" w14:textId="77777777" w:rsidR="00A6491A" w:rsidRPr="00A41F07" w:rsidRDefault="00120B70" w:rsidP="00A6491A">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A6491A" w:rsidRPr="00A41F07">
        <w:rPr>
          <w:szCs w:val="20"/>
        </w:rPr>
        <w:t xml:space="preserve"> No  </w:t>
      </w:r>
    </w:p>
    <w:p w14:paraId="5827161C" w14:textId="77777777" w:rsidR="00E04FB3" w:rsidRPr="00A41F07" w:rsidRDefault="00E04FB3" w:rsidP="005C333E">
      <w:pPr>
        <w:spacing w:before="0" w:after="0"/>
        <w:ind w:left="426"/>
        <w:rPr>
          <w:b/>
          <w:szCs w:val="20"/>
        </w:rPr>
      </w:pPr>
      <w:r w:rsidRPr="00A41F07">
        <w:rPr>
          <w:b/>
          <w:szCs w:val="20"/>
        </w:rPr>
        <w:br w:type="page"/>
      </w:r>
    </w:p>
    <w:p w14:paraId="5827161D" w14:textId="77777777" w:rsidR="00D57F88" w:rsidRPr="00A41F07" w:rsidRDefault="00730C04" w:rsidP="00A8732C">
      <w:pPr>
        <w:pStyle w:val="Heading1"/>
      </w:pPr>
      <w:r w:rsidRPr="00A41F07">
        <w:lastRenderedPageBreak/>
        <w:t>PART 2</w:t>
      </w:r>
      <w:r w:rsidR="00F93784" w:rsidRPr="00A41F07">
        <w:t xml:space="preserve"> – </w:t>
      </w:r>
      <w:r w:rsidR="00E04FB3" w:rsidRPr="00A41F07">
        <w:t>INFORMATION ABOUT THE PROPOSED MEDICAL SERVICE</w:t>
      </w:r>
    </w:p>
    <w:p w14:paraId="5827161E" w14:textId="77777777" w:rsidR="000B3CD0" w:rsidRPr="00A41F07" w:rsidRDefault="000B3CD0" w:rsidP="00730C04">
      <w:pPr>
        <w:pStyle w:val="Heading2"/>
      </w:pPr>
      <w:r w:rsidRPr="00A41F07">
        <w:t>Application title</w:t>
      </w:r>
      <w:r w:rsidR="00A8732C" w:rsidRPr="00A41F07">
        <w:t xml:space="preserve"> </w:t>
      </w:r>
    </w:p>
    <w:p w14:paraId="5827161F" w14:textId="77777777" w:rsidR="00120B70" w:rsidRPr="00A41F07" w:rsidRDefault="00120B70" w:rsidP="00120B70">
      <w:r w:rsidRPr="00A41F07">
        <w:rPr>
          <w:rFonts w:cstheme="minorHAnsi"/>
          <w:szCs w:val="20"/>
        </w:rPr>
        <w:t xml:space="preserve">CAPSULE ENDOSCOPY FOR DIAGNOSIS </w:t>
      </w:r>
      <w:r w:rsidR="009375C6" w:rsidRPr="00A41F07">
        <w:rPr>
          <w:rFonts w:cstheme="minorHAnsi"/>
          <w:szCs w:val="20"/>
        </w:rPr>
        <w:t xml:space="preserve">OF SMALL BOWEL SUSPECTED CROHN’S </w:t>
      </w:r>
      <w:r w:rsidRPr="00A41F07">
        <w:rPr>
          <w:rFonts w:cstheme="minorHAnsi"/>
          <w:szCs w:val="20"/>
        </w:rPr>
        <w:t xml:space="preserve">AND ASSESSMENT OF PATIENTS WITH </w:t>
      </w:r>
      <w:r w:rsidR="009375C6" w:rsidRPr="00A41F07">
        <w:rPr>
          <w:rFonts w:cstheme="minorHAnsi"/>
          <w:szCs w:val="20"/>
        </w:rPr>
        <w:t xml:space="preserve">KNOWN </w:t>
      </w:r>
      <w:r w:rsidR="00CC2139" w:rsidRPr="00A41F07">
        <w:rPr>
          <w:rFonts w:cstheme="minorHAnsi"/>
          <w:szCs w:val="20"/>
        </w:rPr>
        <w:t xml:space="preserve">ISOLATED </w:t>
      </w:r>
      <w:r w:rsidRPr="00A41F07">
        <w:rPr>
          <w:rFonts w:cstheme="minorHAnsi"/>
          <w:szCs w:val="20"/>
        </w:rPr>
        <w:t>SMALL BOWEL CROHN’S DISEASE</w:t>
      </w:r>
    </w:p>
    <w:p w14:paraId="58271620" w14:textId="77777777" w:rsidR="009B4E1E" w:rsidRPr="00A41F07" w:rsidRDefault="009B4E1E" w:rsidP="004A0BF4">
      <w:pPr>
        <w:pStyle w:val="Heading2"/>
      </w:pPr>
      <w:r w:rsidRPr="00A41F07">
        <w:t>Provide a succinct description of the medical condition relevant to the proposed service</w:t>
      </w:r>
      <w:r w:rsidR="000955E7" w:rsidRPr="00A41F07">
        <w:t xml:space="preserve"> (no more than 150 words</w:t>
      </w:r>
      <w:r w:rsidR="00F93784" w:rsidRPr="00A41F07">
        <w:t xml:space="preserve"> – </w:t>
      </w:r>
      <w:r w:rsidR="00C847AE" w:rsidRPr="00A41F07">
        <w:t>further</w:t>
      </w:r>
      <w:r w:rsidR="00F93784" w:rsidRPr="00A41F07">
        <w:t xml:space="preserve"> information will be </w:t>
      </w:r>
      <w:r w:rsidR="00C847AE" w:rsidRPr="00A41F07">
        <w:t xml:space="preserve">requested </w:t>
      </w:r>
      <w:r w:rsidR="003F2711" w:rsidRPr="00A41F07">
        <w:t>at Part F</w:t>
      </w:r>
      <w:r w:rsidR="00C847AE" w:rsidRPr="00A41F07">
        <w:t xml:space="preserve"> of the Application Form</w:t>
      </w:r>
      <w:r w:rsidR="000955E7" w:rsidRPr="00A41F07">
        <w:t>)</w:t>
      </w:r>
    </w:p>
    <w:p w14:paraId="58271621" w14:textId="77777777" w:rsidR="00120B70" w:rsidRPr="00A41F07" w:rsidRDefault="00120B70" w:rsidP="00120B70">
      <w:pPr>
        <w:jc w:val="both"/>
        <w:rPr>
          <w:rFonts w:cstheme="minorHAnsi"/>
          <w:color w:val="000000"/>
          <w:szCs w:val="19"/>
          <w:shd w:val="clear" w:color="auto" w:fill="FFFFFF"/>
        </w:rPr>
      </w:pPr>
      <w:r w:rsidRPr="00A41F07">
        <w:rPr>
          <w:rFonts w:cstheme="minorHAnsi"/>
          <w:color w:val="000000"/>
          <w:szCs w:val="19"/>
          <w:shd w:val="clear" w:color="auto" w:fill="FFFFFF"/>
        </w:rPr>
        <w:t>Crohn’s disease (CD) is a chronic inflammatory bowel disease that may affect any portion of the gastrointestinal (GI) tract. In cases of small bowel (SB) involvement, CD typically affects the terminal ileum. The condition is becoming more prevalent, severe and complex and in particular is diagnosed in young patients. Approximately 20-30% of all patients with CD present when they are younger than 20 years old. In addition to common G</w:t>
      </w:r>
      <w:r w:rsidR="009375C6" w:rsidRPr="00A41F07">
        <w:rPr>
          <w:rFonts w:cstheme="minorHAnsi"/>
          <w:color w:val="000000"/>
          <w:szCs w:val="19"/>
          <w:shd w:val="clear" w:color="auto" w:fill="FFFFFF"/>
        </w:rPr>
        <w:t>astrointestinal (GI)</w:t>
      </w:r>
      <w:r w:rsidRPr="00A41F07">
        <w:rPr>
          <w:rFonts w:cstheme="minorHAnsi"/>
          <w:color w:val="000000"/>
          <w:szCs w:val="19"/>
          <w:shd w:val="clear" w:color="auto" w:fill="FFFFFF"/>
        </w:rPr>
        <w:t xml:space="preserve"> symptoms, children with CD often experience growth failure, malnutrition, pubertal delay, and bone demineralization. CD is largely unpredictable with significant variation in</w:t>
      </w:r>
      <w:r w:rsidR="00B26DA6" w:rsidRPr="00A41F07">
        <w:rPr>
          <w:rFonts w:cstheme="minorHAnsi"/>
          <w:color w:val="000000"/>
          <w:szCs w:val="19"/>
          <w:shd w:val="clear" w:color="auto" w:fill="FFFFFF"/>
        </w:rPr>
        <w:t xml:space="preserve"> the</w:t>
      </w:r>
      <w:r w:rsidRPr="00A41F07">
        <w:rPr>
          <w:rFonts w:cstheme="minorHAnsi"/>
          <w:color w:val="000000"/>
          <w:szCs w:val="19"/>
          <w:shd w:val="clear" w:color="auto" w:fill="FFFFFF"/>
        </w:rPr>
        <w:t xml:space="preserve"> area of </w:t>
      </w:r>
      <w:r w:rsidR="00B26DA6" w:rsidRPr="00A41F07">
        <w:rPr>
          <w:rFonts w:cstheme="minorHAnsi"/>
          <w:color w:val="000000"/>
          <w:szCs w:val="19"/>
          <w:shd w:val="clear" w:color="auto" w:fill="FFFFFF"/>
        </w:rPr>
        <w:t xml:space="preserve">the </w:t>
      </w:r>
      <w:r w:rsidRPr="00A41F07">
        <w:rPr>
          <w:rFonts w:cstheme="minorHAnsi"/>
          <w:color w:val="000000"/>
          <w:szCs w:val="19"/>
          <w:shd w:val="clear" w:color="auto" w:fill="FFFFFF"/>
        </w:rPr>
        <w:t>GI tract affected</w:t>
      </w:r>
      <w:r w:rsidR="00B26DA6" w:rsidRPr="00A41F07">
        <w:rPr>
          <w:rFonts w:cstheme="minorHAnsi"/>
          <w:color w:val="000000"/>
          <w:szCs w:val="19"/>
          <w:shd w:val="clear" w:color="auto" w:fill="FFFFFF"/>
        </w:rPr>
        <w:t>, as well as</w:t>
      </w:r>
      <w:r w:rsidRPr="00A41F07">
        <w:rPr>
          <w:rFonts w:cstheme="minorHAnsi"/>
          <w:color w:val="000000"/>
          <w:szCs w:val="19"/>
          <w:shd w:val="clear" w:color="auto" w:fill="FFFFFF"/>
        </w:rPr>
        <w:t xml:space="preserve"> the degree and pattern of symptoms affecting each patient. The relapsing, unpredictable and chronic nature of CD has broader impacts on a person’s emotional, physical and social wellbeing.  Hence, early diagnosis and assessment modalities to optimise treatment for tight disease control are crucial. However, existing investigative tools can fail to provide a definitive</w:t>
      </w:r>
      <w:r w:rsidR="00B26DA6" w:rsidRPr="00A41F07">
        <w:rPr>
          <w:rFonts w:cstheme="minorHAnsi"/>
          <w:color w:val="000000"/>
          <w:szCs w:val="19"/>
          <w:shd w:val="clear" w:color="auto" w:fill="FFFFFF"/>
        </w:rPr>
        <w:t>, timely diagnosis and/</w:t>
      </w:r>
      <w:r w:rsidR="00CF5078" w:rsidRPr="00A41F07">
        <w:rPr>
          <w:rFonts w:cstheme="minorHAnsi"/>
          <w:color w:val="000000"/>
          <w:szCs w:val="19"/>
          <w:shd w:val="clear" w:color="auto" w:fill="FFFFFF"/>
        </w:rPr>
        <w:t>or assessment</w:t>
      </w:r>
      <w:r w:rsidRPr="00A41F07">
        <w:rPr>
          <w:rFonts w:cstheme="minorHAnsi"/>
          <w:color w:val="000000"/>
          <w:szCs w:val="19"/>
          <w:shd w:val="clear" w:color="auto" w:fill="FFFFFF"/>
        </w:rPr>
        <w:t>.</w:t>
      </w:r>
    </w:p>
    <w:p w14:paraId="58271622" w14:textId="77777777" w:rsidR="00801A50" w:rsidRPr="00A41F07" w:rsidRDefault="00801A50" w:rsidP="00120B70">
      <w:pPr>
        <w:jc w:val="both"/>
      </w:pPr>
      <w:r w:rsidRPr="00A41F07">
        <w:rPr>
          <w:rFonts w:cstheme="minorHAnsi"/>
          <w:color w:val="000000"/>
          <w:szCs w:val="19"/>
          <w:shd w:val="clear" w:color="auto" w:fill="FFFFFF"/>
        </w:rPr>
        <w:t>Despite the widespread prevalence of CD, it should be noted that the proposed appli</w:t>
      </w:r>
      <w:r w:rsidR="00A8399A" w:rsidRPr="00A41F07">
        <w:rPr>
          <w:rFonts w:cstheme="minorHAnsi"/>
          <w:color w:val="000000"/>
          <w:szCs w:val="19"/>
          <w:shd w:val="clear" w:color="auto" w:fill="FFFFFF"/>
        </w:rPr>
        <w:t xml:space="preserve">cation relates to the diagnosis or assessment </w:t>
      </w:r>
      <w:r w:rsidRPr="00A41F07">
        <w:rPr>
          <w:rFonts w:cstheme="minorHAnsi"/>
          <w:color w:val="000000"/>
          <w:szCs w:val="19"/>
          <w:shd w:val="clear" w:color="auto" w:fill="FFFFFF"/>
        </w:rPr>
        <w:t xml:space="preserve">of patients with </w:t>
      </w:r>
      <w:r w:rsidR="00A8399A" w:rsidRPr="00A41F07">
        <w:rPr>
          <w:rFonts w:cstheme="minorHAnsi"/>
          <w:color w:val="000000"/>
          <w:szCs w:val="19"/>
          <w:shd w:val="clear" w:color="auto" w:fill="FFFFFF"/>
        </w:rPr>
        <w:t xml:space="preserve">suspected or known </w:t>
      </w:r>
      <w:r w:rsidRPr="00A41F07">
        <w:rPr>
          <w:rFonts w:cstheme="minorHAnsi"/>
          <w:color w:val="000000"/>
          <w:szCs w:val="19"/>
          <w:shd w:val="clear" w:color="auto" w:fill="FFFFFF"/>
        </w:rPr>
        <w:t xml:space="preserve">isolated small bowel </w:t>
      </w:r>
      <w:r w:rsidR="00951AA8" w:rsidRPr="00A41F07">
        <w:rPr>
          <w:rFonts w:cstheme="minorHAnsi"/>
          <w:color w:val="000000"/>
          <w:szCs w:val="19"/>
          <w:shd w:val="clear" w:color="auto" w:fill="FFFFFF"/>
        </w:rPr>
        <w:t>CD</w:t>
      </w:r>
      <w:r w:rsidR="00CF5078" w:rsidRPr="00A41F07">
        <w:rPr>
          <w:rFonts w:cstheme="minorHAnsi"/>
          <w:color w:val="000000"/>
          <w:szCs w:val="19"/>
          <w:shd w:val="clear" w:color="auto" w:fill="FFFFFF"/>
        </w:rPr>
        <w:t xml:space="preserve"> with</w:t>
      </w:r>
      <w:r w:rsidR="00951AA8" w:rsidRPr="00A41F07">
        <w:rPr>
          <w:rFonts w:cstheme="minorHAnsi"/>
          <w:color w:val="000000"/>
          <w:szCs w:val="19"/>
          <w:shd w:val="clear" w:color="auto" w:fill="FFFFFF"/>
        </w:rPr>
        <w:t xml:space="preserve"> non</w:t>
      </w:r>
      <w:r w:rsidR="00044B17" w:rsidRPr="00A41F07">
        <w:rPr>
          <w:rFonts w:cstheme="minorHAnsi"/>
          <w:color w:val="000000"/>
          <w:szCs w:val="19"/>
          <w:shd w:val="clear" w:color="auto" w:fill="FFFFFF"/>
        </w:rPr>
        <w:t>-diagnostic findings on prior imaging</w:t>
      </w:r>
      <w:r w:rsidRPr="00A41F07">
        <w:rPr>
          <w:rFonts w:cstheme="minorHAnsi"/>
          <w:color w:val="000000"/>
          <w:szCs w:val="19"/>
          <w:shd w:val="clear" w:color="auto" w:fill="FFFFFF"/>
        </w:rPr>
        <w:t xml:space="preserve">. </w:t>
      </w:r>
      <w:r w:rsidR="00044B17" w:rsidRPr="00A41F07">
        <w:rPr>
          <w:rFonts w:cstheme="minorHAnsi"/>
          <w:color w:val="000000"/>
          <w:szCs w:val="19"/>
          <w:shd w:val="clear" w:color="auto" w:fill="FFFFFF"/>
        </w:rPr>
        <w:t xml:space="preserve">This population accounts for a small fraction of the total CD population, but has a high clinical need for effective diagnostic </w:t>
      </w:r>
      <w:r w:rsidR="00A8399A" w:rsidRPr="00A41F07">
        <w:rPr>
          <w:rFonts w:cstheme="minorHAnsi"/>
          <w:color w:val="000000"/>
          <w:szCs w:val="19"/>
          <w:shd w:val="clear" w:color="auto" w:fill="FFFFFF"/>
        </w:rPr>
        <w:t xml:space="preserve">and assessment </w:t>
      </w:r>
      <w:r w:rsidR="00044B17" w:rsidRPr="00A41F07">
        <w:rPr>
          <w:rFonts w:cstheme="minorHAnsi"/>
          <w:color w:val="000000"/>
          <w:szCs w:val="19"/>
          <w:shd w:val="clear" w:color="auto" w:fill="FFFFFF"/>
        </w:rPr>
        <w:t xml:space="preserve">options. </w:t>
      </w:r>
    </w:p>
    <w:p w14:paraId="58271623" w14:textId="77777777" w:rsidR="000955E7" w:rsidRPr="00A41F07" w:rsidRDefault="000955E7" w:rsidP="004A0BF4">
      <w:pPr>
        <w:pStyle w:val="Heading2"/>
      </w:pPr>
      <w:r w:rsidRPr="00A41F07">
        <w:t>Prov</w:t>
      </w:r>
      <w:r w:rsidR="00D11EB1" w:rsidRPr="00A41F07">
        <w:t>i</w:t>
      </w:r>
      <w:r w:rsidRPr="00A41F07">
        <w:t>de a succinct description of the proposed medical service (no more than 150 words</w:t>
      </w:r>
      <w:r w:rsidR="00C847AE" w:rsidRPr="00A41F07">
        <w:t xml:space="preserve"> </w:t>
      </w:r>
      <w:r w:rsidR="00F93784" w:rsidRPr="00A41F07">
        <w:t xml:space="preserve">– </w:t>
      </w:r>
      <w:r w:rsidR="00C847AE" w:rsidRPr="00A41F07">
        <w:t>further</w:t>
      </w:r>
      <w:r w:rsidR="00F93784" w:rsidRPr="00A41F07">
        <w:t xml:space="preserve"> information will be </w:t>
      </w:r>
      <w:r w:rsidR="00C847AE" w:rsidRPr="00A41F07">
        <w:t>requested</w:t>
      </w:r>
      <w:r w:rsidR="00F93784" w:rsidRPr="00A41F07">
        <w:t xml:space="preserve"> </w:t>
      </w:r>
      <w:r w:rsidR="00883641" w:rsidRPr="00A41F07">
        <w:t>at</w:t>
      </w:r>
      <w:r w:rsidR="00C847AE" w:rsidRPr="00A41F07">
        <w:t xml:space="preserve"> </w:t>
      </w:r>
      <w:r w:rsidR="00026412" w:rsidRPr="00A41F07">
        <w:t>Part 6</w:t>
      </w:r>
      <w:r w:rsidR="00C847AE" w:rsidRPr="00A41F07">
        <w:t xml:space="preserve"> of the Application Form</w:t>
      </w:r>
      <w:r w:rsidRPr="00A41F07">
        <w:t>)</w:t>
      </w:r>
    </w:p>
    <w:p w14:paraId="58271624" w14:textId="77777777" w:rsidR="00D26F27" w:rsidRPr="00A41F07" w:rsidRDefault="00D26F27" w:rsidP="00D26F27">
      <w:pPr>
        <w:jc w:val="both"/>
        <w:rPr>
          <w:rFonts w:cstheme="minorHAnsi"/>
          <w:szCs w:val="24"/>
        </w:rPr>
      </w:pPr>
      <w:r w:rsidRPr="00A41F07">
        <w:rPr>
          <w:rFonts w:cstheme="minorHAnsi"/>
          <w:szCs w:val="24"/>
        </w:rPr>
        <w:t>Capsule endoscopy (CE) is a non-invasive diagnostic test, usually conducted in an outpatient setting, in which the gastrointestinal system is visualised via a camera inside an ingested capsule. The test visualises the gastrointestinal (GI) tract in order to diagnose and assess GI mucosa</w:t>
      </w:r>
      <w:r w:rsidR="00CF5078" w:rsidRPr="00A41F07">
        <w:rPr>
          <w:rFonts w:cstheme="minorHAnsi"/>
          <w:szCs w:val="24"/>
        </w:rPr>
        <w:t>l</w:t>
      </w:r>
      <w:r w:rsidRPr="00A41F07">
        <w:rPr>
          <w:rFonts w:cstheme="minorHAnsi"/>
          <w:szCs w:val="24"/>
        </w:rPr>
        <w:t xml:space="preserve"> changes resulting from CD in the small bowel (SB). While the capsule passes through the patient's digestive tract, images are transmitted to a data recorder worn on a waist belt. After the procedure, a colour video taken from the capsule is viewed.</w:t>
      </w:r>
      <w:r w:rsidR="00044B17" w:rsidRPr="00A41F07">
        <w:rPr>
          <w:rFonts w:cstheme="minorHAnsi"/>
          <w:szCs w:val="24"/>
        </w:rPr>
        <w:t xml:space="preserve"> This technology is especially useful for visualising </w:t>
      </w:r>
      <w:r w:rsidR="00A8399A" w:rsidRPr="00A41F07">
        <w:rPr>
          <w:rFonts w:cstheme="minorHAnsi"/>
          <w:szCs w:val="24"/>
        </w:rPr>
        <w:t xml:space="preserve">the mucosa of the small bowel, which is </w:t>
      </w:r>
      <w:r w:rsidR="009E4BC5" w:rsidRPr="00A41F07">
        <w:rPr>
          <w:rFonts w:cstheme="minorHAnsi"/>
          <w:szCs w:val="24"/>
        </w:rPr>
        <w:t>difficult to access with</w:t>
      </w:r>
      <w:r w:rsidR="003715E9" w:rsidRPr="00A41F07">
        <w:rPr>
          <w:rFonts w:cstheme="minorHAnsi"/>
          <w:szCs w:val="24"/>
        </w:rPr>
        <w:t xml:space="preserve"> endoscopic examination.</w:t>
      </w:r>
    </w:p>
    <w:p w14:paraId="58271625" w14:textId="77777777" w:rsidR="00A8399A" w:rsidRPr="00A41F07" w:rsidRDefault="00A8399A" w:rsidP="00D26F27">
      <w:pPr>
        <w:jc w:val="both"/>
        <w:rPr>
          <w:rFonts w:cstheme="minorHAnsi"/>
          <w:szCs w:val="24"/>
        </w:rPr>
      </w:pPr>
      <w:r w:rsidRPr="00A41F07">
        <w:rPr>
          <w:rFonts w:cstheme="minorHAnsi"/>
          <w:szCs w:val="24"/>
        </w:rPr>
        <w:t>The proposed application requests the use of capsule endoscopy in two distinct indications:</w:t>
      </w:r>
    </w:p>
    <w:p w14:paraId="58271626" w14:textId="77777777" w:rsidR="00A8399A" w:rsidRPr="00A41F07" w:rsidRDefault="00A8399A" w:rsidP="00951AA8">
      <w:pPr>
        <w:pStyle w:val="ListParagraph"/>
        <w:numPr>
          <w:ilvl w:val="0"/>
          <w:numId w:val="38"/>
        </w:numPr>
        <w:jc w:val="both"/>
      </w:pPr>
      <w:r w:rsidRPr="00A41F07">
        <w:t>The diagnosis of s</w:t>
      </w:r>
      <w:r w:rsidR="00951AA8" w:rsidRPr="00A41F07">
        <w:t xml:space="preserve">uspected </w:t>
      </w:r>
      <w:r w:rsidR="00F77212" w:rsidRPr="00A41F07">
        <w:t xml:space="preserve">isolated </w:t>
      </w:r>
      <w:r w:rsidR="00951AA8" w:rsidRPr="00A41F07">
        <w:t xml:space="preserve">small bowel Crohn’s </w:t>
      </w:r>
      <w:r w:rsidR="00CF5078" w:rsidRPr="00A41F07">
        <w:t xml:space="preserve">Disease in </w:t>
      </w:r>
      <w:r w:rsidR="00951AA8" w:rsidRPr="00A41F07">
        <w:t xml:space="preserve">patients </w:t>
      </w:r>
      <w:r w:rsidR="00951AA8" w:rsidRPr="00A41F07">
        <w:rPr>
          <w:rFonts w:cstheme="minorHAnsi"/>
          <w:color w:val="000000"/>
          <w:szCs w:val="19"/>
          <w:shd w:val="clear" w:color="auto" w:fill="FFFFFF"/>
        </w:rPr>
        <w:t xml:space="preserve">with </w:t>
      </w:r>
      <w:r w:rsidRPr="00A41F07">
        <w:rPr>
          <w:rFonts w:cstheme="minorHAnsi"/>
          <w:color w:val="000000"/>
          <w:szCs w:val="19"/>
          <w:shd w:val="clear" w:color="auto" w:fill="FFFFFF"/>
        </w:rPr>
        <w:t xml:space="preserve">non-diagnostic findings from prior </w:t>
      </w:r>
      <w:r w:rsidR="00951AA8" w:rsidRPr="00A41F07">
        <w:rPr>
          <w:rFonts w:cstheme="minorHAnsi"/>
          <w:color w:val="000000"/>
          <w:szCs w:val="19"/>
          <w:shd w:val="clear" w:color="auto" w:fill="FFFFFF"/>
        </w:rPr>
        <w:t>investigations</w:t>
      </w:r>
      <w:r w:rsidR="00CF5078" w:rsidRPr="00A41F07">
        <w:rPr>
          <w:rFonts w:cstheme="minorHAnsi"/>
          <w:color w:val="000000"/>
          <w:szCs w:val="19"/>
          <w:shd w:val="clear" w:color="auto" w:fill="FFFFFF"/>
        </w:rPr>
        <w:t xml:space="preserve"> including colonoscopy with ileoscopy and imaging with MR Enterography</w:t>
      </w:r>
    </w:p>
    <w:p w14:paraId="58271627" w14:textId="77777777" w:rsidR="00130044" w:rsidRPr="00A41F07" w:rsidRDefault="00130044" w:rsidP="00951AA8">
      <w:pPr>
        <w:pStyle w:val="ListParagraph"/>
        <w:numPr>
          <w:ilvl w:val="0"/>
          <w:numId w:val="38"/>
        </w:numPr>
        <w:jc w:val="both"/>
      </w:pPr>
      <w:r w:rsidRPr="00A41F07">
        <w:t xml:space="preserve">Assessment of  patient with Known </w:t>
      </w:r>
      <w:r w:rsidR="00873B8A" w:rsidRPr="00A41F07">
        <w:t xml:space="preserve">Isolated </w:t>
      </w:r>
      <w:r w:rsidRPr="00A41F07">
        <w:t>Small Bowel Crohn’s disease:</w:t>
      </w:r>
    </w:p>
    <w:p w14:paraId="58271628" w14:textId="77777777" w:rsidR="00130044" w:rsidRPr="00A41F07" w:rsidRDefault="00951AA8" w:rsidP="00130044">
      <w:pPr>
        <w:pStyle w:val="ListParagraph"/>
        <w:numPr>
          <w:ilvl w:val="0"/>
          <w:numId w:val="42"/>
        </w:numPr>
        <w:jc w:val="both"/>
      </w:pPr>
      <w:r w:rsidRPr="00A41F07">
        <w:rPr>
          <w:rFonts w:cstheme="minorHAnsi"/>
          <w:color w:val="000000"/>
          <w:szCs w:val="19"/>
          <w:shd w:val="clear" w:color="auto" w:fill="FFFFFF"/>
        </w:rPr>
        <w:t>Evaluation of exacerbations/suspected complications of known small bowel Crohn’s disease patients with non-diagnostic findings from prior investigations</w:t>
      </w:r>
    </w:p>
    <w:p w14:paraId="58271629" w14:textId="77777777" w:rsidR="00951AA8" w:rsidRPr="00A41F07" w:rsidRDefault="00951AA8" w:rsidP="00130044">
      <w:pPr>
        <w:pStyle w:val="ListParagraph"/>
        <w:numPr>
          <w:ilvl w:val="0"/>
          <w:numId w:val="42"/>
        </w:numPr>
        <w:jc w:val="both"/>
      </w:pPr>
      <w:r w:rsidRPr="00A41F07">
        <w:rPr>
          <w:rFonts w:cstheme="minorHAnsi"/>
          <w:color w:val="000000"/>
          <w:szCs w:val="19"/>
          <w:shd w:val="clear" w:color="auto" w:fill="FFFFFF"/>
        </w:rPr>
        <w:t xml:space="preserve">Assessment of </w:t>
      </w:r>
      <w:r w:rsidR="00CF5078" w:rsidRPr="00A41F07">
        <w:rPr>
          <w:rFonts w:cstheme="minorHAnsi"/>
          <w:color w:val="000000"/>
          <w:szCs w:val="19"/>
          <w:shd w:val="clear" w:color="auto" w:fill="FFFFFF"/>
        </w:rPr>
        <w:t xml:space="preserve">response to </w:t>
      </w:r>
      <w:r w:rsidRPr="00A41F07">
        <w:rPr>
          <w:rFonts w:cstheme="minorHAnsi"/>
          <w:color w:val="000000"/>
          <w:szCs w:val="19"/>
          <w:shd w:val="clear" w:color="auto" w:fill="FFFFFF"/>
        </w:rPr>
        <w:t>change to therapy in patient</w:t>
      </w:r>
      <w:r w:rsidR="00CF5078" w:rsidRPr="00A41F07">
        <w:rPr>
          <w:rFonts w:cstheme="minorHAnsi"/>
          <w:color w:val="000000"/>
          <w:szCs w:val="19"/>
          <w:shd w:val="clear" w:color="auto" w:fill="FFFFFF"/>
        </w:rPr>
        <w:t>s</w:t>
      </w:r>
      <w:r w:rsidRPr="00A41F07">
        <w:rPr>
          <w:rFonts w:cstheme="minorHAnsi"/>
          <w:color w:val="000000"/>
          <w:szCs w:val="19"/>
          <w:shd w:val="clear" w:color="auto" w:fill="FFFFFF"/>
        </w:rPr>
        <w:t xml:space="preserve"> with known </w:t>
      </w:r>
      <w:r w:rsidR="00CF5078" w:rsidRPr="00A41F07">
        <w:rPr>
          <w:rFonts w:cstheme="minorHAnsi"/>
          <w:color w:val="000000"/>
          <w:szCs w:val="19"/>
          <w:shd w:val="clear" w:color="auto" w:fill="FFFFFF"/>
        </w:rPr>
        <w:t xml:space="preserve">isolated non stricturing </w:t>
      </w:r>
      <w:r w:rsidRPr="00A41F07">
        <w:rPr>
          <w:rFonts w:cstheme="minorHAnsi"/>
          <w:color w:val="000000"/>
          <w:szCs w:val="19"/>
          <w:shd w:val="clear" w:color="auto" w:fill="FFFFFF"/>
        </w:rPr>
        <w:t>small bowel Crohn’s disease patients with non-diagnostic findings from prior investigations</w:t>
      </w:r>
    </w:p>
    <w:p w14:paraId="5827162A" w14:textId="77777777" w:rsidR="007A2454" w:rsidRPr="00A41F07" w:rsidRDefault="009016DF" w:rsidP="007A2454">
      <w:pPr>
        <w:jc w:val="both"/>
      </w:pPr>
      <w:r w:rsidRPr="00A41F07">
        <w:t>An economic evaluation of the</w:t>
      </w:r>
      <w:r w:rsidR="007A2454" w:rsidRPr="00A41F07">
        <w:t xml:space="preserve"> first (diagnostic) indication was previously </w:t>
      </w:r>
      <w:r w:rsidRPr="00A41F07">
        <w:t>assessed</w:t>
      </w:r>
      <w:r w:rsidR="007A2454" w:rsidRPr="00A41F07">
        <w:t xml:space="preserve"> by MSAC </w:t>
      </w:r>
      <w:r w:rsidR="003245EE" w:rsidRPr="00A41F07">
        <w:t>(Applications 1146 and 1146.1), while the second (assessme</w:t>
      </w:r>
      <w:r w:rsidRPr="00A41F07">
        <w:t xml:space="preserve">nt) indication has not yet been reviewed. </w:t>
      </w:r>
    </w:p>
    <w:p w14:paraId="5827162B" w14:textId="77777777" w:rsidR="00D11EB1" w:rsidRPr="00A41F07" w:rsidRDefault="00E47593" w:rsidP="004A0BF4">
      <w:pPr>
        <w:pStyle w:val="Heading2"/>
        <w:rPr>
          <w:rStyle w:val="Strong"/>
          <w:rFonts w:asciiTheme="minorHAnsi" w:eastAsiaTheme="minorHAnsi" w:hAnsiTheme="minorHAnsi" w:cstheme="minorBidi"/>
          <w:b/>
        </w:rPr>
      </w:pPr>
      <w:r w:rsidRPr="00A41F07" w:rsidDel="00E47593">
        <w:t xml:space="preserve"> </w:t>
      </w:r>
      <w:r w:rsidR="00730C04" w:rsidRPr="00A41F07">
        <w:rPr>
          <w:rStyle w:val="Strong"/>
          <w:rFonts w:asciiTheme="minorHAnsi" w:eastAsiaTheme="minorHAnsi" w:hAnsiTheme="minorHAnsi" w:cstheme="minorBidi"/>
          <w:b/>
        </w:rPr>
        <w:t xml:space="preserve">(a) </w:t>
      </w:r>
      <w:r w:rsidR="00D11EB1" w:rsidRPr="00A41F07">
        <w:rPr>
          <w:rStyle w:val="Strong"/>
          <w:rFonts w:asciiTheme="minorHAnsi" w:eastAsiaTheme="minorHAnsi" w:hAnsiTheme="minorHAnsi" w:cstheme="minorBidi"/>
          <w:b/>
        </w:rPr>
        <w:t>Is this a request for MBS funding?</w:t>
      </w:r>
    </w:p>
    <w:p w14:paraId="5827162C" w14:textId="77777777" w:rsidR="00753C44" w:rsidRPr="00A41F07" w:rsidRDefault="00D26F27" w:rsidP="00A6491A">
      <w:pPr>
        <w:spacing w:before="0" w:after="0"/>
        <w:ind w:left="284"/>
        <w:rPr>
          <w:szCs w:val="20"/>
        </w:rPr>
      </w:pPr>
      <w:r w:rsidRPr="00A41F07">
        <w:rPr>
          <w:szCs w:val="20"/>
        </w:rPr>
        <w:fldChar w:fldCharType="begin">
          <w:ffData>
            <w:name w:val="Check1"/>
            <w:enabled/>
            <w:calcOnExit w:val="0"/>
            <w:checkBox>
              <w:sizeAuto/>
              <w:default w:val="1"/>
            </w:checkBox>
          </w:ffData>
        </w:fldChar>
      </w:r>
      <w:bookmarkStart w:id="3" w:name="Check1"/>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bookmarkEnd w:id="3"/>
      <w:r w:rsidR="006B6390" w:rsidRPr="00A41F07">
        <w:rPr>
          <w:szCs w:val="20"/>
        </w:rPr>
        <w:t xml:space="preserve"> Yes</w:t>
      </w:r>
    </w:p>
    <w:p w14:paraId="5827162D" w14:textId="77777777" w:rsidR="00753C44" w:rsidRPr="00A41F07" w:rsidRDefault="006B6390" w:rsidP="00A6491A">
      <w:pPr>
        <w:spacing w:before="0" w:after="0"/>
        <w:ind w:left="284"/>
        <w:rPr>
          <w:szCs w:val="20"/>
        </w:rPr>
      </w:pPr>
      <w:r w:rsidRPr="00A41F07">
        <w:rPr>
          <w:szCs w:val="20"/>
        </w:rPr>
        <w:fldChar w:fldCharType="begin">
          <w:ffData>
            <w:name w:val="Check2"/>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r w:rsidR="00753C44" w:rsidRPr="00A41F07">
        <w:rPr>
          <w:szCs w:val="20"/>
        </w:rPr>
        <w:t xml:space="preserve">  </w:t>
      </w:r>
    </w:p>
    <w:p w14:paraId="5827162E" w14:textId="77777777" w:rsidR="000B3CD0" w:rsidRPr="00A41F07" w:rsidRDefault="000B3CD0"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I</w:t>
      </w:r>
      <w:r w:rsidR="003020B5" w:rsidRPr="00A41F07">
        <w:rPr>
          <w:rStyle w:val="Strong"/>
          <w:rFonts w:asciiTheme="minorHAnsi" w:eastAsiaTheme="minorHAnsi" w:hAnsiTheme="minorHAnsi" w:cstheme="minorBidi"/>
          <w:b/>
        </w:rPr>
        <w:t xml:space="preserve">f </w:t>
      </w:r>
      <w:r w:rsidR="00D11EB1" w:rsidRPr="00A41F07">
        <w:rPr>
          <w:rStyle w:val="Strong"/>
          <w:rFonts w:asciiTheme="minorHAnsi" w:eastAsiaTheme="minorHAnsi" w:hAnsiTheme="minorHAnsi" w:cstheme="minorBidi"/>
          <w:b/>
        </w:rPr>
        <w:t xml:space="preserve">yes, is </w:t>
      </w:r>
      <w:r w:rsidRPr="00A41F07">
        <w:rPr>
          <w:rStyle w:val="Strong"/>
          <w:rFonts w:asciiTheme="minorHAnsi" w:eastAsiaTheme="minorHAnsi" w:hAnsiTheme="minorHAnsi" w:cstheme="minorBidi"/>
          <w:b/>
        </w:rPr>
        <w:t>the medical service</w:t>
      </w:r>
      <w:r w:rsidR="005D0677" w:rsidRPr="00A41F07">
        <w:rPr>
          <w:rStyle w:val="Strong"/>
          <w:rFonts w:asciiTheme="minorHAnsi" w:eastAsiaTheme="minorHAnsi" w:hAnsiTheme="minorHAnsi" w:cstheme="minorBidi"/>
          <w:b/>
        </w:rPr>
        <w:t>(s)</w:t>
      </w:r>
      <w:r w:rsidRPr="00A41F07">
        <w:rPr>
          <w:rStyle w:val="Strong"/>
          <w:rFonts w:asciiTheme="minorHAnsi" w:eastAsiaTheme="minorHAnsi" w:hAnsiTheme="minorHAnsi" w:cstheme="minorBidi"/>
          <w:b/>
        </w:rPr>
        <w:t xml:space="preserve"> </w:t>
      </w:r>
      <w:r w:rsidR="00F83566" w:rsidRPr="00A41F07">
        <w:rPr>
          <w:rStyle w:val="Strong"/>
          <w:rFonts w:asciiTheme="minorHAnsi" w:eastAsiaTheme="minorHAnsi" w:hAnsiTheme="minorHAnsi" w:cstheme="minorBidi"/>
          <w:b/>
        </w:rPr>
        <w:t xml:space="preserve">proposed to be </w:t>
      </w:r>
      <w:r w:rsidRPr="00A41F07">
        <w:rPr>
          <w:rStyle w:val="Strong"/>
          <w:rFonts w:asciiTheme="minorHAnsi" w:eastAsiaTheme="minorHAnsi" w:hAnsiTheme="minorHAnsi" w:cstheme="minorBidi"/>
          <w:b/>
        </w:rPr>
        <w:t xml:space="preserve">covered under an existing </w:t>
      </w:r>
      <w:r w:rsidR="00F83566" w:rsidRPr="00A41F07">
        <w:rPr>
          <w:rStyle w:val="Strong"/>
          <w:rFonts w:asciiTheme="minorHAnsi" w:eastAsiaTheme="minorHAnsi" w:hAnsiTheme="minorHAnsi" w:cstheme="minorBidi"/>
          <w:b/>
        </w:rPr>
        <w:t>MBS item number</w:t>
      </w:r>
      <w:r w:rsidR="005D0677" w:rsidRPr="00A41F07">
        <w:rPr>
          <w:rStyle w:val="Strong"/>
          <w:rFonts w:asciiTheme="minorHAnsi" w:eastAsiaTheme="minorHAnsi" w:hAnsiTheme="minorHAnsi" w:cstheme="minorBidi"/>
          <w:b/>
        </w:rPr>
        <w:t>(s)</w:t>
      </w:r>
      <w:r w:rsidR="003020B5" w:rsidRPr="00A41F07">
        <w:rPr>
          <w:rStyle w:val="Strong"/>
          <w:rFonts w:asciiTheme="minorHAnsi" w:eastAsiaTheme="minorHAnsi" w:hAnsiTheme="minorHAnsi" w:cstheme="minorBidi"/>
          <w:b/>
        </w:rPr>
        <w:t xml:space="preserve"> or is a new MBS item</w:t>
      </w:r>
      <w:r w:rsidR="005D0677" w:rsidRPr="00A41F07">
        <w:rPr>
          <w:rStyle w:val="Strong"/>
          <w:rFonts w:asciiTheme="minorHAnsi" w:eastAsiaTheme="minorHAnsi" w:hAnsiTheme="minorHAnsi" w:cstheme="minorBidi"/>
          <w:b/>
        </w:rPr>
        <w:t>(s)</w:t>
      </w:r>
      <w:r w:rsidR="003020B5" w:rsidRPr="00A41F07">
        <w:rPr>
          <w:rStyle w:val="Strong"/>
          <w:rFonts w:asciiTheme="minorHAnsi" w:eastAsiaTheme="minorHAnsi" w:hAnsiTheme="minorHAnsi" w:cstheme="minorBidi"/>
          <w:b/>
        </w:rPr>
        <w:t xml:space="preserve"> being sought altogether</w:t>
      </w:r>
      <w:r w:rsidRPr="00A41F07">
        <w:rPr>
          <w:rStyle w:val="Strong"/>
          <w:rFonts w:asciiTheme="minorHAnsi" w:eastAsiaTheme="minorHAnsi" w:hAnsiTheme="minorHAnsi" w:cstheme="minorBidi"/>
          <w:b/>
        </w:rPr>
        <w:t>?</w:t>
      </w:r>
    </w:p>
    <w:p w14:paraId="5827162F" w14:textId="77777777" w:rsidR="00753C44" w:rsidRPr="00A41F07" w:rsidRDefault="006B6390" w:rsidP="00A6491A">
      <w:pPr>
        <w:spacing w:before="0" w:after="0"/>
        <w:ind w:left="284"/>
        <w:rPr>
          <w:szCs w:val="20"/>
        </w:rPr>
      </w:pPr>
      <w:r w:rsidRPr="00A41F07">
        <w:rPr>
          <w:szCs w:val="20"/>
        </w:rPr>
        <w:lastRenderedPageBreak/>
        <w:fldChar w:fldCharType="begin">
          <w:ffData>
            <w:name w:val="Check2"/>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00753C44" w:rsidRPr="00A41F07">
        <w:rPr>
          <w:szCs w:val="20"/>
        </w:rPr>
        <w:t>Amendment to existing MBS item(s)</w:t>
      </w:r>
    </w:p>
    <w:p w14:paraId="58271630" w14:textId="77777777" w:rsidR="00753C44" w:rsidRPr="00A41F07" w:rsidRDefault="002C246C" w:rsidP="00A6491A">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B6390" w:rsidRPr="00A41F07">
        <w:rPr>
          <w:szCs w:val="20"/>
        </w:rPr>
        <w:t xml:space="preserve"> </w:t>
      </w:r>
      <w:r w:rsidR="00753C44" w:rsidRPr="00A41F07">
        <w:rPr>
          <w:szCs w:val="20"/>
        </w:rPr>
        <w:t>New MBS item(s)</w:t>
      </w:r>
    </w:p>
    <w:p w14:paraId="58271631" w14:textId="77777777" w:rsidR="000B3CD0" w:rsidRPr="00A41F07" w:rsidRDefault="000B3CD0"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 xml:space="preserve">If </w:t>
      </w:r>
      <w:r w:rsidR="00126B33" w:rsidRPr="00A41F07">
        <w:rPr>
          <w:rStyle w:val="Strong"/>
          <w:rFonts w:asciiTheme="minorHAnsi" w:eastAsiaTheme="minorHAnsi" w:hAnsiTheme="minorHAnsi" w:cstheme="minorBidi"/>
          <w:b/>
        </w:rPr>
        <w:t xml:space="preserve">an amendment </w:t>
      </w:r>
      <w:r w:rsidR="003020B5" w:rsidRPr="00A41F07">
        <w:rPr>
          <w:rStyle w:val="Strong"/>
          <w:rFonts w:asciiTheme="minorHAnsi" w:eastAsiaTheme="minorHAnsi" w:hAnsiTheme="minorHAnsi" w:cstheme="minorBidi"/>
          <w:b/>
        </w:rPr>
        <w:t xml:space="preserve">to </w:t>
      </w:r>
      <w:r w:rsidR="00126B33" w:rsidRPr="00A41F07">
        <w:rPr>
          <w:rStyle w:val="Strong"/>
          <w:rFonts w:asciiTheme="minorHAnsi" w:eastAsiaTheme="minorHAnsi" w:hAnsiTheme="minorHAnsi" w:cstheme="minorBidi"/>
          <w:b/>
        </w:rPr>
        <w:t xml:space="preserve">an </w:t>
      </w:r>
      <w:r w:rsidR="003020B5" w:rsidRPr="00A41F07">
        <w:rPr>
          <w:rStyle w:val="Strong"/>
          <w:rFonts w:asciiTheme="minorHAnsi" w:eastAsiaTheme="minorHAnsi" w:hAnsiTheme="minorHAnsi" w:cstheme="minorBidi"/>
          <w:b/>
        </w:rPr>
        <w:t>existing item</w:t>
      </w:r>
      <w:r w:rsidR="005D0677" w:rsidRPr="00A41F07">
        <w:rPr>
          <w:rStyle w:val="Strong"/>
          <w:rFonts w:asciiTheme="minorHAnsi" w:eastAsiaTheme="minorHAnsi" w:hAnsiTheme="minorHAnsi" w:cstheme="minorBidi"/>
          <w:b/>
        </w:rPr>
        <w:t>(s)</w:t>
      </w:r>
      <w:r w:rsidR="00126B33" w:rsidRPr="00A41F07">
        <w:rPr>
          <w:rStyle w:val="Strong"/>
          <w:rFonts w:asciiTheme="minorHAnsi" w:eastAsiaTheme="minorHAnsi" w:hAnsiTheme="minorHAnsi" w:cstheme="minorBidi"/>
          <w:b/>
        </w:rPr>
        <w:t xml:space="preserve"> is being sought</w:t>
      </w:r>
      <w:r w:rsidR="003020B5" w:rsidRPr="00A41F07">
        <w:rPr>
          <w:rStyle w:val="Strong"/>
          <w:rFonts w:asciiTheme="minorHAnsi" w:eastAsiaTheme="minorHAnsi" w:hAnsiTheme="minorHAnsi" w:cstheme="minorBidi"/>
          <w:b/>
        </w:rPr>
        <w:t>,</w:t>
      </w:r>
      <w:r w:rsidRPr="00A41F07">
        <w:rPr>
          <w:rStyle w:val="Strong"/>
          <w:rFonts w:asciiTheme="minorHAnsi" w:eastAsiaTheme="minorHAnsi" w:hAnsiTheme="minorHAnsi" w:cstheme="minorBidi"/>
          <w:b/>
        </w:rPr>
        <w:t xml:space="preserve"> please </w:t>
      </w:r>
      <w:r w:rsidR="00126B33" w:rsidRPr="00A41F07">
        <w:rPr>
          <w:rStyle w:val="Strong"/>
          <w:rFonts w:asciiTheme="minorHAnsi" w:eastAsiaTheme="minorHAnsi" w:hAnsiTheme="minorHAnsi" w:cstheme="minorBidi"/>
          <w:b/>
        </w:rPr>
        <w:t xml:space="preserve">list </w:t>
      </w:r>
      <w:r w:rsidRPr="00A41F07">
        <w:rPr>
          <w:rStyle w:val="Strong"/>
          <w:rFonts w:asciiTheme="minorHAnsi" w:eastAsiaTheme="minorHAnsi" w:hAnsiTheme="minorHAnsi" w:cstheme="minorBidi"/>
          <w:b/>
        </w:rPr>
        <w:t xml:space="preserve">the relevant MBS item number(s) </w:t>
      </w:r>
      <w:r w:rsidR="009C03FB" w:rsidRPr="00A41F07">
        <w:rPr>
          <w:rStyle w:val="Strong"/>
          <w:rFonts w:asciiTheme="minorHAnsi" w:eastAsiaTheme="minorHAnsi" w:hAnsiTheme="minorHAnsi" w:cstheme="minorBidi"/>
          <w:b/>
        </w:rPr>
        <w:t xml:space="preserve">that </w:t>
      </w:r>
      <w:r w:rsidR="00126B33" w:rsidRPr="00A41F07">
        <w:rPr>
          <w:rStyle w:val="Strong"/>
          <w:rFonts w:asciiTheme="minorHAnsi" w:eastAsiaTheme="minorHAnsi" w:hAnsiTheme="minorHAnsi" w:cstheme="minorBidi"/>
          <w:b/>
        </w:rPr>
        <w:t xml:space="preserve">are </w:t>
      </w:r>
      <w:r w:rsidR="005A6AB9" w:rsidRPr="00A41F07">
        <w:rPr>
          <w:rStyle w:val="Strong"/>
          <w:rFonts w:asciiTheme="minorHAnsi" w:eastAsiaTheme="minorHAnsi" w:hAnsiTheme="minorHAnsi" w:cstheme="minorBidi"/>
          <w:b/>
        </w:rPr>
        <w:t xml:space="preserve">to be </w:t>
      </w:r>
      <w:r w:rsidR="00126B33" w:rsidRPr="00A41F07">
        <w:rPr>
          <w:rStyle w:val="Strong"/>
          <w:rFonts w:asciiTheme="minorHAnsi" w:eastAsiaTheme="minorHAnsi" w:hAnsiTheme="minorHAnsi" w:cstheme="minorBidi"/>
          <w:b/>
        </w:rPr>
        <w:t xml:space="preserve">amended </w:t>
      </w:r>
      <w:r w:rsidR="005A6AB9" w:rsidRPr="00A41F07">
        <w:rPr>
          <w:rStyle w:val="Strong"/>
          <w:rFonts w:asciiTheme="minorHAnsi" w:eastAsiaTheme="minorHAnsi" w:hAnsiTheme="minorHAnsi" w:cstheme="minorBidi"/>
          <w:b/>
        </w:rPr>
        <w:t xml:space="preserve">to </w:t>
      </w:r>
      <w:r w:rsidR="00A93F58" w:rsidRPr="00A41F07">
        <w:rPr>
          <w:rStyle w:val="Strong"/>
          <w:rFonts w:asciiTheme="minorHAnsi" w:eastAsiaTheme="minorHAnsi" w:hAnsiTheme="minorHAnsi" w:cstheme="minorBidi"/>
          <w:b/>
        </w:rPr>
        <w:t xml:space="preserve">include </w:t>
      </w:r>
      <w:r w:rsidR="005A6AB9" w:rsidRPr="00A41F07">
        <w:rPr>
          <w:rStyle w:val="Strong"/>
          <w:rFonts w:asciiTheme="minorHAnsi" w:eastAsiaTheme="minorHAnsi" w:hAnsiTheme="minorHAnsi" w:cstheme="minorBidi"/>
          <w:b/>
        </w:rPr>
        <w:t>the proposed medical service</w:t>
      </w:r>
      <w:r w:rsidR="00802553" w:rsidRPr="00A41F07">
        <w:rPr>
          <w:rStyle w:val="Strong"/>
          <w:rFonts w:asciiTheme="minorHAnsi" w:eastAsiaTheme="minorHAnsi" w:hAnsiTheme="minorHAnsi" w:cstheme="minorBidi"/>
          <w:b/>
        </w:rPr>
        <w:t>:</w:t>
      </w:r>
      <w:r w:rsidR="00E06102" w:rsidRPr="00A41F07">
        <w:rPr>
          <w:rStyle w:val="Strong"/>
          <w:rFonts w:asciiTheme="minorHAnsi" w:eastAsiaTheme="minorHAnsi" w:hAnsiTheme="minorHAnsi" w:cstheme="minorBidi"/>
          <w:b/>
        </w:rPr>
        <w:t xml:space="preserve"> </w:t>
      </w:r>
    </w:p>
    <w:p w14:paraId="58271632" w14:textId="77777777" w:rsidR="003D795C" w:rsidRPr="00A41F07" w:rsidRDefault="002C246C" w:rsidP="00A6491A">
      <w:pPr>
        <w:ind w:left="284"/>
      </w:pPr>
      <w:r w:rsidRPr="00A41F07">
        <w:fldChar w:fldCharType="begin">
          <w:ffData>
            <w:name w:val=""/>
            <w:enabled/>
            <w:calcOnExit w:val="0"/>
            <w:textInput>
              <w:default w:val="N/A"/>
            </w:textInput>
          </w:ffData>
        </w:fldChar>
      </w:r>
      <w:r w:rsidRPr="00A41F07">
        <w:instrText xml:space="preserve"> FORMTEXT </w:instrText>
      </w:r>
      <w:r w:rsidRPr="00A41F07">
        <w:fldChar w:fldCharType="separate"/>
      </w:r>
      <w:r w:rsidRPr="00A41F07">
        <w:rPr>
          <w:noProof/>
        </w:rPr>
        <w:t>N/A</w:t>
      </w:r>
      <w:r w:rsidRPr="00A41F07">
        <w:fldChar w:fldCharType="end"/>
      </w:r>
    </w:p>
    <w:p w14:paraId="58271633" w14:textId="77777777" w:rsidR="006C0843" w:rsidRPr="00A41F07" w:rsidRDefault="006C0843"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If an amendment to an existing item</w:t>
      </w:r>
      <w:r w:rsidR="003E30FB" w:rsidRPr="00A41F07">
        <w:rPr>
          <w:rStyle w:val="Strong"/>
          <w:rFonts w:asciiTheme="minorHAnsi" w:eastAsiaTheme="minorHAnsi" w:hAnsiTheme="minorHAnsi" w:cstheme="minorBidi"/>
          <w:b/>
        </w:rPr>
        <w:t>(s)</w:t>
      </w:r>
      <w:r w:rsidRPr="00A41F07">
        <w:rPr>
          <w:rStyle w:val="Strong"/>
          <w:rFonts w:asciiTheme="minorHAnsi" w:eastAsiaTheme="minorHAnsi" w:hAnsiTheme="minorHAnsi" w:cstheme="minorBidi"/>
          <w:b/>
        </w:rPr>
        <w:t xml:space="preserve"> is being sought, what is the nature of the amendment</w:t>
      </w:r>
      <w:r w:rsidR="00C01121" w:rsidRPr="00A41F07">
        <w:rPr>
          <w:rStyle w:val="Strong"/>
          <w:rFonts w:asciiTheme="minorHAnsi" w:eastAsiaTheme="minorHAnsi" w:hAnsiTheme="minorHAnsi" w:cstheme="minorBidi"/>
          <w:b/>
        </w:rPr>
        <w:t>(s)</w:t>
      </w:r>
      <w:r w:rsidR="00E06102" w:rsidRPr="00A41F07">
        <w:rPr>
          <w:rStyle w:val="Strong"/>
          <w:rFonts w:asciiTheme="minorHAnsi" w:eastAsiaTheme="minorHAnsi" w:hAnsiTheme="minorHAnsi" w:cstheme="minorBidi"/>
          <w:b/>
        </w:rPr>
        <w:t>?</w:t>
      </w:r>
    </w:p>
    <w:p w14:paraId="58271634"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the way the service is clinically delivered under the existing item(s)</w:t>
      </w:r>
    </w:p>
    <w:p w14:paraId="58271635"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the patient population under the existing item(s)</w:t>
      </w:r>
    </w:p>
    <w:p w14:paraId="58271636"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the schedule fee of the existing item(s)</w:t>
      </w:r>
    </w:p>
    <w:p w14:paraId="58271637"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the time and complexity of an existing item(s)</w:t>
      </w:r>
    </w:p>
    <w:p w14:paraId="58271638"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Access to an existing item(s) by a different health practitioner group</w:t>
      </w:r>
    </w:p>
    <w:p w14:paraId="58271639"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Minor amendments to the item descriptor that does not affect how the service is delivered</w:t>
      </w:r>
    </w:p>
    <w:p w14:paraId="5827163A"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an existing specific single consultation item</w:t>
      </w:r>
    </w:p>
    <w:p w14:paraId="5827163B" w14:textId="77777777" w:rsidR="002A270B" w:rsidRPr="00A41F07" w:rsidRDefault="002A270B" w:rsidP="004A263B">
      <w:pPr>
        <w:pStyle w:val="ListParagraph"/>
        <w:numPr>
          <w:ilvl w:val="0"/>
          <w:numId w:val="34"/>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An amendment to an existing global consultation item(s)</w:t>
      </w:r>
    </w:p>
    <w:p w14:paraId="5827163C" w14:textId="77777777" w:rsidR="002A270B" w:rsidRPr="00A41F07" w:rsidRDefault="004A263B" w:rsidP="004A263B">
      <w:pPr>
        <w:pStyle w:val="ListParagraph"/>
        <w:numPr>
          <w:ilvl w:val="0"/>
          <w:numId w:val="34"/>
        </w:numPr>
        <w:ind w:left="851" w:hanging="425"/>
        <w:rPr>
          <w:rStyle w:val="Strong"/>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002A270B" w:rsidRPr="00A41F07">
        <w:rPr>
          <w:rStyle w:val="Strong"/>
          <w:b w:val="0"/>
        </w:rPr>
        <w:t>Other (please describe below)</w:t>
      </w:r>
      <w:r w:rsidR="00A6491A" w:rsidRPr="00A41F07">
        <w:rPr>
          <w:rStyle w:val="Strong"/>
          <w:b w:val="0"/>
        </w:rPr>
        <w:t>:</w:t>
      </w:r>
    </w:p>
    <w:p w14:paraId="5827163D" w14:textId="77777777" w:rsidR="002A270B" w:rsidRPr="00A41F07" w:rsidRDefault="002C246C" w:rsidP="00A6491A">
      <w:pPr>
        <w:ind w:left="284"/>
      </w:pPr>
      <w:r w:rsidRPr="00A41F07">
        <w:fldChar w:fldCharType="begin">
          <w:ffData>
            <w:name w:val=""/>
            <w:enabled/>
            <w:calcOnExit w:val="0"/>
            <w:textInput>
              <w:default w:val="N/A"/>
            </w:textInput>
          </w:ffData>
        </w:fldChar>
      </w:r>
      <w:r w:rsidRPr="00A41F07">
        <w:instrText xml:space="preserve"> FORMTEXT </w:instrText>
      </w:r>
      <w:r w:rsidRPr="00A41F07">
        <w:fldChar w:fldCharType="separate"/>
      </w:r>
      <w:r w:rsidRPr="00A41F07">
        <w:rPr>
          <w:noProof/>
        </w:rPr>
        <w:t>N/A</w:t>
      </w:r>
      <w:r w:rsidRPr="00A41F07">
        <w:fldChar w:fldCharType="end"/>
      </w:r>
    </w:p>
    <w:p w14:paraId="5827163E" w14:textId="77777777" w:rsidR="00534C5F" w:rsidRPr="00A41F07" w:rsidRDefault="000770BA"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If a new item</w:t>
      </w:r>
      <w:r w:rsidR="005D0677" w:rsidRPr="00A41F07">
        <w:rPr>
          <w:rStyle w:val="Strong"/>
          <w:rFonts w:asciiTheme="minorHAnsi" w:eastAsiaTheme="minorHAnsi" w:hAnsiTheme="minorHAnsi" w:cstheme="minorBidi"/>
          <w:b/>
        </w:rPr>
        <w:t>(s)</w:t>
      </w:r>
      <w:r w:rsidR="003433D1" w:rsidRPr="00A41F07">
        <w:rPr>
          <w:rStyle w:val="Strong"/>
          <w:rFonts w:asciiTheme="minorHAnsi" w:eastAsiaTheme="minorHAnsi" w:hAnsiTheme="minorHAnsi" w:cstheme="minorBidi"/>
          <w:b/>
        </w:rPr>
        <w:t xml:space="preserve"> is being requested</w:t>
      </w:r>
      <w:r w:rsidRPr="00A41F07">
        <w:rPr>
          <w:rStyle w:val="Strong"/>
          <w:rFonts w:asciiTheme="minorHAnsi" w:eastAsiaTheme="minorHAnsi" w:hAnsiTheme="minorHAnsi" w:cstheme="minorBidi"/>
          <w:b/>
        </w:rPr>
        <w:t>, what is the nature of the change to the MBS being sought?</w:t>
      </w:r>
    </w:p>
    <w:p w14:paraId="5827163F" w14:textId="77777777" w:rsidR="006B6390" w:rsidRPr="00A41F07" w:rsidRDefault="006B6390" w:rsidP="00AA2CFE">
      <w:pPr>
        <w:pStyle w:val="ListParagraph"/>
        <w:numPr>
          <w:ilvl w:val="0"/>
          <w:numId w:val="35"/>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 new item which also seeks to allow access to the MBS for a specific health practitioner group</w:t>
      </w:r>
    </w:p>
    <w:p w14:paraId="58271640" w14:textId="77777777" w:rsidR="006B6390" w:rsidRPr="00A41F07" w:rsidRDefault="001F7238" w:rsidP="00AA2CFE">
      <w:pPr>
        <w:pStyle w:val="ListParagraph"/>
        <w:numPr>
          <w:ilvl w:val="0"/>
          <w:numId w:val="35"/>
        </w:numPr>
        <w:spacing w:before="0" w:after="0"/>
        <w:ind w:left="851" w:hanging="425"/>
        <w:rPr>
          <w:rStyle w:val="Strong"/>
          <w:b w:val="0"/>
        </w:rPr>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6B6390" w:rsidRPr="00A41F07">
        <w:rPr>
          <w:b/>
          <w:szCs w:val="20"/>
        </w:rPr>
        <w:t xml:space="preserve"> </w:t>
      </w:r>
      <w:r w:rsidR="006B6390" w:rsidRPr="00A41F07">
        <w:rPr>
          <w:rStyle w:val="Strong"/>
          <w:b w:val="0"/>
        </w:rPr>
        <w:t>A new item that is proposing a way of clinically delivering a service that is new to the MBS (in terms of new technology and / or population)</w:t>
      </w:r>
    </w:p>
    <w:p w14:paraId="58271641" w14:textId="77777777" w:rsidR="006B6390" w:rsidRPr="00A41F07" w:rsidRDefault="006B6390" w:rsidP="00AA2CFE">
      <w:pPr>
        <w:pStyle w:val="ListParagraph"/>
        <w:numPr>
          <w:ilvl w:val="0"/>
          <w:numId w:val="35"/>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 new item for a specific single consultation item</w:t>
      </w:r>
    </w:p>
    <w:p w14:paraId="58271642" w14:textId="77777777" w:rsidR="006B6390" w:rsidRPr="00A41F07" w:rsidRDefault="006B6390" w:rsidP="00AA2CFE">
      <w:pPr>
        <w:pStyle w:val="ListParagraph"/>
        <w:numPr>
          <w:ilvl w:val="0"/>
          <w:numId w:val="35"/>
        </w:numPr>
        <w:spacing w:before="0" w:after="0"/>
        <w:ind w:left="851" w:hanging="425"/>
        <w:rPr>
          <w:rStyle w:val="Strong"/>
          <w:b w:val="0"/>
        </w:rPr>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rPr>
          <w:rStyle w:val="Strong"/>
          <w:b w:val="0"/>
        </w:rPr>
        <w:t>A new item for a global consultation item(s)</w:t>
      </w:r>
    </w:p>
    <w:p w14:paraId="58271643" w14:textId="77777777" w:rsidR="003027BB" w:rsidRPr="00A41F07" w:rsidRDefault="00F30C22"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Is the proposed service seeking public funding other than the MBS?</w:t>
      </w:r>
    </w:p>
    <w:p w14:paraId="58271644" w14:textId="77777777" w:rsidR="000A5B32" w:rsidRPr="00A41F07" w:rsidRDefault="000A5B32"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45" w14:textId="77777777" w:rsidR="00626365" w:rsidRPr="00A41F07" w:rsidRDefault="00383FEE" w:rsidP="00626365">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5B32" w:rsidRPr="00A41F07">
        <w:rPr>
          <w:szCs w:val="20"/>
        </w:rPr>
        <w:t xml:space="preserve"> No</w:t>
      </w:r>
    </w:p>
    <w:p w14:paraId="58271646" w14:textId="77777777" w:rsidR="00626365" w:rsidRPr="00A41F07" w:rsidRDefault="00626365" w:rsidP="00626365">
      <w:pPr>
        <w:spacing w:before="0" w:after="0"/>
        <w:ind w:left="284"/>
        <w:rPr>
          <w:szCs w:val="20"/>
        </w:rPr>
      </w:pPr>
      <w:r w:rsidRPr="00A41F07">
        <w:rPr>
          <w:szCs w:val="20"/>
        </w:rPr>
        <w:br w:type="page"/>
      </w:r>
    </w:p>
    <w:p w14:paraId="58271647" w14:textId="77777777" w:rsidR="00626365" w:rsidRPr="00A41F07" w:rsidRDefault="00626365" w:rsidP="00626365">
      <w:pPr>
        <w:spacing w:before="0" w:after="0"/>
        <w:ind w:left="284"/>
        <w:rPr>
          <w:rStyle w:val="Strong"/>
          <w:rFonts w:asciiTheme="minorHAnsi" w:eastAsiaTheme="minorHAnsi" w:hAnsiTheme="minorHAnsi" w:cstheme="minorBidi"/>
          <w:b w:val="0"/>
          <w:szCs w:val="20"/>
        </w:rPr>
      </w:pPr>
    </w:p>
    <w:p w14:paraId="58271648" w14:textId="77777777" w:rsidR="003027BB" w:rsidRPr="00A41F07" w:rsidRDefault="003027BB" w:rsidP="00730C04">
      <w:pPr>
        <w:pStyle w:val="Heading2"/>
        <w:numPr>
          <w:ilvl w:val="0"/>
          <w:numId w:val="24"/>
        </w:numPr>
        <w:rPr>
          <w:rStyle w:val="Strong"/>
          <w:rFonts w:asciiTheme="minorHAnsi" w:eastAsiaTheme="minorHAnsi" w:hAnsiTheme="minorHAnsi" w:cstheme="minorBidi"/>
          <w:b/>
        </w:rPr>
      </w:pPr>
      <w:r w:rsidRPr="00A41F07">
        <w:rPr>
          <w:rStyle w:val="Strong"/>
          <w:rFonts w:asciiTheme="minorHAnsi" w:eastAsiaTheme="minorHAnsi" w:hAnsiTheme="minorHAnsi" w:cstheme="minorBidi"/>
          <w:b/>
        </w:rPr>
        <w:t xml:space="preserve">If yes, please </w:t>
      </w:r>
      <w:proofErr w:type="gramStart"/>
      <w:r w:rsidRPr="00A41F07">
        <w:rPr>
          <w:rStyle w:val="Strong"/>
          <w:rFonts w:asciiTheme="minorHAnsi" w:eastAsiaTheme="minorHAnsi" w:hAnsiTheme="minorHAnsi" w:cstheme="minorBidi"/>
          <w:b/>
        </w:rPr>
        <w:t>advise</w:t>
      </w:r>
      <w:proofErr w:type="gramEnd"/>
      <w:r w:rsidRPr="00A41F07">
        <w:rPr>
          <w:rStyle w:val="Strong"/>
          <w:rFonts w:asciiTheme="minorHAnsi" w:eastAsiaTheme="minorHAnsi" w:hAnsiTheme="minorHAnsi" w:cstheme="minorBidi"/>
          <w:b/>
        </w:rPr>
        <w:t>:</w:t>
      </w:r>
    </w:p>
    <w:p w14:paraId="58271649" w14:textId="77777777" w:rsidR="000A5B32" w:rsidRPr="00A41F07" w:rsidRDefault="00383FEE" w:rsidP="00A6491A">
      <w:pPr>
        <w:ind w:left="284"/>
        <w:rPr>
          <w:rStyle w:val="Strong"/>
        </w:rPr>
      </w:pPr>
      <w:r w:rsidRPr="00A41F07">
        <w:fldChar w:fldCharType="begin">
          <w:ffData>
            <w:name w:val=""/>
            <w:enabled/>
            <w:calcOnExit w:val="0"/>
            <w:textInput>
              <w:default w:val="N/A"/>
            </w:textInput>
          </w:ffData>
        </w:fldChar>
      </w:r>
      <w:r w:rsidRPr="00A41F07">
        <w:instrText xml:space="preserve"> FORMTEXT </w:instrText>
      </w:r>
      <w:r w:rsidRPr="00A41F07">
        <w:fldChar w:fldCharType="separate"/>
      </w:r>
      <w:r w:rsidRPr="00A41F07">
        <w:rPr>
          <w:noProof/>
        </w:rPr>
        <w:t>N/A</w:t>
      </w:r>
      <w:r w:rsidRPr="00A41F07">
        <w:fldChar w:fldCharType="end"/>
      </w:r>
    </w:p>
    <w:p w14:paraId="5827164A" w14:textId="77777777" w:rsidR="000B3CD0" w:rsidRPr="00A41F07" w:rsidRDefault="000B3CD0" w:rsidP="00730C04">
      <w:pPr>
        <w:pStyle w:val="Heading2"/>
      </w:pPr>
      <w:r w:rsidRPr="00A41F07">
        <w:t xml:space="preserve">What is the type of </w:t>
      </w:r>
      <w:proofErr w:type="gramStart"/>
      <w:r w:rsidRPr="00A41F07">
        <w:t>service:</w:t>
      </w:r>
      <w:proofErr w:type="gramEnd"/>
    </w:p>
    <w:p w14:paraId="5827164B" w14:textId="77777777" w:rsidR="00A6594E" w:rsidRPr="00A41F07" w:rsidRDefault="00381B71" w:rsidP="00A6491A">
      <w:pPr>
        <w:spacing w:before="0" w:after="0"/>
        <w:ind w:left="284"/>
      </w:pPr>
      <w:r w:rsidRPr="00A41F07">
        <w:rPr>
          <w:b/>
          <w:szCs w:val="20"/>
        </w:rPr>
        <w:fldChar w:fldCharType="begin">
          <w:ffData>
            <w:name w:val=""/>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A6594E" w:rsidRPr="00A41F07">
        <w:rPr>
          <w:b/>
          <w:szCs w:val="20"/>
        </w:rPr>
        <w:t xml:space="preserve"> </w:t>
      </w:r>
      <w:r w:rsidR="00A6594E" w:rsidRPr="00A41F07">
        <w:t>Therapeutic medical service</w:t>
      </w:r>
    </w:p>
    <w:p w14:paraId="5827164C" w14:textId="77777777" w:rsidR="00A6594E" w:rsidRPr="00A41F07" w:rsidRDefault="00381B71" w:rsidP="00A6491A">
      <w:pPr>
        <w:spacing w:before="0" w:after="0"/>
        <w:ind w:left="284"/>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A6594E" w:rsidRPr="00A41F07">
        <w:rPr>
          <w:b/>
          <w:szCs w:val="20"/>
        </w:rPr>
        <w:t xml:space="preserve"> </w:t>
      </w:r>
      <w:r w:rsidR="00A6594E" w:rsidRPr="00A41F07">
        <w:t>Investigative medical service</w:t>
      </w:r>
    </w:p>
    <w:p w14:paraId="5827164D" w14:textId="77777777" w:rsidR="00A6594E" w:rsidRPr="00A41F07" w:rsidRDefault="00A6594E"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Single consultation medical service</w:t>
      </w:r>
    </w:p>
    <w:p w14:paraId="5827164E" w14:textId="77777777" w:rsidR="00A6594E" w:rsidRPr="00A41F07" w:rsidRDefault="00A6594E"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Global consultation medical service</w:t>
      </w:r>
    </w:p>
    <w:p w14:paraId="5827164F" w14:textId="77777777" w:rsidR="00A6594E" w:rsidRPr="00A41F07" w:rsidRDefault="00A6594E"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Allied health service</w:t>
      </w:r>
    </w:p>
    <w:p w14:paraId="58271650" w14:textId="77777777" w:rsidR="00A6594E" w:rsidRPr="00A41F07" w:rsidRDefault="00A6594E"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Co-dependent technology</w:t>
      </w:r>
    </w:p>
    <w:p w14:paraId="58271651" w14:textId="77777777" w:rsidR="00A6594E" w:rsidRPr="00A41F07" w:rsidRDefault="00A6594E"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Hybrid health technology</w:t>
      </w:r>
    </w:p>
    <w:p w14:paraId="58271652" w14:textId="77777777" w:rsidR="00124B00" w:rsidRPr="00A41F07" w:rsidRDefault="00124B00" w:rsidP="00A6491A">
      <w:pPr>
        <w:spacing w:before="0" w:after="0"/>
        <w:ind w:left="284"/>
      </w:pPr>
    </w:p>
    <w:p w14:paraId="58271653" w14:textId="77777777" w:rsidR="0054594B" w:rsidRPr="00A41F07" w:rsidRDefault="0054594B" w:rsidP="00730C04">
      <w:pPr>
        <w:pStyle w:val="Heading2"/>
      </w:pPr>
      <w:r w:rsidRPr="00A41F07">
        <w:t xml:space="preserve">For investigative services, </w:t>
      </w:r>
      <w:r w:rsidR="00154B00" w:rsidRPr="00A41F07">
        <w:t>advise</w:t>
      </w:r>
      <w:r w:rsidRPr="00A41F07">
        <w:t xml:space="preserve"> the specific purpose of performing the service </w:t>
      </w:r>
      <w:r w:rsidRPr="00A41F07">
        <w:rPr>
          <w:i/>
        </w:rPr>
        <w:t>(which could be one or more of the following</w:t>
      </w:r>
      <w:r w:rsidR="00154B00" w:rsidRPr="00A41F07">
        <w:rPr>
          <w:i/>
        </w:rPr>
        <w:t>)</w:t>
      </w:r>
      <w:r w:rsidRPr="00A41F07">
        <w:t>:</w:t>
      </w:r>
    </w:p>
    <w:p w14:paraId="58271654" w14:textId="77777777" w:rsidR="00A6594E" w:rsidRPr="00A41F07" w:rsidRDefault="00A6594E" w:rsidP="00AF4466">
      <w:pPr>
        <w:pStyle w:val="ListParagraph"/>
        <w:numPr>
          <w:ilvl w:val="0"/>
          <w:numId w:val="36"/>
        </w:numPr>
        <w:spacing w:before="0" w:after="0"/>
        <w:ind w:left="851" w:hanging="425"/>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 xml:space="preserve">To be used as a screening tool in asymptomatic populations </w:t>
      </w:r>
    </w:p>
    <w:p w14:paraId="58271655" w14:textId="77777777" w:rsidR="00A6594E" w:rsidRPr="00A41F07" w:rsidRDefault="00A574EF" w:rsidP="00AF4466">
      <w:pPr>
        <w:pStyle w:val="ListParagraph"/>
        <w:numPr>
          <w:ilvl w:val="0"/>
          <w:numId w:val="36"/>
        </w:numPr>
        <w:spacing w:before="0" w:after="0"/>
        <w:ind w:left="851" w:hanging="425"/>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A6594E" w:rsidRPr="00A41F07">
        <w:rPr>
          <w:b/>
          <w:szCs w:val="20"/>
        </w:rPr>
        <w:t xml:space="preserve"> </w:t>
      </w:r>
      <w:r w:rsidR="00A6594E" w:rsidRPr="00A41F07">
        <w:t>Assists in establishing a diagnosis in symptomatic patients</w:t>
      </w:r>
    </w:p>
    <w:p w14:paraId="58271656" w14:textId="77777777" w:rsidR="00A6594E" w:rsidRPr="00A41F07" w:rsidRDefault="00A574EF" w:rsidP="00AF4466">
      <w:pPr>
        <w:pStyle w:val="ListParagraph"/>
        <w:numPr>
          <w:ilvl w:val="0"/>
          <w:numId w:val="36"/>
        </w:numPr>
        <w:spacing w:before="0" w:after="0"/>
        <w:ind w:left="851" w:hanging="425"/>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A6594E" w:rsidRPr="00A41F07">
        <w:rPr>
          <w:b/>
          <w:szCs w:val="20"/>
        </w:rPr>
        <w:t xml:space="preserve"> </w:t>
      </w:r>
      <w:r w:rsidR="00A6594E" w:rsidRPr="00A41F07">
        <w:t>Provides information about prognosis</w:t>
      </w:r>
    </w:p>
    <w:p w14:paraId="58271657" w14:textId="77777777" w:rsidR="00A6594E" w:rsidRPr="00A41F07" w:rsidRDefault="00A6594E" w:rsidP="00AF4466">
      <w:pPr>
        <w:pStyle w:val="ListParagraph"/>
        <w:numPr>
          <w:ilvl w:val="0"/>
          <w:numId w:val="36"/>
        </w:numPr>
        <w:spacing w:before="0" w:after="0"/>
        <w:ind w:left="851" w:hanging="425"/>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Identifies a patient as suitable for therapy by predicting a variation in the effect of the therapy</w:t>
      </w:r>
    </w:p>
    <w:p w14:paraId="58271658" w14:textId="77777777" w:rsidR="00F63A62" w:rsidRPr="00A41F07" w:rsidRDefault="00A574EF" w:rsidP="00F63A62">
      <w:pPr>
        <w:pStyle w:val="ListParagraph"/>
        <w:numPr>
          <w:ilvl w:val="0"/>
          <w:numId w:val="36"/>
        </w:numPr>
        <w:spacing w:before="0" w:after="0"/>
        <w:ind w:left="851" w:hanging="425"/>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A6594E" w:rsidRPr="00A41F07">
        <w:rPr>
          <w:b/>
          <w:szCs w:val="20"/>
        </w:rPr>
        <w:t xml:space="preserve"> </w:t>
      </w:r>
      <w:r w:rsidR="00A6594E" w:rsidRPr="00A41F07">
        <w:t>Monitors a patient over time to assess treatment response and guide subsequent treatment decisions</w:t>
      </w:r>
    </w:p>
    <w:p w14:paraId="58271659" w14:textId="77777777" w:rsidR="00A6594E" w:rsidRPr="00A41F07" w:rsidRDefault="00F63A62" w:rsidP="00F63A62">
      <w:pPr>
        <w:pStyle w:val="ListParagraph"/>
        <w:numPr>
          <w:ilvl w:val="0"/>
          <w:numId w:val="36"/>
        </w:numPr>
        <w:spacing w:before="0" w:after="0"/>
        <w:ind w:left="851" w:hanging="425"/>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 xml:space="preserve">Is for genetic testing </w:t>
      </w:r>
      <w:r w:rsidR="0050517E" w:rsidRPr="00A41F07">
        <w:t>for</w:t>
      </w:r>
      <w:r w:rsidRPr="00A41F07">
        <w:t xml:space="preserve"> heritable mutations </w:t>
      </w:r>
      <w:r w:rsidR="0050517E" w:rsidRPr="00A41F07">
        <w:t>in</w:t>
      </w:r>
      <w:r w:rsidRPr="00A41F07">
        <w:t xml:space="preserve"> clinically affected individuals and</w:t>
      </w:r>
      <w:r w:rsidR="0050517E" w:rsidRPr="00A41F07">
        <w:t>,</w:t>
      </w:r>
      <w:r w:rsidRPr="00A41F07">
        <w:t xml:space="preserve"> </w:t>
      </w:r>
      <w:r w:rsidR="0050517E" w:rsidRPr="00A41F07">
        <w:t>when also appropriate,</w:t>
      </w:r>
      <w:r w:rsidRPr="00A41F07">
        <w:t xml:space="preserve"> </w:t>
      </w:r>
      <w:r w:rsidR="0050517E" w:rsidRPr="00A41F07">
        <w:t xml:space="preserve">in </w:t>
      </w:r>
      <w:r w:rsidRPr="00A41F07">
        <w:t xml:space="preserve">family members of those individuals who test positive for one or more </w:t>
      </w:r>
      <w:r w:rsidR="0050517E" w:rsidRPr="00A41F07">
        <w:t xml:space="preserve">relevant </w:t>
      </w:r>
      <w:r w:rsidRPr="00A41F07">
        <w:t xml:space="preserve">mutations (and thus for which the Clinical Utility Card </w:t>
      </w:r>
      <w:proofErr w:type="spellStart"/>
      <w:r w:rsidRPr="00A41F07">
        <w:t>proforma</w:t>
      </w:r>
      <w:proofErr w:type="spellEnd"/>
      <w:r w:rsidRPr="00A41F07">
        <w:t xml:space="preserve"> might apply)</w:t>
      </w:r>
    </w:p>
    <w:p w14:paraId="5827165A" w14:textId="77777777" w:rsidR="002A40AE" w:rsidRPr="00A41F07" w:rsidRDefault="002A40AE" w:rsidP="002F55EF">
      <w:pPr>
        <w:spacing w:before="0" w:after="0"/>
      </w:pPr>
    </w:p>
    <w:p w14:paraId="5827165B" w14:textId="77777777" w:rsidR="000B3CD0" w:rsidRPr="00A41F07" w:rsidRDefault="000B3CD0" w:rsidP="00730C04">
      <w:pPr>
        <w:pStyle w:val="Heading2"/>
      </w:pPr>
      <w:r w:rsidRPr="00A41F07">
        <w:t xml:space="preserve">Does </w:t>
      </w:r>
      <w:r w:rsidR="00C209C2" w:rsidRPr="00A41F07">
        <w:t>your</w:t>
      </w:r>
      <w:r w:rsidRPr="00A41F07">
        <w:t xml:space="preserve"> service rely on another medical </w:t>
      </w:r>
      <w:r w:rsidR="001E1180" w:rsidRPr="00A41F07">
        <w:t>product</w:t>
      </w:r>
      <w:r w:rsidRPr="00A41F07">
        <w:t xml:space="preserve"> to achieve or to enhance its intended effect?</w:t>
      </w:r>
    </w:p>
    <w:p w14:paraId="5827165C" w14:textId="77777777" w:rsidR="00FE16C1" w:rsidRPr="00A41F07" w:rsidRDefault="00FE16C1"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Pharmaceutical / Biological</w:t>
      </w:r>
    </w:p>
    <w:p w14:paraId="5827165D" w14:textId="77777777" w:rsidR="00FE16C1" w:rsidRPr="00A41F07" w:rsidRDefault="00A574EF" w:rsidP="00A6491A">
      <w:pPr>
        <w:spacing w:before="0" w:after="0"/>
        <w:ind w:left="284"/>
      </w:pPr>
      <w:r w:rsidRPr="00A41F07">
        <w:rPr>
          <w:b/>
          <w:szCs w:val="20"/>
        </w:rPr>
        <w:fldChar w:fldCharType="begin">
          <w:ffData>
            <w:name w:val=""/>
            <w:enabled/>
            <w:calcOnExit w:val="0"/>
            <w:checkBox>
              <w:sizeAuto/>
              <w:default w:val="1"/>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00FE16C1" w:rsidRPr="00A41F07">
        <w:rPr>
          <w:b/>
          <w:szCs w:val="20"/>
        </w:rPr>
        <w:t xml:space="preserve"> </w:t>
      </w:r>
      <w:r w:rsidR="00FE16C1" w:rsidRPr="00A41F07">
        <w:t>Prosthesis or device</w:t>
      </w:r>
    </w:p>
    <w:p w14:paraId="5827165E" w14:textId="77777777" w:rsidR="00FE16C1" w:rsidRPr="00A41F07" w:rsidRDefault="00FE16C1" w:rsidP="00A6491A">
      <w:pPr>
        <w:spacing w:before="0" w:after="0"/>
        <w:ind w:left="284"/>
      </w:pPr>
      <w:r w:rsidRPr="00A41F07">
        <w:rPr>
          <w:b/>
          <w:szCs w:val="20"/>
        </w:rPr>
        <w:fldChar w:fldCharType="begin">
          <w:ffData>
            <w:name w:val="Check2"/>
            <w:enabled/>
            <w:calcOnExit w:val="0"/>
            <w:checkBox>
              <w:sizeAuto/>
              <w:default w:val="0"/>
            </w:checkBox>
          </w:ffData>
        </w:fldChar>
      </w:r>
      <w:r w:rsidRPr="00A41F07">
        <w:rPr>
          <w:b/>
          <w:szCs w:val="20"/>
        </w:rPr>
        <w:instrText xml:space="preserve"> FORMCHECKBOX </w:instrText>
      </w:r>
      <w:r w:rsidR="00742C65">
        <w:rPr>
          <w:b/>
          <w:szCs w:val="20"/>
        </w:rPr>
      </w:r>
      <w:r w:rsidR="00742C65">
        <w:rPr>
          <w:b/>
          <w:szCs w:val="20"/>
        </w:rPr>
        <w:fldChar w:fldCharType="separate"/>
      </w:r>
      <w:r w:rsidRPr="00A41F07">
        <w:rPr>
          <w:b/>
          <w:szCs w:val="20"/>
        </w:rPr>
        <w:fldChar w:fldCharType="end"/>
      </w:r>
      <w:r w:rsidRPr="00A41F07">
        <w:rPr>
          <w:b/>
          <w:szCs w:val="20"/>
        </w:rPr>
        <w:t xml:space="preserve"> </w:t>
      </w:r>
      <w:r w:rsidRPr="00A41F07">
        <w:t>No</w:t>
      </w:r>
    </w:p>
    <w:p w14:paraId="5827165F" w14:textId="77777777" w:rsidR="000E5439" w:rsidRPr="00A41F07" w:rsidRDefault="00530204" w:rsidP="00730C04">
      <w:pPr>
        <w:pStyle w:val="Heading2"/>
      </w:pPr>
      <w:r w:rsidRPr="00A41F07">
        <w:t xml:space="preserve">(a)  </w:t>
      </w:r>
      <w:r w:rsidR="000E5439" w:rsidRPr="00A41F07">
        <w:t>If the proposed service has a pharmaceutical component to it, is it already covered under an existing Pharmaceutical Benefits Scheme (PBS) listing?</w:t>
      </w:r>
    </w:p>
    <w:p w14:paraId="58271660" w14:textId="77777777" w:rsidR="00FE16C1" w:rsidRPr="00A41F07" w:rsidRDefault="00FE16C1"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61" w14:textId="77777777" w:rsidR="00FE16C1" w:rsidRPr="00A41F07" w:rsidRDefault="001D70F0" w:rsidP="00A6491A">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FE16C1" w:rsidRPr="00A41F07">
        <w:rPr>
          <w:szCs w:val="20"/>
        </w:rPr>
        <w:t xml:space="preserve"> No  </w:t>
      </w:r>
    </w:p>
    <w:p w14:paraId="58271662" w14:textId="77777777" w:rsidR="00EC127A" w:rsidRPr="00A41F07" w:rsidRDefault="000E5439" w:rsidP="00530204">
      <w:pPr>
        <w:pStyle w:val="Heading2"/>
        <w:numPr>
          <w:ilvl w:val="0"/>
          <w:numId w:val="25"/>
        </w:numPr>
      </w:pPr>
      <w:r w:rsidRPr="00A41F07">
        <w:t xml:space="preserve">If yes, </w:t>
      </w:r>
      <w:r w:rsidR="00BB003A" w:rsidRPr="00A41F07">
        <w:t>please list</w:t>
      </w:r>
      <w:r w:rsidRPr="00A41F07">
        <w:t xml:space="preserve"> the</w:t>
      </w:r>
      <w:r w:rsidR="00BB003A" w:rsidRPr="00A41F07">
        <w:t xml:space="preserve"> relevant</w:t>
      </w:r>
      <w:r w:rsidRPr="00A41F07">
        <w:t xml:space="preserve"> PBS </w:t>
      </w:r>
      <w:r w:rsidR="001E23EA" w:rsidRPr="00A41F07">
        <w:t>item code</w:t>
      </w:r>
      <w:r w:rsidRPr="00A41F07">
        <w:t>(s)</w:t>
      </w:r>
      <w:r w:rsidR="007E39E4" w:rsidRPr="00A41F07">
        <w:t>:</w:t>
      </w:r>
    </w:p>
    <w:p w14:paraId="58271663" w14:textId="77777777" w:rsidR="007E39E4" w:rsidRPr="00A41F07" w:rsidRDefault="001D70F0" w:rsidP="00A6491A">
      <w:pPr>
        <w:ind w:left="284"/>
        <w:rPr>
          <w:b/>
          <w:szCs w:val="20"/>
        </w:rPr>
      </w:pPr>
      <w:r w:rsidRPr="00A41F07">
        <w:fldChar w:fldCharType="begin">
          <w:ffData>
            <w:name w:val=""/>
            <w:enabled/>
            <w:calcOnExit w:val="0"/>
            <w:textInput>
              <w:default w:val="N/A"/>
            </w:textInput>
          </w:ffData>
        </w:fldChar>
      </w:r>
      <w:r w:rsidRPr="00A41F07">
        <w:instrText xml:space="preserve"> FORMTEXT </w:instrText>
      </w:r>
      <w:r w:rsidRPr="00A41F07">
        <w:fldChar w:fldCharType="separate"/>
      </w:r>
      <w:r w:rsidRPr="00A41F07">
        <w:rPr>
          <w:noProof/>
        </w:rPr>
        <w:t>N/A</w:t>
      </w:r>
      <w:r w:rsidRPr="00A41F07">
        <w:fldChar w:fldCharType="end"/>
      </w:r>
    </w:p>
    <w:p w14:paraId="58271664" w14:textId="77777777" w:rsidR="00411735" w:rsidRPr="00A41F07" w:rsidRDefault="00411735" w:rsidP="00530204">
      <w:pPr>
        <w:pStyle w:val="Heading2"/>
        <w:numPr>
          <w:ilvl w:val="0"/>
          <w:numId w:val="25"/>
        </w:numPr>
      </w:pPr>
      <w:r w:rsidRPr="00A41F07">
        <w:t xml:space="preserve">If no, is an application </w:t>
      </w:r>
      <w:r w:rsidR="001E23EA" w:rsidRPr="00A41F07">
        <w:t xml:space="preserve">(submission) </w:t>
      </w:r>
      <w:r w:rsidRPr="00A41F07">
        <w:t xml:space="preserve">in the process of being considered by the </w:t>
      </w:r>
      <w:r w:rsidR="00802553" w:rsidRPr="00A41F07">
        <w:t>Pharmaceutical Benefits Advisory Committee (</w:t>
      </w:r>
      <w:r w:rsidRPr="00A41F07">
        <w:t>PBAC</w:t>
      </w:r>
      <w:r w:rsidR="00802553" w:rsidRPr="00A41F07">
        <w:t>)</w:t>
      </w:r>
      <w:r w:rsidRPr="00A41F07">
        <w:t>?</w:t>
      </w:r>
    </w:p>
    <w:p w14:paraId="58271665" w14:textId="77777777" w:rsidR="007E39E4" w:rsidRPr="00A41F07" w:rsidRDefault="007E39E4"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r w:rsidR="001E6919" w:rsidRPr="00A41F07">
        <w:rPr>
          <w:szCs w:val="20"/>
        </w:rPr>
        <w:t xml:space="preserve"> (please provide PBAC submission item number below)</w:t>
      </w:r>
    </w:p>
    <w:p w14:paraId="58271666" w14:textId="77777777" w:rsidR="001E6919" w:rsidRPr="00A41F07" w:rsidRDefault="00AD081C" w:rsidP="00AD081C">
      <w:pPr>
        <w:spacing w:before="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1E6919" w:rsidRPr="00A41F07">
        <w:rPr>
          <w:szCs w:val="20"/>
        </w:rPr>
        <w:t xml:space="preserve"> No</w:t>
      </w:r>
    </w:p>
    <w:p w14:paraId="58271667" w14:textId="77777777" w:rsidR="000E5439" w:rsidRPr="00A41F07" w:rsidRDefault="000E5439" w:rsidP="00530204">
      <w:pPr>
        <w:pStyle w:val="Heading2"/>
        <w:numPr>
          <w:ilvl w:val="0"/>
          <w:numId w:val="25"/>
        </w:numPr>
      </w:pPr>
      <w:r w:rsidRPr="00A41F07">
        <w:t>If you are seeking both MBS and PBS listing</w:t>
      </w:r>
      <w:r w:rsidR="00B75965" w:rsidRPr="00A41F07">
        <w:t>, what is the trade name and generic name of the pharmaceutical?</w:t>
      </w:r>
    </w:p>
    <w:p w14:paraId="58271668" w14:textId="77777777" w:rsidR="001E6958" w:rsidRPr="00A41F07" w:rsidRDefault="001E6958" w:rsidP="00A6491A">
      <w:pPr>
        <w:spacing w:before="0" w:after="0"/>
        <w:ind w:left="284"/>
      </w:pPr>
      <w:r w:rsidRPr="00A41F07">
        <w:t xml:space="preserve">Trade name: </w:t>
      </w:r>
      <w:r w:rsidR="00650643" w:rsidRPr="00A41F07">
        <w:fldChar w:fldCharType="begin">
          <w:ffData>
            <w:name w:val=""/>
            <w:enabled/>
            <w:calcOnExit w:val="0"/>
            <w:textInput>
              <w:default w:val="N/A"/>
            </w:textInput>
          </w:ffData>
        </w:fldChar>
      </w:r>
      <w:r w:rsidR="00650643" w:rsidRPr="00A41F07">
        <w:instrText xml:space="preserve"> FORMTEXT </w:instrText>
      </w:r>
      <w:r w:rsidR="00650643" w:rsidRPr="00A41F07">
        <w:fldChar w:fldCharType="separate"/>
      </w:r>
      <w:r w:rsidR="00650643" w:rsidRPr="00A41F07">
        <w:rPr>
          <w:noProof/>
        </w:rPr>
        <w:t>N/A</w:t>
      </w:r>
      <w:r w:rsidR="00650643" w:rsidRPr="00A41F07">
        <w:fldChar w:fldCharType="end"/>
      </w:r>
    </w:p>
    <w:p w14:paraId="58271669" w14:textId="77777777" w:rsidR="001E6958" w:rsidRPr="00A41F07" w:rsidRDefault="001E6958" w:rsidP="00A6491A">
      <w:pPr>
        <w:spacing w:before="0" w:after="0"/>
        <w:ind w:left="284"/>
      </w:pPr>
      <w:r w:rsidRPr="00A41F07">
        <w:t xml:space="preserve">Generic name: </w:t>
      </w:r>
      <w:r w:rsidR="00650643" w:rsidRPr="00A41F07">
        <w:fldChar w:fldCharType="begin">
          <w:ffData>
            <w:name w:val=""/>
            <w:enabled/>
            <w:calcOnExit w:val="0"/>
            <w:textInput>
              <w:default w:val=" N/A"/>
            </w:textInput>
          </w:ffData>
        </w:fldChar>
      </w:r>
      <w:r w:rsidR="00650643" w:rsidRPr="00A41F07">
        <w:instrText xml:space="preserve"> FORMTEXT </w:instrText>
      </w:r>
      <w:r w:rsidR="00650643" w:rsidRPr="00A41F07">
        <w:fldChar w:fldCharType="separate"/>
      </w:r>
      <w:r w:rsidR="00650643" w:rsidRPr="00A41F07">
        <w:rPr>
          <w:noProof/>
        </w:rPr>
        <w:t xml:space="preserve"> N/A</w:t>
      </w:r>
      <w:r w:rsidR="00650643" w:rsidRPr="00A41F07">
        <w:fldChar w:fldCharType="end"/>
      </w:r>
    </w:p>
    <w:p w14:paraId="5827166A" w14:textId="77777777" w:rsidR="00B75965" w:rsidRPr="00A41F07" w:rsidRDefault="00530204" w:rsidP="00530204">
      <w:pPr>
        <w:pStyle w:val="Heading2"/>
      </w:pPr>
      <w:r w:rsidRPr="00A41F07">
        <w:t xml:space="preserve">(a) </w:t>
      </w:r>
      <w:r w:rsidR="00B75965" w:rsidRPr="00A41F07">
        <w:t xml:space="preserve">If the proposed service </w:t>
      </w:r>
      <w:r w:rsidR="00A9062D" w:rsidRPr="00A41F07">
        <w:t xml:space="preserve">is </w:t>
      </w:r>
      <w:r w:rsidR="00C73B62" w:rsidRPr="00A41F07">
        <w:t>dependent on</w:t>
      </w:r>
      <w:r w:rsidR="00A9062D" w:rsidRPr="00A41F07">
        <w:t xml:space="preserve"> </w:t>
      </w:r>
      <w:r w:rsidR="00BB003A" w:rsidRPr="00A41F07">
        <w:t xml:space="preserve">the use of </w:t>
      </w:r>
      <w:proofErr w:type="gramStart"/>
      <w:r w:rsidR="00C05A45" w:rsidRPr="00A41F07">
        <w:t>a prosthesis</w:t>
      </w:r>
      <w:proofErr w:type="gramEnd"/>
      <w:r w:rsidR="00CD4E44" w:rsidRPr="00A41F07">
        <w:t>,</w:t>
      </w:r>
      <w:r w:rsidR="00C05A45" w:rsidRPr="00A41F07">
        <w:t xml:space="preserve"> </w:t>
      </w:r>
      <w:r w:rsidR="00B75965" w:rsidRPr="00A41F07">
        <w:t>is it already included on the Prosthes</w:t>
      </w:r>
      <w:r w:rsidR="00BB003A" w:rsidRPr="00A41F07">
        <w:t>e</w:t>
      </w:r>
      <w:r w:rsidR="00B75965" w:rsidRPr="00A41F07">
        <w:t>s List?</w:t>
      </w:r>
    </w:p>
    <w:p w14:paraId="5827166B" w14:textId="77777777" w:rsidR="001E6958" w:rsidRPr="00A41F07" w:rsidRDefault="001E6958"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6C" w14:textId="77777777" w:rsidR="008D2B2D" w:rsidRPr="00A41F07" w:rsidRDefault="008D2B2D" w:rsidP="00275D11">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1E6958" w:rsidRPr="00A41F07">
        <w:rPr>
          <w:szCs w:val="20"/>
        </w:rPr>
        <w:t xml:space="preserve"> No  </w:t>
      </w:r>
    </w:p>
    <w:p w14:paraId="5827166D" w14:textId="77777777" w:rsidR="001E6919" w:rsidRPr="00A41F07" w:rsidRDefault="008D2B2D" w:rsidP="008D2B2D">
      <w:pPr>
        <w:spacing w:before="0" w:after="0"/>
        <w:rPr>
          <w:szCs w:val="20"/>
        </w:rPr>
      </w:pPr>
      <w:r w:rsidRPr="00A41F07">
        <w:rPr>
          <w:rFonts w:cstheme="minorHAnsi"/>
          <w:b/>
          <w:szCs w:val="20"/>
        </w:rPr>
        <w:t>Applicant comment:</w:t>
      </w:r>
      <w:r w:rsidRPr="00A41F07">
        <w:rPr>
          <w:rFonts w:cstheme="minorHAnsi"/>
          <w:szCs w:val="20"/>
        </w:rPr>
        <w:t xml:space="preserve"> Technology required to deliver the proposed service is not implanted –and therefore does not meet current Prostheses List criteria. </w:t>
      </w:r>
      <w:r w:rsidR="001E6919" w:rsidRPr="00A41F07">
        <w:rPr>
          <w:szCs w:val="20"/>
        </w:rPr>
        <w:br w:type="page"/>
      </w:r>
    </w:p>
    <w:p w14:paraId="5827166E" w14:textId="77777777" w:rsidR="001E6919" w:rsidRPr="00A41F07" w:rsidRDefault="001E6919" w:rsidP="00A6491A">
      <w:pPr>
        <w:spacing w:before="0" w:after="0"/>
        <w:ind w:left="284"/>
        <w:rPr>
          <w:szCs w:val="20"/>
        </w:rPr>
      </w:pPr>
    </w:p>
    <w:p w14:paraId="5827166F" w14:textId="77777777" w:rsidR="00B75965" w:rsidRPr="00A41F07" w:rsidRDefault="00B75965" w:rsidP="00530204">
      <w:pPr>
        <w:pStyle w:val="Heading2"/>
        <w:numPr>
          <w:ilvl w:val="0"/>
          <w:numId w:val="26"/>
        </w:numPr>
      </w:pPr>
      <w:r w:rsidRPr="00A41F07">
        <w:t xml:space="preserve">If yes, </w:t>
      </w:r>
      <w:r w:rsidR="00C73B62" w:rsidRPr="00A41F07">
        <w:t xml:space="preserve">please provide the following information (where relevant): </w:t>
      </w:r>
    </w:p>
    <w:p w14:paraId="58271670" w14:textId="77777777" w:rsidR="001E6958" w:rsidRPr="00A41F07" w:rsidRDefault="001E6958" w:rsidP="00A6491A">
      <w:pPr>
        <w:spacing w:before="0" w:after="0"/>
        <w:ind w:left="284"/>
      </w:pPr>
      <w:r w:rsidRPr="00A41F07">
        <w:t xml:space="preserve">Billing code(s): </w:t>
      </w:r>
      <w:r w:rsidR="00002C0E" w:rsidRPr="00A41F07">
        <w:fldChar w:fldCharType="begin">
          <w:ffData>
            <w:name w:val=""/>
            <w:enabled/>
            <w:calcOnExit w:val="0"/>
            <w:textInput>
              <w:default w:val="N/A"/>
            </w:textInput>
          </w:ffData>
        </w:fldChar>
      </w:r>
      <w:r w:rsidR="00002C0E" w:rsidRPr="00A41F07">
        <w:instrText xml:space="preserve"> FORMTEXT </w:instrText>
      </w:r>
      <w:r w:rsidR="00002C0E" w:rsidRPr="00A41F07">
        <w:fldChar w:fldCharType="separate"/>
      </w:r>
      <w:r w:rsidR="00002C0E" w:rsidRPr="00A41F07">
        <w:rPr>
          <w:noProof/>
        </w:rPr>
        <w:t>N/A</w:t>
      </w:r>
      <w:r w:rsidR="00002C0E" w:rsidRPr="00A41F07">
        <w:fldChar w:fldCharType="end"/>
      </w:r>
    </w:p>
    <w:p w14:paraId="58271671" w14:textId="77777777" w:rsidR="001E6958" w:rsidRPr="00A41F07" w:rsidRDefault="001E6958" w:rsidP="00A6491A">
      <w:pPr>
        <w:spacing w:before="0" w:after="0"/>
        <w:ind w:left="284"/>
      </w:pPr>
      <w:r w:rsidRPr="00A41F07">
        <w:t xml:space="preserve">Trade name of prostheses: </w:t>
      </w:r>
      <w:r w:rsidR="00002C0E" w:rsidRPr="00A41F07">
        <w:fldChar w:fldCharType="begin">
          <w:ffData>
            <w:name w:val=""/>
            <w:enabled/>
            <w:calcOnExit w:val="0"/>
            <w:textInput>
              <w:default w:val="N/A"/>
            </w:textInput>
          </w:ffData>
        </w:fldChar>
      </w:r>
      <w:r w:rsidR="00002C0E" w:rsidRPr="00A41F07">
        <w:instrText xml:space="preserve"> FORMTEXT </w:instrText>
      </w:r>
      <w:r w:rsidR="00002C0E" w:rsidRPr="00A41F07">
        <w:fldChar w:fldCharType="separate"/>
      </w:r>
      <w:r w:rsidR="00002C0E" w:rsidRPr="00A41F07">
        <w:rPr>
          <w:noProof/>
        </w:rPr>
        <w:t>N/A</w:t>
      </w:r>
      <w:r w:rsidR="00002C0E" w:rsidRPr="00A41F07">
        <w:fldChar w:fldCharType="end"/>
      </w:r>
    </w:p>
    <w:p w14:paraId="58271672" w14:textId="77777777" w:rsidR="001E6958" w:rsidRPr="00A41F07" w:rsidRDefault="001E6958" w:rsidP="00A6491A">
      <w:pPr>
        <w:spacing w:before="0" w:after="0"/>
        <w:ind w:left="284"/>
      </w:pPr>
      <w:r w:rsidRPr="00A41F07">
        <w:t xml:space="preserve">Clinical name of prostheses: </w:t>
      </w:r>
      <w:r w:rsidR="00002C0E" w:rsidRPr="00A41F07">
        <w:fldChar w:fldCharType="begin">
          <w:ffData>
            <w:name w:val=""/>
            <w:enabled/>
            <w:calcOnExit w:val="0"/>
            <w:textInput>
              <w:default w:val="N/A"/>
            </w:textInput>
          </w:ffData>
        </w:fldChar>
      </w:r>
      <w:r w:rsidR="00002C0E" w:rsidRPr="00A41F07">
        <w:instrText xml:space="preserve"> FORMTEXT </w:instrText>
      </w:r>
      <w:r w:rsidR="00002C0E" w:rsidRPr="00A41F07">
        <w:fldChar w:fldCharType="separate"/>
      </w:r>
      <w:r w:rsidR="00002C0E" w:rsidRPr="00A41F07">
        <w:rPr>
          <w:noProof/>
        </w:rPr>
        <w:t>N/A</w:t>
      </w:r>
      <w:r w:rsidR="00002C0E" w:rsidRPr="00A41F07">
        <w:fldChar w:fldCharType="end"/>
      </w:r>
    </w:p>
    <w:p w14:paraId="58271673" w14:textId="77777777" w:rsidR="001E6958" w:rsidRPr="00A41F07" w:rsidRDefault="001E6958" w:rsidP="00A6491A">
      <w:pPr>
        <w:spacing w:before="0" w:after="0"/>
        <w:ind w:left="284"/>
      </w:pPr>
      <w:r w:rsidRPr="00A41F07">
        <w:t xml:space="preserve">Other device components delivered as part of the service: </w:t>
      </w:r>
      <w:r w:rsidR="00002C0E" w:rsidRPr="00A41F07">
        <w:fldChar w:fldCharType="begin">
          <w:ffData>
            <w:name w:val=""/>
            <w:enabled/>
            <w:calcOnExit w:val="0"/>
            <w:textInput>
              <w:default w:val="N/A"/>
            </w:textInput>
          </w:ffData>
        </w:fldChar>
      </w:r>
      <w:r w:rsidR="00002C0E" w:rsidRPr="00A41F07">
        <w:instrText xml:space="preserve"> FORMTEXT </w:instrText>
      </w:r>
      <w:r w:rsidR="00002C0E" w:rsidRPr="00A41F07">
        <w:fldChar w:fldCharType="separate"/>
      </w:r>
      <w:r w:rsidR="00002C0E" w:rsidRPr="00A41F07">
        <w:rPr>
          <w:noProof/>
        </w:rPr>
        <w:t>N/A</w:t>
      </w:r>
      <w:r w:rsidR="00002C0E" w:rsidRPr="00A41F07">
        <w:fldChar w:fldCharType="end"/>
      </w:r>
    </w:p>
    <w:p w14:paraId="58271674" w14:textId="77777777" w:rsidR="009939DC" w:rsidRPr="00A41F07" w:rsidRDefault="009939DC" w:rsidP="009939DC"/>
    <w:p w14:paraId="58271675" w14:textId="77777777" w:rsidR="00411735" w:rsidRPr="00A41F07" w:rsidRDefault="00411735" w:rsidP="00530204">
      <w:pPr>
        <w:pStyle w:val="Heading2"/>
        <w:numPr>
          <w:ilvl w:val="0"/>
          <w:numId w:val="26"/>
        </w:numPr>
      </w:pPr>
      <w:r w:rsidRPr="00A41F07">
        <w:t xml:space="preserve">If no, is an application in the process of being considered by </w:t>
      </w:r>
      <w:r w:rsidR="003433D1" w:rsidRPr="00A41F07">
        <w:t xml:space="preserve">a Clinical Advisory Group or </w:t>
      </w:r>
      <w:r w:rsidRPr="00A41F07">
        <w:t>the</w:t>
      </w:r>
      <w:r w:rsidR="00BB003A" w:rsidRPr="00A41F07">
        <w:t xml:space="preserve"> Prostheses List Advisory Committee</w:t>
      </w:r>
      <w:r w:rsidRPr="00A41F07">
        <w:t xml:space="preserve"> </w:t>
      </w:r>
      <w:r w:rsidR="00BB003A" w:rsidRPr="00A41F07">
        <w:t>(</w:t>
      </w:r>
      <w:r w:rsidRPr="00A41F07">
        <w:t>PLAC</w:t>
      </w:r>
      <w:r w:rsidR="00BB003A" w:rsidRPr="00A41F07">
        <w:t>)</w:t>
      </w:r>
      <w:r w:rsidRPr="00A41F07">
        <w:t>?</w:t>
      </w:r>
    </w:p>
    <w:p w14:paraId="58271676" w14:textId="77777777" w:rsidR="009939DC" w:rsidRPr="00A41F07" w:rsidRDefault="009939DC"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w:t>
      </w:r>
    </w:p>
    <w:p w14:paraId="58271677" w14:textId="77777777" w:rsidR="001E6958" w:rsidRPr="00A41F07" w:rsidRDefault="00651BF9" w:rsidP="00A6491A">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9939DC" w:rsidRPr="00A41F07">
        <w:rPr>
          <w:szCs w:val="20"/>
        </w:rPr>
        <w:t xml:space="preserve"> No  </w:t>
      </w:r>
    </w:p>
    <w:p w14:paraId="58271678" w14:textId="77777777" w:rsidR="00016B6E" w:rsidRPr="00A41F07" w:rsidRDefault="00016B6E" w:rsidP="00530204">
      <w:pPr>
        <w:pStyle w:val="Heading2"/>
        <w:numPr>
          <w:ilvl w:val="0"/>
          <w:numId w:val="26"/>
        </w:numPr>
      </w:pPr>
      <w:r w:rsidRPr="00A41F07">
        <w:t>Are there any other sponsor(s) and / or manufacturer(</w:t>
      </w:r>
      <w:r w:rsidR="008B729C" w:rsidRPr="00A41F07">
        <w:t>s) that have a similar prosthesi</w:t>
      </w:r>
      <w:r w:rsidRPr="00A41F07">
        <w:t>s or device component in the Australian market place which this application is relevant to?</w:t>
      </w:r>
    </w:p>
    <w:p w14:paraId="58271679" w14:textId="77777777" w:rsidR="009939DC" w:rsidRPr="00A41F07" w:rsidRDefault="00651BF9" w:rsidP="00A6491A">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9939DC" w:rsidRPr="00A41F07">
        <w:rPr>
          <w:szCs w:val="20"/>
        </w:rPr>
        <w:t xml:space="preserve"> Yes</w:t>
      </w:r>
    </w:p>
    <w:p w14:paraId="5827167A" w14:textId="77777777" w:rsidR="009939DC" w:rsidRPr="00A41F07" w:rsidRDefault="009939DC" w:rsidP="00A6491A">
      <w:pPr>
        <w:spacing w:before="0" w:after="0"/>
        <w:ind w:left="284"/>
        <w:rPr>
          <w:szCs w:val="20"/>
        </w:rPr>
      </w:pPr>
      <w:r w:rsidRPr="00A41F07">
        <w:rPr>
          <w:szCs w:val="20"/>
        </w:rPr>
        <w:fldChar w:fldCharType="begin">
          <w:ffData>
            <w:name w:val="Check2"/>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  </w:t>
      </w:r>
    </w:p>
    <w:p w14:paraId="5827167B" w14:textId="77777777" w:rsidR="009939DC" w:rsidRPr="00A41F07" w:rsidRDefault="00016B6E" w:rsidP="00530204">
      <w:pPr>
        <w:pStyle w:val="Heading2"/>
        <w:numPr>
          <w:ilvl w:val="0"/>
          <w:numId w:val="26"/>
        </w:numPr>
      </w:pPr>
      <w:r w:rsidRPr="00A41F07">
        <w:t>If yes, please provide the name(s) of the spon</w:t>
      </w:r>
      <w:r w:rsidR="009939DC" w:rsidRPr="00A41F07">
        <w:t>sor(s) and / or manufacturer(s):</w:t>
      </w:r>
    </w:p>
    <w:p w14:paraId="5827167C" w14:textId="77777777" w:rsidR="00016B6E" w:rsidRPr="00A41F07" w:rsidRDefault="00651BF9" w:rsidP="00A6491A">
      <w:pPr>
        <w:ind w:left="284"/>
      </w:pPr>
      <w:r w:rsidRPr="00A41F07">
        <w:fldChar w:fldCharType="begin">
          <w:ffData>
            <w:name w:val=""/>
            <w:enabled/>
            <w:calcOnExit w:val="0"/>
            <w:textInput>
              <w:default w:val="CapsoCam Plus by CapsoVision  (distributed by Device Technologies )"/>
            </w:textInput>
          </w:ffData>
        </w:fldChar>
      </w:r>
      <w:r w:rsidRPr="00A41F07">
        <w:instrText xml:space="preserve"> FORMTEXT </w:instrText>
      </w:r>
      <w:r w:rsidRPr="00A41F07">
        <w:fldChar w:fldCharType="separate"/>
      </w:r>
      <w:r w:rsidRPr="00A41F07">
        <w:rPr>
          <w:noProof/>
        </w:rPr>
        <w:t>CapsoCam Plus by CapsoVision  (distributed by Device Technologies )</w:t>
      </w:r>
      <w:r w:rsidRPr="00A41F07">
        <w:fldChar w:fldCharType="end"/>
      </w:r>
    </w:p>
    <w:p w14:paraId="5827167D" w14:textId="77777777" w:rsidR="00651BF9" w:rsidRPr="00A41F07" w:rsidRDefault="00651BF9" w:rsidP="00A6491A">
      <w:pPr>
        <w:ind w:left="284"/>
      </w:pPr>
      <w:r w:rsidRPr="00A41F07">
        <w:fldChar w:fldCharType="begin">
          <w:ffData>
            <w:name w:val=""/>
            <w:enabled/>
            <w:calcOnExit w:val="0"/>
            <w:textInput>
              <w:default w:val="MiRo-Cam by IntroMedic  (distributed by C.R. Kennedy)"/>
            </w:textInput>
          </w:ffData>
        </w:fldChar>
      </w:r>
      <w:r w:rsidRPr="00A41F07">
        <w:instrText xml:space="preserve"> FORMTEXT </w:instrText>
      </w:r>
      <w:r w:rsidRPr="00A41F07">
        <w:fldChar w:fldCharType="separate"/>
      </w:r>
      <w:r w:rsidRPr="00A41F07">
        <w:rPr>
          <w:noProof/>
        </w:rPr>
        <w:t>MiRo-Cam by IntroMedic  (distributed by C.R. Kennedy)</w:t>
      </w:r>
      <w:r w:rsidRPr="00A41F07">
        <w:fldChar w:fldCharType="end"/>
      </w:r>
    </w:p>
    <w:p w14:paraId="5827167E" w14:textId="77777777" w:rsidR="000C0D66" w:rsidRDefault="00651BF9" w:rsidP="00A6491A">
      <w:pPr>
        <w:ind w:left="284"/>
      </w:pPr>
      <w:r w:rsidRPr="00A41F07">
        <w:fldChar w:fldCharType="begin">
          <w:ffData>
            <w:name w:val=""/>
            <w:enabled/>
            <w:calcOnExit w:val="0"/>
            <w:textInput>
              <w:default w:val="EndoCapsule by Olympus Australia Pty Ltd "/>
            </w:textInput>
          </w:ffData>
        </w:fldChar>
      </w:r>
      <w:r w:rsidRPr="00A41F07">
        <w:instrText xml:space="preserve"> FORMTEXT </w:instrText>
      </w:r>
      <w:r w:rsidRPr="00A41F07">
        <w:fldChar w:fldCharType="separate"/>
      </w:r>
      <w:r w:rsidRPr="00A41F07">
        <w:rPr>
          <w:noProof/>
        </w:rPr>
        <w:t xml:space="preserve">EndoCapsule by Olympus Australia Pty Ltd </w:t>
      </w:r>
      <w:r w:rsidRPr="00A41F07">
        <w:fldChar w:fldCharType="end"/>
      </w:r>
    </w:p>
    <w:p w14:paraId="5827167F" w14:textId="77777777" w:rsidR="000C0D66" w:rsidRDefault="00644E0E" w:rsidP="00A6491A">
      <w:pPr>
        <w:ind w:left="284"/>
      </w:pPr>
      <w:r>
        <w:fldChar w:fldCharType="begin">
          <w:ffData>
            <w:name w:val=""/>
            <w:enabled/>
            <w:calcOnExit w:val="0"/>
            <w:textInput>
              <w:default w:val="PillCam capsule endoscopy by Medtronic Australasia Pty Ltd"/>
            </w:textInput>
          </w:ffData>
        </w:fldChar>
      </w:r>
      <w:r>
        <w:instrText xml:space="preserve"> FORMTEXT </w:instrText>
      </w:r>
      <w:r>
        <w:fldChar w:fldCharType="separate"/>
      </w:r>
      <w:r>
        <w:rPr>
          <w:noProof/>
        </w:rPr>
        <w:t>PillCam capsule endoscopy by Medtronic Australasia Pty Ltd</w:t>
      </w:r>
      <w:r>
        <w:fldChar w:fldCharType="end"/>
      </w:r>
    </w:p>
    <w:p w14:paraId="58271680" w14:textId="77777777" w:rsidR="0084657B" w:rsidRPr="00A41F07" w:rsidRDefault="00A9062D" w:rsidP="00530204">
      <w:pPr>
        <w:pStyle w:val="Heading2"/>
      </w:pPr>
      <w:r w:rsidRPr="00A41F07">
        <w:t>P</w:t>
      </w:r>
      <w:r w:rsidR="0084657B" w:rsidRPr="00A41F07">
        <w:t xml:space="preserve">lease identify </w:t>
      </w:r>
      <w:r w:rsidR="00E8649B" w:rsidRPr="00A41F07">
        <w:t xml:space="preserve">any single </w:t>
      </w:r>
      <w:r w:rsidR="00016B6E" w:rsidRPr="00A41F07">
        <w:t>and / or multi-</w:t>
      </w:r>
      <w:r w:rsidR="00E8649B" w:rsidRPr="00A41F07">
        <w:t>use consumables</w:t>
      </w:r>
      <w:r w:rsidR="0084657B" w:rsidRPr="00A41F07">
        <w:t xml:space="preserve"> </w:t>
      </w:r>
      <w:r w:rsidR="00E8649B" w:rsidRPr="00A41F07">
        <w:t>delivered as part of the service?</w:t>
      </w:r>
    </w:p>
    <w:p w14:paraId="58271681" w14:textId="77777777" w:rsidR="009939DC" w:rsidRPr="00A41F07" w:rsidRDefault="009939DC" w:rsidP="00A6491A">
      <w:pPr>
        <w:spacing w:before="0" w:after="0"/>
        <w:ind w:left="284"/>
      </w:pPr>
      <w:r w:rsidRPr="00A41F07">
        <w:t xml:space="preserve">Single use consumables: </w:t>
      </w:r>
      <w:r w:rsidR="00AB3030" w:rsidRPr="00A41F07">
        <w:fldChar w:fldCharType="begin">
          <w:ffData>
            <w:name w:val=""/>
            <w:enabled/>
            <w:calcOnExit w:val="0"/>
            <w:textInput>
              <w:default w:val="Capsule (camera inside), patency capsule"/>
            </w:textInput>
          </w:ffData>
        </w:fldChar>
      </w:r>
      <w:r w:rsidR="00AB3030" w:rsidRPr="00A41F07">
        <w:instrText xml:space="preserve"> FORMTEXT </w:instrText>
      </w:r>
      <w:r w:rsidR="00AB3030" w:rsidRPr="00A41F07">
        <w:fldChar w:fldCharType="separate"/>
      </w:r>
      <w:r w:rsidR="00AB3030" w:rsidRPr="00A41F07">
        <w:rPr>
          <w:noProof/>
        </w:rPr>
        <w:t>Capsule (camera inside), patency capsule</w:t>
      </w:r>
      <w:r w:rsidR="00AB3030" w:rsidRPr="00A41F07">
        <w:fldChar w:fldCharType="end"/>
      </w:r>
    </w:p>
    <w:p w14:paraId="58271682" w14:textId="77777777" w:rsidR="00F301F1" w:rsidRPr="00A41F07" w:rsidRDefault="009939DC" w:rsidP="00A6491A">
      <w:pPr>
        <w:spacing w:before="0" w:after="0"/>
        <w:ind w:left="284"/>
      </w:pPr>
      <w:r w:rsidRPr="00A41F07">
        <w:t xml:space="preserve">Multi-use consumables: </w:t>
      </w:r>
      <w:r w:rsidR="00AB3030" w:rsidRPr="00A41F07">
        <w:fldChar w:fldCharType="begin">
          <w:ffData>
            <w:name w:val=""/>
            <w:enabled/>
            <w:calcOnExit w:val="0"/>
            <w:textInput>
              <w:default w:val="N/A"/>
            </w:textInput>
          </w:ffData>
        </w:fldChar>
      </w:r>
      <w:r w:rsidR="00AB3030" w:rsidRPr="00A41F07">
        <w:instrText xml:space="preserve"> FORMTEXT </w:instrText>
      </w:r>
      <w:r w:rsidR="00AB3030" w:rsidRPr="00A41F07">
        <w:fldChar w:fldCharType="separate"/>
      </w:r>
      <w:r w:rsidR="00AB3030" w:rsidRPr="00A41F07">
        <w:rPr>
          <w:noProof/>
        </w:rPr>
        <w:t>N/A</w:t>
      </w:r>
      <w:r w:rsidR="00AB3030" w:rsidRPr="00A41F07">
        <w:fldChar w:fldCharType="end"/>
      </w:r>
      <w:r w:rsidR="00F301F1" w:rsidRPr="00A41F07">
        <w:br w:type="page"/>
      </w:r>
    </w:p>
    <w:p w14:paraId="58271683" w14:textId="77777777" w:rsidR="00226777" w:rsidRPr="00A41F07" w:rsidRDefault="00530204" w:rsidP="00B5731D">
      <w:pPr>
        <w:pStyle w:val="Heading1"/>
      </w:pPr>
      <w:r w:rsidRPr="00A41F07">
        <w:lastRenderedPageBreak/>
        <w:t>PART 3</w:t>
      </w:r>
      <w:r w:rsidR="00F93784" w:rsidRPr="00A41F07">
        <w:t xml:space="preserve"> – </w:t>
      </w:r>
      <w:r w:rsidR="00226777" w:rsidRPr="00A41F07">
        <w:t>INFORMATION ABOUT REGULATORY REQUIREMENTS</w:t>
      </w:r>
    </w:p>
    <w:p w14:paraId="58271684" w14:textId="77777777" w:rsidR="001A1ADF" w:rsidRPr="001A45C0" w:rsidRDefault="0011369B" w:rsidP="0011369B">
      <w:pPr>
        <w:pStyle w:val="Heading2"/>
      </w:pPr>
      <w:r w:rsidRPr="001A45C0">
        <w:t xml:space="preserve">(a) </w:t>
      </w:r>
      <w:r w:rsidR="0054594B" w:rsidRPr="001A45C0">
        <w:t>If</w:t>
      </w:r>
      <w:r w:rsidR="00226777" w:rsidRPr="001A45C0">
        <w:t xml:space="preserve"> the </w:t>
      </w:r>
      <w:r w:rsidR="001A1ADF" w:rsidRPr="001A45C0">
        <w:t>p</w:t>
      </w:r>
      <w:r w:rsidR="00226777" w:rsidRPr="001A45C0">
        <w:t>roposed medical service involve</w:t>
      </w:r>
      <w:r w:rsidR="009C03FB" w:rsidRPr="001A45C0">
        <w:t>s</w:t>
      </w:r>
      <w:r w:rsidR="001A1ADF" w:rsidRPr="001A45C0">
        <w:t xml:space="preserve"> the use of a medical device, in-vitro diagnostic test, </w:t>
      </w:r>
      <w:r w:rsidR="00226777" w:rsidRPr="001A45C0">
        <w:t xml:space="preserve">pharmaceutical product, </w:t>
      </w:r>
      <w:r w:rsidR="001A1ADF" w:rsidRPr="001A45C0">
        <w:t>radioactive tracer or any other type of therape</w:t>
      </w:r>
      <w:r w:rsidR="008127C0" w:rsidRPr="001A45C0">
        <w:t xml:space="preserve">utic good, please </w:t>
      </w:r>
      <w:r w:rsidR="001A1ADF" w:rsidRPr="001A45C0">
        <w:t xml:space="preserve">provide </w:t>
      </w:r>
      <w:r w:rsidR="008127C0" w:rsidRPr="001A45C0">
        <w:t>the following details</w:t>
      </w:r>
      <w:r w:rsidR="001A1ADF" w:rsidRPr="001A45C0">
        <w:t>:</w:t>
      </w:r>
    </w:p>
    <w:p w14:paraId="58271685" w14:textId="77777777" w:rsidR="00A26343" w:rsidRPr="001A45C0" w:rsidRDefault="00A26343" w:rsidP="00A6491A">
      <w:pPr>
        <w:spacing w:before="0" w:after="0"/>
        <w:ind w:left="284"/>
        <w:rPr>
          <w:szCs w:val="20"/>
        </w:rPr>
      </w:pPr>
      <w:r w:rsidRPr="001A45C0">
        <w:rPr>
          <w:szCs w:val="20"/>
        </w:rPr>
        <w:t xml:space="preserve">Type of therapeutic good: </w:t>
      </w:r>
    </w:p>
    <w:p w14:paraId="58271686" w14:textId="77777777" w:rsidR="00A26343" w:rsidRPr="001A45C0" w:rsidRDefault="00A26343" w:rsidP="00A6491A">
      <w:pPr>
        <w:spacing w:before="0" w:after="0"/>
        <w:ind w:left="284"/>
        <w:rPr>
          <w:szCs w:val="20"/>
        </w:rPr>
      </w:pPr>
      <w:r w:rsidRPr="001A45C0">
        <w:rPr>
          <w:szCs w:val="20"/>
        </w:rPr>
        <w:t xml:space="preserve">Manufacturer’s name: </w:t>
      </w:r>
    </w:p>
    <w:p w14:paraId="58271687" w14:textId="77777777" w:rsidR="00A26343" w:rsidRPr="00A41F07" w:rsidRDefault="00A26343" w:rsidP="00A6491A">
      <w:pPr>
        <w:spacing w:before="0" w:after="0"/>
        <w:ind w:left="284"/>
        <w:rPr>
          <w:szCs w:val="20"/>
        </w:rPr>
      </w:pPr>
      <w:r w:rsidRPr="001A45C0">
        <w:rPr>
          <w:szCs w:val="20"/>
        </w:rPr>
        <w:t xml:space="preserve">Sponsor’s name: </w:t>
      </w:r>
    </w:p>
    <w:p w14:paraId="58271688" w14:textId="77777777" w:rsidR="005E2CE3" w:rsidRPr="00A41F07" w:rsidRDefault="005E2CE3" w:rsidP="0011369B">
      <w:pPr>
        <w:pStyle w:val="Heading2"/>
        <w:numPr>
          <w:ilvl w:val="0"/>
          <w:numId w:val="27"/>
        </w:numPr>
      </w:pPr>
      <w:r w:rsidRPr="00A41F07">
        <w:t>Is the medical device classified by the TGA as either a Class III or Active Implantable Medical Device (AIMD) against the TGA regulatory scheme for devices?</w:t>
      </w:r>
    </w:p>
    <w:p w14:paraId="58271689" w14:textId="77777777" w:rsidR="00615F42" w:rsidRPr="00A41F07" w:rsidRDefault="00615F42"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Class III</w:t>
      </w:r>
    </w:p>
    <w:p w14:paraId="5827168A" w14:textId="77777777" w:rsidR="00615F42" w:rsidRPr="00A41F07" w:rsidRDefault="00615F42"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AIMD</w:t>
      </w:r>
    </w:p>
    <w:p w14:paraId="5827168B" w14:textId="77777777" w:rsidR="005E2CE3" w:rsidRPr="00A41F07" w:rsidRDefault="00395789" w:rsidP="00A6491A">
      <w:pPr>
        <w:spacing w:before="0" w:after="0"/>
        <w:ind w:left="284"/>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15F42" w:rsidRPr="00A41F07">
        <w:rPr>
          <w:szCs w:val="20"/>
        </w:rPr>
        <w:t xml:space="preserve"> N/A</w:t>
      </w:r>
    </w:p>
    <w:p w14:paraId="5827168C" w14:textId="77777777" w:rsidR="003421AE" w:rsidRPr="00A41F07" w:rsidRDefault="0011369B" w:rsidP="00530204">
      <w:pPr>
        <w:pStyle w:val="Heading2"/>
      </w:pPr>
      <w:r w:rsidRPr="00A41F07">
        <w:t xml:space="preserve">(a) </w:t>
      </w:r>
      <w:r w:rsidR="003421AE" w:rsidRPr="00A41F07">
        <w:t xml:space="preserve">Is the therapeutic good to be used in the service exempt from the regulatory requirements of the </w:t>
      </w:r>
      <w:r w:rsidR="003421AE" w:rsidRPr="00A41F07">
        <w:rPr>
          <w:i/>
        </w:rPr>
        <w:t>Therapeutic Goods Act 1989</w:t>
      </w:r>
      <w:r w:rsidR="003421AE" w:rsidRPr="00A41F07">
        <w:t>?</w:t>
      </w:r>
    </w:p>
    <w:p w14:paraId="5827168D" w14:textId="77777777" w:rsidR="00615F42" w:rsidRPr="00A41F07" w:rsidRDefault="00615F42" w:rsidP="00A6491A">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 (If yes, please provide supporting documentation as an attachment to this application form)</w:t>
      </w:r>
    </w:p>
    <w:p w14:paraId="5827168E" w14:textId="77777777" w:rsidR="003421AE" w:rsidRPr="00A41F07" w:rsidRDefault="00395789" w:rsidP="00A6491A">
      <w:pPr>
        <w:spacing w:before="0" w:after="0"/>
        <w:ind w:left="284"/>
        <w:rPr>
          <w:b/>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15F42" w:rsidRPr="00A41F07">
        <w:rPr>
          <w:szCs w:val="20"/>
        </w:rPr>
        <w:t xml:space="preserve"> No</w:t>
      </w:r>
    </w:p>
    <w:p w14:paraId="5827168F" w14:textId="77777777" w:rsidR="00D85676" w:rsidRPr="006F6C2A" w:rsidRDefault="00D85676" w:rsidP="0011369B">
      <w:pPr>
        <w:pStyle w:val="Heading2"/>
        <w:numPr>
          <w:ilvl w:val="0"/>
          <w:numId w:val="28"/>
        </w:numPr>
      </w:pPr>
      <w:r w:rsidRPr="006F6C2A">
        <w:t>If no, has it been listed or registered or included in the Australian Register of Therapeutic Goods (ARTG) by the Therapeutic Goods Administration (TGA)</w:t>
      </w:r>
      <w:r w:rsidR="00403333" w:rsidRPr="006F6C2A">
        <w:t>?</w:t>
      </w:r>
    </w:p>
    <w:p w14:paraId="58271690" w14:textId="77777777" w:rsidR="0043654D" w:rsidRPr="006F6C2A" w:rsidRDefault="006F6C2A" w:rsidP="0043654D">
      <w:pPr>
        <w:spacing w:before="0" w:after="0"/>
        <w:ind w:left="284"/>
        <w:rPr>
          <w:szCs w:val="20"/>
        </w:rPr>
      </w:pPr>
      <w:r w:rsidRPr="006F6C2A">
        <w:rPr>
          <w:szCs w:val="20"/>
        </w:rPr>
        <w:fldChar w:fldCharType="begin">
          <w:ffData>
            <w:name w:val=""/>
            <w:enabled w:val="0"/>
            <w:calcOnExit w:val="0"/>
            <w:checkBox>
              <w:sizeAuto/>
              <w:default w:val="1"/>
            </w:checkBox>
          </w:ffData>
        </w:fldChar>
      </w:r>
      <w:r w:rsidRPr="006F6C2A">
        <w:rPr>
          <w:szCs w:val="20"/>
        </w:rPr>
        <w:instrText xml:space="preserve"> FORMCHECKBOX </w:instrText>
      </w:r>
      <w:r w:rsidR="00742C65">
        <w:rPr>
          <w:szCs w:val="20"/>
        </w:rPr>
      </w:r>
      <w:r w:rsidR="00742C65">
        <w:rPr>
          <w:szCs w:val="20"/>
        </w:rPr>
        <w:fldChar w:fldCharType="separate"/>
      </w:r>
      <w:r w:rsidRPr="006F6C2A">
        <w:rPr>
          <w:szCs w:val="20"/>
        </w:rPr>
        <w:fldChar w:fldCharType="end"/>
      </w:r>
      <w:r w:rsidR="0043654D" w:rsidRPr="006F6C2A">
        <w:rPr>
          <w:szCs w:val="20"/>
        </w:rPr>
        <w:t xml:space="preserve"> Yes (if yes, please provide details below)</w:t>
      </w:r>
    </w:p>
    <w:p w14:paraId="58271691" w14:textId="77777777" w:rsidR="0043654D" w:rsidRPr="006F6C2A" w:rsidRDefault="00E47593" w:rsidP="0043654D">
      <w:pPr>
        <w:spacing w:before="0" w:after="0"/>
        <w:ind w:left="284"/>
        <w:rPr>
          <w:szCs w:val="20"/>
        </w:rPr>
      </w:pPr>
      <w:r w:rsidRPr="006F6C2A">
        <w:rPr>
          <w:szCs w:val="20"/>
        </w:rPr>
        <w:fldChar w:fldCharType="begin">
          <w:ffData>
            <w:name w:val=""/>
            <w:enabled/>
            <w:calcOnExit w:val="0"/>
            <w:checkBox>
              <w:sizeAuto/>
              <w:default w:val="0"/>
            </w:checkBox>
          </w:ffData>
        </w:fldChar>
      </w:r>
      <w:r w:rsidRPr="006F6C2A">
        <w:rPr>
          <w:szCs w:val="20"/>
        </w:rPr>
        <w:instrText xml:space="preserve"> FORMCHECKBOX </w:instrText>
      </w:r>
      <w:r w:rsidR="00742C65">
        <w:rPr>
          <w:szCs w:val="20"/>
        </w:rPr>
      </w:r>
      <w:r w:rsidR="00742C65">
        <w:rPr>
          <w:szCs w:val="20"/>
        </w:rPr>
        <w:fldChar w:fldCharType="separate"/>
      </w:r>
      <w:r w:rsidRPr="006F6C2A">
        <w:rPr>
          <w:szCs w:val="20"/>
        </w:rPr>
        <w:fldChar w:fldCharType="end"/>
      </w:r>
      <w:r w:rsidR="0043654D" w:rsidRPr="006F6C2A">
        <w:rPr>
          <w:szCs w:val="20"/>
        </w:rPr>
        <w:t xml:space="preserve"> No</w:t>
      </w:r>
    </w:p>
    <w:p w14:paraId="58271692" w14:textId="77777777" w:rsidR="0043654D" w:rsidRPr="006F6C2A" w:rsidRDefault="0043654D" w:rsidP="0043654D">
      <w:pPr>
        <w:spacing w:before="0" w:after="0"/>
        <w:ind w:left="284"/>
        <w:rPr>
          <w:b/>
          <w:szCs w:val="20"/>
        </w:rPr>
      </w:pPr>
    </w:p>
    <w:p w14:paraId="58271693" w14:textId="77777777" w:rsidR="0043654D" w:rsidRPr="006F6C2A" w:rsidRDefault="0043654D" w:rsidP="0043654D">
      <w:pPr>
        <w:spacing w:before="0" w:after="0"/>
        <w:ind w:left="284"/>
        <w:rPr>
          <w:szCs w:val="20"/>
        </w:rPr>
      </w:pPr>
      <w:r w:rsidRPr="006F6C2A">
        <w:rPr>
          <w:szCs w:val="20"/>
        </w:rPr>
        <w:t xml:space="preserve">ARTG listing, registration or inclusion number:  </w:t>
      </w:r>
    </w:p>
    <w:p w14:paraId="58271694" w14:textId="77777777" w:rsidR="0043654D" w:rsidRPr="006F6C2A" w:rsidRDefault="0043654D" w:rsidP="007140AE">
      <w:pPr>
        <w:spacing w:before="0" w:after="0"/>
        <w:ind w:left="284"/>
        <w:jc w:val="both"/>
        <w:rPr>
          <w:b/>
          <w:szCs w:val="20"/>
        </w:rPr>
      </w:pPr>
      <w:r w:rsidRPr="006F6C2A">
        <w:rPr>
          <w:szCs w:val="20"/>
        </w:rPr>
        <w:t xml:space="preserve">TGA approved indication(s), if applicable:  </w:t>
      </w:r>
    </w:p>
    <w:p w14:paraId="58271695" w14:textId="77777777" w:rsidR="00F301F1" w:rsidRPr="00A41F07" w:rsidRDefault="0043654D" w:rsidP="0043654D">
      <w:pPr>
        <w:spacing w:before="0" w:after="0"/>
        <w:ind w:left="284"/>
        <w:rPr>
          <w:szCs w:val="20"/>
        </w:rPr>
      </w:pPr>
      <w:r w:rsidRPr="006F6C2A">
        <w:rPr>
          <w:szCs w:val="20"/>
        </w:rPr>
        <w:t xml:space="preserve">TGA approved purpose(s), if applicable:  </w:t>
      </w:r>
    </w:p>
    <w:p w14:paraId="58271696" w14:textId="77777777" w:rsidR="00C0796F" w:rsidRPr="00A41F07" w:rsidRDefault="00C0796F" w:rsidP="00530204">
      <w:pPr>
        <w:pStyle w:val="Heading2"/>
      </w:pPr>
      <w:r w:rsidRPr="00A41F07">
        <w:t>If the therapeutic good has not been listed, registered or included in the ARTG, is the therapeutic good in the process of being considered for inclusion by the TGA?</w:t>
      </w:r>
      <w:r w:rsidR="00381B71" w:rsidRPr="00A41F07">
        <w:t xml:space="preserve"> </w:t>
      </w:r>
      <w:r w:rsidR="00381B71" w:rsidRPr="00A41F07">
        <w:fldChar w:fldCharType="begin">
          <w:ffData>
            <w:name w:val=""/>
            <w:enabled/>
            <w:calcOnExit w:val="0"/>
            <w:textInput>
              <w:default w:val="N/A"/>
            </w:textInput>
          </w:ffData>
        </w:fldChar>
      </w:r>
      <w:r w:rsidR="00381B71" w:rsidRPr="00A41F07">
        <w:instrText xml:space="preserve"> FORMTEXT </w:instrText>
      </w:r>
      <w:r w:rsidR="00381B71" w:rsidRPr="00A41F07">
        <w:fldChar w:fldCharType="separate"/>
      </w:r>
      <w:r w:rsidR="00381B71" w:rsidRPr="00A41F07">
        <w:rPr>
          <w:noProof/>
        </w:rPr>
        <w:t>N/A</w:t>
      </w:r>
      <w:r w:rsidR="00381B71" w:rsidRPr="00A41F07">
        <w:fldChar w:fldCharType="end"/>
      </w:r>
    </w:p>
    <w:p w14:paraId="58271697" w14:textId="77777777" w:rsidR="0047581D" w:rsidRPr="00A41F07" w:rsidRDefault="0047581D" w:rsidP="0047581D">
      <w:pPr>
        <w:spacing w:before="0" w:after="0"/>
        <w:ind w:left="284"/>
        <w:rPr>
          <w:szCs w:val="20"/>
        </w:rPr>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 (please provide details below)</w:t>
      </w:r>
    </w:p>
    <w:p w14:paraId="58271698" w14:textId="77777777" w:rsidR="0047581D" w:rsidRPr="00A41F07" w:rsidRDefault="0047581D" w:rsidP="0047581D">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p>
    <w:p w14:paraId="58271699" w14:textId="77777777" w:rsidR="0047581D" w:rsidRPr="00A41F07" w:rsidRDefault="0047581D" w:rsidP="0047581D">
      <w:pPr>
        <w:spacing w:before="0" w:after="0"/>
        <w:rPr>
          <w:b/>
          <w:szCs w:val="20"/>
        </w:rPr>
      </w:pPr>
    </w:p>
    <w:p w14:paraId="5827169A" w14:textId="77777777" w:rsidR="0047581D" w:rsidRPr="00A41F07" w:rsidRDefault="0047581D" w:rsidP="0047581D">
      <w:pPr>
        <w:spacing w:before="0" w:after="0"/>
        <w:rPr>
          <w:szCs w:val="20"/>
        </w:rPr>
      </w:pPr>
      <w:r w:rsidRPr="00A41F07">
        <w:rPr>
          <w:szCs w:val="20"/>
        </w:rPr>
        <w:t xml:space="preserve">Date of submission to TGA: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9B" w14:textId="77777777" w:rsidR="0047581D" w:rsidRPr="00A41F07" w:rsidRDefault="0047581D" w:rsidP="0047581D">
      <w:pPr>
        <w:spacing w:before="0" w:after="0"/>
        <w:rPr>
          <w:szCs w:val="20"/>
        </w:rPr>
      </w:pPr>
      <w:r w:rsidRPr="00A41F07">
        <w:rPr>
          <w:szCs w:val="20"/>
        </w:rPr>
        <w:t xml:space="preserve">Estimated date by which TGA approval can be expected: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9C" w14:textId="77777777" w:rsidR="0047581D" w:rsidRPr="00A41F07" w:rsidRDefault="0047581D" w:rsidP="0047581D">
      <w:pPr>
        <w:spacing w:before="0" w:after="0"/>
        <w:rPr>
          <w:szCs w:val="20"/>
        </w:rPr>
      </w:pPr>
      <w:r w:rsidRPr="00A41F07">
        <w:rPr>
          <w:szCs w:val="20"/>
        </w:rPr>
        <w:t xml:space="preserve">TGA Application ID: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9D" w14:textId="77777777" w:rsidR="0047581D" w:rsidRPr="00A41F07" w:rsidRDefault="0047581D" w:rsidP="0047581D">
      <w:pPr>
        <w:spacing w:before="0" w:after="0"/>
        <w:rPr>
          <w:szCs w:val="20"/>
        </w:rPr>
      </w:pPr>
      <w:r w:rsidRPr="00A41F07">
        <w:rPr>
          <w:szCs w:val="20"/>
        </w:rPr>
        <w:t xml:space="preserve">TGA approved indication(s), if applicable: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9E" w14:textId="77777777" w:rsidR="003433D1" w:rsidRPr="00A41F07" w:rsidRDefault="0047581D" w:rsidP="0047581D">
      <w:pPr>
        <w:spacing w:before="0" w:after="0"/>
        <w:rPr>
          <w:szCs w:val="20"/>
        </w:rPr>
      </w:pPr>
      <w:r w:rsidRPr="00A41F07">
        <w:rPr>
          <w:szCs w:val="20"/>
        </w:rPr>
        <w:t xml:space="preserve">TGA approved purpose(s), if applicable: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9F" w14:textId="77777777" w:rsidR="00C0796F" w:rsidRPr="00A41F07" w:rsidRDefault="000A110D" w:rsidP="00530204">
      <w:pPr>
        <w:pStyle w:val="Heading2"/>
      </w:pPr>
      <w:r w:rsidRPr="00A41F07">
        <w:t>I</w:t>
      </w:r>
      <w:r w:rsidR="00C0796F" w:rsidRPr="00A41F07">
        <w:t xml:space="preserve">f the therapeutic good </w:t>
      </w:r>
      <w:r w:rsidR="00F83A9D" w:rsidRPr="00A41F07">
        <w:t>is not in the process of being considered for listing</w:t>
      </w:r>
      <w:r w:rsidR="00C0796F" w:rsidRPr="00A41F07">
        <w:t xml:space="preserve">, </w:t>
      </w:r>
      <w:r w:rsidR="00F83A9D" w:rsidRPr="00A41F07">
        <w:t xml:space="preserve">registration </w:t>
      </w:r>
      <w:r w:rsidR="00C0796F" w:rsidRPr="00A41F07">
        <w:t xml:space="preserve">or </w:t>
      </w:r>
      <w:r w:rsidR="00F83A9D" w:rsidRPr="00A41F07">
        <w:t>inclusion by the TGA, is an application to the TGA being prepared?</w:t>
      </w:r>
    </w:p>
    <w:p w14:paraId="582716A0" w14:textId="77777777" w:rsidR="000A110D" w:rsidRPr="00A41F07" w:rsidRDefault="000A110D" w:rsidP="000A110D">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 (please provide details below)</w:t>
      </w:r>
    </w:p>
    <w:p w14:paraId="582716A1" w14:textId="77777777" w:rsidR="000A110D" w:rsidRPr="00A41F07" w:rsidRDefault="000A110D" w:rsidP="000A110D">
      <w:pPr>
        <w:spacing w:before="0" w:after="0"/>
        <w:ind w:left="284"/>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p>
    <w:p w14:paraId="582716A2" w14:textId="77777777" w:rsidR="000A110D" w:rsidRPr="00A41F07" w:rsidRDefault="000A110D" w:rsidP="00971EDB">
      <w:pPr>
        <w:spacing w:before="0" w:after="0"/>
        <w:rPr>
          <w:szCs w:val="20"/>
        </w:rPr>
      </w:pPr>
    </w:p>
    <w:p w14:paraId="582716A3" w14:textId="77777777" w:rsidR="00971EDB" w:rsidRPr="00A41F07" w:rsidRDefault="00971EDB" w:rsidP="00971EDB">
      <w:pPr>
        <w:spacing w:before="0" w:after="0"/>
        <w:rPr>
          <w:szCs w:val="20"/>
        </w:rPr>
      </w:pPr>
      <w:r w:rsidRPr="00A41F07">
        <w:rPr>
          <w:szCs w:val="20"/>
        </w:rPr>
        <w:t xml:space="preserve">Estimated date of submission to TGA: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A4" w14:textId="77777777" w:rsidR="00971EDB" w:rsidRPr="00A41F07" w:rsidRDefault="00971EDB" w:rsidP="00971EDB">
      <w:pPr>
        <w:spacing w:before="0" w:after="0"/>
        <w:rPr>
          <w:szCs w:val="20"/>
        </w:rPr>
      </w:pPr>
      <w:r w:rsidRPr="00A41F07">
        <w:rPr>
          <w:szCs w:val="20"/>
        </w:rPr>
        <w:t xml:space="preserve">Proposed indication(s), if applicable:  </w:t>
      </w:r>
      <w:r w:rsidR="00F435DC" w:rsidRPr="00A41F07">
        <w:fldChar w:fldCharType="begin">
          <w:ffData>
            <w:name w:val=""/>
            <w:enabled/>
            <w:calcOnExit w:val="0"/>
            <w:textInput>
              <w:default w:val="N/A"/>
            </w:textInput>
          </w:ffData>
        </w:fldChar>
      </w:r>
      <w:r w:rsidR="00F435DC" w:rsidRPr="00A41F07">
        <w:instrText xml:space="preserve"> FORMTEXT </w:instrText>
      </w:r>
      <w:r w:rsidR="00F435DC" w:rsidRPr="00A41F07">
        <w:fldChar w:fldCharType="separate"/>
      </w:r>
      <w:r w:rsidR="00F435DC" w:rsidRPr="00A41F07">
        <w:rPr>
          <w:noProof/>
        </w:rPr>
        <w:t>N/A</w:t>
      </w:r>
      <w:r w:rsidR="00F435DC" w:rsidRPr="00A41F07">
        <w:fldChar w:fldCharType="end"/>
      </w:r>
    </w:p>
    <w:p w14:paraId="582716A5" w14:textId="77777777" w:rsidR="00971EDB" w:rsidRPr="00A41F07" w:rsidRDefault="00971EDB" w:rsidP="00971EDB">
      <w:pPr>
        <w:spacing w:before="0" w:after="0"/>
        <w:rPr>
          <w:szCs w:val="20"/>
        </w:rPr>
      </w:pPr>
      <w:r w:rsidRPr="00A41F07">
        <w:rPr>
          <w:szCs w:val="20"/>
        </w:rPr>
        <w:t xml:space="preserve">Proposed purpose(s), if applicable:  </w:t>
      </w:r>
      <w:r w:rsidR="00F435DC" w:rsidRPr="00A41F07">
        <w:fldChar w:fldCharType="begin">
          <w:ffData>
            <w:name w:val=""/>
            <w:enabled/>
            <w:calcOnExit w:val="0"/>
            <w:textInput>
              <w:default w:val=" N/A"/>
            </w:textInput>
          </w:ffData>
        </w:fldChar>
      </w:r>
      <w:r w:rsidR="00F435DC" w:rsidRPr="00A41F07">
        <w:instrText xml:space="preserve"> FORMTEXT </w:instrText>
      </w:r>
      <w:r w:rsidR="00F435DC" w:rsidRPr="00A41F07">
        <w:fldChar w:fldCharType="separate"/>
      </w:r>
      <w:r w:rsidR="00F435DC" w:rsidRPr="00A41F07">
        <w:rPr>
          <w:noProof/>
        </w:rPr>
        <w:t xml:space="preserve"> N/A</w:t>
      </w:r>
      <w:r w:rsidR="00F435DC" w:rsidRPr="00A41F07">
        <w:fldChar w:fldCharType="end"/>
      </w:r>
    </w:p>
    <w:p w14:paraId="582716A6" w14:textId="77777777" w:rsidR="00F83A9D" w:rsidRPr="00A41F07" w:rsidRDefault="00F83A9D" w:rsidP="00F83A9D">
      <w:pPr>
        <w:rPr>
          <w:szCs w:val="20"/>
        </w:rPr>
      </w:pPr>
    </w:p>
    <w:p w14:paraId="582716A7" w14:textId="77777777" w:rsidR="00DD308E" w:rsidRPr="00A41F07" w:rsidRDefault="00DD308E">
      <w:pPr>
        <w:rPr>
          <w:b/>
          <w:sz w:val="32"/>
          <w:szCs w:val="32"/>
        </w:rPr>
        <w:sectPr w:rsidR="00DD308E" w:rsidRPr="00A41F07"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582716A8" w14:textId="77777777" w:rsidR="00DD308E" w:rsidRPr="00A41F07" w:rsidRDefault="00B17CBE" w:rsidP="00F222BE">
      <w:pPr>
        <w:pStyle w:val="Heading1"/>
      </w:pPr>
      <w:r w:rsidRPr="00A41F07">
        <w:lastRenderedPageBreak/>
        <w:t>PART 4</w:t>
      </w:r>
      <w:r w:rsidR="00DD308E" w:rsidRPr="00A41F07">
        <w:t xml:space="preserve"> –</w:t>
      </w:r>
      <w:r w:rsidR="00F435DC" w:rsidRPr="00A41F07">
        <w:rPr>
          <w:rFonts w:cstheme="minorHAnsi"/>
        </w:rPr>
        <w:t>SUMMARY OF EVIDENCE</w:t>
      </w:r>
    </w:p>
    <w:p w14:paraId="582716A9" w14:textId="77777777" w:rsidR="00F435DC" w:rsidRPr="00A41F07" w:rsidRDefault="00F435DC" w:rsidP="00F435DC"/>
    <w:p w14:paraId="582716AA" w14:textId="77777777" w:rsidR="00DD308E" w:rsidRPr="00A41F07" w:rsidRDefault="00DD308E" w:rsidP="005C3AE7">
      <w:pPr>
        <w:pStyle w:val="Heading2"/>
        <w:rPr>
          <w:i/>
        </w:rPr>
      </w:pPr>
      <w:r w:rsidRPr="00A41F07">
        <w:t xml:space="preserve">Provide an overview of all key journal articles or research published in the public domain related to the proposed service that is for your application (limiting these to the English language only).  </w:t>
      </w:r>
      <w:r w:rsidRPr="00A41F07">
        <w:rPr>
          <w:i/>
        </w:rPr>
        <w:t xml:space="preserve">Please do not attach full text </w:t>
      </w:r>
      <w:proofErr w:type="gramStart"/>
      <w:r w:rsidRPr="00A41F07">
        <w:rPr>
          <w:i/>
        </w:rPr>
        <w:t>articles,</w:t>
      </w:r>
      <w:proofErr w:type="gramEnd"/>
      <w:r w:rsidRPr="00A41F07">
        <w:rPr>
          <w:i/>
        </w:rPr>
        <w:t xml:space="preserve"> this is just intended to be a summary.</w:t>
      </w:r>
    </w:p>
    <w:tbl>
      <w:tblPr>
        <w:tblStyle w:val="TableGrid"/>
        <w:tblW w:w="5000" w:type="pct"/>
        <w:tblLayout w:type="fixed"/>
        <w:tblLook w:val="0480" w:firstRow="0" w:lastRow="0" w:firstColumn="1" w:lastColumn="0" w:noHBand="0" w:noVBand="1"/>
        <w:tblCaption w:val="Summary of Evidence - Published"/>
      </w:tblPr>
      <w:tblGrid>
        <w:gridCol w:w="464"/>
        <w:gridCol w:w="68"/>
        <w:gridCol w:w="1296"/>
        <w:gridCol w:w="125"/>
        <w:gridCol w:w="3402"/>
        <w:gridCol w:w="3688"/>
        <w:gridCol w:w="3626"/>
        <w:gridCol w:w="1505"/>
      </w:tblGrid>
      <w:tr w:rsidR="00654060" w:rsidRPr="00A41F07" w14:paraId="582716B1" w14:textId="77777777" w:rsidTr="004C2CD0">
        <w:trPr>
          <w:cantSplit/>
          <w:tblHeader/>
        </w:trPr>
        <w:tc>
          <w:tcPr>
            <w:tcW w:w="164" w:type="pct"/>
          </w:tcPr>
          <w:p w14:paraId="582716AB" w14:textId="77777777" w:rsidR="00DD308E" w:rsidRPr="00A41F07" w:rsidRDefault="00DD308E" w:rsidP="00855944">
            <w:pPr>
              <w:pStyle w:val="TableHEADER"/>
            </w:pPr>
          </w:p>
        </w:tc>
        <w:tc>
          <w:tcPr>
            <w:tcW w:w="481" w:type="pct"/>
            <w:gridSpan w:val="2"/>
          </w:tcPr>
          <w:p w14:paraId="582716AC" w14:textId="77777777" w:rsidR="00DD308E" w:rsidRPr="00A41F07" w:rsidRDefault="00DD308E" w:rsidP="00855944">
            <w:pPr>
              <w:pStyle w:val="TableHEADER"/>
            </w:pPr>
            <w:r w:rsidRPr="00A41F07">
              <w:t>Type of study design*</w:t>
            </w:r>
          </w:p>
        </w:tc>
        <w:tc>
          <w:tcPr>
            <w:tcW w:w="1243" w:type="pct"/>
            <w:gridSpan w:val="2"/>
          </w:tcPr>
          <w:p w14:paraId="582716AD" w14:textId="77777777" w:rsidR="00DD308E" w:rsidRPr="00A41F07" w:rsidRDefault="00DD308E" w:rsidP="00855944">
            <w:pPr>
              <w:pStyle w:val="TableHEADER"/>
            </w:pPr>
            <w:r w:rsidRPr="00A41F07">
              <w:t>Title of journal article  or research project (including any trial identifier or study lead if relevant)</w:t>
            </w:r>
          </w:p>
        </w:tc>
        <w:tc>
          <w:tcPr>
            <w:tcW w:w="1301" w:type="pct"/>
          </w:tcPr>
          <w:p w14:paraId="582716AE" w14:textId="77777777" w:rsidR="00DD308E" w:rsidRPr="00A41F07" w:rsidRDefault="00DD308E" w:rsidP="00855944">
            <w:pPr>
              <w:pStyle w:val="TableHEADER"/>
            </w:pPr>
            <w:r w:rsidRPr="00A41F07">
              <w:t>Short description of research  (max 50 words)**</w:t>
            </w:r>
          </w:p>
        </w:tc>
        <w:tc>
          <w:tcPr>
            <w:tcW w:w="1279" w:type="pct"/>
          </w:tcPr>
          <w:p w14:paraId="582716AF" w14:textId="77777777" w:rsidR="00DD308E" w:rsidRPr="00A41F07" w:rsidRDefault="00DD308E" w:rsidP="00855944">
            <w:pPr>
              <w:pStyle w:val="TableHEADER"/>
            </w:pPr>
            <w:r w:rsidRPr="00A41F07">
              <w:t>Website link to journal article or research (if available)</w:t>
            </w:r>
          </w:p>
        </w:tc>
        <w:tc>
          <w:tcPr>
            <w:tcW w:w="532" w:type="pct"/>
          </w:tcPr>
          <w:p w14:paraId="582716B0" w14:textId="77777777" w:rsidR="00DD308E" w:rsidRPr="00A41F07" w:rsidRDefault="00DD308E" w:rsidP="00855944">
            <w:pPr>
              <w:pStyle w:val="TableHEADER"/>
            </w:pPr>
            <w:r w:rsidRPr="00A41F07">
              <w:t>Date of publication***</w:t>
            </w:r>
          </w:p>
        </w:tc>
      </w:tr>
      <w:tr w:rsidR="00F435DC" w:rsidRPr="00A41F07" w14:paraId="582716B3" w14:textId="77777777" w:rsidTr="004C2CD0">
        <w:trPr>
          <w:cantSplit/>
          <w:tblHeader/>
        </w:trPr>
        <w:tc>
          <w:tcPr>
            <w:tcW w:w="5000" w:type="pct"/>
            <w:gridSpan w:val="8"/>
          </w:tcPr>
          <w:p w14:paraId="582716B2" w14:textId="77777777" w:rsidR="00F435DC" w:rsidRPr="00A41F07" w:rsidRDefault="00F435DC" w:rsidP="009375C6">
            <w:pPr>
              <w:pStyle w:val="TableHEADER"/>
              <w:tabs>
                <w:tab w:val="left" w:pos="4345"/>
              </w:tabs>
            </w:pPr>
            <w:r w:rsidRPr="00A41F07">
              <w:tab/>
            </w:r>
            <w:r w:rsidRPr="00A41F07">
              <w:rPr>
                <w:rFonts w:cstheme="minorHAnsi"/>
                <w:b w:val="0"/>
              </w:rPr>
              <w:t xml:space="preserve">Studies on Assessment of Patients with </w:t>
            </w:r>
            <w:r w:rsidR="009375C6" w:rsidRPr="00A41F07">
              <w:rPr>
                <w:rFonts w:cstheme="minorHAnsi"/>
                <w:b w:val="0"/>
              </w:rPr>
              <w:t xml:space="preserve">Known </w:t>
            </w:r>
            <w:r w:rsidRPr="00A41F07">
              <w:rPr>
                <w:rFonts w:cstheme="minorHAnsi"/>
                <w:b w:val="0"/>
              </w:rPr>
              <w:t>Small Bowel Crohn’s Disease</w:t>
            </w:r>
          </w:p>
        </w:tc>
      </w:tr>
      <w:tr w:rsidR="00654060" w:rsidRPr="00A41F07" w14:paraId="582716BD" w14:textId="77777777" w:rsidTr="00161E01">
        <w:trPr>
          <w:cantSplit/>
        </w:trPr>
        <w:tc>
          <w:tcPr>
            <w:tcW w:w="188" w:type="pct"/>
            <w:gridSpan w:val="2"/>
          </w:tcPr>
          <w:p w14:paraId="582716B4" w14:textId="77777777" w:rsidR="00DD308E" w:rsidRPr="00A41F07" w:rsidRDefault="00DD308E" w:rsidP="00DD308E">
            <w:pPr>
              <w:rPr>
                <w:szCs w:val="20"/>
              </w:rPr>
            </w:pPr>
            <w:r w:rsidRPr="00A41F07">
              <w:rPr>
                <w:szCs w:val="20"/>
              </w:rPr>
              <w:t>1.</w:t>
            </w:r>
          </w:p>
        </w:tc>
        <w:tc>
          <w:tcPr>
            <w:tcW w:w="501" w:type="pct"/>
            <w:gridSpan w:val="2"/>
          </w:tcPr>
          <w:p w14:paraId="582716B5" w14:textId="77777777" w:rsidR="00F435DC" w:rsidRPr="00A41F07" w:rsidRDefault="00530374" w:rsidP="00F435DC">
            <w:pPr>
              <w:rPr>
                <w:rFonts w:cstheme="minorHAnsi"/>
                <w:szCs w:val="20"/>
              </w:rPr>
            </w:pPr>
            <w:proofErr w:type="spellStart"/>
            <w:r w:rsidRPr="00A41F07">
              <w:rPr>
                <w:rFonts w:cstheme="minorHAnsi"/>
                <w:szCs w:val="20"/>
              </w:rPr>
              <w:t>Retrospective</w:t>
            </w:r>
            <w:r w:rsidR="00F435DC" w:rsidRPr="00A41F07">
              <w:rPr>
                <w:rFonts w:cstheme="minorHAnsi"/>
                <w:szCs w:val="20"/>
              </w:rPr>
              <w:t>multicentre</w:t>
            </w:r>
            <w:proofErr w:type="spellEnd"/>
            <w:r w:rsidR="00F435DC" w:rsidRPr="00A41F07">
              <w:rPr>
                <w:rFonts w:cstheme="minorHAnsi"/>
                <w:szCs w:val="20"/>
              </w:rPr>
              <w:t>, cross-sectional study.</w:t>
            </w:r>
          </w:p>
          <w:p w14:paraId="582716B6" w14:textId="77777777" w:rsidR="00DD308E" w:rsidRPr="00A41F07" w:rsidRDefault="00DD308E" w:rsidP="00F435DC">
            <w:pPr>
              <w:rPr>
                <w:b/>
                <w:szCs w:val="20"/>
              </w:rPr>
            </w:pPr>
          </w:p>
        </w:tc>
        <w:tc>
          <w:tcPr>
            <w:tcW w:w="1200" w:type="pct"/>
          </w:tcPr>
          <w:p w14:paraId="582716B7" w14:textId="77777777" w:rsidR="00F435DC" w:rsidRPr="00A41F07" w:rsidRDefault="00F435DC" w:rsidP="00F435DC">
            <w:pPr>
              <w:autoSpaceDE w:val="0"/>
              <w:autoSpaceDN w:val="0"/>
              <w:adjustRightInd w:val="0"/>
              <w:rPr>
                <w:rFonts w:cstheme="minorHAnsi"/>
                <w:szCs w:val="20"/>
              </w:rPr>
            </w:pPr>
            <w:r w:rsidRPr="00A41F07">
              <w:rPr>
                <w:rFonts w:cstheme="minorHAnsi"/>
                <w:szCs w:val="20"/>
              </w:rPr>
              <w:t xml:space="preserve">Small Bowel </w:t>
            </w:r>
            <w:r w:rsidR="00530374" w:rsidRPr="00A41F07">
              <w:rPr>
                <w:rFonts w:cstheme="minorHAnsi"/>
                <w:szCs w:val="20"/>
              </w:rPr>
              <w:t xml:space="preserve">(SB) </w:t>
            </w:r>
            <w:r w:rsidRPr="00A41F07">
              <w:rPr>
                <w:rFonts w:cstheme="minorHAnsi"/>
                <w:szCs w:val="20"/>
              </w:rPr>
              <w:t>Capsule Endoscopy</w:t>
            </w:r>
            <w:r w:rsidR="00530374" w:rsidRPr="00A41F07">
              <w:rPr>
                <w:rFonts w:cstheme="minorHAnsi"/>
                <w:szCs w:val="20"/>
              </w:rPr>
              <w:t xml:space="preserve"> (CE)</w:t>
            </w:r>
            <w:r w:rsidRPr="00A41F07">
              <w:rPr>
                <w:rFonts w:cstheme="minorHAnsi"/>
                <w:szCs w:val="20"/>
              </w:rPr>
              <w:t xml:space="preserve"> in the Management of Established Crohn’s Disease: Clinical Impac</w:t>
            </w:r>
            <w:r w:rsidR="00530374" w:rsidRPr="00A41F07">
              <w:rPr>
                <w:rFonts w:cstheme="minorHAnsi"/>
                <w:szCs w:val="20"/>
              </w:rPr>
              <w:t xml:space="preserve">t, Safety, and Correlation with </w:t>
            </w:r>
            <w:r w:rsidRPr="00A41F07">
              <w:rPr>
                <w:rFonts w:cstheme="minorHAnsi"/>
                <w:szCs w:val="20"/>
              </w:rPr>
              <w:t>Inflammatory Biomarkers</w:t>
            </w:r>
          </w:p>
          <w:p w14:paraId="582716B8" w14:textId="77777777" w:rsidR="00DD308E" w:rsidRPr="00A41F07" w:rsidRDefault="00742C65" w:rsidP="00F435DC">
            <w:pPr>
              <w:rPr>
                <w:b/>
                <w:szCs w:val="20"/>
              </w:rPr>
            </w:pPr>
            <w:hyperlink r:id="rId18" w:history="1">
              <w:proofErr w:type="spellStart"/>
              <w:r w:rsidR="00F435DC" w:rsidRPr="00A41F07">
                <w:rPr>
                  <w:rFonts w:cstheme="minorHAnsi"/>
                  <w:b/>
                  <w:i/>
                  <w:szCs w:val="20"/>
                </w:rPr>
                <w:t>Kopylov</w:t>
              </w:r>
              <w:proofErr w:type="spellEnd"/>
              <w:r w:rsidR="00F435DC" w:rsidRPr="00A41F07">
                <w:rPr>
                  <w:rFonts w:cstheme="minorHAnsi"/>
                  <w:b/>
                  <w:i/>
                  <w:szCs w:val="20"/>
                </w:rPr>
                <w:t> </w:t>
              </w:r>
            </w:hyperlink>
            <w:r w:rsidR="00F435DC" w:rsidRPr="00A41F07">
              <w:rPr>
                <w:rFonts w:cstheme="minorHAnsi"/>
                <w:b/>
                <w:i/>
                <w:szCs w:val="20"/>
              </w:rPr>
              <w:t>et al.</w:t>
            </w:r>
          </w:p>
        </w:tc>
        <w:tc>
          <w:tcPr>
            <w:tcW w:w="1301" w:type="pct"/>
          </w:tcPr>
          <w:p w14:paraId="582716B9" w14:textId="77777777" w:rsidR="00DD308E" w:rsidRPr="00A41F07" w:rsidRDefault="00F435DC" w:rsidP="00DD308E">
            <w:pPr>
              <w:rPr>
                <w:b/>
                <w:szCs w:val="20"/>
              </w:rPr>
            </w:pPr>
            <w:r w:rsidRPr="00A41F07">
              <w:rPr>
                <w:rFonts w:cstheme="minorHAnsi"/>
                <w:szCs w:val="20"/>
              </w:rPr>
              <w:t>The study cohort included consecutive 187 patients with established SB CD who underwent</w:t>
            </w:r>
            <w:r w:rsidR="00530374" w:rsidRPr="00A41F07">
              <w:rPr>
                <w:rFonts w:cstheme="minorHAnsi"/>
                <w:szCs w:val="20"/>
              </w:rPr>
              <w:t xml:space="preserve"> Video Capsule Endoscopy</w:t>
            </w:r>
            <w:r w:rsidRPr="00A41F07">
              <w:rPr>
                <w:rFonts w:cstheme="minorHAnsi"/>
                <w:szCs w:val="20"/>
              </w:rPr>
              <w:t xml:space="preserve"> </w:t>
            </w:r>
            <w:r w:rsidR="00530374" w:rsidRPr="00A41F07">
              <w:rPr>
                <w:rFonts w:cstheme="minorHAnsi"/>
                <w:szCs w:val="20"/>
              </w:rPr>
              <w:t>(</w:t>
            </w:r>
            <w:r w:rsidRPr="00A41F07">
              <w:rPr>
                <w:rFonts w:cstheme="minorHAnsi"/>
                <w:szCs w:val="20"/>
              </w:rPr>
              <w:t>VCE</w:t>
            </w:r>
            <w:r w:rsidR="00530374" w:rsidRPr="00A41F07">
              <w:rPr>
                <w:rFonts w:cstheme="minorHAnsi"/>
                <w:szCs w:val="20"/>
              </w:rPr>
              <w:t>)</w:t>
            </w:r>
            <w:r w:rsidRPr="00A41F07">
              <w:rPr>
                <w:rFonts w:cstheme="minorHAnsi"/>
                <w:szCs w:val="20"/>
              </w:rPr>
              <w:t xml:space="preserve"> in 4 tertiary referral centres from January 2008 to October 2013.</w:t>
            </w:r>
          </w:p>
        </w:tc>
        <w:tc>
          <w:tcPr>
            <w:tcW w:w="1279" w:type="pct"/>
          </w:tcPr>
          <w:p w14:paraId="582716BA" w14:textId="77777777" w:rsidR="00F435DC" w:rsidRPr="00A41F07" w:rsidRDefault="00742C65" w:rsidP="00F435DC">
            <w:pPr>
              <w:rPr>
                <w:rFonts w:cstheme="minorHAnsi"/>
                <w:szCs w:val="20"/>
              </w:rPr>
            </w:pPr>
            <w:hyperlink r:id="rId19" w:history="1">
              <w:r w:rsidR="00F435DC" w:rsidRPr="00A41F07">
                <w:rPr>
                  <w:rStyle w:val="Hyperlink"/>
                  <w:rFonts w:cstheme="minorHAnsi"/>
                  <w:szCs w:val="20"/>
                </w:rPr>
                <w:t>http://www.ncbi.nlm.nih.gov/pubmed/25517597</w:t>
              </w:r>
            </w:hyperlink>
          </w:p>
          <w:p w14:paraId="582716BB" w14:textId="77777777" w:rsidR="00DD308E" w:rsidRPr="00A41F07" w:rsidRDefault="00DD308E" w:rsidP="00DD308E">
            <w:pPr>
              <w:rPr>
                <w:b/>
                <w:szCs w:val="20"/>
              </w:rPr>
            </w:pPr>
          </w:p>
        </w:tc>
        <w:tc>
          <w:tcPr>
            <w:tcW w:w="532" w:type="pct"/>
          </w:tcPr>
          <w:p w14:paraId="582716BC" w14:textId="77777777" w:rsidR="00DD308E" w:rsidRPr="00A41F07" w:rsidRDefault="00F435DC" w:rsidP="00DD308E">
            <w:pPr>
              <w:rPr>
                <w:b/>
                <w:szCs w:val="20"/>
              </w:rPr>
            </w:pPr>
            <w:r w:rsidRPr="00A41F07">
              <w:rPr>
                <w:rFonts w:cstheme="minorHAnsi"/>
                <w:szCs w:val="20"/>
              </w:rPr>
              <w:t>2015</w:t>
            </w:r>
          </w:p>
        </w:tc>
      </w:tr>
      <w:tr w:rsidR="00654060" w:rsidRPr="00A41F07" w14:paraId="582716C7" w14:textId="77777777" w:rsidTr="00161E01">
        <w:trPr>
          <w:cantSplit/>
        </w:trPr>
        <w:tc>
          <w:tcPr>
            <w:tcW w:w="188" w:type="pct"/>
            <w:gridSpan w:val="2"/>
          </w:tcPr>
          <w:p w14:paraId="582716BE" w14:textId="77777777" w:rsidR="00DD308E" w:rsidRPr="00A41F07" w:rsidRDefault="00DD308E" w:rsidP="00DD308E">
            <w:pPr>
              <w:rPr>
                <w:szCs w:val="20"/>
              </w:rPr>
            </w:pPr>
            <w:r w:rsidRPr="00A41F07">
              <w:rPr>
                <w:szCs w:val="20"/>
              </w:rPr>
              <w:t>2.</w:t>
            </w:r>
          </w:p>
        </w:tc>
        <w:tc>
          <w:tcPr>
            <w:tcW w:w="501" w:type="pct"/>
            <w:gridSpan w:val="2"/>
          </w:tcPr>
          <w:p w14:paraId="582716BF" w14:textId="77777777" w:rsidR="00951552" w:rsidRPr="00A41F07" w:rsidRDefault="00951552" w:rsidP="00951552">
            <w:pPr>
              <w:autoSpaceDE w:val="0"/>
              <w:autoSpaceDN w:val="0"/>
              <w:adjustRightInd w:val="0"/>
              <w:rPr>
                <w:rFonts w:cstheme="minorHAnsi"/>
                <w:szCs w:val="20"/>
              </w:rPr>
            </w:pPr>
            <w:r w:rsidRPr="00A41F07">
              <w:rPr>
                <w:rFonts w:cstheme="minorHAnsi"/>
                <w:szCs w:val="20"/>
              </w:rPr>
              <w:t>Prospective cohort study.</w:t>
            </w:r>
          </w:p>
          <w:p w14:paraId="582716C0" w14:textId="77777777" w:rsidR="00DD308E" w:rsidRPr="00A41F07" w:rsidRDefault="00DD308E" w:rsidP="00DD308E">
            <w:pPr>
              <w:rPr>
                <w:b/>
                <w:szCs w:val="20"/>
              </w:rPr>
            </w:pPr>
          </w:p>
        </w:tc>
        <w:tc>
          <w:tcPr>
            <w:tcW w:w="1200" w:type="pct"/>
          </w:tcPr>
          <w:p w14:paraId="582716C1" w14:textId="77777777" w:rsidR="00951552" w:rsidRPr="00A41F07" w:rsidRDefault="00951552" w:rsidP="00951552">
            <w:pPr>
              <w:rPr>
                <w:rFonts w:cstheme="minorHAnsi"/>
                <w:b/>
                <w:i/>
                <w:szCs w:val="20"/>
              </w:rPr>
            </w:pPr>
            <w:r w:rsidRPr="00A41F07">
              <w:rPr>
                <w:rFonts w:cstheme="minorHAnsi"/>
                <w:szCs w:val="20"/>
              </w:rPr>
              <w:t>A prospective 52 week mucosal healing assessment of small bowel Crohn's disease as detected by capsule endoscopy.</w:t>
            </w:r>
            <w:r w:rsidRPr="00A41F07">
              <w:rPr>
                <w:rFonts w:cstheme="minorHAnsi"/>
                <w:b/>
                <w:i/>
                <w:szCs w:val="20"/>
              </w:rPr>
              <w:t xml:space="preserve"> </w:t>
            </w:r>
          </w:p>
          <w:p w14:paraId="582716C2" w14:textId="77777777" w:rsidR="00DD308E" w:rsidRPr="00A41F07" w:rsidRDefault="00951552" w:rsidP="00951552">
            <w:pPr>
              <w:rPr>
                <w:b/>
                <w:szCs w:val="20"/>
              </w:rPr>
            </w:pPr>
            <w:r w:rsidRPr="00A41F07">
              <w:rPr>
                <w:rFonts w:cstheme="minorHAnsi"/>
                <w:b/>
                <w:i/>
                <w:szCs w:val="20"/>
              </w:rPr>
              <w:t>Hall et al.</w:t>
            </w:r>
          </w:p>
        </w:tc>
        <w:tc>
          <w:tcPr>
            <w:tcW w:w="1301" w:type="pct"/>
          </w:tcPr>
          <w:p w14:paraId="582716C3" w14:textId="77777777" w:rsidR="00DD308E" w:rsidRPr="00A41F07" w:rsidRDefault="00951552" w:rsidP="00DD308E">
            <w:pPr>
              <w:rPr>
                <w:b/>
                <w:szCs w:val="20"/>
              </w:rPr>
            </w:pPr>
            <w:r w:rsidRPr="00A41F07">
              <w:rPr>
                <w:rFonts w:cstheme="minorHAnsi"/>
                <w:szCs w:val="20"/>
              </w:rPr>
              <w:t xml:space="preserve">108 capsule procedures were performed on 43 patients. Based on the </w:t>
            </w:r>
            <w:r w:rsidR="007B5974" w:rsidRPr="00A41F07">
              <w:rPr>
                <w:rFonts w:cstheme="minorHAnsi"/>
                <w:szCs w:val="20"/>
              </w:rPr>
              <w:t>Capsule Endoscopy Crohn's Disease Activity Index (</w:t>
            </w:r>
            <w:r w:rsidRPr="00A41F07">
              <w:rPr>
                <w:rFonts w:cstheme="minorHAnsi"/>
                <w:szCs w:val="20"/>
              </w:rPr>
              <w:t>CECDAI</w:t>
            </w:r>
            <w:r w:rsidR="007B5974" w:rsidRPr="00A41F07">
              <w:rPr>
                <w:rFonts w:cstheme="minorHAnsi"/>
                <w:szCs w:val="20"/>
              </w:rPr>
              <w:t>)</w:t>
            </w:r>
            <w:r w:rsidRPr="00A41F07">
              <w:rPr>
                <w:rFonts w:cstheme="minorHAnsi"/>
                <w:szCs w:val="20"/>
              </w:rPr>
              <w:t>, 39 (90%) demonstrated active small bowel CD at baseline with 28 (65%) undergoing 52 week assessment.</w:t>
            </w:r>
          </w:p>
        </w:tc>
        <w:tc>
          <w:tcPr>
            <w:tcW w:w="1279" w:type="pct"/>
          </w:tcPr>
          <w:p w14:paraId="582716C4" w14:textId="77777777" w:rsidR="00951552" w:rsidRPr="00A41F07" w:rsidRDefault="00742C65" w:rsidP="00951552">
            <w:pPr>
              <w:rPr>
                <w:rFonts w:cstheme="minorHAnsi"/>
                <w:szCs w:val="20"/>
              </w:rPr>
            </w:pPr>
            <w:hyperlink r:id="rId20" w:history="1">
              <w:r w:rsidR="00951552" w:rsidRPr="00A41F07">
                <w:rPr>
                  <w:rStyle w:val="Hyperlink"/>
                  <w:rFonts w:cstheme="minorHAnsi"/>
                  <w:szCs w:val="20"/>
                </w:rPr>
                <w:t>http://ecco-jcc.oxfordjournals.org/content/8/12/1601.long</w:t>
              </w:r>
            </w:hyperlink>
          </w:p>
          <w:p w14:paraId="582716C5" w14:textId="77777777" w:rsidR="00DD308E" w:rsidRPr="00A41F07" w:rsidRDefault="00DD308E" w:rsidP="00DD308E">
            <w:pPr>
              <w:rPr>
                <w:b/>
                <w:szCs w:val="20"/>
              </w:rPr>
            </w:pPr>
          </w:p>
        </w:tc>
        <w:tc>
          <w:tcPr>
            <w:tcW w:w="532" w:type="pct"/>
          </w:tcPr>
          <w:p w14:paraId="582716C6" w14:textId="77777777" w:rsidR="00DD308E" w:rsidRPr="00A41F07" w:rsidRDefault="00951552" w:rsidP="00DD308E">
            <w:pPr>
              <w:rPr>
                <w:b/>
                <w:szCs w:val="20"/>
              </w:rPr>
            </w:pPr>
            <w:r w:rsidRPr="00A41F07">
              <w:rPr>
                <w:rFonts w:cstheme="minorHAnsi"/>
                <w:szCs w:val="20"/>
              </w:rPr>
              <w:t>2014</w:t>
            </w:r>
          </w:p>
        </w:tc>
      </w:tr>
      <w:tr w:rsidR="00654060" w:rsidRPr="00A41F07" w14:paraId="582716D1" w14:textId="77777777" w:rsidTr="00161E01">
        <w:trPr>
          <w:cantSplit/>
        </w:trPr>
        <w:tc>
          <w:tcPr>
            <w:tcW w:w="188" w:type="pct"/>
            <w:gridSpan w:val="2"/>
          </w:tcPr>
          <w:p w14:paraId="582716C8" w14:textId="77777777" w:rsidR="00DD308E" w:rsidRPr="00A41F07" w:rsidRDefault="00DD308E" w:rsidP="00DD308E">
            <w:pPr>
              <w:rPr>
                <w:szCs w:val="20"/>
              </w:rPr>
            </w:pPr>
            <w:r w:rsidRPr="00A41F07">
              <w:rPr>
                <w:szCs w:val="20"/>
              </w:rPr>
              <w:lastRenderedPageBreak/>
              <w:t>3.</w:t>
            </w:r>
          </w:p>
        </w:tc>
        <w:tc>
          <w:tcPr>
            <w:tcW w:w="501" w:type="pct"/>
            <w:gridSpan w:val="2"/>
          </w:tcPr>
          <w:p w14:paraId="582716C9" w14:textId="77777777" w:rsidR="00951552" w:rsidRPr="00A41F07" w:rsidRDefault="00951552" w:rsidP="00951552">
            <w:pPr>
              <w:autoSpaceDE w:val="0"/>
              <w:autoSpaceDN w:val="0"/>
              <w:adjustRightInd w:val="0"/>
              <w:rPr>
                <w:rFonts w:cstheme="minorHAnsi"/>
                <w:szCs w:val="20"/>
              </w:rPr>
            </w:pPr>
            <w:r w:rsidRPr="00A41F07">
              <w:rPr>
                <w:rFonts w:cstheme="minorHAnsi"/>
                <w:szCs w:val="20"/>
              </w:rPr>
              <w:t>Sub-study of a prospective, randomized, double blind placebo-controlled study.</w:t>
            </w:r>
          </w:p>
          <w:p w14:paraId="582716CA" w14:textId="77777777" w:rsidR="00DD308E" w:rsidRPr="00A41F07" w:rsidRDefault="00DD308E" w:rsidP="00DD308E">
            <w:pPr>
              <w:rPr>
                <w:b/>
                <w:szCs w:val="20"/>
              </w:rPr>
            </w:pPr>
          </w:p>
        </w:tc>
        <w:tc>
          <w:tcPr>
            <w:tcW w:w="1200" w:type="pct"/>
          </w:tcPr>
          <w:p w14:paraId="582716CB" w14:textId="77777777" w:rsidR="00951552" w:rsidRPr="00A41F07" w:rsidRDefault="00951552" w:rsidP="00951552">
            <w:pPr>
              <w:autoSpaceDE w:val="0"/>
              <w:autoSpaceDN w:val="0"/>
              <w:adjustRightInd w:val="0"/>
              <w:rPr>
                <w:rFonts w:cstheme="minorHAnsi"/>
                <w:b/>
                <w:i/>
                <w:szCs w:val="20"/>
              </w:rPr>
            </w:pPr>
            <w:r w:rsidRPr="00A41F07">
              <w:rPr>
                <w:rFonts w:cstheme="minorHAnsi"/>
                <w:szCs w:val="20"/>
              </w:rPr>
              <w:t>Sequential capsule endoscopy of the small bowel for follow-up of patients with known Crohn's disease.</w:t>
            </w:r>
            <w:r w:rsidRPr="00A41F07">
              <w:rPr>
                <w:rFonts w:cstheme="minorHAnsi"/>
                <w:b/>
                <w:i/>
                <w:szCs w:val="20"/>
              </w:rPr>
              <w:t xml:space="preserve"> </w:t>
            </w:r>
          </w:p>
          <w:p w14:paraId="582716CC" w14:textId="77777777" w:rsidR="00DD308E" w:rsidRPr="00A41F07" w:rsidRDefault="00951552" w:rsidP="00951552">
            <w:pPr>
              <w:rPr>
                <w:b/>
                <w:szCs w:val="20"/>
              </w:rPr>
            </w:pPr>
            <w:r w:rsidRPr="00A41F07">
              <w:rPr>
                <w:rFonts w:cstheme="minorHAnsi"/>
                <w:b/>
                <w:i/>
                <w:szCs w:val="20"/>
              </w:rPr>
              <w:t>Niv et al.</w:t>
            </w:r>
          </w:p>
        </w:tc>
        <w:tc>
          <w:tcPr>
            <w:tcW w:w="1301" w:type="pct"/>
          </w:tcPr>
          <w:p w14:paraId="582716CD" w14:textId="77777777" w:rsidR="00DD308E" w:rsidRPr="00A41F07" w:rsidRDefault="00EA2D0E" w:rsidP="000D2820">
            <w:pPr>
              <w:jc w:val="both"/>
              <w:rPr>
                <w:b/>
                <w:szCs w:val="20"/>
              </w:rPr>
            </w:pPr>
            <w:r w:rsidRPr="00A41F07">
              <w:rPr>
                <w:rFonts w:cstheme="minorHAnsi"/>
                <w:szCs w:val="20"/>
              </w:rPr>
              <w:t>Consecutive patients with known moderately active CD were prospectively recruited. A control group of 178 non-CD patients was used for comparisons. Thirty-one CD patients were recruited and 19 met the inclusion criteria. A total of 43 CE studies were performed over the time.</w:t>
            </w:r>
          </w:p>
        </w:tc>
        <w:tc>
          <w:tcPr>
            <w:tcW w:w="1279" w:type="pct"/>
          </w:tcPr>
          <w:p w14:paraId="582716CE" w14:textId="77777777" w:rsidR="00EA2D0E" w:rsidRPr="00A41F07" w:rsidRDefault="00742C65" w:rsidP="00EA2D0E">
            <w:pPr>
              <w:rPr>
                <w:rFonts w:cstheme="minorHAnsi"/>
                <w:szCs w:val="20"/>
              </w:rPr>
            </w:pPr>
            <w:hyperlink r:id="rId21" w:history="1">
              <w:r w:rsidR="00EA2D0E" w:rsidRPr="00A41F07">
                <w:rPr>
                  <w:rStyle w:val="Hyperlink"/>
                  <w:rFonts w:cstheme="minorHAnsi"/>
                  <w:szCs w:val="20"/>
                </w:rPr>
                <w:t>http://ecco-jcc.oxfordjournals.org/content/8/12/1616.long</w:t>
              </w:r>
            </w:hyperlink>
          </w:p>
          <w:p w14:paraId="582716CF" w14:textId="77777777" w:rsidR="00DD308E" w:rsidRPr="00A41F07" w:rsidRDefault="00DD308E" w:rsidP="00DD308E">
            <w:pPr>
              <w:rPr>
                <w:b/>
                <w:szCs w:val="20"/>
              </w:rPr>
            </w:pPr>
          </w:p>
        </w:tc>
        <w:tc>
          <w:tcPr>
            <w:tcW w:w="532" w:type="pct"/>
          </w:tcPr>
          <w:p w14:paraId="582716D0" w14:textId="77777777" w:rsidR="00DD308E" w:rsidRPr="00A41F07" w:rsidRDefault="009712C2" w:rsidP="00DD308E">
            <w:pPr>
              <w:rPr>
                <w:b/>
                <w:szCs w:val="20"/>
              </w:rPr>
            </w:pPr>
            <w:r w:rsidRPr="00A41F07">
              <w:t>2014</w:t>
            </w:r>
          </w:p>
        </w:tc>
      </w:tr>
      <w:tr w:rsidR="00654060" w:rsidRPr="00A41F07" w14:paraId="582716DC" w14:textId="77777777" w:rsidTr="00161E01">
        <w:trPr>
          <w:cantSplit/>
        </w:trPr>
        <w:tc>
          <w:tcPr>
            <w:tcW w:w="188" w:type="pct"/>
            <w:gridSpan w:val="2"/>
          </w:tcPr>
          <w:p w14:paraId="582716D2" w14:textId="77777777" w:rsidR="00EA2D0E" w:rsidRPr="00A41F07" w:rsidRDefault="00EA2D0E" w:rsidP="00DD308E">
            <w:pPr>
              <w:rPr>
                <w:szCs w:val="20"/>
              </w:rPr>
            </w:pPr>
            <w:r w:rsidRPr="00A41F07">
              <w:rPr>
                <w:szCs w:val="20"/>
              </w:rPr>
              <w:t>4.</w:t>
            </w:r>
          </w:p>
        </w:tc>
        <w:tc>
          <w:tcPr>
            <w:tcW w:w="501" w:type="pct"/>
            <w:gridSpan w:val="2"/>
          </w:tcPr>
          <w:p w14:paraId="582716D3" w14:textId="77777777" w:rsidR="00EA2D0E" w:rsidRPr="00A41F07" w:rsidRDefault="00EA2D0E" w:rsidP="00EA2D0E">
            <w:pPr>
              <w:rPr>
                <w:rFonts w:cstheme="minorHAnsi"/>
                <w:szCs w:val="20"/>
              </w:rPr>
            </w:pPr>
            <w:r w:rsidRPr="00A41F07">
              <w:rPr>
                <w:rFonts w:cstheme="minorHAnsi"/>
                <w:szCs w:val="20"/>
              </w:rPr>
              <w:t>Retrospective single centre study.</w:t>
            </w:r>
          </w:p>
          <w:p w14:paraId="582716D4" w14:textId="77777777" w:rsidR="00EA2D0E" w:rsidRPr="00A41F07" w:rsidRDefault="00EA2D0E" w:rsidP="00EA2D0E">
            <w:pPr>
              <w:rPr>
                <w:rFonts w:cstheme="minorHAnsi"/>
                <w:szCs w:val="20"/>
              </w:rPr>
            </w:pPr>
          </w:p>
          <w:p w14:paraId="582716D5" w14:textId="77777777" w:rsidR="00EA2D0E" w:rsidRPr="00A41F07" w:rsidRDefault="00EA2D0E" w:rsidP="00DD308E">
            <w:pPr>
              <w:rPr>
                <w:b/>
                <w:szCs w:val="20"/>
              </w:rPr>
            </w:pPr>
          </w:p>
        </w:tc>
        <w:tc>
          <w:tcPr>
            <w:tcW w:w="1200" w:type="pct"/>
          </w:tcPr>
          <w:p w14:paraId="582716D6" w14:textId="77777777" w:rsidR="00EA2D0E" w:rsidRPr="00A41F07" w:rsidRDefault="00EA2D0E" w:rsidP="00DD1E38">
            <w:pPr>
              <w:autoSpaceDE w:val="0"/>
              <w:autoSpaceDN w:val="0"/>
              <w:adjustRightInd w:val="0"/>
              <w:rPr>
                <w:rFonts w:cstheme="minorHAnsi"/>
                <w:b/>
                <w:i/>
                <w:szCs w:val="20"/>
              </w:rPr>
            </w:pPr>
            <w:r w:rsidRPr="00A41F07">
              <w:rPr>
                <w:rFonts w:cstheme="minorHAnsi"/>
                <w:szCs w:val="20"/>
              </w:rPr>
              <w:t>Tailoring Crohn's disease treatment: The impact of small bowel capsule endoscopy</w:t>
            </w:r>
            <w:r w:rsidRPr="00A41F07">
              <w:rPr>
                <w:rFonts w:cstheme="minorHAnsi"/>
                <w:b/>
                <w:i/>
                <w:szCs w:val="20"/>
              </w:rPr>
              <w:t xml:space="preserve"> </w:t>
            </w:r>
          </w:p>
          <w:p w14:paraId="582716D7" w14:textId="77777777" w:rsidR="00EA2D0E" w:rsidRPr="00A41F07" w:rsidRDefault="00EA2D0E" w:rsidP="00DD1E38">
            <w:pPr>
              <w:autoSpaceDE w:val="0"/>
              <w:autoSpaceDN w:val="0"/>
              <w:adjustRightInd w:val="0"/>
              <w:rPr>
                <w:rFonts w:cstheme="minorHAnsi"/>
                <w:szCs w:val="20"/>
              </w:rPr>
            </w:pPr>
            <w:r w:rsidRPr="00A41F07">
              <w:rPr>
                <w:rFonts w:cstheme="minorHAnsi"/>
                <w:b/>
                <w:i/>
                <w:szCs w:val="20"/>
              </w:rPr>
              <w:t>Cotter et al.</w:t>
            </w:r>
          </w:p>
        </w:tc>
        <w:tc>
          <w:tcPr>
            <w:tcW w:w="1301" w:type="pct"/>
          </w:tcPr>
          <w:p w14:paraId="582716D8" w14:textId="77777777" w:rsidR="00EA2D0E" w:rsidRPr="00A41F07" w:rsidRDefault="00EA2D0E" w:rsidP="00B27CA1">
            <w:pPr>
              <w:autoSpaceDE w:val="0"/>
              <w:autoSpaceDN w:val="0"/>
              <w:adjustRightInd w:val="0"/>
              <w:jc w:val="both"/>
              <w:rPr>
                <w:rFonts w:cstheme="minorHAnsi"/>
                <w:szCs w:val="20"/>
              </w:rPr>
            </w:pPr>
            <w:r w:rsidRPr="00A41F07">
              <w:rPr>
                <w:rFonts w:cstheme="minorHAnsi"/>
                <w:szCs w:val="20"/>
              </w:rPr>
              <w:t xml:space="preserve">Consecutive patients with known non-stricturing and non-penetrating ileal and/or colonic CD, submitted to </w:t>
            </w:r>
            <w:r w:rsidR="00767F8A" w:rsidRPr="00A41F07">
              <w:rPr>
                <w:rFonts w:cstheme="minorHAnsi"/>
                <w:szCs w:val="20"/>
              </w:rPr>
              <w:t>Small Bowel Capsule Endoscopy (</w:t>
            </w:r>
            <w:r w:rsidRPr="00A41F07">
              <w:rPr>
                <w:rFonts w:cstheme="minorHAnsi"/>
                <w:szCs w:val="20"/>
              </w:rPr>
              <w:t>SBCE</w:t>
            </w:r>
            <w:r w:rsidR="00767F8A" w:rsidRPr="00A41F07">
              <w:rPr>
                <w:rFonts w:cstheme="minorHAnsi"/>
                <w:szCs w:val="20"/>
              </w:rPr>
              <w:t>)</w:t>
            </w:r>
            <w:r w:rsidRPr="00A41F07">
              <w:rPr>
                <w:rFonts w:cstheme="minorHAnsi"/>
                <w:szCs w:val="20"/>
              </w:rPr>
              <w:t xml:space="preserve"> to evaluate disease extension and activity, with ≥ 1 year follow-up. Therapeutic changes were assessed 3 months after SBCE.</w:t>
            </w:r>
          </w:p>
        </w:tc>
        <w:tc>
          <w:tcPr>
            <w:tcW w:w="1279" w:type="pct"/>
          </w:tcPr>
          <w:p w14:paraId="582716D9" w14:textId="77777777" w:rsidR="00EA2D0E" w:rsidRPr="00A41F07" w:rsidRDefault="00742C65" w:rsidP="00DD1E38">
            <w:pPr>
              <w:rPr>
                <w:rFonts w:cstheme="minorHAnsi"/>
                <w:szCs w:val="20"/>
              </w:rPr>
            </w:pPr>
            <w:hyperlink r:id="rId22" w:history="1">
              <w:r w:rsidR="00EA2D0E" w:rsidRPr="00A41F07">
                <w:rPr>
                  <w:rStyle w:val="Hyperlink"/>
                  <w:rFonts w:cstheme="minorHAnsi"/>
                  <w:szCs w:val="20"/>
                </w:rPr>
                <w:t>http://ecco-jcc.oxfordjournals.org/content/8/12/1610.long</w:t>
              </w:r>
            </w:hyperlink>
          </w:p>
          <w:p w14:paraId="582716DA" w14:textId="77777777" w:rsidR="00EA2D0E" w:rsidRPr="00A41F07" w:rsidRDefault="00EA2D0E" w:rsidP="00DD1E38">
            <w:pPr>
              <w:rPr>
                <w:rFonts w:cstheme="minorHAnsi"/>
                <w:szCs w:val="20"/>
              </w:rPr>
            </w:pPr>
          </w:p>
        </w:tc>
        <w:tc>
          <w:tcPr>
            <w:tcW w:w="532" w:type="pct"/>
          </w:tcPr>
          <w:p w14:paraId="582716DB" w14:textId="77777777" w:rsidR="00EA2D0E" w:rsidRPr="00A41F07" w:rsidRDefault="00EA2D0E" w:rsidP="00DD1E38">
            <w:pPr>
              <w:rPr>
                <w:rFonts w:cstheme="minorHAnsi"/>
                <w:szCs w:val="20"/>
              </w:rPr>
            </w:pPr>
            <w:r w:rsidRPr="00A41F07">
              <w:rPr>
                <w:rFonts w:cstheme="minorHAnsi"/>
                <w:szCs w:val="20"/>
              </w:rPr>
              <w:t>2014</w:t>
            </w:r>
          </w:p>
        </w:tc>
      </w:tr>
      <w:tr w:rsidR="00654060" w:rsidRPr="00A41F07" w14:paraId="582716E7" w14:textId="77777777" w:rsidTr="00161E01">
        <w:trPr>
          <w:cantSplit/>
        </w:trPr>
        <w:tc>
          <w:tcPr>
            <w:tcW w:w="188" w:type="pct"/>
            <w:gridSpan w:val="2"/>
          </w:tcPr>
          <w:p w14:paraId="582716DD" w14:textId="77777777" w:rsidR="00EA2D0E" w:rsidRPr="00A41F07" w:rsidRDefault="00EA2D0E" w:rsidP="00DD308E">
            <w:pPr>
              <w:rPr>
                <w:szCs w:val="20"/>
              </w:rPr>
            </w:pPr>
            <w:r w:rsidRPr="00A41F07">
              <w:rPr>
                <w:szCs w:val="20"/>
              </w:rPr>
              <w:t>5.</w:t>
            </w:r>
          </w:p>
        </w:tc>
        <w:tc>
          <w:tcPr>
            <w:tcW w:w="501" w:type="pct"/>
            <w:gridSpan w:val="2"/>
          </w:tcPr>
          <w:p w14:paraId="582716DE" w14:textId="77777777" w:rsidR="00EA2D0E" w:rsidRPr="00A41F07" w:rsidRDefault="00EA2D0E" w:rsidP="00EA2D0E">
            <w:pPr>
              <w:rPr>
                <w:rFonts w:cstheme="minorHAnsi"/>
                <w:szCs w:val="20"/>
              </w:rPr>
            </w:pPr>
            <w:r w:rsidRPr="00A41F07">
              <w:rPr>
                <w:rFonts w:cstheme="minorHAnsi"/>
                <w:szCs w:val="20"/>
              </w:rPr>
              <w:t>Single-centre retrospective study.</w:t>
            </w:r>
          </w:p>
          <w:p w14:paraId="582716DF" w14:textId="77777777" w:rsidR="00EA2D0E" w:rsidRPr="00A41F07" w:rsidRDefault="00EA2D0E" w:rsidP="00DD308E">
            <w:pPr>
              <w:rPr>
                <w:b/>
                <w:szCs w:val="20"/>
              </w:rPr>
            </w:pPr>
          </w:p>
        </w:tc>
        <w:tc>
          <w:tcPr>
            <w:tcW w:w="1200" w:type="pct"/>
          </w:tcPr>
          <w:p w14:paraId="582716E0" w14:textId="77777777" w:rsidR="008059B9" w:rsidRPr="00A41F07" w:rsidRDefault="00EA2D0E" w:rsidP="00A25448">
            <w:pPr>
              <w:jc w:val="both"/>
              <w:rPr>
                <w:rFonts w:cstheme="minorHAnsi"/>
                <w:b/>
                <w:i/>
                <w:szCs w:val="20"/>
              </w:rPr>
            </w:pPr>
            <w:r w:rsidRPr="00A41F07">
              <w:rPr>
                <w:rFonts w:cstheme="minorHAnsi"/>
                <w:szCs w:val="20"/>
              </w:rPr>
              <w:t xml:space="preserve">Video Capsule Endoscopy Impacts Decision Making in </w:t>
            </w:r>
            <w:r w:rsidR="00A25448" w:rsidRPr="00A41F07">
              <w:rPr>
                <w:rFonts w:cstheme="minorHAnsi"/>
                <w:szCs w:val="20"/>
              </w:rPr>
              <w:t>Paediatric</w:t>
            </w:r>
            <w:r w:rsidRPr="00A41F07">
              <w:rPr>
                <w:rFonts w:cstheme="minorHAnsi"/>
                <w:szCs w:val="20"/>
              </w:rPr>
              <w:t xml:space="preserve"> IBD: A Single Tertiary Care </w:t>
            </w:r>
            <w:r w:rsidR="00A25448" w:rsidRPr="00A41F07">
              <w:rPr>
                <w:rFonts w:cstheme="minorHAnsi"/>
                <w:szCs w:val="20"/>
              </w:rPr>
              <w:t>Centre</w:t>
            </w:r>
            <w:r w:rsidRPr="00A41F07">
              <w:rPr>
                <w:rFonts w:cstheme="minorHAnsi"/>
                <w:szCs w:val="20"/>
              </w:rPr>
              <w:t xml:space="preserve"> Experience.</w:t>
            </w:r>
            <w:r w:rsidRPr="00A41F07">
              <w:rPr>
                <w:rFonts w:cstheme="minorHAnsi"/>
                <w:b/>
                <w:i/>
                <w:szCs w:val="20"/>
              </w:rPr>
              <w:t xml:space="preserve"> </w:t>
            </w:r>
          </w:p>
          <w:p w14:paraId="582716E1" w14:textId="77777777" w:rsidR="00EA2D0E" w:rsidRPr="00A41F07" w:rsidRDefault="00EA2D0E" w:rsidP="00DD308E">
            <w:pPr>
              <w:rPr>
                <w:b/>
                <w:szCs w:val="20"/>
              </w:rPr>
            </w:pPr>
            <w:r w:rsidRPr="00A41F07">
              <w:rPr>
                <w:rFonts w:cstheme="minorHAnsi"/>
                <w:b/>
                <w:i/>
                <w:szCs w:val="20"/>
              </w:rPr>
              <w:t>Min et al.</w:t>
            </w:r>
          </w:p>
        </w:tc>
        <w:tc>
          <w:tcPr>
            <w:tcW w:w="1301" w:type="pct"/>
          </w:tcPr>
          <w:p w14:paraId="582716E2" w14:textId="77777777" w:rsidR="00EA2D0E" w:rsidRPr="00A41F07" w:rsidRDefault="00EA2D0E" w:rsidP="000D2820">
            <w:pPr>
              <w:jc w:val="both"/>
              <w:rPr>
                <w:b/>
                <w:szCs w:val="20"/>
              </w:rPr>
            </w:pPr>
            <w:r w:rsidRPr="00A41F07">
              <w:rPr>
                <w:rFonts w:cstheme="minorHAnsi"/>
                <w:szCs w:val="20"/>
              </w:rPr>
              <w:t xml:space="preserve">A retrospective chart review was performed in children with established (n = 66) or suspected (n = 17) </w:t>
            </w:r>
            <w:r w:rsidR="00A25448" w:rsidRPr="00A41F07">
              <w:rPr>
                <w:rFonts w:cstheme="minorHAnsi"/>
                <w:szCs w:val="20"/>
              </w:rPr>
              <w:t>Inflammatory Bowel Disease (</w:t>
            </w:r>
            <w:r w:rsidRPr="00A41F07">
              <w:rPr>
                <w:rFonts w:cstheme="minorHAnsi"/>
                <w:szCs w:val="20"/>
              </w:rPr>
              <w:t>IBD</w:t>
            </w:r>
            <w:r w:rsidR="00A25448" w:rsidRPr="00A41F07">
              <w:rPr>
                <w:rFonts w:cstheme="minorHAnsi"/>
                <w:szCs w:val="20"/>
              </w:rPr>
              <w:t>)</w:t>
            </w:r>
            <w:r w:rsidRPr="00A41F07">
              <w:rPr>
                <w:rFonts w:cstheme="minorHAnsi"/>
                <w:szCs w:val="20"/>
              </w:rPr>
              <w:t xml:space="preserve"> who underwent </w:t>
            </w:r>
            <w:r w:rsidR="000D2820" w:rsidRPr="00A41F07">
              <w:rPr>
                <w:rFonts w:cstheme="minorHAnsi"/>
                <w:szCs w:val="20"/>
              </w:rPr>
              <w:t>Video Capsule Endoscopy (</w:t>
            </w:r>
            <w:r w:rsidRPr="00A41F07">
              <w:rPr>
                <w:rFonts w:cstheme="minorHAnsi"/>
                <w:szCs w:val="20"/>
              </w:rPr>
              <w:t>VCE</w:t>
            </w:r>
            <w:r w:rsidR="000D2820" w:rsidRPr="00A41F07">
              <w:rPr>
                <w:rFonts w:cstheme="minorHAnsi"/>
                <w:szCs w:val="20"/>
              </w:rPr>
              <w:t>)</w:t>
            </w:r>
            <w:r w:rsidRPr="00A41F07">
              <w:rPr>
                <w:rFonts w:cstheme="minorHAnsi"/>
                <w:szCs w:val="20"/>
              </w:rPr>
              <w:t>. Diagnostic classifications, treatments, and clinical outcomes before and 1 year after VCE were compared.</w:t>
            </w:r>
          </w:p>
        </w:tc>
        <w:tc>
          <w:tcPr>
            <w:tcW w:w="1279" w:type="pct"/>
          </w:tcPr>
          <w:p w14:paraId="582716E3" w14:textId="77777777" w:rsidR="000F26F7" w:rsidRPr="00A41F07" w:rsidRDefault="00742C65" w:rsidP="000F26F7">
            <w:hyperlink r:id="rId23" w:history="1">
              <w:r w:rsidR="000F26F7" w:rsidRPr="00A41F07">
                <w:rPr>
                  <w:rStyle w:val="Hyperlink"/>
                  <w:rFonts w:cstheme="minorHAnsi"/>
                  <w:szCs w:val="20"/>
                </w:rPr>
                <w:t>http://journals.lww.com/ibdjournal/pages/articleviewer.aspx?year=2013&amp;issue=09000&amp;article=00013&amp;type=abstract</w:t>
              </w:r>
            </w:hyperlink>
          </w:p>
          <w:p w14:paraId="582716E4" w14:textId="77777777" w:rsidR="00D85D2C" w:rsidRPr="00A41F07" w:rsidRDefault="00D85D2C" w:rsidP="00C30A10">
            <w:pPr>
              <w:rPr>
                <w:b/>
                <w:szCs w:val="20"/>
              </w:rPr>
            </w:pPr>
          </w:p>
          <w:p w14:paraId="582716E5" w14:textId="77777777" w:rsidR="00C30A10" w:rsidRPr="00A41F07" w:rsidRDefault="00C30A10" w:rsidP="00C30A10">
            <w:pPr>
              <w:rPr>
                <w:b/>
                <w:szCs w:val="20"/>
              </w:rPr>
            </w:pPr>
          </w:p>
        </w:tc>
        <w:tc>
          <w:tcPr>
            <w:tcW w:w="532" w:type="pct"/>
          </w:tcPr>
          <w:p w14:paraId="582716E6" w14:textId="77777777" w:rsidR="00EA2D0E" w:rsidRPr="00A41F07" w:rsidRDefault="00C30A10" w:rsidP="00DD308E">
            <w:pPr>
              <w:rPr>
                <w:b/>
                <w:szCs w:val="20"/>
              </w:rPr>
            </w:pPr>
            <w:r w:rsidRPr="00A41F07">
              <w:rPr>
                <w:rFonts w:cstheme="minorHAnsi"/>
                <w:szCs w:val="20"/>
              </w:rPr>
              <w:t>2013</w:t>
            </w:r>
          </w:p>
        </w:tc>
      </w:tr>
      <w:tr w:rsidR="00654060" w:rsidRPr="00A41F07" w14:paraId="582716F1" w14:textId="77777777" w:rsidTr="00161E01">
        <w:trPr>
          <w:cantSplit/>
        </w:trPr>
        <w:tc>
          <w:tcPr>
            <w:tcW w:w="188" w:type="pct"/>
            <w:gridSpan w:val="2"/>
          </w:tcPr>
          <w:p w14:paraId="582716E8" w14:textId="77777777" w:rsidR="00EA2D0E" w:rsidRPr="00A41F07" w:rsidRDefault="00EA2D0E" w:rsidP="00DD308E">
            <w:pPr>
              <w:rPr>
                <w:szCs w:val="20"/>
              </w:rPr>
            </w:pPr>
            <w:r w:rsidRPr="00A41F07">
              <w:rPr>
                <w:szCs w:val="20"/>
              </w:rPr>
              <w:lastRenderedPageBreak/>
              <w:t>6.</w:t>
            </w:r>
          </w:p>
        </w:tc>
        <w:tc>
          <w:tcPr>
            <w:tcW w:w="501" w:type="pct"/>
            <w:gridSpan w:val="2"/>
          </w:tcPr>
          <w:p w14:paraId="582716E9" w14:textId="77777777" w:rsidR="00984B5A" w:rsidRPr="00A41F07" w:rsidRDefault="00984B5A" w:rsidP="00984B5A">
            <w:pPr>
              <w:autoSpaceDE w:val="0"/>
              <w:autoSpaceDN w:val="0"/>
              <w:adjustRightInd w:val="0"/>
              <w:rPr>
                <w:rFonts w:cstheme="minorHAnsi"/>
                <w:szCs w:val="20"/>
              </w:rPr>
            </w:pPr>
            <w:r w:rsidRPr="00A41F07">
              <w:rPr>
                <w:rFonts w:cstheme="minorHAnsi"/>
                <w:szCs w:val="20"/>
              </w:rPr>
              <w:t xml:space="preserve">Retrospective single </w:t>
            </w:r>
            <w:r w:rsidR="005D6E8A" w:rsidRPr="00A41F07">
              <w:rPr>
                <w:rFonts w:cstheme="minorHAnsi"/>
                <w:szCs w:val="20"/>
              </w:rPr>
              <w:t>centre</w:t>
            </w:r>
            <w:r w:rsidRPr="00A41F07">
              <w:rPr>
                <w:rFonts w:cstheme="minorHAnsi"/>
                <w:szCs w:val="20"/>
              </w:rPr>
              <w:t xml:space="preserve"> study.</w:t>
            </w:r>
          </w:p>
          <w:p w14:paraId="582716EA" w14:textId="77777777" w:rsidR="00EA2D0E" w:rsidRPr="00A41F07" w:rsidRDefault="00EA2D0E" w:rsidP="00DD308E">
            <w:pPr>
              <w:rPr>
                <w:b/>
                <w:szCs w:val="20"/>
              </w:rPr>
            </w:pPr>
          </w:p>
        </w:tc>
        <w:tc>
          <w:tcPr>
            <w:tcW w:w="1200" w:type="pct"/>
          </w:tcPr>
          <w:p w14:paraId="582716EB" w14:textId="77777777" w:rsidR="007D6485" w:rsidRPr="00A41F07" w:rsidRDefault="00984B5A" w:rsidP="00984B5A">
            <w:pPr>
              <w:autoSpaceDE w:val="0"/>
              <w:autoSpaceDN w:val="0"/>
              <w:adjustRightInd w:val="0"/>
              <w:rPr>
                <w:rFonts w:cstheme="minorHAnsi"/>
                <w:b/>
                <w:i/>
                <w:szCs w:val="20"/>
              </w:rPr>
            </w:pPr>
            <w:r w:rsidRPr="00A41F07">
              <w:rPr>
                <w:rFonts w:cstheme="minorHAnsi"/>
                <w:szCs w:val="20"/>
              </w:rPr>
              <w:t>Clinical utility of capsule endoscopy in patients with Crohn’s disease</w:t>
            </w:r>
            <w:r w:rsidR="003343BF" w:rsidRPr="00A41F07">
              <w:rPr>
                <w:rFonts w:cstheme="minorHAnsi"/>
                <w:szCs w:val="20"/>
              </w:rPr>
              <w:t xml:space="preserve"> and inflammatory bowel disease </w:t>
            </w:r>
            <w:r w:rsidRPr="00A41F07">
              <w:rPr>
                <w:rFonts w:cstheme="minorHAnsi"/>
                <w:szCs w:val="20"/>
              </w:rPr>
              <w:t>unclassified.</w:t>
            </w:r>
            <w:r w:rsidRPr="00A41F07">
              <w:rPr>
                <w:rFonts w:cstheme="minorHAnsi"/>
                <w:b/>
                <w:i/>
                <w:szCs w:val="20"/>
              </w:rPr>
              <w:t xml:space="preserve"> </w:t>
            </w:r>
          </w:p>
          <w:p w14:paraId="582716EC" w14:textId="77777777" w:rsidR="00EA2D0E" w:rsidRPr="00A41F07" w:rsidRDefault="00984B5A" w:rsidP="002707FF">
            <w:pPr>
              <w:autoSpaceDE w:val="0"/>
              <w:autoSpaceDN w:val="0"/>
              <w:adjustRightInd w:val="0"/>
              <w:rPr>
                <w:rFonts w:cstheme="minorHAnsi"/>
                <w:szCs w:val="20"/>
              </w:rPr>
            </w:pPr>
            <w:proofErr w:type="spellStart"/>
            <w:r w:rsidRPr="00A41F07">
              <w:rPr>
                <w:rFonts w:cstheme="minorHAnsi"/>
                <w:b/>
                <w:i/>
                <w:szCs w:val="20"/>
              </w:rPr>
              <w:t>Kalla</w:t>
            </w:r>
            <w:proofErr w:type="spellEnd"/>
            <w:r w:rsidRPr="00A41F07">
              <w:rPr>
                <w:rFonts w:cstheme="minorHAnsi"/>
                <w:b/>
                <w:i/>
                <w:szCs w:val="20"/>
              </w:rPr>
              <w:t xml:space="preserve"> et al.</w:t>
            </w:r>
          </w:p>
        </w:tc>
        <w:tc>
          <w:tcPr>
            <w:tcW w:w="1301" w:type="pct"/>
          </w:tcPr>
          <w:p w14:paraId="582716ED" w14:textId="77777777" w:rsidR="00EA2D0E" w:rsidRPr="00A41F07" w:rsidRDefault="00984B5A" w:rsidP="003343BF">
            <w:pPr>
              <w:jc w:val="both"/>
              <w:rPr>
                <w:b/>
                <w:szCs w:val="20"/>
              </w:rPr>
            </w:pPr>
            <w:r w:rsidRPr="00A41F07">
              <w:rPr>
                <w:rFonts w:cstheme="minorHAnsi"/>
                <w:szCs w:val="20"/>
              </w:rPr>
              <w:t>Patients referred routinely from 2003 to 2009 with a</w:t>
            </w:r>
            <w:r w:rsidRPr="00A41F07">
              <w:rPr>
                <w:rFonts w:cstheme="minorHAnsi"/>
              </w:rPr>
              <w:t> diagnosis </w:t>
            </w:r>
            <w:r w:rsidRPr="00A41F07">
              <w:rPr>
                <w:rFonts w:cstheme="minorHAnsi"/>
                <w:szCs w:val="20"/>
              </w:rPr>
              <w:t xml:space="preserve">of </w:t>
            </w:r>
            <w:r w:rsidR="003343BF" w:rsidRPr="00A41F07">
              <w:rPr>
                <w:rFonts w:cstheme="minorHAnsi"/>
                <w:szCs w:val="20"/>
              </w:rPr>
              <w:t>Inflammatory Bowel Disease Unclassified (</w:t>
            </w:r>
            <w:r w:rsidRPr="00A41F07">
              <w:rPr>
                <w:rFonts w:cstheme="minorHAnsi"/>
                <w:szCs w:val="20"/>
              </w:rPr>
              <w:t>IBDU</w:t>
            </w:r>
            <w:r w:rsidR="003343BF" w:rsidRPr="00A41F07">
              <w:rPr>
                <w:rFonts w:cstheme="minorHAnsi"/>
                <w:szCs w:val="20"/>
              </w:rPr>
              <w:t>)</w:t>
            </w:r>
            <w:r w:rsidRPr="00A41F07">
              <w:rPr>
                <w:rFonts w:cstheme="minorHAnsi"/>
                <w:szCs w:val="20"/>
              </w:rPr>
              <w:t>, suspected or established CD were identified retrospectively. Data were collected for indications and</w:t>
            </w:r>
            <w:r w:rsidRPr="00A41F07">
              <w:rPr>
                <w:rFonts w:cstheme="minorHAnsi"/>
              </w:rPr>
              <w:t> findings </w:t>
            </w:r>
            <w:r w:rsidRPr="00A41F07">
              <w:rPr>
                <w:rFonts w:cstheme="minorHAnsi"/>
                <w:szCs w:val="20"/>
              </w:rPr>
              <w:t xml:space="preserve">at </w:t>
            </w:r>
            <w:r w:rsidR="004809D7" w:rsidRPr="00A41F07">
              <w:rPr>
                <w:rFonts w:cstheme="minorHAnsi"/>
                <w:szCs w:val="20"/>
              </w:rPr>
              <w:t>Small Bowel Capsule Endoscopy (</w:t>
            </w:r>
            <w:r w:rsidRPr="00A41F07">
              <w:rPr>
                <w:rFonts w:cstheme="minorHAnsi"/>
                <w:szCs w:val="20"/>
              </w:rPr>
              <w:t>SBCE</w:t>
            </w:r>
            <w:r w:rsidR="004809D7" w:rsidRPr="00A41F07">
              <w:rPr>
                <w:rFonts w:cstheme="minorHAnsi"/>
                <w:szCs w:val="20"/>
              </w:rPr>
              <w:t>)</w:t>
            </w:r>
            <w:r w:rsidRPr="00A41F07">
              <w:rPr>
                <w:rFonts w:cstheme="minorHAnsi"/>
                <w:szCs w:val="20"/>
              </w:rPr>
              <w:t xml:space="preserve"> with subsequent follow-up.</w:t>
            </w:r>
          </w:p>
        </w:tc>
        <w:tc>
          <w:tcPr>
            <w:tcW w:w="1279" w:type="pct"/>
          </w:tcPr>
          <w:p w14:paraId="582716EE" w14:textId="77777777" w:rsidR="00984B5A" w:rsidRPr="00A41F07" w:rsidRDefault="00742C65" w:rsidP="00984B5A">
            <w:pPr>
              <w:rPr>
                <w:rFonts w:cstheme="minorHAnsi"/>
                <w:szCs w:val="20"/>
              </w:rPr>
            </w:pPr>
            <w:hyperlink r:id="rId24" w:history="1">
              <w:r w:rsidR="00984B5A" w:rsidRPr="00A41F07">
                <w:rPr>
                  <w:rStyle w:val="Hyperlink"/>
                  <w:rFonts w:cstheme="minorHAnsi"/>
                  <w:szCs w:val="20"/>
                </w:rPr>
                <w:t>http://www.ncbi.nlm.nih.gov/pubmed/23325280</w:t>
              </w:r>
            </w:hyperlink>
          </w:p>
          <w:p w14:paraId="582716EF" w14:textId="77777777" w:rsidR="00EA2D0E" w:rsidRPr="00A41F07" w:rsidRDefault="00EA2D0E" w:rsidP="00DD308E">
            <w:pPr>
              <w:rPr>
                <w:b/>
                <w:szCs w:val="20"/>
              </w:rPr>
            </w:pPr>
          </w:p>
        </w:tc>
        <w:tc>
          <w:tcPr>
            <w:tcW w:w="532" w:type="pct"/>
          </w:tcPr>
          <w:p w14:paraId="582716F0" w14:textId="77777777" w:rsidR="00EA2D0E" w:rsidRPr="00A41F07" w:rsidRDefault="00984B5A" w:rsidP="00DD308E">
            <w:pPr>
              <w:rPr>
                <w:b/>
                <w:szCs w:val="20"/>
              </w:rPr>
            </w:pPr>
            <w:r w:rsidRPr="00A41F07">
              <w:rPr>
                <w:rFonts w:cstheme="minorHAnsi"/>
                <w:szCs w:val="20"/>
              </w:rPr>
              <w:t>2013</w:t>
            </w:r>
          </w:p>
        </w:tc>
      </w:tr>
      <w:tr w:rsidR="00654060" w:rsidRPr="00A41F07" w14:paraId="582716FB" w14:textId="77777777" w:rsidTr="00161E01">
        <w:trPr>
          <w:cantSplit/>
        </w:trPr>
        <w:tc>
          <w:tcPr>
            <w:tcW w:w="188" w:type="pct"/>
            <w:gridSpan w:val="2"/>
          </w:tcPr>
          <w:p w14:paraId="582716F2" w14:textId="77777777" w:rsidR="00984B5A" w:rsidRPr="00A41F07" w:rsidRDefault="00984B5A" w:rsidP="00DD308E">
            <w:pPr>
              <w:rPr>
                <w:szCs w:val="20"/>
              </w:rPr>
            </w:pPr>
            <w:r w:rsidRPr="00A41F07">
              <w:rPr>
                <w:szCs w:val="20"/>
              </w:rPr>
              <w:t>7.</w:t>
            </w:r>
          </w:p>
        </w:tc>
        <w:tc>
          <w:tcPr>
            <w:tcW w:w="501" w:type="pct"/>
            <w:gridSpan w:val="2"/>
          </w:tcPr>
          <w:p w14:paraId="582716F3" w14:textId="77777777" w:rsidR="00984B5A" w:rsidRPr="00A41F07" w:rsidRDefault="00984B5A" w:rsidP="00984B5A">
            <w:pPr>
              <w:rPr>
                <w:rFonts w:cstheme="minorHAnsi"/>
                <w:szCs w:val="20"/>
              </w:rPr>
            </w:pPr>
            <w:r w:rsidRPr="00A41F07">
              <w:rPr>
                <w:rFonts w:cstheme="minorHAnsi"/>
                <w:szCs w:val="20"/>
              </w:rPr>
              <w:t>Single-centre retrospective study.</w:t>
            </w:r>
          </w:p>
          <w:p w14:paraId="582716F4" w14:textId="77777777" w:rsidR="00984B5A" w:rsidRPr="00A41F07" w:rsidRDefault="00984B5A" w:rsidP="00DD308E">
            <w:pPr>
              <w:rPr>
                <w:b/>
                <w:szCs w:val="20"/>
              </w:rPr>
            </w:pPr>
          </w:p>
        </w:tc>
        <w:tc>
          <w:tcPr>
            <w:tcW w:w="1200" w:type="pct"/>
          </w:tcPr>
          <w:p w14:paraId="582716F5" w14:textId="77777777" w:rsidR="00984B5A" w:rsidRPr="00A41F07" w:rsidRDefault="00984B5A" w:rsidP="00984B5A">
            <w:pPr>
              <w:rPr>
                <w:rFonts w:cstheme="minorHAnsi"/>
                <w:b/>
                <w:i/>
                <w:szCs w:val="20"/>
              </w:rPr>
            </w:pPr>
            <w:r w:rsidRPr="00A41F07">
              <w:rPr>
                <w:rFonts w:cstheme="minorHAnsi"/>
                <w:szCs w:val="20"/>
              </w:rPr>
              <w:t>Small bowel capsule endoscopy for management of Crohn’s disease: A retrospective tertiary care centre experience</w:t>
            </w:r>
            <w:r w:rsidR="002649A9" w:rsidRPr="00A41F07">
              <w:rPr>
                <w:rFonts w:cstheme="minorHAnsi"/>
                <w:i/>
                <w:szCs w:val="20"/>
              </w:rPr>
              <w:t>.</w:t>
            </w:r>
          </w:p>
          <w:p w14:paraId="582716F6" w14:textId="77777777" w:rsidR="00984B5A" w:rsidRPr="00A41F07" w:rsidRDefault="00984B5A" w:rsidP="00DD308E">
            <w:pPr>
              <w:rPr>
                <w:rFonts w:cstheme="minorHAnsi"/>
                <w:szCs w:val="20"/>
              </w:rPr>
            </w:pPr>
            <w:proofErr w:type="spellStart"/>
            <w:r w:rsidRPr="00A41F07">
              <w:rPr>
                <w:rFonts w:cstheme="minorHAnsi"/>
                <w:b/>
                <w:i/>
                <w:szCs w:val="20"/>
              </w:rPr>
              <w:t>Dussault</w:t>
            </w:r>
            <w:proofErr w:type="spellEnd"/>
            <w:r w:rsidRPr="00A41F07">
              <w:rPr>
                <w:rFonts w:cstheme="minorHAnsi"/>
                <w:b/>
                <w:i/>
                <w:szCs w:val="20"/>
              </w:rPr>
              <w:t xml:space="preserve"> et al.</w:t>
            </w:r>
          </w:p>
        </w:tc>
        <w:tc>
          <w:tcPr>
            <w:tcW w:w="1301" w:type="pct"/>
          </w:tcPr>
          <w:p w14:paraId="582716F7" w14:textId="77777777" w:rsidR="00984B5A" w:rsidRPr="00A41F07" w:rsidRDefault="00984B5A" w:rsidP="007F295A">
            <w:pPr>
              <w:autoSpaceDE w:val="0"/>
              <w:autoSpaceDN w:val="0"/>
              <w:adjustRightInd w:val="0"/>
              <w:jc w:val="both"/>
              <w:rPr>
                <w:rFonts w:cstheme="minorHAnsi"/>
                <w:szCs w:val="20"/>
              </w:rPr>
            </w:pPr>
            <w:r w:rsidRPr="00A41F07">
              <w:rPr>
                <w:rFonts w:cstheme="minorHAnsi"/>
                <w:szCs w:val="20"/>
              </w:rPr>
              <w:t>SBCE tests performed in a referral centre from 2008 to 2011; 77 tests were performed in patients with known Crohn’s disease. Six patients were excluded due to capsule test retention. Patients were classified into 4 indication groups: unexplained anaemia; discrepancy between clinical symptoms and morphology, full assessment of Crohn’s disease location and evaluation of mucosal healing.</w:t>
            </w:r>
          </w:p>
        </w:tc>
        <w:tc>
          <w:tcPr>
            <w:tcW w:w="1279" w:type="pct"/>
          </w:tcPr>
          <w:p w14:paraId="582716F8" w14:textId="77777777" w:rsidR="00984B5A" w:rsidRPr="00A41F07" w:rsidRDefault="00742C65" w:rsidP="00984B5A">
            <w:pPr>
              <w:rPr>
                <w:rFonts w:cstheme="minorHAnsi"/>
                <w:szCs w:val="20"/>
              </w:rPr>
            </w:pPr>
            <w:hyperlink r:id="rId25" w:history="1">
              <w:r w:rsidR="00984B5A" w:rsidRPr="00A41F07">
                <w:rPr>
                  <w:rStyle w:val="Hyperlink"/>
                  <w:rFonts w:cstheme="minorHAnsi"/>
                  <w:szCs w:val="20"/>
                </w:rPr>
                <w:t>http://www.sciencedirect.com/science/article/pii/S1590865812004227</w:t>
              </w:r>
            </w:hyperlink>
          </w:p>
          <w:p w14:paraId="582716F9" w14:textId="77777777" w:rsidR="00984B5A" w:rsidRPr="00A41F07" w:rsidRDefault="00984B5A" w:rsidP="00DD308E">
            <w:pPr>
              <w:rPr>
                <w:b/>
                <w:szCs w:val="20"/>
              </w:rPr>
            </w:pPr>
          </w:p>
        </w:tc>
        <w:tc>
          <w:tcPr>
            <w:tcW w:w="532" w:type="pct"/>
          </w:tcPr>
          <w:p w14:paraId="582716FA" w14:textId="77777777" w:rsidR="00984B5A" w:rsidRPr="00A41F07" w:rsidRDefault="007D6485" w:rsidP="00DD308E">
            <w:pPr>
              <w:rPr>
                <w:b/>
                <w:szCs w:val="20"/>
              </w:rPr>
            </w:pPr>
            <w:r w:rsidRPr="00A41F07">
              <w:t>2012</w:t>
            </w:r>
          </w:p>
        </w:tc>
      </w:tr>
      <w:tr w:rsidR="00654060" w:rsidRPr="00A41F07" w14:paraId="58271705" w14:textId="77777777" w:rsidTr="00161E01">
        <w:trPr>
          <w:cantSplit/>
        </w:trPr>
        <w:tc>
          <w:tcPr>
            <w:tcW w:w="188" w:type="pct"/>
            <w:gridSpan w:val="2"/>
          </w:tcPr>
          <w:p w14:paraId="582716FC" w14:textId="77777777" w:rsidR="00984B5A" w:rsidRPr="00A41F07" w:rsidRDefault="00984B5A" w:rsidP="00DD308E">
            <w:pPr>
              <w:rPr>
                <w:szCs w:val="20"/>
              </w:rPr>
            </w:pPr>
            <w:r w:rsidRPr="00A41F07">
              <w:rPr>
                <w:szCs w:val="20"/>
              </w:rPr>
              <w:t>8.</w:t>
            </w:r>
          </w:p>
        </w:tc>
        <w:tc>
          <w:tcPr>
            <w:tcW w:w="501" w:type="pct"/>
            <w:gridSpan w:val="2"/>
          </w:tcPr>
          <w:p w14:paraId="582716FD" w14:textId="77777777" w:rsidR="0007539D" w:rsidRPr="00A41F07" w:rsidRDefault="0007539D" w:rsidP="0007539D">
            <w:pPr>
              <w:rPr>
                <w:rFonts w:cstheme="minorHAnsi"/>
                <w:szCs w:val="20"/>
              </w:rPr>
            </w:pPr>
            <w:r w:rsidRPr="00A41F07">
              <w:rPr>
                <w:rFonts w:cstheme="minorHAnsi"/>
                <w:szCs w:val="20"/>
              </w:rPr>
              <w:t>Single-centre retrospective study.</w:t>
            </w:r>
          </w:p>
          <w:p w14:paraId="582716FE" w14:textId="77777777" w:rsidR="00984B5A" w:rsidRPr="00A41F07" w:rsidRDefault="00984B5A" w:rsidP="00DD308E">
            <w:pPr>
              <w:rPr>
                <w:b/>
                <w:szCs w:val="20"/>
              </w:rPr>
            </w:pPr>
          </w:p>
        </w:tc>
        <w:tc>
          <w:tcPr>
            <w:tcW w:w="1200" w:type="pct"/>
          </w:tcPr>
          <w:p w14:paraId="582716FF" w14:textId="77777777" w:rsidR="0007539D" w:rsidRPr="00A41F07" w:rsidRDefault="0007539D" w:rsidP="0007539D">
            <w:pPr>
              <w:autoSpaceDE w:val="0"/>
              <w:autoSpaceDN w:val="0"/>
              <w:adjustRightInd w:val="0"/>
              <w:rPr>
                <w:rFonts w:cstheme="minorHAnsi"/>
                <w:b/>
                <w:i/>
                <w:szCs w:val="20"/>
              </w:rPr>
            </w:pPr>
            <w:r w:rsidRPr="00A41F07">
              <w:rPr>
                <w:rFonts w:cstheme="minorHAnsi"/>
                <w:szCs w:val="20"/>
              </w:rPr>
              <w:t xml:space="preserve">Impact of capsule endoscopy on management of inflammatory bowel disease: a single tertiary care </w:t>
            </w:r>
            <w:r w:rsidR="002707FF" w:rsidRPr="00A41F07">
              <w:rPr>
                <w:rFonts w:cstheme="minorHAnsi"/>
                <w:szCs w:val="20"/>
              </w:rPr>
              <w:t>centre</w:t>
            </w:r>
            <w:r w:rsidRPr="00A41F07">
              <w:rPr>
                <w:rFonts w:cstheme="minorHAnsi"/>
                <w:szCs w:val="20"/>
              </w:rPr>
              <w:t xml:space="preserve"> experience.</w:t>
            </w:r>
            <w:r w:rsidRPr="00A41F07">
              <w:rPr>
                <w:rFonts w:cstheme="minorHAnsi"/>
                <w:b/>
                <w:i/>
                <w:szCs w:val="20"/>
              </w:rPr>
              <w:t xml:space="preserve"> </w:t>
            </w:r>
          </w:p>
          <w:p w14:paraId="58271700" w14:textId="77777777" w:rsidR="00984B5A" w:rsidRPr="00A41F07" w:rsidRDefault="0007539D" w:rsidP="0007539D">
            <w:pPr>
              <w:rPr>
                <w:b/>
                <w:szCs w:val="20"/>
              </w:rPr>
            </w:pPr>
            <w:r w:rsidRPr="00A41F07">
              <w:rPr>
                <w:rFonts w:cstheme="minorHAnsi"/>
                <w:b/>
                <w:i/>
                <w:szCs w:val="20"/>
              </w:rPr>
              <w:t>Long et al</w:t>
            </w:r>
            <w:r w:rsidR="00121D23" w:rsidRPr="00A41F07">
              <w:rPr>
                <w:rFonts w:cstheme="minorHAnsi"/>
                <w:b/>
                <w:i/>
                <w:szCs w:val="20"/>
              </w:rPr>
              <w:t>.</w:t>
            </w:r>
          </w:p>
        </w:tc>
        <w:tc>
          <w:tcPr>
            <w:tcW w:w="1301" w:type="pct"/>
          </w:tcPr>
          <w:p w14:paraId="58271701" w14:textId="77777777" w:rsidR="00984B5A" w:rsidRPr="00A41F07" w:rsidRDefault="0007539D" w:rsidP="00DD308E">
            <w:pPr>
              <w:rPr>
                <w:b/>
                <w:szCs w:val="20"/>
              </w:rPr>
            </w:pPr>
            <w:r w:rsidRPr="00A41F07">
              <w:rPr>
                <w:rFonts w:cstheme="minorHAnsi"/>
                <w:szCs w:val="20"/>
              </w:rPr>
              <w:t>86 symptomatic Crohn’s patients that underwent CE, 61.6% had therapeutic changes (defined as initiation or discontinuation of any IBD specific medication) in the 3 months after the CE, with 39.5% initiating a new IBD medication.</w:t>
            </w:r>
          </w:p>
        </w:tc>
        <w:tc>
          <w:tcPr>
            <w:tcW w:w="1279" w:type="pct"/>
          </w:tcPr>
          <w:p w14:paraId="58271702" w14:textId="77777777" w:rsidR="0007539D" w:rsidRPr="00A41F07" w:rsidRDefault="00742C65" w:rsidP="0007539D">
            <w:pPr>
              <w:rPr>
                <w:rFonts w:cstheme="minorHAnsi"/>
                <w:szCs w:val="20"/>
              </w:rPr>
            </w:pPr>
            <w:hyperlink r:id="rId26" w:history="1">
              <w:r w:rsidR="0007539D" w:rsidRPr="00A41F07">
                <w:rPr>
                  <w:rStyle w:val="Hyperlink"/>
                  <w:rFonts w:cstheme="minorHAnsi"/>
                  <w:szCs w:val="20"/>
                </w:rPr>
                <w:t>https://www.ncbi.nlm.nih.gov/pmc/articles/PMC3116981/</w:t>
              </w:r>
            </w:hyperlink>
          </w:p>
          <w:p w14:paraId="58271703" w14:textId="77777777" w:rsidR="00984B5A" w:rsidRPr="00A41F07" w:rsidRDefault="00984B5A" w:rsidP="00DD308E">
            <w:pPr>
              <w:rPr>
                <w:b/>
                <w:szCs w:val="20"/>
              </w:rPr>
            </w:pPr>
          </w:p>
        </w:tc>
        <w:tc>
          <w:tcPr>
            <w:tcW w:w="532" w:type="pct"/>
          </w:tcPr>
          <w:p w14:paraId="58271704" w14:textId="77777777" w:rsidR="00984B5A" w:rsidRPr="00A41F07" w:rsidRDefault="0007539D" w:rsidP="00DD308E">
            <w:pPr>
              <w:rPr>
                <w:b/>
                <w:szCs w:val="20"/>
              </w:rPr>
            </w:pPr>
            <w:r w:rsidRPr="00A41F07">
              <w:t>2011</w:t>
            </w:r>
          </w:p>
        </w:tc>
      </w:tr>
      <w:tr w:rsidR="00654060" w:rsidRPr="00A41F07" w14:paraId="5827170F" w14:textId="77777777" w:rsidTr="00161E01">
        <w:trPr>
          <w:cantSplit/>
        </w:trPr>
        <w:tc>
          <w:tcPr>
            <w:tcW w:w="188" w:type="pct"/>
            <w:gridSpan w:val="2"/>
          </w:tcPr>
          <w:p w14:paraId="58271706" w14:textId="77777777" w:rsidR="00984B5A" w:rsidRPr="00A41F07" w:rsidRDefault="00984B5A" w:rsidP="00DD308E">
            <w:pPr>
              <w:rPr>
                <w:szCs w:val="20"/>
              </w:rPr>
            </w:pPr>
            <w:r w:rsidRPr="00A41F07">
              <w:rPr>
                <w:szCs w:val="20"/>
              </w:rPr>
              <w:lastRenderedPageBreak/>
              <w:t>9</w:t>
            </w:r>
            <w:r w:rsidR="00161E01" w:rsidRPr="00A41F07">
              <w:rPr>
                <w:szCs w:val="20"/>
              </w:rPr>
              <w:t>.</w:t>
            </w:r>
          </w:p>
        </w:tc>
        <w:tc>
          <w:tcPr>
            <w:tcW w:w="501" w:type="pct"/>
            <w:gridSpan w:val="2"/>
          </w:tcPr>
          <w:p w14:paraId="58271707" w14:textId="77777777" w:rsidR="006D3FDF" w:rsidRPr="00A41F07" w:rsidRDefault="006D3FDF" w:rsidP="006D3FDF">
            <w:pPr>
              <w:rPr>
                <w:rFonts w:cstheme="minorHAnsi"/>
                <w:szCs w:val="20"/>
              </w:rPr>
            </w:pPr>
            <w:r w:rsidRPr="00A41F07">
              <w:rPr>
                <w:rFonts w:cstheme="minorHAnsi"/>
                <w:szCs w:val="20"/>
              </w:rPr>
              <w:t>Single-centre retrospective study.</w:t>
            </w:r>
          </w:p>
          <w:p w14:paraId="58271708" w14:textId="77777777" w:rsidR="00984B5A" w:rsidRPr="00A41F07" w:rsidRDefault="00984B5A" w:rsidP="00DD308E">
            <w:pPr>
              <w:rPr>
                <w:b/>
                <w:szCs w:val="20"/>
              </w:rPr>
            </w:pPr>
          </w:p>
        </w:tc>
        <w:tc>
          <w:tcPr>
            <w:tcW w:w="1200" w:type="pct"/>
          </w:tcPr>
          <w:p w14:paraId="58271709" w14:textId="77777777" w:rsidR="006D3FDF" w:rsidRPr="00A41F07" w:rsidRDefault="006D3FDF" w:rsidP="006D3FDF">
            <w:pPr>
              <w:rPr>
                <w:rFonts w:cstheme="minorHAnsi"/>
                <w:b/>
                <w:i/>
                <w:szCs w:val="20"/>
              </w:rPr>
            </w:pPr>
            <w:r w:rsidRPr="00A41F07">
              <w:rPr>
                <w:rFonts w:cstheme="minorHAnsi"/>
                <w:szCs w:val="20"/>
              </w:rPr>
              <w:t>Impact of capsule endoscopy findings in the management of Crohn's Disease.</w:t>
            </w:r>
            <w:r w:rsidRPr="00A41F07">
              <w:rPr>
                <w:rFonts w:cstheme="minorHAnsi"/>
                <w:b/>
                <w:i/>
                <w:szCs w:val="20"/>
              </w:rPr>
              <w:t xml:space="preserve"> Lorenzo-</w:t>
            </w:r>
            <w:proofErr w:type="spellStart"/>
            <w:r w:rsidRPr="00A41F07">
              <w:rPr>
                <w:rFonts w:cstheme="minorHAnsi"/>
                <w:b/>
                <w:i/>
                <w:szCs w:val="20"/>
              </w:rPr>
              <w:t>Zúñiga</w:t>
            </w:r>
            <w:proofErr w:type="spellEnd"/>
            <w:r w:rsidRPr="00A41F07">
              <w:rPr>
                <w:rFonts w:cstheme="minorHAnsi"/>
                <w:b/>
                <w:i/>
                <w:szCs w:val="20"/>
              </w:rPr>
              <w:t xml:space="preserve"> et al.</w:t>
            </w:r>
          </w:p>
          <w:p w14:paraId="5827170A" w14:textId="77777777" w:rsidR="00984B5A" w:rsidRPr="00A41F07" w:rsidRDefault="00984B5A" w:rsidP="00DD308E">
            <w:pPr>
              <w:rPr>
                <w:b/>
                <w:szCs w:val="20"/>
              </w:rPr>
            </w:pPr>
          </w:p>
        </w:tc>
        <w:tc>
          <w:tcPr>
            <w:tcW w:w="1301" w:type="pct"/>
          </w:tcPr>
          <w:p w14:paraId="5827170B" w14:textId="77777777" w:rsidR="00984B5A" w:rsidRPr="00A41F07" w:rsidRDefault="006D3FDF" w:rsidP="00A75931">
            <w:pPr>
              <w:jc w:val="both"/>
              <w:rPr>
                <w:b/>
                <w:szCs w:val="20"/>
              </w:rPr>
            </w:pPr>
            <w:r w:rsidRPr="00A41F07">
              <w:rPr>
                <w:rFonts w:cstheme="minorHAnsi"/>
                <w:szCs w:val="20"/>
              </w:rPr>
              <w:t xml:space="preserve">All patients with known CD that underwent CE were identified from IBD and endoscopy databases. Baseline characteristics of the study population, CE findings, changes in therapy, and patient outcome were recorded. Patients were followed for 18 months after CE. CE was performed in 14 CD patients for iron deficiency </w:t>
            </w:r>
            <w:r w:rsidR="007F295A" w:rsidRPr="00A41F07">
              <w:rPr>
                <w:rFonts w:cstheme="minorHAnsi"/>
                <w:szCs w:val="20"/>
              </w:rPr>
              <w:t>anaemia</w:t>
            </w:r>
            <w:r w:rsidRPr="00A41F07">
              <w:rPr>
                <w:rFonts w:cstheme="minorHAnsi"/>
                <w:szCs w:val="20"/>
              </w:rPr>
              <w:t xml:space="preserve"> (n = 5) or abdominal pain of unknown origin (n = 3), or re-evaluation of disease location (n = 6).</w:t>
            </w:r>
          </w:p>
        </w:tc>
        <w:tc>
          <w:tcPr>
            <w:tcW w:w="1279" w:type="pct"/>
          </w:tcPr>
          <w:p w14:paraId="5827170C" w14:textId="77777777" w:rsidR="006D3FDF" w:rsidRPr="00A41F07" w:rsidRDefault="00742C65" w:rsidP="006D3FDF">
            <w:pPr>
              <w:rPr>
                <w:rFonts w:cstheme="minorHAnsi"/>
                <w:szCs w:val="20"/>
              </w:rPr>
            </w:pPr>
            <w:hyperlink r:id="rId27" w:history="1">
              <w:r w:rsidR="006D3FDF" w:rsidRPr="00A41F07">
                <w:rPr>
                  <w:rStyle w:val="Hyperlink"/>
                  <w:rFonts w:cstheme="minorHAnsi"/>
                  <w:szCs w:val="20"/>
                </w:rPr>
                <w:t>http://link.springer.com/article/10.1007%2Fs10620-009-0758-8</w:t>
              </w:r>
            </w:hyperlink>
          </w:p>
          <w:p w14:paraId="5827170D" w14:textId="77777777" w:rsidR="00984B5A" w:rsidRPr="00A41F07" w:rsidRDefault="00984B5A" w:rsidP="00DD308E">
            <w:pPr>
              <w:rPr>
                <w:szCs w:val="20"/>
              </w:rPr>
            </w:pPr>
          </w:p>
        </w:tc>
        <w:tc>
          <w:tcPr>
            <w:tcW w:w="532" w:type="pct"/>
          </w:tcPr>
          <w:p w14:paraId="5827170E" w14:textId="77777777" w:rsidR="00984B5A" w:rsidRPr="00A41F07" w:rsidRDefault="006D3FDF" w:rsidP="00DD308E">
            <w:pPr>
              <w:rPr>
                <w:b/>
                <w:szCs w:val="20"/>
              </w:rPr>
            </w:pPr>
            <w:r w:rsidRPr="00A41F07">
              <w:t>2010</w:t>
            </w:r>
          </w:p>
        </w:tc>
      </w:tr>
      <w:tr w:rsidR="00654060" w:rsidRPr="00A41F07" w14:paraId="58271718" w14:textId="77777777" w:rsidTr="00161E01">
        <w:trPr>
          <w:cantSplit/>
        </w:trPr>
        <w:tc>
          <w:tcPr>
            <w:tcW w:w="188" w:type="pct"/>
            <w:gridSpan w:val="2"/>
          </w:tcPr>
          <w:p w14:paraId="58271710" w14:textId="77777777" w:rsidR="00984B5A" w:rsidRPr="00A41F07" w:rsidRDefault="00984B5A" w:rsidP="00DD308E">
            <w:pPr>
              <w:rPr>
                <w:szCs w:val="20"/>
              </w:rPr>
            </w:pPr>
            <w:r w:rsidRPr="00A41F07">
              <w:rPr>
                <w:szCs w:val="20"/>
              </w:rPr>
              <w:t>10.</w:t>
            </w:r>
          </w:p>
        </w:tc>
        <w:tc>
          <w:tcPr>
            <w:tcW w:w="501" w:type="pct"/>
            <w:gridSpan w:val="2"/>
          </w:tcPr>
          <w:p w14:paraId="58271711" w14:textId="77777777" w:rsidR="00984B5A" w:rsidRPr="00A41F07" w:rsidRDefault="00A346AD" w:rsidP="00DD308E">
            <w:pPr>
              <w:rPr>
                <w:rFonts w:cstheme="minorHAnsi"/>
                <w:szCs w:val="20"/>
              </w:rPr>
            </w:pPr>
            <w:r w:rsidRPr="00A41F07">
              <w:rPr>
                <w:rFonts w:cstheme="minorHAnsi"/>
                <w:szCs w:val="20"/>
              </w:rPr>
              <w:t xml:space="preserve">Retrospective single </w:t>
            </w:r>
            <w:r w:rsidR="004D6EE1" w:rsidRPr="00A41F07">
              <w:rPr>
                <w:rFonts w:cstheme="minorHAnsi"/>
                <w:szCs w:val="20"/>
              </w:rPr>
              <w:t>centre</w:t>
            </w:r>
            <w:r w:rsidRPr="00A41F07">
              <w:rPr>
                <w:rFonts w:cstheme="minorHAnsi"/>
                <w:szCs w:val="20"/>
              </w:rPr>
              <w:t xml:space="preserve"> study.</w:t>
            </w:r>
          </w:p>
        </w:tc>
        <w:tc>
          <w:tcPr>
            <w:tcW w:w="1200" w:type="pct"/>
          </w:tcPr>
          <w:p w14:paraId="58271712" w14:textId="77777777" w:rsidR="00A346AD" w:rsidRPr="00A41F07" w:rsidRDefault="00A346AD" w:rsidP="00A346AD">
            <w:pPr>
              <w:autoSpaceDE w:val="0"/>
              <w:autoSpaceDN w:val="0"/>
              <w:adjustRightInd w:val="0"/>
              <w:rPr>
                <w:rFonts w:cstheme="minorHAnsi"/>
                <w:b/>
                <w:i/>
                <w:szCs w:val="20"/>
              </w:rPr>
            </w:pPr>
            <w:r w:rsidRPr="00A41F07">
              <w:rPr>
                <w:rFonts w:cstheme="minorHAnsi"/>
                <w:szCs w:val="20"/>
              </w:rPr>
              <w:t>Clinical consequences of video</w:t>
            </w:r>
            <w:r w:rsidR="004D6EE1" w:rsidRPr="00A41F07">
              <w:rPr>
                <w:rFonts w:cstheme="minorHAnsi"/>
                <w:szCs w:val="20"/>
              </w:rPr>
              <w:t xml:space="preserve"> </w:t>
            </w:r>
            <w:r w:rsidRPr="00A41F07">
              <w:rPr>
                <w:rFonts w:cstheme="minorHAnsi"/>
                <w:szCs w:val="20"/>
              </w:rPr>
              <w:t>capsule endoscopy in GI bleeding and Crohn’s disease.</w:t>
            </w:r>
            <w:r w:rsidRPr="00A41F07">
              <w:rPr>
                <w:rFonts w:cstheme="minorHAnsi"/>
                <w:b/>
                <w:i/>
                <w:szCs w:val="20"/>
              </w:rPr>
              <w:t xml:space="preserve"> </w:t>
            </w:r>
          </w:p>
          <w:p w14:paraId="58271713" w14:textId="77777777" w:rsidR="00984B5A" w:rsidRPr="00A41F07" w:rsidRDefault="00A346AD" w:rsidP="00A346AD">
            <w:pPr>
              <w:rPr>
                <w:b/>
                <w:szCs w:val="20"/>
              </w:rPr>
            </w:pPr>
            <w:r w:rsidRPr="00A41F07">
              <w:rPr>
                <w:rFonts w:cstheme="minorHAnsi"/>
                <w:b/>
                <w:i/>
                <w:szCs w:val="20"/>
              </w:rPr>
              <w:t xml:space="preserve">Van </w:t>
            </w:r>
            <w:proofErr w:type="spellStart"/>
            <w:r w:rsidRPr="00A41F07">
              <w:rPr>
                <w:rFonts w:cstheme="minorHAnsi"/>
                <w:b/>
                <w:i/>
                <w:szCs w:val="20"/>
              </w:rPr>
              <w:t>Tuyl</w:t>
            </w:r>
            <w:proofErr w:type="spellEnd"/>
            <w:r w:rsidRPr="00A41F07">
              <w:rPr>
                <w:rFonts w:cstheme="minorHAnsi"/>
                <w:b/>
                <w:i/>
                <w:szCs w:val="20"/>
              </w:rPr>
              <w:t xml:space="preserve"> et al.</w:t>
            </w:r>
          </w:p>
        </w:tc>
        <w:tc>
          <w:tcPr>
            <w:tcW w:w="1301" w:type="pct"/>
          </w:tcPr>
          <w:p w14:paraId="58271714" w14:textId="77777777" w:rsidR="00984B5A" w:rsidRPr="00A41F07" w:rsidRDefault="00A346AD" w:rsidP="00121D23">
            <w:pPr>
              <w:autoSpaceDE w:val="0"/>
              <w:autoSpaceDN w:val="0"/>
              <w:adjustRightInd w:val="0"/>
              <w:jc w:val="both"/>
              <w:rPr>
                <w:rFonts w:cstheme="minorHAnsi"/>
                <w:szCs w:val="20"/>
              </w:rPr>
            </w:pPr>
            <w:r w:rsidRPr="00A41F07">
              <w:rPr>
                <w:rFonts w:cstheme="minorHAnsi"/>
                <w:szCs w:val="20"/>
              </w:rPr>
              <w:t>VCE was performed in 150 patients - 36 of them with CD.</w:t>
            </w:r>
            <w:r w:rsidR="00121D23" w:rsidRPr="00A41F07">
              <w:rPr>
                <w:rFonts w:cstheme="minorHAnsi"/>
                <w:szCs w:val="20"/>
              </w:rPr>
              <w:t xml:space="preserve"> </w:t>
            </w:r>
            <w:r w:rsidRPr="00A41F07">
              <w:rPr>
                <w:rFonts w:cstheme="minorHAnsi"/>
                <w:szCs w:val="20"/>
              </w:rPr>
              <w:t>Clinical consequences were evaluated by using a questionnaire and were divided</w:t>
            </w:r>
            <w:r w:rsidR="00121D23" w:rsidRPr="00A41F07">
              <w:rPr>
                <w:rFonts w:cstheme="minorHAnsi"/>
                <w:szCs w:val="20"/>
              </w:rPr>
              <w:t xml:space="preserve"> </w:t>
            </w:r>
            <w:r w:rsidRPr="00A41F07">
              <w:rPr>
                <w:rFonts w:cstheme="minorHAnsi"/>
                <w:szCs w:val="20"/>
              </w:rPr>
              <w:t>into change of management or unchanged management.</w:t>
            </w:r>
          </w:p>
        </w:tc>
        <w:tc>
          <w:tcPr>
            <w:tcW w:w="1279" w:type="pct"/>
          </w:tcPr>
          <w:p w14:paraId="58271715" w14:textId="77777777" w:rsidR="00A346AD" w:rsidRPr="00A41F07" w:rsidRDefault="00742C65" w:rsidP="00A346AD">
            <w:pPr>
              <w:rPr>
                <w:rFonts w:cstheme="minorHAnsi"/>
                <w:szCs w:val="20"/>
              </w:rPr>
            </w:pPr>
            <w:hyperlink r:id="rId28" w:history="1">
              <w:r w:rsidR="00A346AD" w:rsidRPr="00A41F07">
                <w:rPr>
                  <w:rStyle w:val="Hyperlink"/>
                  <w:rFonts w:cstheme="minorHAnsi"/>
                  <w:szCs w:val="20"/>
                </w:rPr>
                <w:t>http://www.sciencedirect.com/science/article/pii/S0016510707015775</w:t>
              </w:r>
            </w:hyperlink>
          </w:p>
          <w:p w14:paraId="58271716" w14:textId="77777777" w:rsidR="00984B5A" w:rsidRPr="00A41F07" w:rsidRDefault="00984B5A" w:rsidP="00DD308E">
            <w:pPr>
              <w:rPr>
                <w:b/>
                <w:szCs w:val="20"/>
              </w:rPr>
            </w:pPr>
          </w:p>
        </w:tc>
        <w:tc>
          <w:tcPr>
            <w:tcW w:w="532" w:type="pct"/>
          </w:tcPr>
          <w:p w14:paraId="58271717" w14:textId="77777777" w:rsidR="00984B5A" w:rsidRPr="00A41F07" w:rsidRDefault="00A346AD" w:rsidP="00DD308E">
            <w:pPr>
              <w:rPr>
                <w:b/>
                <w:szCs w:val="20"/>
              </w:rPr>
            </w:pPr>
            <w:r w:rsidRPr="00A41F07">
              <w:t>2007</w:t>
            </w:r>
          </w:p>
        </w:tc>
      </w:tr>
      <w:tr w:rsidR="00654060" w:rsidRPr="00A41F07" w14:paraId="58271723" w14:textId="77777777" w:rsidTr="00161E01">
        <w:trPr>
          <w:cantSplit/>
        </w:trPr>
        <w:tc>
          <w:tcPr>
            <w:tcW w:w="188" w:type="pct"/>
            <w:gridSpan w:val="2"/>
          </w:tcPr>
          <w:p w14:paraId="58271719" w14:textId="77777777" w:rsidR="00984B5A" w:rsidRPr="00A41F07" w:rsidRDefault="00984B5A" w:rsidP="00DD308E">
            <w:pPr>
              <w:rPr>
                <w:szCs w:val="20"/>
              </w:rPr>
            </w:pPr>
            <w:r w:rsidRPr="00A41F07">
              <w:rPr>
                <w:szCs w:val="20"/>
              </w:rPr>
              <w:t>11.</w:t>
            </w:r>
          </w:p>
        </w:tc>
        <w:tc>
          <w:tcPr>
            <w:tcW w:w="501" w:type="pct"/>
            <w:gridSpan w:val="2"/>
          </w:tcPr>
          <w:p w14:paraId="5827171A" w14:textId="77777777" w:rsidR="00A335C4" w:rsidRPr="00A41F07" w:rsidRDefault="00A335C4" w:rsidP="00A335C4">
            <w:pPr>
              <w:autoSpaceDE w:val="0"/>
              <w:autoSpaceDN w:val="0"/>
              <w:adjustRightInd w:val="0"/>
              <w:rPr>
                <w:rFonts w:cstheme="minorHAnsi"/>
                <w:szCs w:val="20"/>
              </w:rPr>
            </w:pPr>
            <w:r w:rsidRPr="00A41F07">
              <w:rPr>
                <w:rFonts w:cstheme="minorHAnsi"/>
                <w:szCs w:val="20"/>
              </w:rPr>
              <w:t>Prospective cohort study.</w:t>
            </w:r>
          </w:p>
          <w:p w14:paraId="5827171B" w14:textId="77777777" w:rsidR="00984B5A" w:rsidRPr="00A41F07" w:rsidRDefault="00984B5A" w:rsidP="00DD308E">
            <w:pPr>
              <w:rPr>
                <w:b/>
                <w:szCs w:val="20"/>
              </w:rPr>
            </w:pPr>
          </w:p>
        </w:tc>
        <w:tc>
          <w:tcPr>
            <w:tcW w:w="1200" w:type="pct"/>
          </w:tcPr>
          <w:p w14:paraId="5827171C" w14:textId="77777777" w:rsidR="00A335C4" w:rsidRPr="00A41F07" w:rsidRDefault="00A335C4" w:rsidP="00A75931">
            <w:pPr>
              <w:autoSpaceDE w:val="0"/>
              <w:autoSpaceDN w:val="0"/>
              <w:adjustRightInd w:val="0"/>
              <w:rPr>
                <w:rFonts w:cstheme="minorHAnsi"/>
                <w:szCs w:val="20"/>
              </w:rPr>
            </w:pPr>
            <w:r w:rsidRPr="00A41F07">
              <w:rPr>
                <w:rFonts w:cstheme="minorHAnsi"/>
                <w:szCs w:val="20"/>
              </w:rPr>
              <w:t>Capsule endoscopy is safe and effective</w:t>
            </w:r>
            <w:r w:rsidR="00A75931" w:rsidRPr="00A41F07">
              <w:rPr>
                <w:rFonts w:cstheme="minorHAnsi"/>
                <w:szCs w:val="20"/>
              </w:rPr>
              <w:t xml:space="preserve"> </w:t>
            </w:r>
            <w:r w:rsidRPr="00A41F07">
              <w:rPr>
                <w:rFonts w:cstheme="minorHAnsi"/>
                <w:szCs w:val="20"/>
              </w:rPr>
              <w:t>after small-bowel resection</w:t>
            </w:r>
            <w:r w:rsidR="002649A9" w:rsidRPr="00A41F07">
              <w:rPr>
                <w:rFonts w:cstheme="minorHAnsi"/>
                <w:szCs w:val="20"/>
              </w:rPr>
              <w:t>.</w:t>
            </w:r>
            <w:r w:rsidRPr="00A41F07">
              <w:rPr>
                <w:rFonts w:cstheme="minorHAnsi"/>
                <w:b/>
                <w:i/>
                <w:szCs w:val="20"/>
              </w:rPr>
              <w:t xml:space="preserve"> </w:t>
            </w:r>
          </w:p>
          <w:p w14:paraId="5827171D" w14:textId="77777777" w:rsidR="00A335C4" w:rsidRPr="00A41F07" w:rsidRDefault="00A335C4" w:rsidP="00A335C4">
            <w:pPr>
              <w:rPr>
                <w:rFonts w:cstheme="minorHAnsi"/>
                <w:b/>
                <w:i/>
                <w:szCs w:val="20"/>
              </w:rPr>
            </w:pPr>
          </w:p>
          <w:p w14:paraId="5827171E" w14:textId="77777777" w:rsidR="00984B5A" w:rsidRPr="00A41F07" w:rsidRDefault="00A335C4" w:rsidP="00DD308E">
            <w:pPr>
              <w:rPr>
                <w:rFonts w:cstheme="minorHAnsi"/>
                <w:b/>
                <w:i/>
                <w:szCs w:val="20"/>
              </w:rPr>
            </w:pPr>
            <w:r w:rsidRPr="00A41F07">
              <w:rPr>
                <w:rFonts w:cstheme="minorHAnsi"/>
                <w:b/>
                <w:i/>
                <w:szCs w:val="20"/>
              </w:rPr>
              <w:t>De Palma et al.</w:t>
            </w:r>
          </w:p>
        </w:tc>
        <w:tc>
          <w:tcPr>
            <w:tcW w:w="1301" w:type="pct"/>
          </w:tcPr>
          <w:p w14:paraId="5827171F" w14:textId="77777777" w:rsidR="00984B5A" w:rsidRPr="00A41F07" w:rsidRDefault="00A335C4" w:rsidP="00A75931">
            <w:pPr>
              <w:jc w:val="both"/>
              <w:rPr>
                <w:b/>
                <w:szCs w:val="20"/>
              </w:rPr>
            </w:pPr>
            <w:r w:rsidRPr="00A41F07">
              <w:rPr>
                <w:rFonts w:cstheme="minorHAnsi"/>
                <w:szCs w:val="20"/>
              </w:rPr>
              <w:t>Ten patients were included in the study. Eight had undergone surgical resection for Crohn's disease, two for malignancy. Indications for capsule endoscopy included suspected relapse of Crohn's disease or of malignancy, with a negative conventional evaluation that included barium contrast radiography, upper endoscopy, colonoscopy, US, CT, and push enteroscopy.</w:t>
            </w:r>
          </w:p>
        </w:tc>
        <w:tc>
          <w:tcPr>
            <w:tcW w:w="1279" w:type="pct"/>
          </w:tcPr>
          <w:p w14:paraId="58271720" w14:textId="77777777" w:rsidR="00A335C4" w:rsidRPr="00A41F07" w:rsidRDefault="00742C65" w:rsidP="00A335C4">
            <w:pPr>
              <w:rPr>
                <w:rFonts w:cstheme="minorHAnsi"/>
                <w:szCs w:val="20"/>
              </w:rPr>
            </w:pPr>
            <w:hyperlink r:id="rId29" w:history="1">
              <w:r w:rsidR="00A335C4" w:rsidRPr="00A41F07">
                <w:rPr>
                  <w:rStyle w:val="Hyperlink"/>
                  <w:rFonts w:cstheme="minorHAnsi"/>
                  <w:szCs w:val="20"/>
                </w:rPr>
                <w:t>http://www.sciencedirect.com/science/article/pii/S0016510704015275</w:t>
              </w:r>
            </w:hyperlink>
          </w:p>
          <w:p w14:paraId="58271721" w14:textId="77777777" w:rsidR="00984B5A" w:rsidRPr="00A41F07" w:rsidRDefault="00984B5A" w:rsidP="00DD308E">
            <w:pPr>
              <w:rPr>
                <w:b/>
                <w:szCs w:val="20"/>
              </w:rPr>
            </w:pPr>
          </w:p>
        </w:tc>
        <w:tc>
          <w:tcPr>
            <w:tcW w:w="532" w:type="pct"/>
          </w:tcPr>
          <w:p w14:paraId="58271722" w14:textId="77777777" w:rsidR="00984B5A" w:rsidRPr="00A41F07" w:rsidRDefault="00A335C4" w:rsidP="00DD308E">
            <w:pPr>
              <w:rPr>
                <w:b/>
                <w:szCs w:val="20"/>
              </w:rPr>
            </w:pPr>
            <w:r w:rsidRPr="00A41F07">
              <w:t>2004</w:t>
            </w:r>
          </w:p>
        </w:tc>
      </w:tr>
      <w:tr w:rsidR="00654060" w:rsidRPr="00A41F07" w14:paraId="5827172E" w14:textId="77777777" w:rsidTr="00161E01">
        <w:trPr>
          <w:cantSplit/>
        </w:trPr>
        <w:tc>
          <w:tcPr>
            <w:tcW w:w="188" w:type="pct"/>
            <w:gridSpan w:val="2"/>
          </w:tcPr>
          <w:p w14:paraId="58271724" w14:textId="77777777" w:rsidR="00984B5A" w:rsidRPr="00A41F07" w:rsidRDefault="00984B5A" w:rsidP="00DD308E">
            <w:pPr>
              <w:rPr>
                <w:szCs w:val="20"/>
              </w:rPr>
            </w:pPr>
            <w:r w:rsidRPr="00A41F07">
              <w:rPr>
                <w:szCs w:val="20"/>
              </w:rPr>
              <w:lastRenderedPageBreak/>
              <w:t>12.</w:t>
            </w:r>
          </w:p>
        </w:tc>
        <w:tc>
          <w:tcPr>
            <w:tcW w:w="501" w:type="pct"/>
            <w:gridSpan w:val="2"/>
          </w:tcPr>
          <w:p w14:paraId="58271725" w14:textId="77777777" w:rsidR="00FE02A0" w:rsidRPr="00A41F07" w:rsidRDefault="00FE02A0" w:rsidP="00FE02A0">
            <w:pPr>
              <w:rPr>
                <w:rFonts w:cstheme="minorHAnsi"/>
                <w:szCs w:val="20"/>
              </w:rPr>
            </w:pPr>
            <w:r w:rsidRPr="00A41F07">
              <w:rPr>
                <w:rFonts w:cstheme="minorHAnsi"/>
                <w:szCs w:val="20"/>
              </w:rPr>
              <w:t xml:space="preserve">Retrospective single </w:t>
            </w:r>
            <w:r w:rsidR="00161E01" w:rsidRPr="00A41F07">
              <w:rPr>
                <w:rFonts w:cstheme="minorHAnsi"/>
                <w:szCs w:val="20"/>
              </w:rPr>
              <w:t>centre</w:t>
            </w:r>
            <w:r w:rsidRPr="00A41F07">
              <w:rPr>
                <w:rFonts w:cstheme="minorHAnsi"/>
                <w:szCs w:val="20"/>
              </w:rPr>
              <w:t xml:space="preserve"> study.</w:t>
            </w:r>
          </w:p>
          <w:p w14:paraId="58271726" w14:textId="77777777" w:rsidR="00984B5A" w:rsidRPr="00A41F07" w:rsidRDefault="00984B5A" w:rsidP="00DD308E">
            <w:pPr>
              <w:rPr>
                <w:b/>
                <w:szCs w:val="20"/>
              </w:rPr>
            </w:pPr>
          </w:p>
        </w:tc>
        <w:tc>
          <w:tcPr>
            <w:tcW w:w="1200" w:type="pct"/>
          </w:tcPr>
          <w:p w14:paraId="58271727" w14:textId="77777777" w:rsidR="00FE02A0" w:rsidRPr="00A41F07" w:rsidRDefault="00FE02A0" w:rsidP="00FE02A0">
            <w:pPr>
              <w:autoSpaceDE w:val="0"/>
              <w:autoSpaceDN w:val="0"/>
              <w:adjustRightInd w:val="0"/>
              <w:rPr>
                <w:rFonts w:cstheme="minorHAnsi"/>
                <w:szCs w:val="20"/>
              </w:rPr>
            </w:pPr>
            <w:r w:rsidRPr="00A41F07">
              <w:rPr>
                <w:rFonts w:cstheme="minorHAnsi"/>
                <w:szCs w:val="20"/>
              </w:rPr>
              <w:t>Capsule Endoscopy’s Impact on Clinical Management and Outcomes: A Single-</w:t>
            </w:r>
            <w:proofErr w:type="spellStart"/>
            <w:r w:rsidRPr="00A41F07">
              <w:rPr>
                <w:rFonts w:cstheme="minorHAnsi"/>
                <w:szCs w:val="20"/>
              </w:rPr>
              <w:t>Center</w:t>
            </w:r>
            <w:proofErr w:type="spellEnd"/>
            <w:r w:rsidRPr="00A41F07">
              <w:rPr>
                <w:rFonts w:cstheme="minorHAnsi"/>
                <w:szCs w:val="20"/>
              </w:rPr>
              <w:t xml:space="preserve"> Experience With 145 Patients.</w:t>
            </w:r>
          </w:p>
          <w:p w14:paraId="58271728" w14:textId="77777777" w:rsidR="00FE02A0" w:rsidRPr="00A41F07" w:rsidRDefault="00FE02A0" w:rsidP="00FE02A0">
            <w:pPr>
              <w:rPr>
                <w:rFonts w:cstheme="minorHAnsi"/>
                <w:b/>
                <w:i/>
                <w:szCs w:val="20"/>
              </w:rPr>
            </w:pPr>
            <w:proofErr w:type="gramStart"/>
            <w:r w:rsidRPr="00A41F07">
              <w:rPr>
                <w:rFonts w:cstheme="minorHAnsi"/>
                <w:b/>
                <w:i/>
                <w:szCs w:val="20"/>
              </w:rPr>
              <w:t>Toy  et</w:t>
            </w:r>
            <w:proofErr w:type="gramEnd"/>
            <w:r w:rsidRPr="00A41F07">
              <w:rPr>
                <w:rFonts w:cstheme="minorHAnsi"/>
                <w:b/>
                <w:i/>
                <w:szCs w:val="20"/>
              </w:rPr>
              <w:t xml:space="preserve"> al.</w:t>
            </w:r>
          </w:p>
          <w:p w14:paraId="58271729" w14:textId="77777777" w:rsidR="00984B5A" w:rsidRPr="00A41F07" w:rsidRDefault="00984B5A" w:rsidP="00DD308E">
            <w:pPr>
              <w:rPr>
                <w:b/>
                <w:szCs w:val="20"/>
              </w:rPr>
            </w:pPr>
          </w:p>
        </w:tc>
        <w:tc>
          <w:tcPr>
            <w:tcW w:w="1301" w:type="pct"/>
          </w:tcPr>
          <w:p w14:paraId="5827172A" w14:textId="77777777" w:rsidR="00984B5A" w:rsidRPr="00A41F07" w:rsidRDefault="00FE02A0" w:rsidP="00A75931">
            <w:pPr>
              <w:autoSpaceDE w:val="0"/>
              <w:autoSpaceDN w:val="0"/>
              <w:adjustRightInd w:val="0"/>
              <w:jc w:val="both"/>
              <w:rPr>
                <w:rFonts w:cstheme="minorHAnsi"/>
                <w:szCs w:val="20"/>
              </w:rPr>
            </w:pPr>
            <w:r w:rsidRPr="00A41F07">
              <w:rPr>
                <w:rFonts w:cstheme="minorHAnsi"/>
                <w:szCs w:val="20"/>
              </w:rPr>
              <w:t>Retrospective chart review was performed on 145 patients who h</w:t>
            </w:r>
            <w:r w:rsidR="00A75931" w:rsidRPr="00A41F07">
              <w:rPr>
                <w:rFonts w:cstheme="minorHAnsi"/>
                <w:szCs w:val="20"/>
              </w:rPr>
              <w:t>ad undergone capsule endoscopy. Demographic</w:t>
            </w:r>
            <w:r w:rsidR="000F4736" w:rsidRPr="00A41F07">
              <w:rPr>
                <w:rFonts w:cstheme="minorHAnsi"/>
                <w:szCs w:val="20"/>
              </w:rPr>
              <w:t xml:space="preserve"> characteristics, indication, </w:t>
            </w:r>
            <w:r w:rsidRPr="00A41F07">
              <w:rPr>
                <w:rFonts w:cstheme="minorHAnsi"/>
                <w:szCs w:val="20"/>
              </w:rPr>
              <w:t>prior diagnostic tests, capsule findings, interventions, and clinical outcomes up to 8 months following CE were evaluated.</w:t>
            </w:r>
            <w:r w:rsidR="000F4736" w:rsidRPr="00A41F07">
              <w:rPr>
                <w:rFonts w:cstheme="minorHAnsi"/>
                <w:szCs w:val="20"/>
              </w:rPr>
              <w:t xml:space="preserve"> Indications included five main </w:t>
            </w:r>
            <w:r w:rsidRPr="00A41F07">
              <w:rPr>
                <w:rFonts w:cstheme="minorHAnsi"/>
                <w:szCs w:val="20"/>
              </w:rPr>
              <w:t xml:space="preserve">categories that were overt gastrointestinal (GI) bleed, occult GI bleed, abdominal pain, Crohn’s disease, and iron deficiency </w:t>
            </w:r>
            <w:proofErr w:type="spellStart"/>
            <w:r w:rsidRPr="00A41F07">
              <w:rPr>
                <w:rFonts w:cstheme="minorHAnsi"/>
                <w:szCs w:val="20"/>
              </w:rPr>
              <w:t>anemia</w:t>
            </w:r>
            <w:proofErr w:type="spellEnd"/>
            <w:r w:rsidRPr="00A41F07">
              <w:rPr>
                <w:rFonts w:cstheme="minorHAnsi"/>
                <w:szCs w:val="20"/>
              </w:rPr>
              <w:t>. Findings on capsule endoscopy classified into</w:t>
            </w:r>
            <w:r w:rsidR="000F4736" w:rsidRPr="00A41F07">
              <w:rPr>
                <w:rFonts w:cstheme="minorHAnsi"/>
                <w:szCs w:val="20"/>
              </w:rPr>
              <w:t xml:space="preserve"> </w:t>
            </w:r>
            <w:proofErr w:type="spellStart"/>
            <w:r w:rsidRPr="00A41F07">
              <w:rPr>
                <w:rFonts w:cstheme="minorHAnsi"/>
                <w:szCs w:val="20"/>
              </w:rPr>
              <w:t>angiodysplasias</w:t>
            </w:r>
            <w:proofErr w:type="spellEnd"/>
            <w:r w:rsidRPr="00A41F07">
              <w:rPr>
                <w:rFonts w:cstheme="minorHAnsi"/>
                <w:szCs w:val="20"/>
              </w:rPr>
              <w:t xml:space="preserve">, ulcers, gastritis and/or </w:t>
            </w:r>
            <w:proofErr w:type="spellStart"/>
            <w:r w:rsidRPr="00A41F07">
              <w:rPr>
                <w:rFonts w:cstheme="minorHAnsi"/>
                <w:szCs w:val="20"/>
              </w:rPr>
              <w:t>duodenitis</w:t>
            </w:r>
            <w:proofErr w:type="spellEnd"/>
            <w:r w:rsidRPr="00A41F07">
              <w:rPr>
                <w:rFonts w:cstheme="minorHAnsi"/>
                <w:szCs w:val="20"/>
              </w:rPr>
              <w:t>, ulcers suggestive of Crohn’s and normal</w:t>
            </w:r>
            <w:r w:rsidR="000F4736" w:rsidRPr="00A41F07">
              <w:rPr>
                <w:rFonts w:cstheme="minorHAnsi"/>
                <w:szCs w:val="20"/>
              </w:rPr>
              <w:t xml:space="preserve"> </w:t>
            </w:r>
            <w:r w:rsidRPr="00A41F07">
              <w:rPr>
                <w:rFonts w:cstheme="minorHAnsi"/>
                <w:szCs w:val="20"/>
              </w:rPr>
              <w:t>findings.</w:t>
            </w:r>
          </w:p>
        </w:tc>
        <w:tc>
          <w:tcPr>
            <w:tcW w:w="1279" w:type="pct"/>
          </w:tcPr>
          <w:p w14:paraId="5827172B" w14:textId="77777777" w:rsidR="00984B5A" w:rsidRPr="00A41F07" w:rsidRDefault="00742C65" w:rsidP="00DD308E">
            <w:hyperlink r:id="rId30" w:history="1">
              <w:r w:rsidR="00555284" w:rsidRPr="00A41F07">
                <w:rPr>
                  <w:rStyle w:val="Hyperlink"/>
                </w:rPr>
                <w:t>https://www.ncbi.nlm.nih.gov/pubmed/19086954</w:t>
              </w:r>
            </w:hyperlink>
          </w:p>
          <w:p w14:paraId="5827172C" w14:textId="77777777" w:rsidR="00555284" w:rsidRPr="00A41F07" w:rsidRDefault="00555284" w:rsidP="00DD308E">
            <w:pPr>
              <w:rPr>
                <w:b/>
                <w:szCs w:val="20"/>
              </w:rPr>
            </w:pPr>
          </w:p>
        </w:tc>
        <w:tc>
          <w:tcPr>
            <w:tcW w:w="532" w:type="pct"/>
          </w:tcPr>
          <w:p w14:paraId="5827172D" w14:textId="77777777" w:rsidR="00984B5A" w:rsidRPr="00A41F07" w:rsidRDefault="000F4736" w:rsidP="00DD308E">
            <w:pPr>
              <w:rPr>
                <w:b/>
                <w:szCs w:val="20"/>
              </w:rPr>
            </w:pPr>
            <w:r w:rsidRPr="00A41F07">
              <w:t>2008</w:t>
            </w:r>
          </w:p>
        </w:tc>
      </w:tr>
      <w:tr w:rsidR="00654060" w:rsidRPr="00A41F07" w14:paraId="58271737" w14:textId="77777777" w:rsidTr="00161E01">
        <w:trPr>
          <w:cantSplit/>
        </w:trPr>
        <w:tc>
          <w:tcPr>
            <w:tcW w:w="188" w:type="pct"/>
            <w:gridSpan w:val="2"/>
          </w:tcPr>
          <w:p w14:paraId="5827172F" w14:textId="77777777" w:rsidR="00984B5A" w:rsidRPr="00A41F07" w:rsidRDefault="00984B5A" w:rsidP="00DD308E">
            <w:pPr>
              <w:rPr>
                <w:szCs w:val="20"/>
              </w:rPr>
            </w:pPr>
            <w:r w:rsidRPr="00A41F07">
              <w:rPr>
                <w:szCs w:val="20"/>
              </w:rPr>
              <w:t>13.</w:t>
            </w:r>
          </w:p>
        </w:tc>
        <w:tc>
          <w:tcPr>
            <w:tcW w:w="501" w:type="pct"/>
            <w:gridSpan w:val="2"/>
          </w:tcPr>
          <w:p w14:paraId="58271730" w14:textId="77777777" w:rsidR="00984B5A" w:rsidRPr="00A41F07" w:rsidRDefault="00793ACF" w:rsidP="00DD308E">
            <w:pPr>
              <w:rPr>
                <w:rFonts w:cstheme="minorHAnsi"/>
                <w:szCs w:val="20"/>
              </w:rPr>
            </w:pPr>
            <w:r w:rsidRPr="00A41F07">
              <w:rPr>
                <w:rFonts w:cstheme="minorHAnsi"/>
                <w:szCs w:val="20"/>
              </w:rPr>
              <w:t xml:space="preserve">Retrospective single </w:t>
            </w:r>
            <w:r w:rsidR="00383682" w:rsidRPr="00A41F07">
              <w:rPr>
                <w:rFonts w:cstheme="minorHAnsi"/>
                <w:szCs w:val="20"/>
              </w:rPr>
              <w:t>centre</w:t>
            </w:r>
            <w:r w:rsidRPr="00A41F07">
              <w:rPr>
                <w:rFonts w:cstheme="minorHAnsi"/>
                <w:szCs w:val="20"/>
              </w:rPr>
              <w:t xml:space="preserve"> study.</w:t>
            </w:r>
          </w:p>
        </w:tc>
        <w:tc>
          <w:tcPr>
            <w:tcW w:w="1200" w:type="pct"/>
          </w:tcPr>
          <w:p w14:paraId="58271731" w14:textId="77777777" w:rsidR="00FC0AC4" w:rsidRPr="00A41F07" w:rsidRDefault="00793ACF" w:rsidP="00DF77C4">
            <w:pPr>
              <w:jc w:val="both"/>
              <w:rPr>
                <w:rFonts w:cstheme="minorHAnsi"/>
                <w:b/>
                <w:i/>
                <w:szCs w:val="20"/>
              </w:rPr>
            </w:pPr>
            <w:r w:rsidRPr="00A41F07">
              <w:rPr>
                <w:rFonts w:cstheme="minorHAnsi"/>
              </w:rPr>
              <w:t>Usefulness and impact on management of positive and negative capsule endoscopy</w:t>
            </w:r>
            <w:r w:rsidRPr="00A41F07">
              <w:rPr>
                <w:rFonts w:cstheme="minorHAnsi"/>
                <w:b/>
                <w:i/>
                <w:szCs w:val="20"/>
              </w:rPr>
              <w:t xml:space="preserve"> </w:t>
            </w:r>
          </w:p>
          <w:p w14:paraId="58271732" w14:textId="77777777" w:rsidR="00984B5A" w:rsidRPr="00A41F07" w:rsidRDefault="00793ACF" w:rsidP="00DD308E">
            <w:pPr>
              <w:rPr>
                <w:b/>
                <w:szCs w:val="20"/>
              </w:rPr>
            </w:pPr>
            <w:proofErr w:type="spellStart"/>
            <w:r w:rsidRPr="00A41F07">
              <w:rPr>
                <w:rFonts w:cstheme="minorHAnsi"/>
                <w:b/>
                <w:i/>
                <w:szCs w:val="20"/>
              </w:rPr>
              <w:t>Chami</w:t>
            </w:r>
            <w:proofErr w:type="spellEnd"/>
            <w:r w:rsidRPr="00A41F07">
              <w:rPr>
                <w:rFonts w:cstheme="minorHAnsi"/>
                <w:b/>
                <w:i/>
                <w:szCs w:val="20"/>
              </w:rPr>
              <w:t xml:space="preserve">  et al</w:t>
            </w:r>
            <w:r w:rsidR="00706984">
              <w:rPr>
                <w:rFonts w:cstheme="minorHAnsi"/>
                <w:b/>
                <w:i/>
                <w:szCs w:val="20"/>
              </w:rPr>
              <w:t>.</w:t>
            </w:r>
          </w:p>
        </w:tc>
        <w:tc>
          <w:tcPr>
            <w:tcW w:w="1301" w:type="pct"/>
          </w:tcPr>
          <w:p w14:paraId="58271733" w14:textId="77777777" w:rsidR="00984B5A" w:rsidRPr="00A41F07" w:rsidRDefault="00793ACF" w:rsidP="000C6A18">
            <w:pPr>
              <w:jc w:val="both"/>
              <w:rPr>
                <w:b/>
                <w:szCs w:val="20"/>
              </w:rPr>
            </w:pPr>
            <w:r w:rsidRPr="00A41F07">
              <w:rPr>
                <w:rFonts w:cstheme="minorHAnsi"/>
                <w:szCs w:val="20"/>
              </w:rPr>
              <w:t>Medical records were reviewed for 70 consecutive CE patients. Based on outcomes from referring physicians, it was determined whether CE was useful, partially useful or not useful.</w:t>
            </w:r>
          </w:p>
        </w:tc>
        <w:tc>
          <w:tcPr>
            <w:tcW w:w="1279" w:type="pct"/>
          </w:tcPr>
          <w:p w14:paraId="58271734" w14:textId="77777777" w:rsidR="00793ACF" w:rsidRPr="00A41F07" w:rsidRDefault="00742C65" w:rsidP="00793ACF">
            <w:pPr>
              <w:rPr>
                <w:rFonts w:cstheme="minorHAnsi"/>
                <w:szCs w:val="20"/>
              </w:rPr>
            </w:pPr>
            <w:hyperlink r:id="rId31" w:history="1">
              <w:r w:rsidR="00793ACF" w:rsidRPr="00A41F07">
                <w:rPr>
                  <w:rStyle w:val="Hyperlink"/>
                  <w:rFonts w:cstheme="minorHAnsi"/>
                  <w:szCs w:val="20"/>
                </w:rPr>
                <w:t>http://www.ncbi.nlm.nih.gov/pmc/articles/PMC2657986/pdf/cjg21577.pdf</w:t>
              </w:r>
            </w:hyperlink>
          </w:p>
          <w:p w14:paraId="58271735" w14:textId="77777777" w:rsidR="00984B5A" w:rsidRPr="00A41F07" w:rsidRDefault="00984B5A" w:rsidP="00DD308E">
            <w:pPr>
              <w:rPr>
                <w:b/>
                <w:szCs w:val="20"/>
              </w:rPr>
            </w:pPr>
          </w:p>
        </w:tc>
        <w:tc>
          <w:tcPr>
            <w:tcW w:w="532" w:type="pct"/>
          </w:tcPr>
          <w:p w14:paraId="58271736" w14:textId="77777777" w:rsidR="00984B5A" w:rsidRPr="00A41F07" w:rsidRDefault="00793ACF" w:rsidP="00DD308E">
            <w:pPr>
              <w:rPr>
                <w:b/>
                <w:szCs w:val="20"/>
              </w:rPr>
            </w:pPr>
            <w:r w:rsidRPr="00A41F07">
              <w:t>2007</w:t>
            </w:r>
          </w:p>
        </w:tc>
      </w:tr>
      <w:tr w:rsidR="00654060" w:rsidRPr="00A41F07" w14:paraId="58271740" w14:textId="77777777" w:rsidTr="00161E01">
        <w:trPr>
          <w:cantSplit/>
        </w:trPr>
        <w:tc>
          <w:tcPr>
            <w:tcW w:w="188" w:type="pct"/>
            <w:gridSpan w:val="2"/>
          </w:tcPr>
          <w:p w14:paraId="58271738" w14:textId="77777777" w:rsidR="00984B5A" w:rsidRPr="00A41F07" w:rsidRDefault="00984B5A" w:rsidP="00DD308E">
            <w:pPr>
              <w:rPr>
                <w:szCs w:val="20"/>
              </w:rPr>
            </w:pPr>
            <w:r w:rsidRPr="00A41F07">
              <w:rPr>
                <w:szCs w:val="20"/>
              </w:rPr>
              <w:lastRenderedPageBreak/>
              <w:t>14.</w:t>
            </w:r>
          </w:p>
        </w:tc>
        <w:tc>
          <w:tcPr>
            <w:tcW w:w="501" w:type="pct"/>
            <w:gridSpan w:val="2"/>
          </w:tcPr>
          <w:p w14:paraId="58271739" w14:textId="77777777" w:rsidR="00984B5A" w:rsidRPr="00A41F07" w:rsidRDefault="002B1CF4" w:rsidP="00DD308E">
            <w:pPr>
              <w:rPr>
                <w:rFonts w:cstheme="minorHAnsi"/>
                <w:szCs w:val="20"/>
              </w:rPr>
            </w:pPr>
            <w:r w:rsidRPr="00A41F07">
              <w:rPr>
                <w:rFonts w:cstheme="minorHAnsi"/>
                <w:szCs w:val="20"/>
              </w:rPr>
              <w:t>Retrospective single centre study.</w:t>
            </w:r>
          </w:p>
        </w:tc>
        <w:tc>
          <w:tcPr>
            <w:tcW w:w="1200" w:type="pct"/>
          </w:tcPr>
          <w:p w14:paraId="5827173A" w14:textId="77777777" w:rsidR="002B1CF4" w:rsidRPr="00A41F07" w:rsidRDefault="002B1CF4" w:rsidP="002B1CF4">
            <w:pPr>
              <w:autoSpaceDE w:val="0"/>
              <w:autoSpaceDN w:val="0"/>
              <w:adjustRightInd w:val="0"/>
              <w:rPr>
                <w:rFonts w:cstheme="minorHAnsi"/>
                <w:szCs w:val="20"/>
              </w:rPr>
            </w:pPr>
            <w:proofErr w:type="spellStart"/>
            <w:r w:rsidRPr="00A41F07">
              <w:rPr>
                <w:rFonts w:cstheme="minorHAnsi"/>
                <w:szCs w:val="20"/>
              </w:rPr>
              <w:t>PillCam</w:t>
            </w:r>
            <w:proofErr w:type="spellEnd"/>
            <w:r w:rsidRPr="00A41F07">
              <w:rPr>
                <w:rFonts w:cstheme="minorHAnsi"/>
                <w:szCs w:val="20"/>
              </w:rPr>
              <w:t xml:space="preserve"> COLON 2</w:t>
            </w:r>
            <w:r w:rsidRPr="00A41F07">
              <w:rPr>
                <w:rFonts w:cstheme="minorHAnsi"/>
                <w:szCs w:val="20"/>
                <w:vertAlign w:val="superscript"/>
              </w:rPr>
              <w:t>©</w:t>
            </w:r>
            <w:r w:rsidRPr="00A41F07">
              <w:rPr>
                <w:rFonts w:cstheme="minorHAnsi"/>
                <w:szCs w:val="20"/>
              </w:rPr>
              <w:t xml:space="preserve"> in Crohn’s disease: A new concept of pan-enteric mucosal healing assessment</w:t>
            </w:r>
            <w:r w:rsidR="0002340D" w:rsidRPr="00A41F07">
              <w:rPr>
                <w:rFonts w:cstheme="minorHAnsi"/>
                <w:szCs w:val="20"/>
              </w:rPr>
              <w:t>.</w:t>
            </w:r>
          </w:p>
          <w:p w14:paraId="5827173B" w14:textId="77777777" w:rsidR="00984B5A" w:rsidRPr="00A41F07" w:rsidRDefault="002B1CF4" w:rsidP="002B1CF4">
            <w:pPr>
              <w:rPr>
                <w:b/>
                <w:szCs w:val="20"/>
              </w:rPr>
            </w:pPr>
            <w:proofErr w:type="spellStart"/>
            <w:r w:rsidRPr="00A41F07">
              <w:rPr>
                <w:rFonts w:cstheme="minorHAnsi"/>
                <w:b/>
                <w:i/>
                <w:szCs w:val="20"/>
              </w:rPr>
              <w:t>Carvalho</w:t>
            </w:r>
            <w:proofErr w:type="spellEnd"/>
            <w:r w:rsidRPr="00A41F07">
              <w:rPr>
                <w:rFonts w:cstheme="minorHAnsi"/>
                <w:b/>
                <w:i/>
                <w:szCs w:val="20"/>
              </w:rPr>
              <w:t xml:space="preserve">  et al.</w:t>
            </w:r>
          </w:p>
        </w:tc>
        <w:tc>
          <w:tcPr>
            <w:tcW w:w="1301" w:type="pct"/>
          </w:tcPr>
          <w:p w14:paraId="5827173C" w14:textId="77777777" w:rsidR="00984B5A" w:rsidRPr="00A41F07" w:rsidRDefault="00654060" w:rsidP="007B1A6F">
            <w:pPr>
              <w:autoSpaceDE w:val="0"/>
              <w:autoSpaceDN w:val="0"/>
              <w:adjustRightInd w:val="0"/>
              <w:jc w:val="both"/>
              <w:rPr>
                <w:rFonts w:cstheme="minorHAnsi"/>
                <w:szCs w:val="20"/>
              </w:rPr>
            </w:pPr>
            <w:r w:rsidRPr="00A41F07">
              <w:rPr>
                <w:rFonts w:cstheme="minorHAnsi"/>
                <w:szCs w:val="20"/>
              </w:rPr>
              <w:t>Patients with non-stricturing non</w:t>
            </w:r>
            <w:r w:rsidR="007B1A6F" w:rsidRPr="00A41F07">
              <w:rPr>
                <w:rFonts w:cstheme="minorHAnsi"/>
                <w:szCs w:val="20"/>
              </w:rPr>
              <w:t>-</w:t>
            </w:r>
            <w:r w:rsidRPr="00A41F07">
              <w:rPr>
                <w:rFonts w:cstheme="minorHAnsi"/>
                <w:szCs w:val="20"/>
              </w:rPr>
              <w:t>penetrating small bowel plus colonic CD in sustained corticosteroid-free remission were included. At diagnosis,</w:t>
            </w:r>
            <w:r w:rsidR="007B1A6F" w:rsidRPr="00A41F07">
              <w:rPr>
                <w:rFonts w:cstheme="minorHAnsi"/>
                <w:szCs w:val="20"/>
              </w:rPr>
              <w:t xml:space="preserve"> </w:t>
            </w:r>
            <w:r w:rsidRPr="00A41F07">
              <w:rPr>
                <w:rFonts w:cstheme="minorHAnsi"/>
                <w:szCs w:val="20"/>
              </w:rPr>
              <w:t>patients had undergone ileocolonoscopy to identify active CD lesions, such as ulcers and erosions, and small bowel capsule endoscopy to assess the Lewis Score (LS). After ≥ 1 year of follow-up, patients underwent entire gastrointestinal tract evaluation with PCC2. The primary endpoint was assessment of CD mucosal healing, defined as no active colonic CD lesions and LS &lt; 135.</w:t>
            </w:r>
          </w:p>
        </w:tc>
        <w:tc>
          <w:tcPr>
            <w:tcW w:w="1279" w:type="pct"/>
          </w:tcPr>
          <w:p w14:paraId="5827173D" w14:textId="77777777" w:rsidR="00654060" w:rsidRPr="00A41F07" w:rsidRDefault="00742C65" w:rsidP="00654060">
            <w:pPr>
              <w:rPr>
                <w:rFonts w:cstheme="minorHAnsi"/>
                <w:szCs w:val="20"/>
              </w:rPr>
            </w:pPr>
            <w:hyperlink r:id="rId32" w:history="1">
              <w:r w:rsidR="00654060" w:rsidRPr="00A41F07">
                <w:rPr>
                  <w:rStyle w:val="Hyperlink"/>
                  <w:rFonts w:cstheme="minorHAnsi"/>
                  <w:szCs w:val="20"/>
                </w:rPr>
                <w:t>https://www.ncbi.nlm.nih.gov/pmc/articles/PMC4476885/pdf/WJG-21-7233.pdf</w:t>
              </w:r>
            </w:hyperlink>
          </w:p>
          <w:p w14:paraId="5827173E" w14:textId="77777777" w:rsidR="00984B5A" w:rsidRPr="00A41F07" w:rsidRDefault="00984B5A" w:rsidP="00DD308E">
            <w:pPr>
              <w:rPr>
                <w:b/>
                <w:szCs w:val="20"/>
              </w:rPr>
            </w:pPr>
          </w:p>
        </w:tc>
        <w:tc>
          <w:tcPr>
            <w:tcW w:w="532" w:type="pct"/>
          </w:tcPr>
          <w:p w14:paraId="5827173F" w14:textId="77777777" w:rsidR="00984B5A" w:rsidRPr="00A41F07" w:rsidRDefault="00B83CCB" w:rsidP="00DD308E">
            <w:pPr>
              <w:rPr>
                <w:b/>
                <w:szCs w:val="20"/>
              </w:rPr>
            </w:pPr>
            <w:r w:rsidRPr="00A41F07">
              <w:t>2015</w:t>
            </w:r>
          </w:p>
        </w:tc>
      </w:tr>
      <w:tr w:rsidR="00A319E1" w:rsidRPr="00A41F07" w14:paraId="5827174B" w14:textId="77777777" w:rsidTr="00161E01">
        <w:trPr>
          <w:cantSplit/>
        </w:trPr>
        <w:tc>
          <w:tcPr>
            <w:tcW w:w="188" w:type="pct"/>
            <w:gridSpan w:val="2"/>
          </w:tcPr>
          <w:p w14:paraId="58271741" w14:textId="77777777" w:rsidR="00A319E1" w:rsidRPr="00A41F07" w:rsidRDefault="00A319E1" w:rsidP="00DD308E">
            <w:pPr>
              <w:rPr>
                <w:szCs w:val="20"/>
              </w:rPr>
            </w:pPr>
            <w:r w:rsidRPr="00A41F07">
              <w:rPr>
                <w:szCs w:val="20"/>
              </w:rPr>
              <w:t>15.</w:t>
            </w:r>
          </w:p>
        </w:tc>
        <w:tc>
          <w:tcPr>
            <w:tcW w:w="501" w:type="pct"/>
            <w:gridSpan w:val="2"/>
          </w:tcPr>
          <w:p w14:paraId="58271742" w14:textId="77777777" w:rsidR="00A319E1" w:rsidRPr="00A41F07" w:rsidRDefault="00A319E1" w:rsidP="00DD1E38">
            <w:pPr>
              <w:rPr>
                <w:rFonts w:cstheme="minorHAnsi"/>
                <w:szCs w:val="20"/>
              </w:rPr>
            </w:pPr>
            <w:r w:rsidRPr="00A41F07">
              <w:rPr>
                <w:rFonts w:cstheme="minorHAnsi"/>
                <w:szCs w:val="20"/>
              </w:rPr>
              <w:t>Retrospective single centre study.</w:t>
            </w:r>
          </w:p>
          <w:p w14:paraId="58271743" w14:textId="77777777" w:rsidR="00A319E1" w:rsidRPr="00A41F07" w:rsidRDefault="00A319E1" w:rsidP="00DD1E38">
            <w:pPr>
              <w:autoSpaceDE w:val="0"/>
              <w:autoSpaceDN w:val="0"/>
              <w:adjustRightInd w:val="0"/>
              <w:rPr>
                <w:rFonts w:cstheme="minorHAnsi"/>
                <w:szCs w:val="20"/>
              </w:rPr>
            </w:pPr>
          </w:p>
          <w:p w14:paraId="58271744" w14:textId="77777777" w:rsidR="00A319E1" w:rsidRPr="00A41F07" w:rsidRDefault="00A319E1" w:rsidP="00DD1E38">
            <w:pPr>
              <w:rPr>
                <w:rFonts w:cstheme="minorHAnsi"/>
                <w:szCs w:val="20"/>
              </w:rPr>
            </w:pPr>
          </w:p>
        </w:tc>
        <w:tc>
          <w:tcPr>
            <w:tcW w:w="1200" w:type="pct"/>
          </w:tcPr>
          <w:p w14:paraId="58271745" w14:textId="77777777" w:rsidR="00A319E1" w:rsidRPr="00A41F07" w:rsidRDefault="00A319E1" w:rsidP="009260BC">
            <w:pPr>
              <w:jc w:val="both"/>
              <w:rPr>
                <w:rFonts w:cstheme="minorHAnsi"/>
                <w:b/>
                <w:i/>
                <w:szCs w:val="20"/>
              </w:rPr>
            </w:pPr>
            <w:r w:rsidRPr="00A41F07">
              <w:rPr>
                <w:rFonts w:cstheme="minorHAnsi"/>
                <w:szCs w:val="20"/>
              </w:rPr>
              <w:t>Initial Experience With Wireless Capsule Enteroscopy in the Diagnosis and Management of Inflammatory Bowel Disease</w:t>
            </w:r>
            <w:r w:rsidR="0002340D" w:rsidRPr="00A41F07">
              <w:rPr>
                <w:rFonts w:cstheme="minorHAnsi"/>
                <w:b/>
                <w:i/>
                <w:szCs w:val="20"/>
              </w:rPr>
              <w:t>.</w:t>
            </w:r>
          </w:p>
          <w:p w14:paraId="58271746" w14:textId="77777777" w:rsidR="00A319E1" w:rsidRPr="00A41F07" w:rsidRDefault="00A319E1" w:rsidP="009260BC">
            <w:pPr>
              <w:rPr>
                <w:rFonts w:cstheme="minorHAnsi"/>
                <w:b/>
                <w:i/>
                <w:szCs w:val="20"/>
              </w:rPr>
            </w:pPr>
            <w:r w:rsidRPr="00A41F07">
              <w:rPr>
                <w:rFonts w:cstheme="minorHAnsi"/>
                <w:b/>
                <w:i/>
                <w:szCs w:val="20"/>
              </w:rPr>
              <w:t>Mow et al.</w:t>
            </w:r>
          </w:p>
        </w:tc>
        <w:tc>
          <w:tcPr>
            <w:tcW w:w="1301" w:type="pct"/>
          </w:tcPr>
          <w:p w14:paraId="58271747" w14:textId="77777777" w:rsidR="00A319E1" w:rsidRPr="00A41F07" w:rsidRDefault="00A319E1" w:rsidP="009260BC">
            <w:pPr>
              <w:autoSpaceDE w:val="0"/>
              <w:autoSpaceDN w:val="0"/>
              <w:adjustRightInd w:val="0"/>
              <w:jc w:val="both"/>
              <w:rPr>
                <w:rFonts w:cstheme="minorHAnsi"/>
                <w:szCs w:val="20"/>
              </w:rPr>
            </w:pPr>
            <w:r w:rsidRPr="00A41F07">
              <w:rPr>
                <w:rFonts w:cstheme="minorHAnsi"/>
                <w:szCs w:val="20"/>
              </w:rPr>
              <w:t>Fifty patients with ongoing symptoms underwent endoscopic</w:t>
            </w:r>
            <w:r w:rsidR="009260BC" w:rsidRPr="00A41F07">
              <w:rPr>
                <w:rFonts w:cstheme="minorHAnsi"/>
                <w:szCs w:val="20"/>
              </w:rPr>
              <w:t xml:space="preserve"> </w:t>
            </w:r>
            <w:r w:rsidRPr="00A41F07">
              <w:rPr>
                <w:rFonts w:cstheme="minorHAnsi"/>
                <w:szCs w:val="20"/>
              </w:rPr>
              <w:t xml:space="preserve">capsule </w:t>
            </w:r>
            <w:r w:rsidR="009260BC" w:rsidRPr="00A41F07">
              <w:rPr>
                <w:rFonts w:cstheme="minorHAnsi"/>
                <w:szCs w:val="20"/>
              </w:rPr>
              <w:t>examinations to</w:t>
            </w:r>
            <w:r w:rsidRPr="00A41F07">
              <w:rPr>
                <w:rFonts w:cstheme="minorHAnsi"/>
                <w:szCs w:val="20"/>
              </w:rPr>
              <w:t xml:space="preserve"> assess the clinical utility of WCE in the evaluation of patients with known or suspected inflammatory bowel disease.</w:t>
            </w:r>
          </w:p>
        </w:tc>
        <w:tc>
          <w:tcPr>
            <w:tcW w:w="1279" w:type="pct"/>
          </w:tcPr>
          <w:p w14:paraId="58271748" w14:textId="77777777" w:rsidR="00A319E1" w:rsidRPr="00A41F07" w:rsidRDefault="00742C65" w:rsidP="00DD308E">
            <w:hyperlink r:id="rId33" w:history="1">
              <w:r w:rsidR="009260BC" w:rsidRPr="00A41F07">
                <w:rPr>
                  <w:rStyle w:val="Hyperlink"/>
                </w:rPr>
                <w:t>https://www.ncbi.nlm.nih.gov/pubmed/15017630</w:t>
              </w:r>
            </w:hyperlink>
          </w:p>
          <w:p w14:paraId="58271749" w14:textId="77777777" w:rsidR="009260BC" w:rsidRPr="00A41F07" w:rsidRDefault="009260BC" w:rsidP="00DD308E">
            <w:pPr>
              <w:rPr>
                <w:b/>
                <w:szCs w:val="20"/>
              </w:rPr>
            </w:pPr>
          </w:p>
        </w:tc>
        <w:tc>
          <w:tcPr>
            <w:tcW w:w="532" w:type="pct"/>
          </w:tcPr>
          <w:p w14:paraId="5827174A" w14:textId="77777777" w:rsidR="00A319E1" w:rsidRPr="00A41F07" w:rsidRDefault="00A319E1" w:rsidP="00DD308E">
            <w:pPr>
              <w:rPr>
                <w:b/>
                <w:szCs w:val="20"/>
              </w:rPr>
            </w:pPr>
            <w:r w:rsidRPr="00A41F07">
              <w:rPr>
                <w:rFonts w:cstheme="minorHAnsi"/>
                <w:szCs w:val="20"/>
              </w:rPr>
              <w:t>2004</w:t>
            </w:r>
          </w:p>
        </w:tc>
      </w:tr>
      <w:tr w:rsidR="00A319E1" w:rsidRPr="00A41F07" w14:paraId="58271757" w14:textId="77777777" w:rsidTr="00161E01">
        <w:trPr>
          <w:cantSplit/>
        </w:trPr>
        <w:tc>
          <w:tcPr>
            <w:tcW w:w="188" w:type="pct"/>
            <w:gridSpan w:val="2"/>
          </w:tcPr>
          <w:p w14:paraId="5827174C" w14:textId="77777777" w:rsidR="00A319E1" w:rsidRPr="00A41F07" w:rsidRDefault="00A319E1" w:rsidP="00DD308E">
            <w:pPr>
              <w:rPr>
                <w:szCs w:val="20"/>
              </w:rPr>
            </w:pPr>
            <w:r w:rsidRPr="00A41F07">
              <w:rPr>
                <w:rFonts w:cstheme="minorHAnsi"/>
                <w:szCs w:val="20"/>
              </w:rPr>
              <w:lastRenderedPageBreak/>
              <w:t>16.</w:t>
            </w:r>
          </w:p>
        </w:tc>
        <w:tc>
          <w:tcPr>
            <w:tcW w:w="501" w:type="pct"/>
            <w:gridSpan w:val="2"/>
          </w:tcPr>
          <w:p w14:paraId="5827174D" w14:textId="77777777" w:rsidR="00A319E1" w:rsidRPr="00A41F07" w:rsidRDefault="00A319E1" w:rsidP="00A319E1">
            <w:pPr>
              <w:rPr>
                <w:rFonts w:cstheme="minorHAnsi"/>
                <w:szCs w:val="20"/>
              </w:rPr>
            </w:pPr>
            <w:r w:rsidRPr="00A41F07">
              <w:rPr>
                <w:rFonts w:cstheme="minorHAnsi"/>
                <w:szCs w:val="20"/>
              </w:rPr>
              <w:t xml:space="preserve">Retrospective single </w:t>
            </w:r>
            <w:r w:rsidR="007C60F0" w:rsidRPr="00A41F07">
              <w:rPr>
                <w:rFonts w:cstheme="minorHAnsi"/>
                <w:szCs w:val="20"/>
              </w:rPr>
              <w:t>centre</w:t>
            </w:r>
            <w:r w:rsidR="00843A84" w:rsidRPr="00A41F07">
              <w:rPr>
                <w:rFonts w:cstheme="minorHAnsi"/>
                <w:szCs w:val="20"/>
              </w:rPr>
              <w:t xml:space="preserve"> study</w:t>
            </w:r>
            <w:r w:rsidR="0002340D" w:rsidRPr="00A41F07">
              <w:rPr>
                <w:rFonts w:cstheme="minorHAnsi"/>
                <w:szCs w:val="20"/>
              </w:rPr>
              <w:t>.</w:t>
            </w:r>
          </w:p>
          <w:p w14:paraId="5827174E" w14:textId="77777777" w:rsidR="00A319E1" w:rsidRPr="00A41F07" w:rsidRDefault="00A319E1" w:rsidP="00DD1E38">
            <w:pPr>
              <w:rPr>
                <w:rFonts w:cstheme="minorHAnsi"/>
                <w:szCs w:val="20"/>
              </w:rPr>
            </w:pPr>
          </w:p>
        </w:tc>
        <w:tc>
          <w:tcPr>
            <w:tcW w:w="1200" w:type="pct"/>
          </w:tcPr>
          <w:p w14:paraId="5827174F" w14:textId="77777777" w:rsidR="00A319E1" w:rsidRPr="00A41F07" w:rsidRDefault="00A319E1" w:rsidP="00A319E1">
            <w:pPr>
              <w:autoSpaceDE w:val="0"/>
              <w:autoSpaceDN w:val="0"/>
              <w:adjustRightInd w:val="0"/>
              <w:rPr>
                <w:rFonts w:cstheme="minorHAnsi"/>
                <w:szCs w:val="20"/>
              </w:rPr>
            </w:pPr>
            <w:r w:rsidRPr="00A41F07">
              <w:rPr>
                <w:rFonts w:cstheme="minorHAnsi"/>
                <w:szCs w:val="20"/>
              </w:rPr>
              <w:t>Capsule Endoscopy Changes Patient Management</w:t>
            </w:r>
            <w:r w:rsidR="007C4720" w:rsidRPr="00A41F07">
              <w:rPr>
                <w:rFonts w:cstheme="minorHAnsi"/>
                <w:szCs w:val="20"/>
              </w:rPr>
              <w:t xml:space="preserve"> </w:t>
            </w:r>
            <w:r w:rsidRPr="00A41F07">
              <w:rPr>
                <w:rFonts w:cstheme="minorHAnsi"/>
                <w:szCs w:val="20"/>
              </w:rPr>
              <w:t>in Routine Clinical Practice</w:t>
            </w:r>
            <w:r w:rsidR="00B83DAF">
              <w:rPr>
                <w:rFonts w:cstheme="minorHAnsi"/>
                <w:szCs w:val="20"/>
              </w:rPr>
              <w:t>.</w:t>
            </w:r>
          </w:p>
          <w:p w14:paraId="58271750" w14:textId="77777777" w:rsidR="00A319E1" w:rsidRPr="00A41F07" w:rsidRDefault="00A319E1" w:rsidP="00A319E1">
            <w:pPr>
              <w:rPr>
                <w:rFonts w:cstheme="minorHAnsi"/>
                <w:szCs w:val="20"/>
              </w:rPr>
            </w:pPr>
          </w:p>
          <w:p w14:paraId="58271751" w14:textId="77777777" w:rsidR="00A319E1" w:rsidRPr="00A41F07" w:rsidRDefault="00A319E1" w:rsidP="00A319E1">
            <w:pPr>
              <w:rPr>
                <w:rFonts w:cstheme="minorHAnsi"/>
                <w:b/>
                <w:i/>
                <w:szCs w:val="20"/>
              </w:rPr>
            </w:pPr>
            <w:r w:rsidRPr="00A41F07">
              <w:rPr>
                <w:rFonts w:cstheme="minorHAnsi"/>
                <w:b/>
                <w:i/>
                <w:szCs w:val="20"/>
              </w:rPr>
              <w:t>Sidhu et al.</w:t>
            </w:r>
          </w:p>
          <w:p w14:paraId="58271752" w14:textId="77777777" w:rsidR="00A319E1" w:rsidRPr="00A41F07" w:rsidRDefault="00A319E1" w:rsidP="00DD1E38">
            <w:pPr>
              <w:rPr>
                <w:rFonts w:cstheme="minorHAnsi"/>
                <w:szCs w:val="20"/>
              </w:rPr>
            </w:pPr>
          </w:p>
        </w:tc>
        <w:tc>
          <w:tcPr>
            <w:tcW w:w="1301" w:type="pct"/>
          </w:tcPr>
          <w:p w14:paraId="58271753" w14:textId="77777777" w:rsidR="00A319E1" w:rsidRPr="00A41F07" w:rsidRDefault="00A319E1" w:rsidP="00DD1E38">
            <w:pPr>
              <w:autoSpaceDE w:val="0"/>
              <w:autoSpaceDN w:val="0"/>
              <w:adjustRightInd w:val="0"/>
              <w:rPr>
                <w:rFonts w:cstheme="minorHAnsi"/>
                <w:szCs w:val="20"/>
              </w:rPr>
            </w:pPr>
            <w:r w:rsidRPr="00A41F07">
              <w:rPr>
                <w:rFonts w:cstheme="minorHAnsi"/>
                <w:szCs w:val="20"/>
              </w:rPr>
              <w:t>Sixty-eight patients were referred for CE to investigate the possibility of small bowel Crohn’s disease. Seven patients were known to have Crohn’s disease 60 patients were not known to have Crohn’s disease prior to CE. A change of management followed in 81% of patients diagnosed with Crohn’s disease after CE.</w:t>
            </w:r>
          </w:p>
        </w:tc>
        <w:tc>
          <w:tcPr>
            <w:tcW w:w="1279" w:type="pct"/>
          </w:tcPr>
          <w:p w14:paraId="58271754" w14:textId="77777777" w:rsidR="00A319E1" w:rsidRPr="00A41F07" w:rsidRDefault="00742C65" w:rsidP="00A319E1">
            <w:hyperlink r:id="rId34" w:history="1">
              <w:r w:rsidR="007C4720" w:rsidRPr="00A41F07">
                <w:rPr>
                  <w:rStyle w:val="Hyperlink"/>
                </w:rPr>
                <w:t>https://www.ncbi.nlm.nih.gov/pubmed/17357836</w:t>
              </w:r>
            </w:hyperlink>
          </w:p>
          <w:p w14:paraId="58271755" w14:textId="77777777" w:rsidR="007C4720" w:rsidRPr="00A41F07" w:rsidRDefault="007C4720" w:rsidP="00A319E1"/>
        </w:tc>
        <w:tc>
          <w:tcPr>
            <w:tcW w:w="532" w:type="pct"/>
          </w:tcPr>
          <w:p w14:paraId="58271756" w14:textId="77777777" w:rsidR="00A319E1" w:rsidRPr="00A41F07" w:rsidRDefault="003C6FE5" w:rsidP="00DD308E">
            <w:pPr>
              <w:rPr>
                <w:rFonts w:cstheme="minorHAnsi"/>
                <w:szCs w:val="20"/>
              </w:rPr>
            </w:pPr>
            <w:r w:rsidRPr="00A41F07">
              <w:rPr>
                <w:rFonts w:cstheme="minorHAnsi"/>
                <w:szCs w:val="20"/>
              </w:rPr>
              <w:t>2007</w:t>
            </w:r>
          </w:p>
        </w:tc>
      </w:tr>
      <w:tr w:rsidR="00843A84" w:rsidRPr="00A41F07" w14:paraId="58271762" w14:textId="77777777" w:rsidTr="00161E01">
        <w:trPr>
          <w:cantSplit/>
        </w:trPr>
        <w:tc>
          <w:tcPr>
            <w:tcW w:w="188" w:type="pct"/>
            <w:gridSpan w:val="2"/>
          </w:tcPr>
          <w:p w14:paraId="58271758" w14:textId="77777777" w:rsidR="00843A84" w:rsidRPr="00A41F07" w:rsidRDefault="0061387F" w:rsidP="00DD308E">
            <w:pPr>
              <w:rPr>
                <w:rFonts w:cstheme="minorHAnsi"/>
                <w:szCs w:val="20"/>
              </w:rPr>
            </w:pPr>
            <w:r w:rsidRPr="00A41F07">
              <w:rPr>
                <w:rFonts w:cstheme="minorHAnsi"/>
                <w:szCs w:val="20"/>
              </w:rPr>
              <w:t>17.</w:t>
            </w:r>
          </w:p>
        </w:tc>
        <w:tc>
          <w:tcPr>
            <w:tcW w:w="501" w:type="pct"/>
            <w:gridSpan w:val="2"/>
          </w:tcPr>
          <w:p w14:paraId="58271759" w14:textId="77777777" w:rsidR="00843A84" w:rsidRPr="00A41F07" w:rsidRDefault="00843A84" w:rsidP="00843A84">
            <w:pPr>
              <w:rPr>
                <w:rFonts w:cstheme="minorHAnsi"/>
                <w:szCs w:val="20"/>
              </w:rPr>
            </w:pPr>
            <w:r w:rsidRPr="00A41F07">
              <w:rPr>
                <w:rFonts w:cstheme="minorHAnsi"/>
                <w:szCs w:val="20"/>
              </w:rPr>
              <w:t>Retrospective single centre study</w:t>
            </w:r>
            <w:r w:rsidR="0002340D" w:rsidRPr="00A41F07">
              <w:rPr>
                <w:rFonts w:cstheme="minorHAnsi"/>
                <w:szCs w:val="20"/>
              </w:rPr>
              <w:t>.</w:t>
            </w:r>
          </w:p>
          <w:p w14:paraId="5827175A" w14:textId="77777777" w:rsidR="00843A84" w:rsidRPr="00A41F07" w:rsidRDefault="00843A84" w:rsidP="00A319E1">
            <w:pPr>
              <w:rPr>
                <w:rFonts w:cstheme="minorHAnsi"/>
                <w:szCs w:val="20"/>
              </w:rPr>
            </w:pPr>
          </w:p>
        </w:tc>
        <w:tc>
          <w:tcPr>
            <w:tcW w:w="1200" w:type="pct"/>
          </w:tcPr>
          <w:p w14:paraId="5827175B" w14:textId="77777777" w:rsidR="00843A84" w:rsidRPr="00A41F07" w:rsidRDefault="00843A84" w:rsidP="00161E01">
            <w:pPr>
              <w:pStyle w:val="Heading1"/>
              <w:shd w:val="clear" w:color="auto" w:fill="FFFFFF"/>
              <w:spacing w:before="90" w:after="90" w:line="270" w:lineRule="atLeast"/>
              <w:jc w:val="both"/>
              <w:outlineLvl w:val="0"/>
              <w:rPr>
                <w:rFonts w:cstheme="minorHAnsi"/>
                <w:bCs w:val="0"/>
                <w:color w:val="auto"/>
                <w:sz w:val="20"/>
                <w:szCs w:val="20"/>
              </w:rPr>
            </w:pPr>
            <w:proofErr w:type="gramStart"/>
            <w:r w:rsidRPr="00A41F07">
              <w:rPr>
                <w:rFonts w:cstheme="minorHAnsi"/>
                <w:bCs w:val="0"/>
                <w:color w:val="auto"/>
                <w:sz w:val="20"/>
                <w:szCs w:val="20"/>
              </w:rPr>
              <w:t>Usefulness of wireless capsule endoscopy in paediatric inflammatory bowel disease.</w:t>
            </w:r>
            <w:proofErr w:type="gramEnd"/>
          </w:p>
          <w:p w14:paraId="5827175C" w14:textId="77777777" w:rsidR="00843A84" w:rsidRPr="00A41F07" w:rsidRDefault="00843A84" w:rsidP="00A319E1">
            <w:pPr>
              <w:autoSpaceDE w:val="0"/>
              <w:autoSpaceDN w:val="0"/>
              <w:adjustRightInd w:val="0"/>
              <w:rPr>
                <w:rFonts w:cstheme="minorHAnsi"/>
                <w:szCs w:val="20"/>
              </w:rPr>
            </w:pPr>
          </w:p>
          <w:p w14:paraId="5827175D" w14:textId="77777777" w:rsidR="00240989" w:rsidRPr="00A41F07" w:rsidRDefault="00240989" w:rsidP="00240989">
            <w:pPr>
              <w:rPr>
                <w:rFonts w:cstheme="minorHAnsi"/>
                <w:szCs w:val="20"/>
              </w:rPr>
            </w:pPr>
            <w:r w:rsidRPr="00A41F07">
              <w:rPr>
                <w:rFonts w:cstheme="minorHAnsi"/>
                <w:b/>
                <w:i/>
                <w:szCs w:val="20"/>
              </w:rPr>
              <w:t xml:space="preserve">Di </w:t>
            </w:r>
            <w:proofErr w:type="spellStart"/>
            <w:r w:rsidRPr="00A41F07">
              <w:rPr>
                <w:rFonts w:cstheme="minorHAnsi"/>
                <w:b/>
                <w:i/>
                <w:szCs w:val="20"/>
              </w:rPr>
              <w:t>Nardo</w:t>
            </w:r>
            <w:proofErr w:type="spellEnd"/>
            <w:r w:rsidRPr="00A41F07">
              <w:rPr>
                <w:rFonts w:cstheme="minorHAnsi"/>
                <w:b/>
                <w:i/>
                <w:szCs w:val="20"/>
              </w:rPr>
              <w:t xml:space="preserve"> et al.</w:t>
            </w:r>
          </w:p>
        </w:tc>
        <w:tc>
          <w:tcPr>
            <w:tcW w:w="1301" w:type="pct"/>
          </w:tcPr>
          <w:p w14:paraId="5827175E" w14:textId="77777777" w:rsidR="00843A84" w:rsidRPr="00A41F07" w:rsidRDefault="00843A84" w:rsidP="00843A84">
            <w:pPr>
              <w:autoSpaceDE w:val="0"/>
              <w:autoSpaceDN w:val="0"/>
              <w:adjustRightInd w:val="0"/>
              <w:jc w:val="both"/>
              <w:rPr>
                <w:rFonts w:cstheme="minorHAnsi"/>
                <w:szCs w:val="20"/>
              </w:rPr>
            </w:pPr>
            <w:r w:rsidRPr="00A41F07">
              <w:rPr>
                <w:rFonts w:cstheme="minorHAnsi"/>
                <w:szCs w:val="20"/>
              </w:rPr>
              <w:t xml:space="preserve">A prospective paediatric study on the usefulness of wireless capsule endoscopy (WCE) was performed in 117 children (age range: 4-17 years) with established or suspected IBD and compared with </w:t>
            </w:r>
            <w:r w:rsidR="00767032" w:rsidRPr="00A41F07">
              <w:rPr>
                <w:rFonts w:cstheme="minorHAnsi"/>
                <w:szCs w:val="20"/>
              </w:rPr>
              <w:t>non-endoscopic</w:t>
            </w:r>
            <w:r w:rsidRPr="00A41F07">
              <w:rPr>
                <w:rFonts w:cstheme="minorHAnsi"/>
                <w:szCs w:val="20"/>
              </w:rPr>
              <w:t xml:space="preserve"> imaging tools. All patients underwent upper and lower gastrointestinal endoscopy. In Crohn's disease patients (CD, n=44), small bowel lesions were revealed by imaging tools in 8 and by WCE in 18 patients, respectively (p&lt;0.01).</w:t>
            </w:r>
          </w:p>
        </w:tc>
        <w:tc>
          <w:tcPr>
            <w:tcW w:w="1279" w:type="pct"/>
          </w:tcPr>
          <w:p w14:paraId="5827175F" w14:textId="77777777" w:rsidR="00843A84" w:rsidRPr="00A41F07" w:rsidRDefault="00742C65" w:rsidP="00A319E1">
            <w:hyperlink r:id="rId35" w:history="1">
              <w:r w:rsidR="00843A84" w:rsidRPr="00A41F07">
                <w:rPr>
                  <w:rStyle w:val="Hyperlink"/>
                </w:rPr>
                <w:t>https://www.ncbi.nlm.nih.gov/pubmed/21093392</w:t>
              </w:r>
            </w:hyperlink>
          </w:p>
          <w:p w14:paraId="58271760" w14:textId="77777777" w:rsidR="00843A84" w:rsidRPr="00A41F07" w:rsidRDefault="00843A84" w:rsidP="00A319E1"/>
        </w:tc>
        <w:tc>
          <w:tcPr>
            <w:tcW w:w="532" w:type="pct"/>
          </w:tcPr>
          <w:p w14:paraId="58271761" w14:textId="77777777" w:rsidR="00843A84" w:rsidRPr="00A41F07" w:rsidRDefault="00843A84" w:rsidP="00DD308E">
            <w:pPr>
              <w:rPr>
                <w:rFonts w:cstheme="minorHAnsi"/>
                <w:szCs w:val="20"/>
              </w:rPr>
            </w:pPr>
            <w:r w:rsidRPr="00A41F07">
              <w:rPr>
                <w:rFonts w:cstheme="minorHAnsi"/>
                <w:szCs w:val="20"/>
              </w:rPr>
              <w:t>2011</w:t>
            </w:r>
          </w:p>
        </w:tc>
      </w:tr>
    </w:tbl>
    <w:p w14:paraId="58271763" w14:textId="77777777" w:rsidR="001F39A8" w:rsidRPr="00A41F07" w:rsidRDefault="001F39A8" w:rsidP="00DD308E">
      <w:pPr>
        <w:spacing w:after="0"/>
        <w:ind w:left="426"/>
        <w:rPr>
          <w:i/>
          <w:szCs w:val="20"/>
        </w:rPr>
      </w:pPr>
    </w:p>
    <w:p w14:paraId="58271764" w14:textId="77777777" w:rsidR="001F39A8" w:rsidRPr="00A41F07" w:rsidRDefault="001F39A8" w:rsidP="00DD308E">
      <w:pPr>
        <w:spacing w:after="0"/>
        <w:ind w:left="426"/>
        <w:rPr>
          <w:i/>
          <w:szCs w:val="20"/>
        </w:rPr>
      </w:pPr>
    </w:p>
    <w:p w14:paraId="58271765" w14:textId="77777777" w:rsidR="001F39A8" w:rsidRPr="00A41F07" w:rsidRDefault="001F39A8" w:rsidP="00843A84">
      <w:pPr>
        <w:spacing w:after="0"/>
        <w:rPr>
          <w:i/>
          <w:szCs w:val="20"/>
        </w:rPr>
      </w:pPr>
    </w:p>
    <w:p w14:paraId="58271766" w14:textId="77777777" w:rsidR="001F39A8" w:rsidRPr="00A41F07" w:rsidRDefault="001F39A8" w:rsidP="00DD308E">
      <w:pPr>
        <w:spacing w:after="0"/>
        <w:ind w:left="426"/>
        <w:rPr>
          <w:i/>
          <w:szCs w:val="20"/>
        </w:rPr>
      </w:pPr>
    </w:p>
    <w:p w14:paraId="58271767" w14:textId="77777777" w:rsidR="00843A84" w:rsidRPr="00A41F07" w:rsidRDefault="00843A84" w:rsidP="00161E01">
      <w:pPr>
        <w:spacing w:after="0"/>
        <w:rPr>
          <w:i/>
          <w:szCs w:val="20"/>
        </w:rPr>
      </w:pPr>
    </w:p>
    <w:p w14:paraId="58271768" w14:textId="77777777" w:rsidR="00843A84" w:rsidRPr="00A41F07" w:rsidRDefault="00843A84" w:rsidP="00DD308E">
      <w:pPr>
        <w:spacing w:after="0"/>
        <w:ind w:left="426"/>
        <w:rPr>
          <w:i/>
          <w:szCs w:val="20"/>
        </w:rPr>
      </w:pPr>
    </w:p>
    <w:tbl>
      <w:tblPr>
        <w:tblStyle w:val="TableGrid"/>
        <w:tblW w:w="5058" w:type="pct"/>
        <w:tblLayout w:type="fixed"/>
        <w:tblLook w:val="04A0" w:firstRow="1" w:lastRow="0" w:firstColumn="1" w:lastColumn="0" w:noHBand="0" w:noVBand="1"/>
      </w:tblPr>
      <w:tblGrid>
        <w:gridCol w:w="533"/>
        <w:gridCol w:w="1640"/>
        <w:gridCol w:w="2380"/>
        <w:gridCol w:w="4227"/>
        <w:gridCol w:w="3966"/>
        <w:gridCol w:w="1592"/>
      </w:tblGrid>
      <w:tr w:rsidR="00B15DCB" w:rsidRPr="00A41F07" w14:paraId="5827176F" w14:textId="77777777" w:rsidTr="00EC385C">
        <w:trPr>
          <w:cantSplit/>
          <w:tblHeader/>
        </w:trPr>
        <w:tc>
          <w:tcPr>
            <w:tcW w:w="186" w:type="pct"/>
            <w:tcBorders>
              <w:top w:val="single" w:sz="4" w:space="0" w:color="auto"/>
              <w:left w:val="single" w:sz="4" w:space="0" w:color="auto"/>
              <w:bottom w:val="single" w:sz="4" w:space="0" w:color="auto"/>
              <w:right w:val="single" w:sz="4" w:space="0" w:color="auto"/>
            </w:tcBorders>
          </w:tcPr>
          <w:p w14:paraId="58271769" w14:textId="77777777" w:rsidR="00B15DCB" w:rsidRPr="00A41F07" w:rsidRDefault="00B15DCB">
            <w:pPr>
              <w:pStyle w:val="TableHEADER"/>
              <w:rPr>
                <w:lang w:eastAsia="en-US"/>
              </w:rPr>
            </w:pPr>
          </w:p>
        </w:tc>
        <w:tc>
          <w:tcPr>
            <w:tcW w:w="572" w:type="pct"/>
            <w:tcBorders>
              <w:top w:val="single" w:sz="4" w:space="0" w:color="auto"/>
              <w:left w:val="single" w:sz="4" w:space="0" w:color="auto"/>
              <w:bottom w:val="single" w:sz="4" w:space="0" w:color="auto"/>
              <w:right w:val="single" w:sz="4" w:space="0" w:color="auto"/>
            </w:tcBorders>
            <w:hideMark/>
          </w:tcPr>
          <w:p w14:paraId="5827176A" w14:textId="77777777" w:rsidR="00B15DCB" w:rsidRPr="00A41F07" w:rsidRDefault="00B15DCB">
            <w:pPr>
              <w:pStyle w:val="TableHEADER"/>
              <w:rPr>
                <w:lang w:eastAsia="en-US"/>
              </w:rPr>
            </w:pPr>
            <w:r w:rsidRPr="00A41F07">
              <w:rPr>
                <w:lang w:eastAsia="en-US"/>
              </w:rPr>
              <w:t>Type of study design*</w:t>
            </w:r>
          </w:p>
        </w:tc>
        <w:tc>
          <w:tcPr>
            <w:tcW w:w="830" w:type="pct"/>
            <w:tcBorders>
              <w:top w:val="single" w:sz="4" w:space="0" w:color="auto"/>
              <w:left w:val="single" w:sz="4" w:space="0" w:color="auto"/>
              <w:bottom w:val="single" w:sz="4" w:space="0" w:color="auto"/>
              <w:right w:val="single" w:sz="4" w:space="0" w:color="auto"/>
            </w:tcBorders>
            <w:hideMark/>
          </w:tcPr>
          <w:p w14:paraId="5827176B" w14:textId="77777777" w:rsidR="00B15DCB" w:rsidRPr="00A41F07" w:rsidRDefault="00B15DCB">
            <w:pPr>
              <w:pStyle w:val="TableHEADER"/>
              <w:rPr>
                <w:lang w:eastAsia="en-US"/>
              </w:rPr>
            </w:pPr>
            <w:r w:rsidRPr="00A41F07">
              <w:rPr>
                <w:lang w:eastAsia="en-US"/>
              </w:rPr>
              <w:t>Title of journal article  or research project (including any trial identifier or study lead if relevant)</w:t>
            </w:r>
          </w:p>
        </w:tc>
        <w:tc>
          <w:tcPr>
            <w:tcW w:w="1474" w:type="pct"/>
            <w:tcBorders>
              <w:top w:val="single" w:sz="4" w:space="0" w:color="auto"/>
              <w:left w:val="single" w:sz="4" w:space="0" w:color="auto"/>
              <w:bottom w:val="single" w:sz="4" w:space="0" w:color="auto"/>
              <w:right w:val="single" w:sz="4" w:space="0" w:color="auto"/>
            </w:tcBorders>
            <w:hideMark/>
          </w:tcPr>
          <w:p w14:paraId="5827176C" w14:textId="77777777" w:rsidR="00B15DCB" w:rsidRPr="00A41F07" w:rsidRDefault="00B15DCB">
            <w:pPr>
              <w:pStyle w:val="TableHEADER"/>
              <w:rPr>
                <w:lang w:eastAsia="en-US"/>
              </w:rPr>
            </w:pPr>
            <w:r w:rsidRPr="00A41F07">
              <w:rPr>
                <w:lang w:eastAsia="en-US"/>
              </w:rPr>
              <w:t>Short description of research  (max 50 words)**</w:t>
            </w:r>
          </w:p>
        </w:tc>
        <w:tc>
          <w:tcPr>
            <w:tcW w:w="1383" w:type="pct"/>
            <w:tcBorders>
              <w:top w:val="single" w:sz="4" w:space="0" w:color="auto"/>
              <w:left w:val="single" w:sz="4" w:space="0" w:color="auto"/>
              <w:bottom w:val="single" w:sz="4" w:space="0" w:color="auto"/>
              <w:right w:val="single" w:sz="4" w:space="0" w:color="auto"/>
            </w:tcBorders>
            <w:hideMark/>
          </w:tcPr>
          <w:p w14:paraId="5827176D" w14:textId="77777777" w:rsidR="00B15DCB" w:rsidRPr="00A41F07" w:rsidRDefault="00B15DCB">
            <w:pPr>
              <w:pStyle w:val="TableHEADER"/>
              <w:rPr>
                <w:lang w:eastAsia="en-US"/>
              </w:rPr>
            </w:pPr>
            <w:r w:rsidRPr="00A41F07">
              <w:rPr>
                <w:lang w:eastAsia="en-US"/>
              </w:rPr>
              <w:t>Website link to journal article or research (if available)</w:t>
            </w:r>
          </w:p>
        </w:tc>
        <w:tc>
          <w:tcPr>
            <w:tcW w:w="555" w:type="pct"/>
            <w:tcBorders>
              <w:top w:val="single" w:sz="4" w:space="0" w:color="auto"/>
              <w:left w:val="single" w:sz="4" w:space="0" w:color="auto"/>
              <w:bottom w:val="single" w:sz="4" w:space="0" w:color="auto"/>
              <w:right w:val="single" w:sz="4" w:space="0" w:color="auto"/>
            </w:tcBorders>
            <w:hideMark/>
          </w:tcPr>
          <w:p w14:paraId="5827176E" w14:textId="77777777" w:rsidR="00B15DCB" w:rsidRPr="00A41F07" w:rsidRDefault="00B15DCB">
            <w:pPr>
              <w:pStyle w:val="TableHEADER"/>
              <w:rPr>
                <w:lang w:eastAsia="en-US"/>
              </w:rPr>
            </w:pPr>
            <w:r w:rsidRPr="00A41F07">
              <w:rPr>
                <w:lang w:eastAsia="en-US"/>
              </w:rPr>
              <w:t>Date of publication***</w:t>
            </w:r>
          </w:p>
        </w:tc>
      </w:tr>
      <w:tr w:rsidR="00B15DCB" w:rsidRPr="00A41F07" w14:paraId="58271771" w14:textId="77777777" w:rsidTr="00767258">
        <w:trPr>
          <w:cantSplit/>
          <w:tblHeader/>
        </w:trPr>
        <w:tc>
          <w:tcPr>
            <w:tcW w:w="5000" w:type="pct"/>
            <w:gridSpan w:val="6"/>
            <w:tcBorders>
              <w:top w:val="single" w:sz="4" w:space="0" w:color="auto"/>
              <w:left w:val="single" w:sz="4" w:space="0" w:color="auto"/>
              <w:bottom w:val="single" w:sz="4" w:space="0" w:color="auto"/>
              <w:right w:val="single" w:sz="4" w:space="0" w:color="auto"/>
            </w:tcBorders>
          </w:tcPr>
          <w:p w14:paraId="58271770" w14:textId="77777777" w:rsidR="00B15DCB" w:rsidRPr="00A41F07" w:rsidRDefault="00B15DCB" w:rsidP="00161E01">
            <w:pPr>
              <w:pStyle w:val="TableHEADER"/>
              <w:jc w:val="center"/>
              <w:rPr>
                <w:lang w:eastAsia="en-US"/>
              </w:rPr>
            </w:pPr>
            <w:r w:rsidRPr="00A41F07">
              <w:rPr>
                <w:rFonts w:cstheme="minorHAnsi"/>
                <w:b w:val="0"/>
              </w:rPr>
              <w:t xml:space="preserve">Studies on initial diagnosis of Patients with Suspected </w:t>
            </w:r>
            <w:r w:rsidR="00161E01" w:rsidRPr="00A41F07">
              <w:rPr>
                <w:rFonts w:cstheme="minorHAnsi"/>
                <w:b w:val="0"/>
              </w:rPr>
              <w:t xml:space="preserve">Small Bowel </w:t>
            </w:r>
            <w:r w:rsidRPr="00A41F07">
              <w:rPr>
                <w:rFonts w:cstheme="minorHAnsi"/>
                <w:b w:val="0"/>
              </w:rPr>
              <w:t>Crohn’s Disease</w:t>
            </w:r>
          </w:p>
        </w:tc>
      </w:tr>
      <w:tr w:rsidR="00B15DCB" w:rsidRPr="00A41F07" w14:paraId="5827177D" w14:textId="77777777" w:rsidTr="00EC385C">
        <w:trPr>
          <w:cantSplit/>
        </w:trPr>
        <w:tc>
          <w:tcPr>
            <w:tcW w:w="186" w:type="pct"/>
            <w:tcBorders>
              <w:top w:val="single" w:sz="4" w:space="0" w:color="auto"/>
              <w:left w:val="single" w:sz="4" w:space="0" w:color="auto"/>
              <w:bottom w:val="single" w:sz="4" w:space="0" w:color="auto"/>
              <w:right w:val="single" w:sz="4" w:space="0" w:color="auto"/>
            </w:tcBorders>
            <w:hideMark/>
          </w:tcPr>
          <w:p w14:paraId="58271772" w14:textId="77777777" w:rsidR="00B15DCB" w:rsidRPr="00A41F07" w:rsidRDefault="00B15DCB">
            <w:pPr>
              <w:rPr>
                <w:szCs w:val="20"/>
              </w:rPr>
            </w:pPr>
            <w:r w:rsidRPr="00A41F07">
              <w:rPr>
                <w:szCs w:val="20"/>
              </w:rPr>
              <w:t>1.</w:t>
            </w:r>
          </w:p>
        </w:tc>
        <w:tc>
          <w:tcPr>
            <w:tcW w:w="572" w:type="pct"/>
            <w:tcBorders>
              <w:top w:val="single" w:sz="4" w:space="0" w:color="auto"/>
              <w:left w:val="single" w:sz="4" w:space="0" w:color="auto"/>
              <w:bottom w:val="single" w:sz="4" w:space="0" w:color="auto"/>
              <w:right w:val="single" w:sz="4" w:space="0" w:color="auto"/>
            </w:tcBorders>
            <w:hideMark/>
          </w:tcPr>
          <w:p w14:paraId="58271773" w14:textId="77777777" w:rsidR="00A57FE5" w:rsidRPr="00A41F07" w:rsidRDefault="00A57FE5" w:rsidP="00161E01">
            <w:pPr>
              <w:autoSpaceDE w:val="0"/>
              <w:autoSpaceDN w:val="0"/>
              <w:adjustRightInd w:val="0"/>
              <w:rPr>
                <w:rFonts w:cstheme="minorHAnsi"/>
                <w:szCs w:val="20"/>
              </w:rPr>
            </w:pPr>
            <w:r w:rsidRPr="00A41F07">
              <w:rPr>
                <w:rFonts w:cstheme="minorHAnsi"/>
                <w:szCs w:val="20"/>
              </w:rPr>
              <w:t>Prospective, co</w:t>
            </w:r>
            <w:r w:rsidR="00161E01" w:rsidRPr="00A41F07">
              <w:rPr>
                <w:rFonts w:cstheme="minorHAnsi"/>
                <w:szCs w:val="20"/>
              </w:rPr>
              <w:t xml:space="preserve">nsecutive (diagnostic accuracy)                single cohort </w:t>
            </w:r>
            <w:r w:rsidRPr="00A41F07">
              <w:rPr>
                <w:rFonts w:cstheme="minorHAnsi"/>
                <w:szCs w:val="20"/>
              </w:rPr>
              <w:t>study.</w:t>
            </w:r>
          </w:p>
          <w:p w14:paraId="58271774" w14:textId="77777777" w:rsidR="00B15DCB" w:rsidRPr="00A41F07" w:rsidRDefault="00B15DCB">
            <w:pPr>
              <w:rPr>
                <w:b/>
                <w:szCs w:val="20"/>
              </w:rPr>
            </w:pPr>
          </w:p>
        </w:tc>
        <w:tc>
          <w:tcPr>
            <w:tcW w:w="830" w:type="pct"/>
            <w:tcBorders>
              <w:top w:val="single" w:sz="4" w:space="0" w:color="auto"/>
              <w:left w:val="single" w:sz="4" w:space="0" w:color="auto"/>
              <w:bottom w:val="single" w:sz="4" w:space="0" w:color="auto"/>
              <w:right w:val="single" w:sz="4" w:space="0" w:color="auto"/>
            </w:tcBorders>
            <w:hideMark/>
          </w:tcPr>
          <w:p w14:paraId="58271775" w14:textId="77777777" w:rsidR="00A57FE5" w:rsidRPr="00A41F07" w:rsidRDefault="00A57FE5" w:rsidP="00A57FE5">
            <w:pPr>
              <w:autoSpaceDE w:val="0"/>
              <w:autoSpaceDN w:val="0"/>
              <w:adjustRightInd w:val="0"/>
              <w:rPr>
                <w:rFonts w:cstheme="minorHAnsi"/>
                <w:szCs w:val="20"/>
              </w:rPr>
            </w:pPr>
            <w:r w:rsidRPr="00A41F07">
              <w:rPr>
                <w:rFonts w:cstheme="minorHAnsi"/>
                <w:szCs w:val="20"/>
              </w:rPr>
              <w:t>Clinical outcome of patient</w:t>
            </w:r>
            <w:r w:rsidR="00A3687B" w:rsidRPr="00A41F07">
              <w:rPr>
                <w:rFonts w:cstheme="minorHAnsi"/>
                <w:szCs w:val="20"/>
              </w:rPr>
              <w:t xml:space="preserve">s examined by capsule endoscopy </w:t>
            </w:r>
            <w:r w:rsidRPr="00A41F07">
              <w:rPr>
                <w:rFonts w:cstheme="minorHAnsi"/>
                <w:szCs w:val="20"/>
              </w:rPr>
              <w:t>for suspected small bowel Crohn’s disease</w:t>
            </w:r>
            <w:r w:rsidR="009B096B" w:rsidRPr="00A41F07">
              <w:rPr>
                <w:rFonts w:cstheme="minorHAnsi"/>
                <w:szCs w:val="20"/>
              </w:rPr>
              <w:t>.</w:t>
            </w:r>
          </w:p>
          <w:p w14:paraId="58271776" w14:textId="77777777" w:rsidR="00A57FE5" w:rsidRPr="00A41F07" w:rsidRDefault="00A57FE5" w:rsidP="00A57FE5">
            <w:pPr>
              <w:rPr>
                <w:rFonts w:cstheme="minorHAnsi"/>
                <w:szCs w:val="20"/>
              </w:rPr>
            </w:pPr>
          </w:p>
          <w:p w14:paraId="58271777" w14:textId="77777777" w:rsidR="00B15DCB" w:rsidRPr="00A41F07" w:rsidRDefault="00A57FE5">
            <w:pPr>
              <w:rPr>
                <w:rFonts w:cstheme="minorHAnsi"/>
                <w:b/>
                <w:i/>
                <w:szCs w:val="20"/>
              </w:rPr>
            </w:pPr>
            <w:proofErr w:type="spellStart"/>
            <w:r w:rsidRPr="00A41F07">
              <w:rPr>
                <w:rFonts w:cstheme="minorHAnsi"/>
                <w:b/>
                <w:i/>
                <w:szCs w:val="20"/>
              </w:rPr>
              <w:t>Girelli</w:t>
            </w:r>
            <w:proofErr w:type="spellEnd"/>
            <w:r w:rsidRPr="00A41F07">
              <w:rPr>
                <w:rFonts w:cstheme="minorHAnsi"/>
                <w:b/>
                <w:i/>
                <w:szCs w:val="20"/>
              </w:rPr>
              <w:t xml:space="preserve"> et al.</w:t>
            </w:r>
          </w:p>
        </w:tc>
        <w:tc>
          <w:tcPr>
            <w:tcW w:w="1474" w:type="pct"/>
            <w:tcBorders>
              <w:top w:val="single" w:sz="4" w:space="0" w:color="auto"/>
              <w:left w:val="single" w:sz="4" w:space="0" w:color="auto"/>
              <w:bottom w:val="single" w:sz="4" w:space="0" w:color="auto"/>
              <w:right w:val="single" w:sz="4" w:space="0" w:color="auto"/>
            </w:tcBorders>
            <w:hideMark/>
          </w:tcPr>
          <w:p w14:paraId="58271778" w14:textId="77777777" w:rsidR="00B15DCB" w:rsidRPr="00A41F07" w:rsidRDefault="00A57FE5" w:rsidP="00AA1253">
            <w:pPr>
              <w:jc w:val="both"/>
              <w:rPr>
                <w:b/>
                <w:szCs w:val="20"/>
              </w:rPr>
            </w:pPr>
            <w:r w:rsidRPr="00A41F07">
              <w:rPr>
                <w:rFonts w:cstheme="minorHAnsi"/>
                <w:szCs w:val="20"/>
              </w:rPr>
              <w:t xml:space="preserve">Examined and enrolled 27 patients with abdominal pain and diarrhea lasting more than 3 months and at least one of the following: anaemia, weight loss, fever, </w:t>
            </w:r>
            <w:r w:rsidR="009B096B" w:rsidRPr="00A41F07">
              <w:rPr>
                <w:rFonts w:cstheme="minorHAnsi"/>
                <w:szCs w:val="20"/>
              </w:rPr>
              <w:t>and extra-intestinal manifestation</w:t>
            </w:r>
            <w:r w:rsidRPr="00A41F07">
              <w:rPr>
                <w:rFonts w:cstheme="minorHAnsi"/>
                <w:szCs w:val="20"/>
              </w:rPr>
              <w:t>. Eligible subjects were examined by CE, assigned to three groups after CE findings were followed-up median 21, range 15–29 months.</w:t>
            </w:r>
          </w:p>
        </w:tc>
        <w:tc>
          <w:tcPr>
            <w:tcW w:w="1383" w:type="pct"/>
            <w:tcBorders>
              <w:top w:val="single" w:sz="4" w:space="0" w:color="auto"/>
              <w:left w:val="single" w:sz="4" w:space="0" w:color="auto"/>
              <w:bottom w:val="single" w:sz="4" w:space="0" w:color="auto"/>
              <w:right w:val="single" w:sz="4" w:space="0" w:color="auto"/>
            </w:tcBorders>
            <w:hideMark/>
          </w:tcPr>
          <w:p w14:paraId="58271779" w14:textId="77777777" w:rsidR="00B15DCB" w:rsidRPr="00A41F07" w:rsidRDefault="00B15DCB">
            <w:pPr>
              <w:rPr>
                <w:b/>
                <w:szCs w:val="20"/>
              </w:rPr>
            </w:pPr>
          </w:p>
          <w:p w14:paraId="5827177A" w14:textId="77777777" w:rsidR="00E93CF5" w:rsidRPr="00A41F07" w:rsidRDefault="00742C65" w:rsidP="00E93CF5">
            <w:pPr>
              <w:rPr>
                <w:szCs w:val="20"/>
              </w:rPr>
            </w:pPr>
            <w:hyperlink r:id="rId36" w:history="1">
              <w:r w:rsidR="00E93CF5" w:rsidRPr="00A41F07">
                <w:rPr>
                  <w:rStyle w:val="Hyperlink"/>
                  <w:szCs w:val="20"/>
                </w:rPr>
                <w:t>https://www.ncbi.nlm.nih.gov/pubmed/17196893</w:t>
              </w:r>
            </w:hyperlink>
          </w:p>
          <w:p w14:paraId="5827177B" w14:textId="77777777" w:rsidR="00E93CF5" w:rsidRPr="00A41F07" w:rsidRDefault="00E93CF5" w:rsidP="00E93CF5">
            <w:pPr>
              <w:rPr>
                <w:rFonts w:cstheme="minorHAnsi"/>
                <w:szCs w:val="20"/>
              </w:rPr>
            </w:pPr>
          </w:p>
        </w:tc>
        <w:tc>
          <w:tcPr>
            <w:tcW w:w="555" w:type="pct"/>
            <w:tcBorders>
              <w:top w:val="single" w:sz="4" w:space="0" w:color="auto"/>
              <w:left w:val="single" w:sz="4" w:space="0" w:color="auto"/>
              <w:bottom w:val="single" w:sz="4" w:space="0" w:color="auto"/>
              <w:right w:val="single" w:sz="4" w:space="0" w:color="auto"/>
            </w:tcBorders>
            <w:hideMark/>
          </w:tcPr>
          <w:p w14:paraId="5827177C" w14:textId="77777777" w:rsidR="00B15DCB" w:rsidRPr="00A41F07" w:rsidRDefault="00AA1253">
            <w:pPr>
              <w:rPr>
                <w:b/>
                <w:szCs w:val="20"/>
              </w:rPr>
            </w:pPr>
            <w:r w:rsidRPr="00A41F07">
              <w:t>2007</w:t>
            </w:r>
          </w:p>
        </w:tc>
      </w:tr>
      <w:tr w:rsidR="00B15DCB" w:rsidRPr="00A41F07" w14:paraId="58271789" w14:textId="77777777" w:rsidTr="00EC385C">
        <w:trPr>
          <w:cantSplit/>
        </w:trPr>
        <w:tc>
          <w:tcPr>
            <w:tcW w:w="186" w:type="pct"/>
            <w:tcBorders>
              <w:top w:val="single" w:sz="4" w:space="0" w:color="auto"/>
              <w:left w:val="single" w:sz="4" w:space="0" w:color="auto"/>
              <w:bottom w:val="single" w:sz="4" w:space="0" w:color="auto"/>
              <w:right w:val="single" w:sz="4" w:space="0" w:color="auto"/>
            </w:tcBorders>
            <w:hideMark/>
          </w:tcPr>
          <w:p w14:paraId="5827177E" w14:textId="77777777" w:rsidR="00B15DCB" w:rsidRPr="00A41F07" w:rsidRDefault="00B15DCB">
            <w:pPr>
              <w:rPr>
                <w:szCs w:val="20"/>
              </w:rPr>
            </w:pPr>
            <w:r w:rsidRPr="00A41F07">
              <w:rPr>
                <w:szCs w:val="20"/>
              </w:rPr>
              <w:t>2.</w:t>
            </w:r>
          </w:p>
        </w:tc>
        <w:tc>
          <w:tcPr>
            <w:tcW w:w="572" w:type="pct"/>
            <w:tcBorders>
              <w:top w:val="single" w:sz="4" w:space="0" w:color="auto"/>
              <w:left w:val="single" w:sz="4" w:space="0" w:color="auto"/>
              <w:bottom w:val="single" w:sz="4" w:space="0" w:color="auto"/>
              <w:right w:val="single" w:sz="4" w:space="0" w:color="auto"/>
            </w:tcBorders>
            <w:hideMark/>
          </w:tcPr>
          <w:p w14:paraId="5827177F" w14:textId="77777777" w:rsidR="00A3687B" w:rsidRPr="00A41F07" w:rsidRDefault="00A3687B" w:rsidP="00A3687B">
            <w:pPr>
              <w:rPr>
                <w:rFonts w:cstheme="minorHAnsi"/>
                <w:szCs w:val="20"/>
              </w:rPr>
            </w:pPr>
            <w:r w:rsidRPr="00A41F07">
              <w:rPr>
                <w:rFonts w:cstheme="minorHAnsi"/>
                <w:szCs w:val="20"/>
              </w:rPr>
              <w:t xml:space="preserve">Retrospective single </w:t>
            </w:r>
            <w:r w:rsidR="00C41623" w:rsidRPr="00A41F07">
              <w:rPr>
                <w:rFonts w:cstheme="minorHAnsi"/>
                <w:szCs w:val="20"/>
              </w:rPr>
              <w:t>centre</w:t>
            </w:r>
            <w:r w:rsidRPr="00A41F07">
              <w:rPr>
                <w:rFonts w:cstheme="minorHAnsi"/>
                <w:szCs w:val="20"/>
              </w:rPr>
              <w:t xml:space="preserve"> study.</w:t>
            </w:r>
          </w:p>
          <w:p w14:paraId="58271780" w14:textId="77777777" w:rsidR="00B15DCB" w:rsidRPr="00A41F07" w:rsidRDefault="00B15DCB">
            <w:pPr>
              <w:rPr>
                <w:b/>
                <w:szCs w:val="20"/>
              </w:rPr>
            </w:pPr>
          </w:p>
        </w:tc>
        <w:tc>
          <w:tcPr>
            <w:tcW w:w="830" w:type="pct"/>
            <w:tcBorders>
              <w:top w:val="single" w:sz="4" w:space="0" w:color="auto"/>
              <w:left w:val="single" w:sz="4" w:space="0" w:color="auto"/>
              <w:bottom w:val="single" w:sz="4" w:space="0" w:color="auto"/>
              <w:right w:val="single" w:sz="4" w:space="0" w:color="auto"/>
            </w:tcBorders>
            <w:hideMark/>
          </w:tcPr>
          <w:p w14:paraId="58271781" w14:textId="77777777" w:rsidR="00A3687B" w:rsidRPr="00A41F07" w:rsidRDefault="00A3687B" w:rsidP="00A3687B">
            <w:pPr>
              <w:autoSpaceDE w:val="0"/>
              <w:autoSpaceDN w:val="0"/>
              <w:adjustRightInd w:val="0"/>
              <w:rPr>
                <w:rFonts w:cstheme="minorHAnsi"/>
                <w:szCs w:val="20"/>
              </w:rPr>
            </w:pPr>
            <w:r w:rsidRPr="00A41F07">
              <w:rPr>
                <w:rFonts w:cstheme="minorHAnsi"/>
                <w:szCs w:val="20"/>
              </w:rPr>
              <w:t>Capability of Capsule Endoscopy in Detecting Small Bowel Ulcers</w:t>
            </w:r>
            <w:r w:rsidR="00161E01" w:rsidRPr="00A41F07">
              <w:rPr>
                <w:rFonts w:cstheme="minorHAnsi"/>
                <w:szCs w:val="20"/>
              </w:rPr>
              <w:t>.</w:t>
            </w:r>
          </w:p>
          <w:p w14:paraId="58271782" w14:textId="77777777" w:rsidR="00A3687B" w:rsidRPr="00A41F07" w:rsidRDefault="00A3687B" w:rsidP="00A3687B">
            <w:pPr>
              <w:rPr>
                <w:rFonts w:cstheme="minorHAnsi"/>
                <w:szCs w:val="20"/>
              </w:rPr>
            </w:pPr>
          </w:p>
          <w:p w14:paraId="58271783" w14:textId="77777777" w:rsidR="00A3687B" w:rsidRPr="00A41F07" w:rsidRDefault="00A3687B" w:rsidP="00A3687B">
            <w:pPr>
              <w:rPr>
                <w:rFonts w:cstheme="minorHAnsi"/>
                <w:b/>
                <w:i/>
                <w:szCs w:val="20"/>
              </w:rPr>
            </w:pPr>
            <w:proofErr w:type="spellStart"/>
            <w:r w:rsidRPr="00A41F07">
              <w:rPr>
                <w:rFonts w:cstheme="minorHAnsi"/>
                <w:b/>
                <w:i/>
                <w:szCs w:val="20"/>
              </w:rPr>
              <w:t>Ersoy</w:t>
            </w:r>
            <w:proofErr w:type="spellEnd"/>
            <w:r w:rsidRPr="00A41F07">
              <w:rPr>
                <w:rFonts w:cstheme="minorHAnsi"/>
                <w:b/>
                <w:i/>
                <w:szCs w:val="20"/>
              </w:rPr>
              <w:t xml:space="preserve"> et al.</w:t>
            </w:r>
          </w:p>
          <w:p w14:paraId="58271784" w14:textId="77777777" w:rsidR="00B15DCB" w:rsidRPr="00A41F07" w:rsidRDefault="00B15DCB">
            <w:pPr>
              <w:rPr>
                <w:b/>
                <w:szCs w:val="20"/>
              </w:rPr>
            </w:pPr>
          </w:p>
        </w:tc>
        <w:tc>
          <w:tcPr>
            <w:tcW w:w="1474" w:type="pct"/>
            <w:tcBorders>
              <w:top w:val="single" w:sz="4" w:space="0" w:color="auto"/>
              <w:left w:val="single" w:sz="4" w:space="0" w:color="auto"/>
              <w:bottom w:val="single" w:sz="4" w:space="0" w:color="auto"/>
              <w:right w:val="single" w:sz="4" w:space="0" w:color="auto"/>
            </w:tcBorders>
            <w:hideMark/>
          </w:tcPr>
          <w:p w14:paraId="58271785" w14:textId="77777777" w:rsidR="00B15DCB" w:rsidRPr="00A41F07" w:rsidRDefault="00A3687B" w:rsidP="00C41623">
            <w:pPr>
              <w:jc w:val="both"/>
              <w:rPr>
                <w:b/>
                <w:szCs w:val="20"/>
              </w:rPr>
            </w:pPr>
            <w:r w:rsidRPr="00A41F07">
              <w:rPr>
                <w:rFonts w:cstheme="minorHAnsi"/>
                <w:szCs w:val="20"/>
              </w:rPr>
              <w:t>66 patients who had undergone normal upper and lower endoscopy and small bowel follow-through, CE revealed previously undiagnosed ulcer(s) in the small intestines of 22 patients. Final diagnoses in 22 patients were Crohn’s disease for 9 patients. Capsule endoscopy facilitated the detection and assessment of ulcerated mucosal lesions located in the small bowel.</w:t>
            </w:r>
          </w:p>
        </w:tc>
        <w:tc>
          <w:tcPr>
            <w:tcW w:w="1383" w:type="pct"/>
            <w:tcBorders>
              <w:top w:val="single" w:sz="4" w:space="0" w:color="auto"/>
              <w:left w:val="single" w:sz="4" w:space="0" w:color="auto"/>
              <w:bottom w:val="single" w:sz="4" w:space="0" w:color="auto"/>
              <w:right w:val="single" w:sz="4" w:space="0" w:color="auto"/>
            </w:tcBorders>
            <w:hideMark/>
          </w:tcPr>
          <w:p w14:paraId="58271786" w14:textId="77777777" w:rsidR="00B15DCB" w:rsidRPr="00A41F07" w:rsidRDefault="00742C65">
            <w:hyperlink r:id="rId37" w:history="1">
              <w:r w:rsidR="00E93CF5" w:rsidRPr="00A41F07">
                <w:rPr>
                  <w:rStyle w:val="Hyperlink"/>
                </w:rPr>
                <w:t>https://www.ncbi.nlm.nih.gov/pubmed/18536988</w:t>
              </w:r>
            </w:hyperlink>
          </w:p>
          <w:p w14:paraId="58271787" w14:textId="77777777" w:rsidR="00E93CF5" w:rsidRPr="00A41F07" w:rsidRDefault="00E93CF5">
            <w:pPr>
              <w:rPr>
                <w:b/>
                <w:szCs w:val="20"/>
              </w:rPr>
            </w:pPr>
          </w:p>
        </w:tc>
        <w:tc>
          <w:tcPr>
            <w:tcW w:w="555" w:type="pct"/>
            <w:tcBorders>
              <w:top w:val="single" w:sz="4" w:space="0" w:color="auto"/>
              <w:left w:val="single" w:sz="4" w:space="0" w:color="auto"/>
              <w:bottom w:val="single" w:sz="4" w:space="0" w:color="auto"/>
              <w:right w:val="single" w:sz="4" w:space="0" w:color="auto"/>
            </w:tcBorders>
            <w:hideMark/>
          </w:tcPr>
          <w:p w14:paraId="58271788" w14:textId="77777777" w:rsidR="00B15DCB" w:rsidRPr="00A41F07" w:rsidRDefault="00E93CF5">
            <w:pPr>
              <w:rPr>
                <w:b/>
                <w:szCs w:val="20"/>
              </w:rPr>
            </w:pPr>
            <w:r w:rsidRPr="00A41F07">
              <w:rPr>
                <w:rFonts w:cstheme="minorHAnsi"/>
                <w:szCs w:val="20"/>
              </w:rPr>
              <w:t>2009</w:t>
            </w:r>
          </w:p>
        </w:tc>
      </w:tr>
      <w:tr w:rsidR="00B15DCB" w:rsidRPr="00A41F07" w14:paraId="58271793" w14:textId="77777777" w:rsidTr="00EC385C">
        <w:trPr>
          <w:cantSplit/>
        </w:trPr>
        <w:tc>
          <w:tcPr>
            <w:tcW w:w="186" w:type="pct"/>
            <w:tcBorders>
              <w:top w:val="single" w:sz="4" w:space="0" w:color="auto"/>
              <w:left w:val="single" w:sz="4" w:space="0" w:color="auto"/>
              <w:bottom w:val="single" w:sz="4" w:space="0" w:color="auto"/>
              <w:right w:val="single" w:sz="4" w:space="0" w:color="auto"/>
            </w:tcBorders>
            <w:hideMark/>
          </w:tcPr>
          <w:p w14:paraId="5827178A" w14:textId="77777777" w:rsidR="00B15DCB" w:rsidRPr="00A41F07" w:rsidRDefault="00B15DCB">
            <w:pPr>
              <w:rPr>
                <w:szCs w:val="20"/>
              </w:rPr>
            </w:pPr>
            <w:r w:rsidRPr="00A41F07">
              <w:rPr>
                <w:szCs w:val="20"/>
              </w:rPr>
              <w:t>3.</w:t>
            </w:r>
          </w:p>
        </w:tc>
        <w:tc>
          <w:tcPr>
            <w:tcW w:w="572" w:type="pct"/>
            <w:tcBorders>
              <w:top w:val="single" w:sz="4" w:space="0" w:color="auto"/>
              <w:left w:val="single" w:sz="4" w:space="0" w:color="auto"/>
              <w:bottom w:val="single" w:sz="4" w:space="0" w:color="auto"/>
              <w:right w:val="single" w:sz="4" w:space="0" w:color="auto"/>
            </w:tcBorders>
            <w:hideMark/>
          </w:tcPr>
          <w:p w14:paraId="5827178B" w14:textId="77777777" w:rsidR="00A3687B" w:rsidRPr="00A41F07" w:rsidRDefault="00A3687B" w:rsidP="00A3687B">
            <w:pPr>
              <w:autoSpaceDE w:val="0"/>
              <w:autoSpaceDN w:val="0"/>
              <w:adjustRightInd w:val="0"/>
              <w:rPr>
                <w:rFonts w:cstheme="minorHAnsi"/>
                <w:szCs w:val="20"/>
              </w:rPr>
            </w:pPr>
            <w:r w:rsidRPr="00A41F07">
              <w:rPr>
                <w:rFonts w:cstheme="minorHAnsi"/>
                <w:szCs w:val="20"/>
              </w:rPr>
              <w:t xml:space="preserve">Retrospective single </w:t>
            </w:r>
            <w:r w:rsidR="00DE2B77" w:rsidRPr="00A41F07">
              <w:rPr>
                <w:rFonts w:cstheme="minorHAnsi"/>
                <w:szCs w:val="20"/>
              </w:rPr>
              <w:t>centre (</w:t>
            </w:r>
            <w:r w:rsidRPr="00A41F07">
              <w:rPr>
                <w:rFonts w:cstheme="minorHAnsi"/>
                <w:szCs w:val="20"/>
              </w:rPr>
              <w:t>diagnostic accuracy) study.</w:t>
            </w:r>
          </w:p>
          <w:p w14:paraId="5827178C" w14:textId="77777777" w:rsidR="00B15DCB" w:rsidRPr="00A41F07" w:rsidRDefault="00B15DCB">
            <w:pPr>
              <w:rPr>
                <w:b/>
                <w:szCs w:val="20"/>
              </w:rPr>
            </w:pPr>
          </w:p>
        </w:tc>
        <w:tc>
          <w:tcPr>
            <w:tcW w:w="830" w:type="pct"/>
            <w:tcBorders>
              <w:top w:val="single" w:sz="4" w:space="0" w:color="auto"/>
              <w:left w:val="single" w:sz="4" w:space="0" w:color="auto"/>
              <w:bottom w:val="single" w:sz="4" w:space="0" w:color="auto"/>
              <w:right w:val="single" w:sz="4" w:space="0" w:color="auto"/>
            </w:tcBorders>
            <w:hideMark/>
          </w:tcPr>
          <w:p w14:paraId="5827178D" w14:textId="77777777" w:rsidR="00A3687B" w:rsidRPr="00A41F07" w:rsidRDefault="00A3687B" w:rsidP="00C41623">
            <w:pPr>
              <w:pStyle w:val="Heading1"/>
              <w:shd w:val="clear" w:color="auto" w:fill="FFFFFF"/>
              <w:spacing w:before="90" w:after="90" w:line="270" w:lineRule="atLeast"/>
              <w:outlineLvl w:val="0"/>
              <w:rPr>
                <w:rFonts w:cstheme="minorHAnsi"/>
                <w:bCs w:val="0"/>
                <w:color w:val="auto"/>
                <w:sz w:val="20"/>
                <w:szCs w:val="20"/>
              </w:rPr>
            </w:pPr>
            <w:r w:rsidRPr="00A41F07">
              <w:rPr>
                <w:rFonts w:cstheme="minorHAnsi"/>
                <w:bCs w:val="0"/>
                <w:color w:val="auto"/>
                <w:sz w:val="20"/>
                <w:szCs w:val="20"/>
              </w:rPr>
              <w:t>Small-bowel capsule endoscopy in patients with suspected Crohn's disease-diagnostic value and complications</w:t>
            </w:r>
          </w:p>
          <w:p w14:paraId="5827178E" w14:textId="77777777" w:rsidR="00B15DCB" w:rsidRPr="00A41F07" w:rsidRDefault="00A3687B" w:rsidP="00A3687B">
            <w:pPr>
              <w:autoSpaceDE w:val="0"/>
              <w:autoSpaceDN w:val="0"/>
              <w:adjustRightInd w:val="0"/>
              <w:rPr>
                <w:rFonts w:cstheme="minorHAnsi"/>
                <w:b/>
                <w:i/>
                <w:szCs w:val="20"/>
              </w:rPr>
            </w:pPr>
            <w:proofErr w:type="spellStart"/>
            <w:r w:rsidRPr="00A41F07">
              <w:rPr>
                <w:rFonts w:cstheme="minorHAnsi"/>
                <w:b/>
                <w:i/>
                <w:szCs w:val="20"/>
              </w:rPr>
              <w:t>Figueiredo</w:t>
            </w:r>
            <w:proofErr w:type="spellEnd"/>
            <w:r w:rsidRPr="00A41F07">
              <w:rPr>
                <w:rFonts w:cstheme="minorHAnsi"/>
                <w:b/>
                <w:i/>
                <w:szCs w:val="20"/>
              </w:rPr>
              <w:t xml:space="preserve"> et al.</w:t>
            </w:r>
          </w:p>
        </w:tc>
        <w:tc>
          <w:tcPr>
            <w:tcW w:w="1474" w:type="pct"/>
            <w:tcBorders>
              <w:top w:val="single" w:sz="4" w:space="0" w:color="auto"/>
              <w:left w:val="single" w:sz="4" w:space="0" w:color="auto"/>
              <w:bottom w:val="single" w:sz="4" w:space="0" w:color="auto"/>
              <w:right w:val="single" w:sz="4" w:space="0" w:color="auto"/>
            </w:tcBorders>
            <w:hideMark/>
          </w:tcPr>
          <w:p w14:paraId="5827178F" w14:textId="77777777" w:rsidR="00B15DCB" w:rsidRPr="00A41F07" w:rsidRDefault="00E93CF5" w:rsidP="00282A6B">
            <w:pPr>
              <w:autoSpaceDE w:val="0"/>
              <w:autoSpaceDN w:val="0"/>
              <w:adjustRightInd w:val="0"/>
              <w:rPr>
                <w:rFonts w:cstheme="minorHAnsi"/>
                <w:szCs w:val="20"/>
              </w:rPr>
            </w:pPr>
            <w:r w:rsidRPr="00A41F07">
              <w:rPr>
                <w:rFonts w:cstheme="minorHAnsi"/>
                <w:szCs w:val="20"/>
              </w:rPr>
              <w:t xml:space="preserve">Seventy eight patients clinically suspected CD were included. </w:t>
            </w:r>
            <w:r w:rsidR="00282A6B" w:rsidRPr="00A41F07">
              <w:rPr>
                <w:rFonts w:cstheme="minorHAnsi"/>
                <w:szCs w:val="20"/>
              </w:rPr>
              <w:t xml:space="preserve">Mean age 37 years, 68% female. </w:t>
            </w:r>
            <w:r w:rsidRPr="00A41F07">
              <w:rPr>
                <w:rFonts w:cstheme="minorHAnsi"/>
                <w:szCs w:val="20"/>
              </w:rPr>
              <w:t>C+IL (either negative for CD or failed ileoscopy), blood tests, some patients had SBFT, CT or enteroclysis.</w:t>
            </w:r>
          </w:p>
        </w:tc>
        <w:tc>
          <w:tcPr>
            <w:tcW w:w="1383" w:type="pct"/>
            <w:tcBorders>
              <w:top w:val="single" w:sz="4" w:space="0" w:color="auto"/>
              <w:left w:val="single" w:sz="4" w:space="0" w:color="auto"/>
              <w:bottom w:val="single" w:sz="4" w:space="0" w:color="auto"/>
              <w:right w:val="single" w:sz="4" w:space="0" w:color="auto"/>
            </w:tcBorders>
            <w:hideMark/>
          </w:tcPr>
          <w:p w14:paraId="58271790" w14:textId="77777777" w:rsidR="00B15DCB" w:rsidRPr="00A41F07" w:rsidRDefault="00742C65">
            <w:hyperlink r:id="rId38" w:history="1">
              <w:r w:rsidR="00C41623" w:rsidRPr="00A41F07">
                <w:rPr>
                  <w:rStyle w:val="Hyperlink"/>
                </w:rPr>
                <w:t>https://www.ncbi.nlm.nih.gov/pmc/articles/PMC2929590/</w:t>
              </w:r>
            </w:hyperlink>
          </w:p>
          <w:p w14:paraId="58271791" w14:textId="77777777" w:rsidR="00C41623" w:rsidRPr="00A41F07" w:rsidRDefault="00C41623">
            <w:pPr>
              <w:rPr>
                <w:b/>
                <w:szCs w:val="20"/>
              </w:rPr>
            </w:pPr>
          </w:p>
        </w:tc>
        <w:tc>
          <w:tcPr>
            <w:tcW w:w="555" w:type="pct"/>
            <w:tcBorders>
              <w:top w:val="single" w:sz="4" w:space="0" w:color="auto"/>
              <w:left w:val="single" w:sz="4" w:space="0" w:color="auto"/>
              <w:bottom w:val="single" w:sz="4" w:space="0" w:color="auto"/>
              <w:right w:val="single" w:sz="4" w:space="0" w:color="auto"/>
            </w:tcBorders>
            <w:hideMark/>
          </w:tcPr>
          <w:p w14:paraId="58271792" w14:textId="77777777" w:rsidR="00B15DCB" w:rsidRPr="00A41F07" w:rsidRDefault="003B7ADF">
            <w:pPr>
              <w:rPr>
                <w:b/>
                <w:szCs w:val="20"/>
              </w:rPr>
            </w:pPr>
            <w:r w:rsidRPr="00A41F07">
              <w:t>2010</w:t>
            </w:r>
          </w:p>
        </w:tc>
      </w:tr>
      <w:tr w:rsidR="007804CA" w:rsidRPr="00A41F07" w14:paraId="5827179C" w14:textId="77777777" w:rsidTr="00EC385C">
        <w:trPr>
          <w:cantSplit/>
        </w:trPr>
        <w:tc>
          <w:tcPr>
            <w:tcW w:w="186" w:type="pct"/>
            <w:tcBorders>
              <w:top w:val="single" w:sz="4" w:space="0" w:color="auto"/>
              <w:left w:val="single" w:sz="4" w:space="0" w:color="auto"/>
              <w:bottom w:val="single" w:sz="4" w:space="0" w:color="auto"/>
              <w:right w:val="single" w:sz="4" w:space="0" w:color="auto"/>
            </w:tcBorders>
            <w:hideMark/>
          </w:tcPr>
          <w:p w14:paraId="58271794" w14:textId="77777777" w:rsidR="007804CA" w:rsidRPr="00A41F07" w:rsidRDefault="007804CA">
            <w:pPr>
              <w:rPr>
                <w:szCs w:val="20"/>
              </w:rPr>
            </w:pPr>
            <w:r w:rsidRPr="00A41F07">
              <w:rPr>
                <w:szCs w:val="20"/>
              </w:rPr>
              <w:lastRenderedPageBreak/>
              <w:t>4.</w:t>
            </w:r>
          </w:p>
        </w:tc>
        <w:tc>
          <w:tcPr>
            <w:tcW w:w="572" w:type="pct"/>
            <w:tcBorders>
              <w:top w:val="single" w:sz="4" w:space="0" w:color="auto"/>
              <w:left w:val="single" w:sz="4" w:space="0" w:color="auto"/>
              <w:bottom w:val="single" w:sz="4" w:space="0" w:color="auto"/>
              <w:right w:val="single" w:sz="4" w:space="0" w:color="auto"/>
            </w:tcBorders>
            <w:hideMark/>
          </w:tcPr>
          <w:p w14:paraId="58271795" w14:textId="77777777" w:rsidR="007804CA" w:rsidRPr="00A41F07" w:rsidRDefault="007804CA" w:rsidP="00161E01">
            <w:pPr>
              <w:autoSpaceDE w:val="0"/>
              <w:autoSpaceDN w:val="0"/>
              <w:adjustRightInd w:val="0"/>
              <w:rPr>
                <w:rFonts w:cstheme="minorHAnsi"/>
                <w:szCs w:val="20"/>
              </w:rPr>
            </w:pPr>
            <w:r w:rsidRPr="00A41F07">
              <w:rPr>
                <w:rFonts w:cstheme="minorHAnsi"/>
                <w:szCs w:val="20"/>
              </w:rPr>
              <w:t>Prospective, consecutive (diagnostic accuracy) single centre study.</w:t>
            </w:r>
          </w:p>
        </w:tc>
        <w:tc>
          <w:tcPr>
            <w:tcW w:w="830" w:type="pct"/>
            <w:tcBorders>
              <w:top w:val="single" w:sz="4" w:space="0" w:color="auto"/>
              <w:left w:val="single" w:sz="4" w:space="0" w:color="auto"/>
              <w:bottom w:val="single" w:sz="4" w:space="0" w:color="auto"/>
              <w:right w:val="single" w:sz="4" w:space="0" w:color="auto"/>
            </w:tcBorders>
            <w:hideMark/>
          </w:tcPr>
          <w:p w14:paraId="58271796" w14:textId="77777777" w:rsidR="007804CA" w:rsidRPr="00A41F07" w:rsidRDefault="007804CA" w:rsidP="00CC3E73">
            <w:pPr>
              <w:autoSpaceDE w:val="0"/>
              <w:autoSpaceDN w:val="0"/>
              <w:adjustRightInd w:val="0"/>
              <w:jc w:val="both"/>
              <w:rPr>
                <w:rFonts w:cstheme="minorHAnsi"/>
                <w:szCs w:val="20"/>
              </w:rPr>
            </w:pPr>
            <w:r w:rsidRPr="00A41F07">
              <w:rPr>
                <w:rFonts w:cstheme="minorHAnsi"/>
                <w:szCs w:val="20"/>
              </w:rPr>
              <w:t>Diagnosis of small bowel Crohn’s disease: a prospective comparison of capsule endoscopy with magnetic resonance imaging and fluoroscopic Enteroclysis</w:t>
            </w:r>
          </w:p>
          <w:p w14:paraId="58271797" w14:textId="77777777" w:rsidR="007804CA" w:rsidRPr="00A41F07" w:rsidRDefault="007804CA" w:rsidP="007804CA">
            <w:pPr>
              <w:rPr>
                <w:b/>
                <w:szCs w:val="20"/>
              </w:rPr>
            </w:pPr>
            <w:r w:rsidRPr="00A41F07">
              <w:rPr>
                <w:rFonts w:cstheme="minorHAnsi"/>
                <w:b/>
                <w:i/>
                <w:szCs w:val="20"/>
              </w:rPr>
              <w:t>Albert et al.</w:t>
            </w:r>
          </w:p>
        </w:tc>
        <w:tc>
          <w:tcPr>
            <w:tcW w:w="1474" w:type="pct"/>
            <w:tcBorders>
              <w:top w:val="single" w:sz="4" w:space="0" w:color="auto"/>
              <w:left w:val="single" w:sz="4" w:space="0" w:color="auto"/>
              <w:bottom w:val="single" w:sz="4" w:space="0" w:color="auto"/>
              <w:right w:val="single" w:sz="4" w:space="0" w:color="auto"/>
            </w:tcBorders>
            <w:hideMark/>
          </w:tcPr>
          <w:p w14:paraId="58271798" w14:textId="77777777" w:rsidR="007804CA" w:rsidRPr="00A41F07" w:rsidRDefault="007804CA" w:rsidP="0002340D">
            <w:pPr>
              <w:autoSpaceDE w:val="0"/>
              <w:autoSpaceDN w:val="0"/>
              <w:adjustRightInd w:val="0"/>
              <w:jc w:val="both"/>
              <w:rPr>
                <w:rFonts w:cstheme="minorHAnsi"/>
                <w:szCs w:val="20"/>
              </w:rPr>
            </w:pPr>
            <w:r w:rsidRPr="00A41F07">
              <w:rPr>
                <w:rFonts w:cstheme="minorHAnsi"/>
                <w:szCs w:val="20"/>
              </w:rPr>
              <w:t>CE compared with MRI and</w:t>
            </w:r>
            <w:r w:rsidR="0002340D" w:rsidRPr="00A41F07">
              <w:rPr>
                <w:rFonts w:cstheme="minorHAnsi"/>
                <w:szCs w:val="20"/>
              </w:rPr>
              <w:t xml:space="preserve"> </w:t>
            </w:r>
            <w:r w:rsidR="0002340D" w:rsidRPr="00A41F07">
              <w:rPr>
                <w:color w:val="000000"/>
                <w:shd w:val="clear" w:color="auto" w:fill="FFFFFF"/>
              </w:rPr>
              <w:t>small bowel enteroclysis</w:t>
            </w:r>
            <w:r w:rsidRPr="00A41F07">
              <w:rPr>
                <w:rFonts w:cstheme="minorHAnsi"/>
                <w:szCs w:val="20"/>
              </w:rPr>
              <w:t>. 25 patients with newly suspected CD in which the work-up did not establish a diagnosis other than CD included. Mean age 37 years (m) or 40 years (f), 75% female. Combined diagnostic endpoint of all imaging methods and diagnosis at follow-up</w:t>
            </w:r>
            <w:r w:rsidR="00381496" w:rsidRPr="00A41F07">
              <w:rPr>
                <w:rFonts w:cstheme="minorHAnsi"/>
                <w:szCs w:val="20"/>
              </w:rPr>
              <w:t>.</w:t>
            </w:r>
          </w:p>
        </w:tc>
        <w:tc>
          <w:tcPr>
            <w:tcW w:w="1383" w:type="pct"/>
            <w:tcBorders>
              <w:top w:val="single" w:sz="4" w:space="0" w:color="auto"/>
              <w:left w:val="single" w:sz="4" w:space="0" w:color="auto"/>
              <w:bottom w:val="single" w:sz="4" w:space="0" w:color="auto"/>
              <w:right w:val="single" w:sz="4" w:space="0" w:color="auto"/>
            </w:tcBorders>
            <w:hideMark/>
          </w:tcPr>
          <w:p w14:paraId="58271799" w14:textId="77777777" w:rsidR="007804CA" w:rsidRPr="00A41F07" w:rsidRDefault="00742C65">
            <w:hyperlink r:id="rId39" w:history="1">
              <w:r w:rsidR="00A66B57" w:rsidRPr="00A41F07">
                <w:rPr>
                  <w:rStyle w:val="Hyperlink"/>
                </w:rPr>
                <w:t>https://www.ncbi.nlm.nih.gov/pubmed/16020490</w:t>
              </w:r>
            </w:hyperlink>
          </w:p>
          <w:p w14:paraId="5827179A" w14:textId="77777777" w:rsidR="00A66B57" w:rsidRPr="00A41F07" w:rsidRDefault="00A66B57">
            <w:pPr>
              <w:rPr>
                <w:b/>
                <w:szCs w:val="20"/>
              </w:rPr>
            </w:pPr>
          </w:p>
        </w:tc>
        <w:tc>
          <w:tcPr>
            <w:tcW w:w="555" w:type="pct"/>
            <w:tcBorders>
              <w:top w:val="single" w:sz="4" w:space="0" w:color="auto"/>
              <w:left w:val="single" w:sz="4" w:space="0" w:color="auto"/>
              <w:bottom w:val="single" w:sz="4" w:space="0" w:color="auto"/>
              <w:right w:val="single" w:sz="4" w:space="0" w:color="auto"/>
            </w:tcBorders>
            <w:hideMark/>
          </w:tcPr>
          <w:p w14:paraId="5827179B" w14:textId="77777777" w:rsidR="007804CA" w:rsidRPr="00A41F07" w:rsidRDefault="00A66B57">
            <w:pPr>
              <w:rPr>
                <w:b/>
                <w:szCs w:val="20"/>
              </w:rPr>
            </w:pPr>
            <w:r w:rsidRPr="00A41F07">
              <w:t>2005</w:t>
            </w:r>
          </w:p>
        </w:tc>
      </w:tr>
      <w:tr w:rsidR="007804CA" w:rsidRPr="00A41F07" w14:paraId="582717A5" w14:textId="77777777" w:rsidTr="00EC385C">
        <w:trPr>
          <w:cantSplit/>
        </w:trPr>
        <w:tc>
          <w:tcPr>
            <w:tcW w:w="186" w:type="pct"/>
            <w:tcBorders>
              <w:top w:val="single" w:sz="4" w:space="0" w:color="auto"/>
              <w:left w:val="single" w:sz="4" w:space="0" w:color="auto"/>
              <w:bottom w:val="single" w:sz="4" w:space="0" w:color="auto"/>
              <w:right w:val="single" w:sz="4" w:space="0" w:color="auto"/>
            </w:tcBorders>
            <w:hideMark/>
          </w:tcPr>
          <w:p w14:paraId="5827179D" w14:textId="77777777" w:rsidR="007804CA" w:rsidRPr="00A41F07" w:rsidRDefault="007804CA">
            <w:pPr>
              <w:rPr>
                <w:szCs w:val="20"/>
              </w:rPr>
            </w:pPr>
            <w:r w:rsidRPr="00A41F07">
              <w:rPr>
                <w:szCs w:val="20"/>
              </w:rPr>
              <w:t>5.</w:t>
            </w:r>
          </w:p>
        </w:tc>
        <w:tc>
          <w:tcPr>
            <w:tcW w:w="572" w:type="pct"/>
            <w:tcBorders>
              <w:top w:val="single" w:sz="4" w:space="0" w:color="auto"/>
              <w:left w:val="single" w:sz="4" w:space="0" w:color="auto"/>
              <w:bottom w:val="single" w:sz="4" w:space="0" w:color="auto"/>
              <w:right w:val="single" w:sz="4" w:space="0" w:color="auto"/>
            </w:tcBorders>
            <w:hideMark/>
          </w:tcPr>
          <w:p w14:paraId="5827179E" w14:textId="77777777" w:rsidR="007804CA" w:rsidRPr="00A41F07" w:rsidRDefault="00470698" w:rsidP="00470698">
            <w:pPr>
              <w:autoSpaceDE w:val="0"/>
              <w:autoSpaceDN w:val="0"/>
              <w:adjustRightInd w:val="0"/>
              <w:rPr>
                <w:rFonts w:cstheme="minorHAnsi"/>
                <w:szCs w:val="20"/>
              </w:rPr>
            </w:pPr>
            <w:r w:rsidRPr="00A41F07">
              <w:rPr>
                <w:rFonts w:cstheme="minorHAnsi"/>
                <w:szCs w:val="20"/>
              </w:rPr>
              <w:t>Prospective single centre study.</w:t>
            </w:r>
          </w:p>
        </w:tc>
        <w:tc>
          <w:tcPr>
            <w:tcW w:w="830" w:type="pct"/>
            <w:tcBorders>
              <w:top w:val="single" w:sz="4" w:space="0" w:color="auto"/>
              <w:left w:val="single" w:sz="4" w:space="0" w:color="auto"/>
              <w:bottom w:val="single" w:sz="4" w:space="0" w:color="auto"/>
              <w:right w:val="single" w:sz="4" w:space="0" w:color="auto"/>
            </w:tcBorders>
            <w:hideMark/>
          </w:tcPr>
          <w:p w14:paraId="5827179F" w14:textId="77777777" w:rsidR="00470698" w:rsidRPr="00A41F07" w:rsidRDefault="00470698" w:rsidP="00470698">
            <w:pPr>
              <w:autoSpaceDE w:val="0"/>
              <w:autoSpaceDN w:val="0"/>
              <w:adjustRightInd w:val="0"/>
              <w:rPr>
                <w:rFonts w:cstheme="minorHAnsi"/>
                <w:szCs w:val="20"/>
              </w:rPr>
            </w:pPr>
            <w:r w:rsidRPr="00A41F07">
              <w:rPr>
                <w:rFonts w:cstheme="minorHAnsi"/>
                <w:szCs w:val="20"/>
              </w:rPr>
              <w:t>MR enterography versus capsule endoscopy in paediatric patients with suspected Crohn’s disease.</w:t>
            </w:r>
          </w:p>
          <w:p w14:paraId="582717A0" w14:textId="77777777" w:rsidR="007804CA" w:rsidRPr="00A41F07" w:rsidRDefault="00470698" w:rsidP="00470698">
            <w:pPr>
              <w:rPr>
                <w:b/>
                <w:szCs w:val="20"/>
              </w:rPr>
            </w:pPr>
            <w:proofErr w:type="spellStart"/>
            <w:r w:rsidRPr="00A41F07">
              <w:rPr>
                <w:rFonts w:cstheme="minorHAnsi"/>
                <w:b/>
                <w:i/>
                <w:szCs w:val="20"/>
              </w:rPr>
              <w:t>Casciani</w:t>
            </w:r>
            <w:proofErr w:type="spellEnd"/>
            <w:r w:rsidRPr="00A41F07">
              <w:rPr>
                <w:rFonts w:cstheme="minorHAnsi"/>
                <w:b/>
                <w:i/>
                <w:szCs w:val="20"/>
              </w:rPr>
              <w:t xml:space="preserve"> et al.</w:t>
            </w:r>
          </w:p>
        </w:tc>
        <w:tc>
          <w:tcPr>
            <w:tcW w:w="1474" w:type="pct"/>
            <w:tcBorders>
              <w:top w:val="single" w:sz="4" w:space="0" w:color="auto"/>
              <w:left w:val="single" w:sz="4" w:space="0" w:color="auto"/>
              <w:bottom w:val="single" w:sz="4" w:space="0" w:color="auto"/>
              <w:right w:val="single" w:sz="4" w:space="0" w:color="auto"/>
            </w:tcBorders>
            <w:hideMark/>
          </w:tcPr>
          <w:p w14:paraId="582717A1" w14:textId="77777777" w:rsidR="007804CA" w:rsidRPr="00A41F07" w:rsidRDefault="00470698" w:rsidP="00470698">
            <w:pPr>
              <w:autoSpaceDE w:val="0"/>
              <w:autoSpaceDN w:val="0"/>
              <w:adjustRightInd w:val="0"/>
              <w:jc w:val="both"/>
              <w:rPr>
                <w:rFonts w:cstheme="minorHAnsi"/>
                <w:szCs w:val="20"/>
              </w:rPr>
            </w:pPr>
            <w:r w:rsidRPr="00A41F07">
              <w:rPr>
                <w:rFonts w:cstheme="minorHAnsi"/>
                <w:szCs w:val="20"/>
              </w:rPr>
              <w:t>CE compared with MRE. 60 paediatric patients with suspected CD (≥1 symptom and one biochemical sign of systemic inflammation) in included. Mean age 14 years, 40% female. Prior tests: C+IL (not necessarily n</w:t>
            </w:r>
            <w:r w:rsidR="00381496" w:rsidRPr="00A41F07">
              <w:rPr>
                <w:rFonts w:cstheme="minorHAnsi"/>
                <w:szCs w:val="20"/>
              </w:rPr>
              <w:t xml:space="preserve">egative for CD), EGD, positive </w:t>
            </w:r>
            <w:r w:rsidRPr="00A41F07">
              <w:rPr>
                <w:rFonts w:cstheme="minorHAnsi"/>
                <w:szCs w:val="20"/>
              </w:rPr>
              <w:t>blood tests or inflammatory markers</w:t>
            </w:r>
            <w:r w:rsidR="00381496" w:rsidRPr="00A41F07">
              <w:rPr>
                <w:rFonts w:cstheme="minorHAnsi"/>
                <w:szCs w:val="20"/>
              </w:rPr>
              <w:t>.</w:t>
            </w:r>
          </w:p>
        </w:tc>
        <w:tc>
          <w:tcPr>
            <w:tcW w:w="1383" w:type="pct"/>
            <w:tcBorders>
              <w:top w:val="single" w:sz="4" w:space="0" w:color="auto"/>
              <w:left w:val="single" w:sz="4" w:space="0" w:color="auto"/>
              <w:bottom w:val="single" w:sz="4" w:space="0" w:color="auto"/>
              <w:right w:val="single" w:sz="4" w:space="0" w:color="auto"/>
            </w:tcBorders>
            <w:hideMark/>
          </w:tcPr>
          <w:p w14:paraId="582717A2" w14:textId="77777777" w:rsidR="007804CA" w:rsidRPr="00A41F07" w:rsidRDefault="00742C65">
            <w:hyperlink r:id="rId40" w:history="1">
              <w:r w:rsidR="00201D83" w:rsidRPr="00A41F07">
                <w:rPr>
                  <w:rStyle w:val="Hyperlink"/>
                </w:rPr>
                <w:t>https://www.ncbi.nlm.nih.gov/pubmed/20922391</w:t>
              </w:r>
            </w:hyperlink>
          </w:p>
          <w:p w14:paraId="582717A3" w14:textId="77777777" w:rsidR="00201D83" w:rsidRPr="00A41F07" w:rsidRDefault="00201D83">
            <w:pPr>
              <w:rPr>
                <w:b/>
                <w:szCs w:val="20"/>
              </w:rPr>
            </w:pPr>
          </w:p>
        </w:tc>
        <w:tc>
          <w:tcPr>
            <w:tcW w:w="555" w:type="pct"/>
            <w:tcBorders>
              <w:top w:val="single" w:sz="4" w:space="0" w:color="auto"/>
              <w:left w:val="single" w:sz="4" w:space="0" w:color="auto"/>
              <w:bottom w:val="single" w:sz="4" w:space="0" w:color="auto"/>
              <w:right w:val="single" w:sz="4" w:space="0" w:color="auto"/>
            </w:tcBorders>
            <w:hideMark/>
          </w:tcPr>
          <w:p w14:paraId="582717A4" w14:textId="77777777" w:rsidR="007804CA" w:rsidRPr="00A41F07" w:rsidRDefault="00201D83">
            <w:pPr>
              <w:rPr>
                <w:b/>
                <w:szCs w:val="20"/>
              </w:rPr>
            </w:pPr>
            <w:r w:rsidRPr="00A41F07">
              <w:t>2011</w:t>
            </w:r>
          </w:p>
        </w:tc>
      </w:tr>
      <w:tr w:rsidR="002D0F9D" w:rsidRPr="00A41F07" w14:paraId="582717B0"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A6" w14:textId="77777777" w:rsidR="002D0F9D" w:rsidRPr="00A41F07" w:rsidRDefault="002D0F9D">
            <w:pPr>
              <w:rPr>
                <w:szCs w:val="20"/>
              </w:rPr>
            </w:pPr>
            <w:r w:rsidRPr="00A41F07">
              <w:rPr>
                <w:szCs w:val="20"/>
              </w:rPr>
              <w:t>6.</w:t>
            </w:r>
          </w:p>
        </w:tc>
        <w:tc>
          <w:tcPr>
            <w:tcW w:w="572" w:type="pct"/>
            <w:tcBorders>
              <w:top w:val="single" w:sz="4" w:space="0" w:color="auto"/>
              <w:left w:val="single" w:sz="4" w:space="0" w:color="auto"/>
              <w:bottom w:val="single" w:sz="4" w:space="0" w:color="auto"/>
              <w:right w:val="single" w:sz="4" w:space="0" w:color="auto"/>
            </w:tcBorders>
          </w:tcPr>
          <w:p w14:paraId="582717A7" w14:textId="77777777" w:rsidR="002D0F9D" w:rsidRPr="00A41F07" w:rsidRDefault="002D0F9D" w:rsidP="00EE0556">
            <w:pPr>
              <w:rPr>
                <w:rFonts w:cstheme="minorHAnsi"/>
                <w:szCs w:val="20"/>
              </w:rPr>
            </w:pPr>
            <w:r w:rsidRPr="00A41F07">
              <w:rPr>
                <w:rFonts w:cstheme="minorHAnsi"/>
                <w:szCs w:val="20"/>
              </w:rPr>
              <w:t>Retrospective single centre (diagnostic accuracy) study</w:t>
            </w:r>
            <w:r w:rsidR="0002340D" w:rsidRPr="00A41F07">
              <w:rPr>
                <w:rFonts w:cstheme="minorHAnsi"/>
                <w:szCs w:val="20"/>
              </w:rPr>
              <w:t>.</w:t>
            </w:r>
          </w:p>
          <w:p w14:paraId="582717A8" w14:textId="77777777" w:rsidR="002D0F9D" w:rsidRPr="00A41F07" w:rsidRDefault="002D0F9D" w:rsidP="00F03C1A">
            <w:pPr>
              <w:autoSpaceDE w:val="0"/>
              <w:autoSpaceDN w:val="0"/>
              <w:adjustRightInd w:val="0"/>
              <w:jc w:val="cente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A9" w14:textId="77777777" w:rsidR="002D0F9D" w:rsidRPr="00A41F07" w:rsidRDefault="002D0F9D" w:rsidP="00EE0556">
            <w:pPr>
              <w:autoSpaceDE w:val="0"/>
              <w:autoSpaceDN w:val="0"/>
              <w:adjustRightInd w:val="0"/>
              <w:jc w:val="both"/>
              <w:rPr>
                <w:rFonts w:cstheme="minorHAnsi"/>
                <w:szCs w:val="20"/>
              </w:rPr>
            </w:pPr>
            <w:r w:rsidRPr="00A41F07">
              <w:rPr>
                <w:rFonts w:cstheme="minorHAnsi"/>
                <w:szCs w:val="20"/>
              </w:rPr>
              <w:t xml:space="preserve">The Utility of Capsule Endoscopy in Patients With Suspected </w:t>
            </w:r>
            <w:r w:rsidR="00045E8F" w:rsidRPr="00A41F07">
              <w:rPr>
                <w:rFonts w:cstheme="minorHAnsi"/>
                <w:szCs w:val="20"/>
              </w:rPr>
              <w:t>Crohn’</w:t>
            </w:r>
            <w:r w:rsidRPr="00A41F07">
              <w:rPr>
                <w:rFonts w:cstheme="minorHAnsi"/>
                <w:szCs w:val="20"/>
              </w:rPr>
              <w:t>s Disease.</w:t>
            </w:r>
          </w:p>
          <w:p w14:paraId="582717AA" w14:textId="77777777" w:rsidR="002D0F9D" w:rsidRPr="00A41F07" w:rsidRDefault="0037294E" w:rsidP="00EE0556">
            <w:pPr>
              <w:autoSpaceDE w:val="0"/>
              <w:autoSpaceDN w:val="0"/>
              <w:adjustRightInd w:val="0"/>
              <w:rPr>
                <w:rFonts w:cstheme="minorHAnsi"/>
                <w:b/>
                <w:i/>
                <w:szCs w:val="20"/>
              </w:rPr>
            </w:pPr>
            <w:r>
              <w:rPr>
                <w:rFonts w:cstheme="minorHAnsi"/>
                <w:b/>
                <w:i/>
                <w:szCs w:val="20"/>
              </w:rPr>
              <w:t>Tukey e</w:t>
            </w:r>
            <w:r w:rsidR="002D0F9D" w:rsidRPr="00A41F07">
              <w:rPr>
                <w:rFonts w:cstheme="minorHAnsi"/>
                <w:b/>
                <w:i/>
                <w:szCs w:val="20"/>
              </w:rPr>
              <w:t>t al</w:t>
            </w:r>
          </w:p>
        </w:tc>
        <w:tc>
          <w:tcPr>
            <w:tcW w:w="1474" w:type="pct"/>
            <w:tcBorders>
              <w:top w:val="single" w:sz="4" w:space="0" w:color="auto"/>
              <w:left w:val="single" w:sz="4" w:space="0" w:color="auto"/>
              <w:bottom w:val="single" w:sz="4" w:space="0" w:color="auto"/>
              <w:right w:val="single" w:sz="4" w:space="0" w:color="auto"/>
            </w:tcBorders>
          </w:tcPr>
          <w:p w14:paraId="582717AB" w14:textId="77777777" w:rsidR="002D0F9D" w:rsidRPr="00A41F07" w:rsidRDefault="002D0F9D" w:rsidP="002A1DA4">
            <w:pPr>
              <w:autoSpaceDE w:val="0"/>
              <w:autoSpaceDN w:val="0"/>
              <w:adjustRightInd w:val="0"/>
              <w:jc w:val="both"/>
              <w:rPr>
                <w:rFonts w:cstheme="minorHAnsi"/>
                <w:szCs w:val="20"/>
              </w:rPr>
            </w:pPr>
            <w:r w:rsidRPr="00A41F07">
              <w:rPr>
                <w:rFonts w:cstheme="minorHAnsi"/>
                <w:szCs w:val="20"/>
              </w:rPr>
              <w:t>105 Adult patients evaluated by CE for suspected CD with normal or equivocal prior investigations. Mean age 50 years, 66% female. Prior tests: C+IL, SBFT or CT (all tests negative or equivocal for CD)</w:t>
            </w:r>
          </w:p>
        </w:tc>
        <w:tc>
          <w:tcPr>
            <w:tcW w:w="1383" w:type="pct"/>
            <w:tcBorders>
              <w:top w:val="single" w:sz="4" w:space="0" w:color="auto"/>
              <w:left w:val="single" w:sz="4" w:space="0" w:color="auto"/>
              <w:bottom w:val="single" w:sz="4" w:space="0" w:color="auto"/>
              <w:right w:val="single" w:sz="4" w:space="0" w:color="auto"/>
            </w:tcBorders>
          </w:tcPr>
          <w:p w14:paraId="582717AC" w14:textId="77777777" w:rsidR="002D0F9D" w:rsidRPr="00A41F07" w:rsidRDefault="00742C65" w:rsidP="002D0F9D">
            <w:hyperlink r:id="rId41" w:history="1">
              <w:r w:rsidR="002D0F9D" w:rsidRPr="00A41F07">
                <w:rPr>
                  <w:rStyle w:val="Hyperlink"/>
                </w:rPr>
                <w:t>https://www.ncbi.nlm.nih.gov/pubmed/19584828</w:t>
              </w:r>
            </w:hyperlink>
          </w:p>
          <w:p w14:paraId="582717AD" w14:textId="77777777" w:rsidR="002D0F9D" w:rsidRPr="00A41F07" w:rsidRDefault="002D0F9D" w:rsidP="002D0F9D">
            <w:pPr>
              <w:rPr>
                <w:rFonts w:cstheme="minorHAnsi"/>
                <w:szCs w:val="20"/>
              </w:rPr>
            </w:pPr>
          </w:p>
        </w:tc>
        <w:tc>
          <w:tcPr>
            <w:tcW w:w="555" w:type="pct"/>
            <w:tcBorders>
              <w:top w:val="single" w:sz="4" w:space="0" w:color="auto"/>
              <w:left w:val="single" w:sz="4" w:space="0" w:color="auto"/>
              <w:bottom w:val="single" w:sz="4" w:space="0" w:color="auto"/>
              <w:right w:val="single" w:sz="4" w:space="0" w:color="auto"/>
            </w:tcBorders>
          </w:tcPr>
          <w:p w14:paraId="582717AE" w14:textId="77777777" w:rsidR="002D0F9D" w:rsidRPr="00A41F07" w:rsidRDefault="002D0F9D">
            <w:r w:rsidRPr="00A41F07">
              <w:t>2009</w:t>
            </w:r>
          </w:p>
          <w:p w14:paraId="582717AF" w14:textId="77777777" w:rsidR="002D0F9D" w:rsidRPr="00A41F07" w:rsidRDefault="002D0F9D"/>
        </w:tc>
      </w:tr>
      <w:tr w:rsidR="00E04B2D" w:rsidRPr="00A41F07" w14:paraId="582717BB"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B1" w14:textId="77777777" w:rsidR="00E04B2D" w:rsidRPr="00A41F07" w:rsidRDefault="00E04B2D">
            <w:pPr>
              <w:rPr>
                <w:szCs w:val="20"/>
              </w:rPr>
            </w:pPr>
            <w:r w:rsidRPr="00A41F07">
              <w:rPr>
                <w:szCs w:val="20"/>
              </w:rPr>
              <w:lastRenderedPageBreak/>
              <w:t>7.</w:t>
            </w:r>
          </w:p>
        </w:tc>
        <w:tc>
          <w:tcPr>
            <w:tcW w:w="572" w:type="pct"/>
            <w:tcBorders>
              <w:top w:val="single" w:sz="4" w:space="0" w:color="auto"/>
              <w:left w:val="single" w:sz="4" w:space="0" w:color="auto"/>
              <w:bottom w:val="single" w:sz="4" w:space="0" w:color="auto"/>
              <w:right w:val="single" w:sz="4" w:space="0" w:color="auto"/>
            </w:tcBorders>
          </w:tcPr>
          <w:p w14:paraId="582717B2" w14:textId="77777777" w:rsidR="00E04B2D" w:rsidRPr="00A41F07" w:rsidRDefault="00E04B2D" w:rsidP="00E04B2D">
            <w:pPr>
              <w:autoSpaceDE w:val="0"/>
              <w:autoSpaceDN w:val="0"/>
              <w:adjustRightInd w:val="0"/>
              <w:rPr>
                <w:rFonts w:cstheme="minorHAnsi"/>
                <w:szCs w:val="20"/>
              </w:rPr>
            </w:pPr>
            <w:r w:rsidRPr="00A41F07">
              <w:rPr>
                <w:rFonts w:cstheme="minorHAnsi"/>
                <w:szCs w:val="20"/>
              </w:rPr>
              <w:t>Prospective, non-consecutive blinded diagnostic yield</w:t>
            </w:r>
            <w:r w:rsidR="00381496" w:rsidRPr="00A41F07">
              <w:rPr>
                <w:rFonts w:cstheme="minorHAnsi"/>
                <w:szCs w:val="20"/>
              </w:rPr>
              <w:t xml:space="preserve"> study.</w:t>
            </w:r>
          </w:p>
          <w:p w14:paraId="582717B3" w14:textId="77777777" w:rsidR="00E04B2D" w:rsidRPr="00A41F07" w:rsidRDefault="00E04B2D" w:rsidP="00EE0556">
            <w:pP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B4" w14:textId="77777777" w:rsidR="00E04B2D" w:rsidRPr="00A41F07" w:rsidRDefault="00E04B2D" w:rsidP="00E04B2D">
            <w:pPr>
              <w:autoSpaceDE w:val="0"/>
              <w:autoSpaceDN w:val="0"/>
              <w:adjustRightInd w:val="0"/>
              <w:jc w:val="both"/>
              <w:rPr>
                <w:rFonts w:cstheme="minorHAnsi"/>
                <w:szCs w:val="20"/>
              </w:rPr>
            </w:pPr>
            <w:r w:rsidRPr="00A41F07">
              <w:rPr>
                <w:rFonts w:cstheme="minorHAnsi"/>
                <w:szCs w:val="20"/>
              </w:rPr>
              <w:t xml:space="preserve">Capsule Endoscopy vs. push </w:t>
            </w:r>
            <w:proofErr w:type="spellStart"/>
            <w:r w:rsidR="00444961" w:rsidRPr="00A41F07">
              <w:rPr>
                <w:rFonts w:cstheme="minorHAnsi"/>
                <w:szCs w:val="20"/>
              </w:rPr>
              <w:t>enteroscopy</w:t>
            </w:r>
            <w:proofErr w:type="spellEnd"/>
            <w:r w:rsidR="00444961" w:rsidRPr="00A41F07">
              <w:rPr>
                <w:rFonts w:cstheme="minorHAnsi"/>
                <w:szCs w:val="20"/>
              </w:rPr>
              <w:t xml:space="preserve"> and</w:t>
            </w:r>
            <w:r w:rsidRPr="00A41F07">
              <w:rPr>
                <w:rFonts w:cstheme="minorHAnsi"/>
                <w:szCs w:val="20"/>
              </w:rPr>
              <w:t xml:space="preserve"> </w:t>
            </w:r>
            <w:proofErr w:type="spellStart"/>
            <w:r w:rsidRPr="00A41F07">
              <w:rPr>
                <w:rFonts w:cstheme="minorHAnsi"/>
                <w:szCs w:val="20"/>
              </w:rPr>
              <w:t>enterocylsis</w:t>
            </w:r>
            <w:proofErr w:type="spellEnd"/>
            <w:r w:rsidRPr="00A41F07">
              <w:rPr>
                <w:rFonts w:cstheme="minorHAnsi"/>
                <w:szCs w:val="20"/>
              </w:rPr>
              <w:t xml:space="preserve"> in suspected small bowel Crohn’s disease.</w:t>
            </w:r>
          </w:p>
          <w:p w14:paraId="582717B5" w14:textId="77777777" w:rsidR="00E04B2D" w:rsidRPr="00A41F07" w:rsidRDefault="00E04B2D" w:rsidP="00E04B2D">
            <w:pPr>
              <w:autoSpaceDE w:val="0"/>
              <w:autoSpaceDN w:val="0"/>
              <w:adjustRightInd w:val="0"/>
              <w:rPr>
                <w:rFonts w:cstheme="minorHAnsi"/>
                <w:szCs w:val="20"/>
              </w:rPr>
            </w:pPr>
            <w:r w:rsidRPr="00A41F07">
              <w:rPr>
                <w:rFonts w:cstheme="minorHAnsi"/>
                <w:b/>
                <w:i/>
                <w:szCs w:val="20"/>
              </w:rPr>
              <w:t>Chong et. al.</w:t>
            </w:r>
          </w:p>
          <w:p w14:paraId="582717B6" w14:textId="77777777" w:rsidR="00E04B2D" w:rsidRPr="00A41F07" w:rsidRDefault="00E04B2D" w:rsidP="00EE0556">
            <w:pPr>
              <w:autoSpaceDE w:val="0"/>
              <w:autoSpaceDN w:val="0"/>
              <w:adjustRightInd w:val="0"/>
              <w:jc w:val="both"/>
              <w:rPr>
                <w:rFonts w:cstheme="minorHAnsi"/>
                <w:szCs w:val="20"/>
              </w:rPr>
            </w:pPr>
          </w:p>
        </w:tc>
        <w:tc>
          <w:tcPr>
            <w:tcW w:w="1474" w:type="pct"/>
            <w:tcBorders>
              <w:top w:val="single" w:sz="4" w:space="0" w:color="auto"/>
              <w:left w:val="single" w:sz="4" w:space="0" w:color="auto"/>
              <w:bottom w:val="single" w:sz="4" w:space="0" w:color="auto"/>
              <w:right w:val="single" w:sz="4" w:space="0" w:color="auto"/>
            </w:tcBorders>
          </w:tcPr>
          <w:p w14:paraId="582717B7" w14:textId="77777777" w:rsidR="00E04B2D" w:rsidRPr="00A41F07" w:rsidRDefault="00E04B2D" w:rsidP="00E04B2D">
            <w:pPr>
              <w:autoSpaceDE w:val="0"/>
              <w:autoSpaceDN w:val="0"/>
              <w:adjustRightInd w:val="0"/>
              <w:jc w:val="both"/>
              <w:rPr>
                <w:rFonts w:cstheme="minorHAnsi"/>
                <w:szCs w:val="20"/>
              </w:rPr>
            </w:pPr>
            <w:r w:rsidRPr="00A41F07">
              <w:rPr>
                <w:rFonts w:cstheme="minorHAnsi"/>
                <w:szCs w:val="20"/>
              </w:rPr>
              <w:t xml:space="preserve">Twenty-two patients were known to have Crohn’s disease, and 21 were suspected to have SB CD. They were prospectively </w:t>
            </w:r>
            <w:r w:rsidR="005A40A9" w:rsidRPr="00A41F07">
              <w:rPr>
                <w:rFonts w:cstheme="minorHAnsi"/>
                <w:szCs w:val="20"/>
              </w:rPr>
              <w:t>evaluated with</w:t>
            </w:r>
            <w:r w:rsidRPr="00A41F07">
              <w:rPr>
                <w:rFonts w:cstheme="minorHAnsi"/>
                <w:szCs w:val="20"/>
              </w:rPr>
              <w:t xml:space="preserve"> </w:t>
            </w:r>
            <w:r w:rsidR="005A40A9" w:rsidRPr="00A41F07">
              <w:rPr>
                <w:rFonts w:cstheme="minorHAnsi"/>
                <w:szCs w:val="20"/>
              </w:rPr>
              <w:t>push enteroscopy</w:t>
            </w:r>
            <w:r w:rsidRPr="00A41F07">
              <w:rPr>
                <w:rFonts w:cstheme="minorHAnsi"/>
                <w:szCs w:val="20"/>
              </w:rPr>
              <w:t xml:space="preserve">, enteroclysis and capsule endoscopy. Capsule endoscopy had higher yield in </w:t>
            </w:r>
            <w:r w:rsidR="00EC4795" w:rsidRPr="00A41F07">
              <w:rPr>
                <w:rFonts w:cstheme="minorHAnsi"/>
                <w:szCs w:val="20"/>
              </w:rPr>
              <w:t>patients</w:t>
            </w:r>
            <w:r w:rsidRPr="00A41F07">
              <w:rPr>
                <w:rFonts w:cstheme="minorHAnsi"/>
                <w:szCs w:val="20"/>
              </w:rPr>
              <w:t xml:space="preserve"> with known CD. CE changed in management in the majority of these patients.</w:t>
            </w:r>
          </w:p>
        </w:tc>
        <w:tc>
          <w:tcPr>
            <w:tcW w:w="1383" w:type="pct"/>
            <w:tcBorders>
              <w:top w:val="single" w:sz="4" w:space="0" w:color="auto"/>
              <w:left w:val="single" w:sz="4" w:space="0" w:color="auto"/>
              <w:bottom w:val="single" w:sz="4" w:space="0" w:color="auto"/>
              <w:right w:val="single" w:sz="4" w:space="0" w:color="auto"/>
            </w:tcBorders>
          </w:tcPr>
          <w:p w14:paraId="582717B8" w14:textId="77777777" w:rsidR="00E04B2D" w:rsidRPr="00A41F07" w:rsidRDefault="00742C65" w:rsidP="00DD1E38">
            <w:pPr>
              <w:rPr>
                <w:sz w:val="22"/>
              </w:rPr>
            </w:pPr>
            <w:hyperlink r:id="rId42" w:history="1">
              <w:r w:rsidR="00D24820" w:rsidRPr="00A41F07">
                <w:rPr>
                  <w:rStyle w:val="Hyperlink"/>
                  <w:sz w:val="22"/>
                </w:rPr>
                <w:t>https://www.ncbi.nlm.nih.gov/pubmed/15729235</w:t>
              </w:r>
            </w:hyperlink>
          </w:p>
          <w:p w14:paraId="582717B9" w14:textId="77777777" w:rsidR="00D24820" w:rsidRPr="00A41F07" w:rsidRDefault="00D24820" w:rsidP="00DD1E38">
            <w:pPr>
              <w:rPr>
                <w:sz w:val="22"/>
              </w:rPr>
            </w:pPr>
          </w:p>
        </w:tc>
        <w:tc>
          <w:tcPr>
            <w:tcW w:w="555" w:type="pct"/>
            <w:tcBorders>
              <w:top w:val="single" w:sz="4" w:space="0" w:color="auto"/>
              <w:left w:val="single" w:sz="4" w:space="0" w:color="auto"/>
              <w:bottom w:val="single" w:sz="4" w:space="0" w:color="auto"/>
              <w:right w:val="single" w:sz="4" w:space="0" w:color="auto"/>
            </w:tcBorders>
          </w:tcPr>
          <w:p w14:paraId="582717BA" w14:textId="77777777" w:rsidR="00E04B2D" w:rsidRPr="00A41F07" w:rsidRDefault="00F57C73">
            <w:r w:rsidRPr="00A41F07">
              <w:t>2005</w:t>
            </w:r>
          </w:p>
        </w:tc>
      </w:tr>
      <w:tr w:rsidR="00444961" w:rsidRPr="00A41F07" w14:paraId="582717C6"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BC" w14:textId="77777777" w:rsidR="00444961" w:rsidRPr="00A41F07" w:rsidRDefault="00444961">
            <w:pPr>
              <w:rPr>
                <w:szCs w:val="20"/>
              </w:rPr>
            </w:pPr>
            <w:r w:rsidRPr="00A41F07">
              <w:rPr>
                <w:szCs w:val="20"/>
              </w:rPr>
              <w:t>8.</w:t>
            </w:r>
          </w:p>
        </w:tc>
        <w:tc>
          <w:tcPr>
            <w:tcW w:w="572" w:type="pct"/>
            <w:tcBorders>
              <w:top w:val="single" w:sz="4" w:space="0" w:color="auto"/>
              <w:left w:val="single" w:sz="4" w:space="0" w:color="auto"/>
              <w:bottom w:val="single" w:sz="4" w:space="0" w:color="auto"/>
              <w:right w:val="single" w:sz="4" w:space="0" w:color="auto"/>
            </w:tcBorders>
          </w:tcPr>
          <w:p w14:paraId="582717BD" w14:textId="77777777" w:rsidR="00444961" w:rsidRPr="00A41F07" w:rsidRDefault="00444961" w:rsidP="00444961">
            <w:pPr>
              <w:autoSpaceDE w:val="0"/>
              <w:autoSpaceDN w:val="0"/>
              <w:adjustRightInd w:val="0"/>
              <w:rPr>
                <w:rFonts w:cstheme="minorHAnsi"/>
                <w:szCs w:val="20"/>
              </w:rPr>
            </w:pPr>
            <w:r w:rsidRPr="00A41F07">
              <w:rPr>
                <w:rFonts w:cstheme="minorHAnsi"/>
                <w:szCs w:val="20"/>
              </w:rPr>
              <w:t>Prospective, consecutive diagnostic yield</w:t>
            </w:r>
            <w:r w:rsidR="00381496" w:rsidRPr="00A41F07">
              <w:rPr>
                <w:rFonts w:cstheme="minorHAnsi"/>
                <w:szCs w:val="20"/>
              </w:rPr>
              <w:t xml:space="preserve"> study.</w:t>
            </w:r>
          </w:p>
          <w:p w14:paraId="582717BE" w14:textId="77777777" w:rsidR="00444961" w:rsidRPr="00A41F07" w:rsidRDefault="00444961" w:rsidP="00444961">
            <w:pPr>
              <w:autoSpaceDE w:val="0"/>
              <w:autoSpaceDN w:val="0"/>
              <w:adjustRightInd w:val="0"/>
              <w:jc w:val="cente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BF" w14:textId="77777777" w:rsidR="00444961" w:rsidRPr="00A41F07" w:rsidRDefault="00444961" w:rsidP="00444961">
            <w:pPr>
              <w:pStyle w:val="Heading1"/>
              <w:shd w:val="clear" w:color="auto" w:fill="FFFFFF"/>
              <w:spacing w:before="90" w:after="90" w:line="270" w:lineRule="atLeast"/>
              <w:jc w:val="both"/>
              <w:outlineLvl w:val="0"/>
              <w:rPr>
                <w:rFonts w:cstheme="minorHAnsi"/>
                <w:i/>
                <w:sz w:val="20"/>
                <w:szCs w:val="20"/>
              </w:rPr>
            </w:pPr>
            <w:r w:rsidRPr="00A41F07">
              <w:rPr>
                <w:rFonts w:cstheme="minorHAnsi"/>
                <w:bCs w:val="0"/>
                <w:color w:val="auto"/>
                <w:sz w:val="20"/>
                <w:szCs w:val="20"/>
              </w:rPr>
              <w:t>Capsule endoscopy findings in patients with suspected Crohn's disease and biochemical markers of inflammation.</w:t>
            </w:r>
            <w:r w:rsidRPr="00A41F07">
              <w:rPr>
                <w:rFonts w:cstheme="minorHAnsi"/>
                <w:i/>
                <w:sz w:val="20"/>
                <w:szCs w:val="20"/>
              </w:rPr>
              <w:t xml:space="preserve"> </w:t>
            </w:r>
          </w:p>
          <w:p w14:paraId="582717C0" w14:textId="77777777" w:rsidR="00444961" w:rsidRPr="00A41F07" w:rsidRDefault="00C47597" w:rsidP="00444961">
            <w:pPr>
              <w:autoSpaceDE w:val="0"/>
              <w:autoSpaceDN w:val="0"/>
              <w:adjustRightInd w:val="0"/>
              <w:rPr>
                <w:rFonts w:cstheme="minorHAnsi"/>
                <w:b/>
                <w:i/>
                <w:szCs w:val="20"/>
              </w:rPr>
            </w:pPr>
            <w:r w:rsidRPr="00A41F07">
              <w:rPr>
                <w:rFonts w:cstheme="minorHAnsi"/>
                <w:b/>
                <w:i/>
                <w:szCs w:val="20"/>
              </w:rPr>
              <w:t>De Bona et</w:t>
            </w:r>
            <w:r w:rsidR="00444961" w:rsidRPr="00A41F07">
              <w:rPr>
                <w:rFonts w:cstheme="minorHAnsi"/>
                <w:b/>
                <w:i/>
                <w:szCs w:val="20"/>
              </w:rPr>
              <w:t xml:space="preserve"> al</w:t>
            </w:r>
            <w:r w:rsidRPr="00A41F07">
              <w:rPr>
                <w:rFonts w:cstheme="minorHAnsi"/>
                <w:b/>
                <w:i/>
                <w:szCs w:val="20"/>
              </w:rPr>
              <w:t>.</w:t>
            </w:r>
          </w:p>
          <w:p w14:paraId="582717C1" w14:textId="77777777" w:rsidR="00444961" w:rsidRPr="00A41F07" w:rsidRDefault="00444961" w:rsidP="00E04B2D">
            <w:pPr>
              <w:autoSpaceDE w:val="0"/>
              <w:autoSpaceDN w:val="0"/>
              <w:adjustRightInd w:val="0"/>
              <w:jc w:val="both"/>
              <w:rPr>
                <w:rFonts w:cstheme="minorHAnsi"/>
                <w:szCs w:val="20"/>
              </w:rPr>
            </w:pPr>
          </w:p>
        </w:tc>
        <w:tc>
          <w:tcPr>
            <w:tcW w:w="1474" w:type="pct"/>
            <w:tcBorders>
              <w:top w:val="single" w:sz="4" w:space="0" w:color="auto"/>
              <w:left w:val="single" w:sz="4" w:space="0" w:color="auto"/>
              <w:bottom w:val="single" w:sz="4" w:space="0" w:color="auto"/>
              <w:right w:val="single" w:sz="4" w:space="0" w:color="auto"/>
            </w:tcBorders>
          </w:tcPr>
          <w:p w14:paraId="582717C2" w14:textId="77777777" w:rsidR="00444961" w:rsidRPr="00A41F07" w:rsidRDefault="00444961" w:rsidP="00E04B2D">
            <w:pPr>
              <w:autoSpaceDE w:val="0"/>
              <w:autoSpaceDN w:val="0"/>
              <w:adjustRightInd w:val="0"/>
              <w:jc w:val="both"/>
              <w:rPr>
                <w:rFonts w:cstheme="minorHAnsi"/>
                <w:szCs w:val="20"/>
              </w:rPr>
            </w:pPr>
            <w:r w:rsidRPr="00A41F07">
              <w:rPr>
                <w:rFonts w:cstheme="minorHAnsi"/>
              </w:rPr>
              <w:t>Thirty-eight suspected CD patients with negative at conventional imaging were examined using CE. CE findings were diagnostic for CD in 13 (34.2%) patients, suspicious in 2 (5.3%), non-specific in 4 (10.5%), normal in 19 (50%), overall detection rate of 39.5%. Specific measures or patient management changes in 39.5% of patients.</w:t>
            </w:r>
          </w:p>
        </w:tc>
        <w:tc>
          <w:tcPr>
            <w:tcW w:w="1383" w:type="pct"/>
            <w:tcBorders>
              <w:top w:val="single" w:sz="4" w:space="0" w:color="auto"/>
              <w:left w:val="single" w:sz="4" w:space="0" w:color="auto"/>
              <w:bottom w:val="single" w:sz="4" w:space="0" w:color="auto"/>
              <w:right w:val="single" w:sz="4" w:space="0" w:color="auto"/>
            </w:tcBorders>
          </w:tcPr>
          <w:p w14:paraId="582717C3" w14:textId="77777777" w:rsidR="00444961" w:rsidRPr="00A41F07" w:rsidRDefault="00742C65" w:rsidP="00DD1E38">
            <w:pPr>
              <w:rPr>
                <w:sz w:val="22"/>
              </w:rPr>
            </w:pPr>
            <w:hyperlink r:id="rId43" w:history="1">
              <w:r w:rsidR="00B657B1" w:rsidRPr="00A41F07">
                <w:rPr>
                  <w:rStyle w:val="Hyperlink"/>
                  <w:sz w:val="22"/>
                </w:rPr>
                <w:t>https://www.ncbi.nlm.nih.gov/pubmed/16569524</w:t>
              </w:r>
            </w:hyperlink>
          </w:p>
          <w:p w14:paraId="582717C4" w14:textId="77777777" w:rsidR="00B657B1" w:rsidRPr="00A41F07" w:rsidRDefault="00B657B1" w:rsidP="00DD1E38">
            <w:pPr>
              <w:rPr>
                <w:sz w:val="22"/>
              </w:rPr>
            </w:pPr>
          </w:p>
        </w:tc>
        <w:tc>
          <w:tcPr>
            <w:tcW w:w="555" w:type="pct"/>
            <w:tcBorders>
              <w:top w:val="single" w:sz="4" w:space="0" w:color="auto"/>
              <w:left w:val="single" w:sz="4" w:space="0" w:color="auto"/>
              <w:bottom w:val="single" w:sz="4" w:space="0" w:color="auto"/>
              <w:right w:val="single" w:sz="4" w:space="0" w:color="auto"/>
            </w:tcBorders>
          </w:tcPr>
          <w:p w14:paraId="582717C5" w14:textId="77777777" w:rsidR="00444961" w:rsidRPr="00A41F07" w:rsidRDefault="00B657B1">
            <w:r w:rsidRPr="00A41F07">
              <w:t>2006</w:t>
            </w:r>
          </w:p>
        </w:tc>
      </w:tr>
      <w:tr w:rsidR="00B657B1" w:rsidRPr="00A41F07" w14:paraId="582717D0"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C7" w14:textId="77777777" w:rsidR="00B657B1" w:rsidRPr="00A41F07" w:rsidRDefault="00D534F3">
            <w:pPr>
              <w:rPr>
                <w:szCs w:val="20"/>
              </w:rPr>
            </w:pPr>
            <w:r w:rsidRPr="00A41F07">
              <w:rPr>
                <w:szCs w:val="20"/>
              </w:rPr>
              <w:t>9.</w:t>
            </w:r>
          </w:p>
        </w:tc>
        <w:tc>
          <w:tcPr>
            <w:tcW w:w="572" w:type="pct"/>
            <w:tcBorders>
              <w:top w:val="single" w:sz="4" w:space="0" w:color="auto"/>
              <w:left w:val="single" w:sz="4" w:space="0" w:color="auto"/>
              <w:bottom w:val="single" w:sz="4" w:space="0" w:color="auto"/>
              <w:right w:val="single" w:sz="4" w:space="0" w:color="auto"/>
            </w:tcBorders>
          </w:tcPr>
          <w:p w14:paraId="582717C8" w14:textId="77777777" w:rsidR="00B657B1" w:rsidRPr="00A41F07" w:rsidRDefault="00B657B1" w:rsidP="00B657B1">
            <w:pPr>
              <w:autoSpaceDE w:val="0"/>
              <w:autoSpaceDN w:val="0"/>
              <w:adjustRightInd w:val="0"/>
              <w:rPr>
                <w:rFonts w:cstheme="minorHAnsi"/>
                <w:szCs w:val="20"/>
              </w:rPr>
            </w:pPr>
            <w:r w:rsidRPr="00A41F07">
              <w:rPr>
                <w:rFonts w:cstheme="minorHAnsi"/>
                <w:szCs w:val="20"/>
              </w:rPr>
              <w:t>Prospective, blinded diagnostic yield</w:t>
            </w:r>
            <w:r w:rsidR="00381496" w:rsidRPr="00A41F07">
              <w:rPr>
                <w:rFonts w:cstheme="minorHAnsi"/>
                <w:szCs w:val="20"/>
              </w:rPr>
              <w:t xml:space="preserve"> study.</w:t>
            </w:r>
          </w:p>
          <w:p w14:paraId="582717C9" w14:textId="77777777" w:rsidR="00B657B1" w:rsidRPr="00A41F07" w:rsidRDefault="00B657B1" w:rsidP="00444961">
            <w:pPr>
              <w:autoSpaceDE w:val="0"/>
              <w:autoSpaceDN w:val="0"/>
              <w:adjustRightInd w:val="0"/>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CA" w14:textId="77777777" w:rsidR="00B657B1" w:rsidRPr="00A41F07" w:rsidRDefault="00B657B1" w:rsidP="00B657B1">
            <w:pPr>
              <w:rPr>
                <w:rFonts w:cstheme="minorHAnsi"/>
                <w:b/>
                <w:i/>
                <w:szCs w:val="20"/>
              </w:rPr>
            </w:pPr>
            <w:r w:rsidRPr="00A41F07">
              <w:rPr>
                <w:rFonts w:cstheme="minorHAnsi"/>
                <w:szCs w:val="20"/>
              </w:rPr>
              <w:t>Wireless capsule endoscopy (WCE) versus enteroclysis in the diagnosis of small-bowel Crohn’s disease</w:t>
            </w:r>
            <w:r w:rsidRPr="00A41F07">
              <w:rPr>
                <w:rFonts w:cstheme="minorHAnsi"/>
                <w:b/>
                <w:i/>
                <w:szCs w:val="20"/>
              </w:rPr>
              <w:t xml:space="preserve"> </w:t>
            </w:r>
          </w:p>
          <w:p w14:paraId="582717CB" w14:textId="77777777" w:rsidR="00B657B1" w:rsidRPr="00A41F07" w:rsidRDefault="008B0B54" w:rsidP="00B657B1">
            <w:pPr>
              <w:rPr>
                <w:rFonts w:cstheme="minorHAnsi"/>
                <w:b/>
                <w:i/>
                <w:szCs w:val="20"/>
              </w:rPr>
            </w:pPr>
            <w:proofErr w:type="spellStart"/>
            <w:r w:rsidRPr="00A41F07">
              <w:rPr>
                <w:rFonts w:cstheme="minorHAnsi"/>
                <w:b/>
                <w:i/>
                <w:szCs w:val="20"/>
              </w:rPr>
              <w:t>Efthymiou</w:t>
            </w:r>
            <w:proofErr w:type="spellEnd"/>
            <w:r w:rsidRPr="00A41F07">
              <w:rPr>
                <w:rFonts w:cstheme="minorHAnsi"/>
                <w:b/>
                <w:i/>
                <w:szCs w:val="20"/>
              </w:rPr>
              <w:t xml:space="preserve"> et</w:t>
            </w:r>
            <w:r w:rsidR="00B657B1" w:rsidRPr="00A41F07">
              <w:rPr>
                <w:rFonts w:cstheme="minorHAnsi"/>
                <w:b/>
                <w:i/>
                <w:szCs w:val="20"/>
              </w:rPr>
              <w:t xml:space="preserve"> al</w:t>
            </w:r>
            <w:r w:rsidRPr="00A41F07">
              <w:rPr>
                <w:rFonts w:cstheme="minorHAnsi"/>
                <w:b/>
                <w:i/>
                <w:szCs w:val="20"/>
              </w:rPr>
              <w:t>.</w:t>
            </w:r>
          </w:p>
        </w:tc>
        <w:tc>
          <w:tcPr>
            <w:tcW w:w="1474" w:type="pct"/>
            <w:tcBorders>
              <w:top w:val="single" w:sz="4" w:space="0" w:color="auto"/>
              <w:left w:val="single" w:sz="4" w:space="0" w:color="auto"/>
              <w:bottom w:val="single" w:sz="4" w:space="0" w:color="auto"/>
              <w:right w:val="single" w:sz="4" w:space="0" w:color="auto"/>
            </w:tcBorders>
          </w:tcPr>
          <w:p w14:paraId="582717CC" w14:textId="77777777" w:rsidR="00B657B1" w:rsidRPr="00A41F07" w:rsidRDefault="00B657B1" w:rsidP="00DD1E38">
            <w:pPr>
              <w:autoSpaceDE w:val="0"/>
              <w:autoSpaceDN w:val="0"/>
              <w:adjustRightInd w:val="0"/>
              <w:jc w:val="both"/>
              <w:rPr>
                <w:rFonts w:cstheme="minorHAnsi"/>
              </w:rPr>
            </w:pPr>
            <w:r w:rsidRPr="00A41F07">
              <w:rPr>
                <w:rFonts w:cstheme="minorHAnsi"/>
              </w:rPr>
              <w:t xml:space="preserve">Twenty-nine patients with known CD (group 1) suspected to have more extensive small-bowel involvement and 26 patients, who were suspected to suffer from CD but didn’t have an earlier history of it (group 2) were prospectively evaluated with enteroclysis and WCE. </w:t>
            </w:r>
          </w:p>
        </w:tc>
        <w:tc>
          <w:tcPr>
            <w:tcW w:w="1383" w:type="pct"/>
            <w:tcBorders>
              <w:top w:val="single" w:sz="4" w:space="0" w:color="auto"/>
              <w:left w:val="single" w:sz="4" w:space="0" w:color="auto"/>
              <w:bottom w:val="single" w:sz="4" w:space="0" w:color="auto"/>
              <w:right w:val="single" w:sz="4" w:space="0" w:color="auto"/>
            </w:tcBorders>
          </w:tcPr>
          <w:p w14:paraId="582717CD" w14:textId="77777777" w:rsidR="00B657B1" w:rsidRPr="00A41F07" w:rsidRDefault="00742C65" w:rsidP="00DD1E38">
            <w:pPr>
              <w:rPr>
                <w:sz w:val="22"/>
              </w:rPr>
            </w:pPr>
            <w:hyperlink r:id="rId44" w:history="1">
              <w:r w:rsidR="00F2362E" w:rsidRPr="00A41F07">
                <w:rPr>
                  <w:rStyle w:val="Hyperlink"/>
                  <w:sz w:val="22"/>
                </w:rPr>
                <w:t>https://www.ncbi.nlm.nih.gov/pubmed/19417679</w:t>
              </w:r>
            </w:hyperlink>
          </w:p>
          <w:p w14:paraId="582717CE" w14:textId="77777777" w:rsidR="00F2362E" w:rsidRPr="00A41F07" w:rsidRDefault="00F2362E" w:rsidP="00DD1E38">
            <w:pPr>
              <w:rPr>
                <w:sz w:val="22"/>
              </w:rPr>
            </w:pPr>
          </w:p>
        </w:tc>
        <w:tc>
          <w:tcPr>
            <w:tcW w:w="555" w:type="pct"/>
            <w:tcBorders>
              <w:top w:val="single" w:sz="4" w:space="0" w:color="auto"/>
              <w:left w:val="single" w:sz="4" w:space="0" w:color="auto"/>
              <w:bottom w:val="single" w:sz="4" w:space="0" w:color="auto"/>
              <w:right w:val="single" w:sz="4" w:space="0" w:color="auto"/>
            </w:tcBorders>
          </w:tcPr>
          <w:p w14:paraId="582717CF" w14:textId="77777777" w:rsidR="00B657B1" w:rsidRPr="00A41F07" w:rsidRDefault="00B657B1">
            <w:r w:rsidRPr="00A41F07">
              <w:t>2009</w:t>
            </w:r>
          </w:p>
        </w:tc>
      </w:tr>
      <w:tr w:rsidR="00767258" w:rsidRPr="00A41F07" w14:paraId="582717DA"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D1" w14:textId="77777777" w:rsidR="00767258" w:rsidRPr="00A41F07" w:rsidRDefault="00767258">
            <w:pPr>
              <w:rPr>
                <w:szCs w:val="20"/>
              </w:rPr>
            </w:pPr>
            <w:r w:rsidRPr="00A41F07">
              <w:rPr>
                <w:szCs w:val="20"/>
              </w:rPr>
              <w:lastRenderedPageBreak/>
              <w:t>10.</w:t>
            </w:r>
          </w:p>
        </w:tc>
        <w:tc>
          <w:tcPr>
            <w:tcW w:w="572" w:type="pct"/>
            <w:tcBorders>
              <w:top w:val="single" w:sz="4" w:space="0" w:color="auto"/>
              <w:left w:val="single" w:sz="4" w:space="0" w:color="auto"/>
              <w:bottom w:val="single" w:sz="4" w:space="0" w:color="auto"/>
              <w:right w:val="single" w:sz="4" w:space="0" w:color="auto"/>
            </w:tcBorders>
          </w:tcPr>
          <w:p w14:paraId="582717D2" w14:textId="77777777" w:rsidR="00767258" w:rsidRPr="00A41F07" w:rsidRDefault="00767258" w:rsidP="006358B6">
            <w:pPr>
              <w:autoSpaceDE w:val="0"/>
              <w:autoSpaceDN w:val="0"/>
              <w:adjustRightInd w:val="0"/>
              <w:rPr>
                <w:rFonts w:cstheme="minorHAnsi"/>
                <w:szCs w:val="20"/>
              </w:rPr>
            </w:pPr>
            <w:r w:rsidRPr="00A41F07">
              <w:rPr>
                <w:rFonts w:cstheme="minorHAnsi"/>
                <w:szCs w:val="20"/>
              </w:rPr>
              <w:t>Prospective, consecutive, blinded diagnostic</w:t>
            </w:r>
            <w:r w:rsidR="006358B6" w:rsidRPr="00A41F07">
              <w:rPr>
                <w:rFonts w:cstheme="minorHAnsi"/>
                <w:szCs w:val="20"/>
              </w:rPr>
              <w:t xml:space="preserve"> </w:t>
            </w:r>
            <w:r w:rsidRPr="00A41F07">
              <w:rPr>
                <w:rFonts w:cstheme="minorHAnsi"/>
                <w:szCs w:val="20"/>
              </w:rPr>
              <w:t>yield</w:t>
            </w:r>
            <w:r w:rsidR="00381496" w:rsidRPr="00A41F07">
              <w:rPr>
                <w:rFonts w:cstheme="minorHAnsi"/>
                <w:szCs w:val="20"/>
              </w:rPr>
              <w:t xml:space="preserve"> study,</w:t>
            </w:r>
          </w:p>
          <w:p w14:paraId="582717D3" w14:textId="77777777" w:rsidR="00767258" w:rsidRPr="00A41F07" w:rsidRDefault="00767258" w:rsidP="00B657B1">
            <w:pPr>
              <w:autoSpaceDE w:val="0"/>
              <w:autoSpaceDN w:val="0"/>
              <w:adjustRightInd w:val="0"/>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D4" w14:textId="77777777" w:rsidR="006358B6" w:rsidRPr="00A41F07" w:rsidRDefault="006358B6" w:rsidP="006358B6">
            <w:pPr>
              <w:pStyle w:val="Heading1"/>
              <w:shd w:val="clear" w:color="auto" w:fill="FFFFFF"/>
              <w:spacing w:before="90" w:after="90" w:line="270" w:lineRule="atLeast"/>
              <w:outlineLvl w:val="0"/>
              <w:rPr>
                <w:rFonts w:cstheme="minorHAnsi"/>
                <w:b/>
                <w:bCs w:val="0"/>
                <w:color w:val="auto"/>
                <w:sz w:val="20"/>
                <w:szCs w:val="20"/>
              </w:rPr>
            </w:pPr>
            <w:r w:rsidRPr="00A41F07">
              <w:rPr>
                <w:rFonts w:cstheme="minorHAnsi"/>
                <w:bCs w:val="0"/>
                <w:color w:val="auto"/>
                <w:sz w:val="20"/>
                <w:szCs w:val="20"/>
              </w:rPr>
              <w:t>Wireless capsule video endoscopy compared to barium follow-through and computerised tomography in patients with suspected Crohn's disease--final report.</w:t>
            </w:r>
          </w:p>
          <w:p w14:paraId="582717D5" w14:textId="77777777" w:rsidR="00767258" w:rsidRPr="00A41F07" w:rsidRDefault="001060F6" w:rsidP="006358B6">
            <w:pPr>
              <w:rPr>
                <w:rFonts w:cstheme="minorHAnsi"/>
                <w:szCs w:val="20"/>
              </w:rPr>
            </w:pPr>
            <w:proofErr w:type="spellStart"/>
            <w:r w:rsidRPr="00A41F07">
              <w:rPr>
                <w:rFonts w:cstheme="minorHAnsi"/>
                <w:b/>
                <w:i/>
                <w:szCs w:val="20"/>
              </w:rPr>
              <w:t>Eliakim</w:t>
            </w:r>
            <w:proofErr w:type="spellEnd"/>
            <w:r w:rsidRPr="00A41F07">
              <w:rPr>
                <w:rFonts w:cstheme="minorHAnsi"/>
                <w:b/>
                <w:i/>
                <w:szCs w:val="20"/>
              </w:rPr>
              <w:t xml:space="preserve"> et</w:t>
            </w:r>
            <w:r w:rsidR="006358B6" w:rsidRPr="00A41F07">
              <w:rPr>
                <w:rFonts w:cstheme="minorHAnsi"/>
                <w:b/>
                <w:i/>
                <w:szCs w:val="20"/>
              </w:rPr>
              <w:t xml:space="preserve"> al</w:t>
            </w:r>
            <w:r w:rsidRPr="00A41F07">
              <w:rPr>
                <w:rFonts w:cstheme="minorHAnsi"/>
                <w:b/>
                <w:i/>
                <w:szCs w:val="20"/>
              </w:rPr>
              <w:t>.</w:t>
            </w:r>
          </w:p>
        </w:tc>
        <w:tc>
          <w:tcPr>
            <w:tcW w:w="1474" w:type="pct"/>
            <w:tcBorders>
              <w:top w:val="single" w:sz="4" w:space="0" w:color="auto"/>
              <w:left w:val="single" w:sz="4" w:space="0" w:color="auto"/>
              <w:bottom w:val="single" w:sz="4" w:space="0" w:color="auto"/>
              <w:right w:val="single" w:sz="4" w:space="0" w:color="auto"/>
            </w:tcBorders>
          </w:tcPr>
          <w:p w14:paraId="582717D6" w14:textId="77777777" w:rsidR="00767258" w:rsidRPr="00A41F07" w:rsidRDefault="006358B6" w:rsidP="00DD1E38">
            <w:pPr>
              <w:autoSpaceDE w:val="0"/>
              <w:autoSpaceDN w:val="0"/>
              <w:adjustRightInd w:val="0"/>
              <w:jc w:val="both"/>
              <w:rPr>
                <w:rFonts w:cstheme="minorHAnsi"/>
              </w:rPr>
            </w:pPr>
            <w:r w:rsidRPr="00A41F07">
              <w:rPr>
                <w:rFonts w:cstheme="minorHAnsi"/>
                <w:szCs w:val="20"/>
              </w:rPr>
              <w:t>Thirty-five patients with suspected Crohn's disease underwent the three examinations. The radiologist and gastroenterologist were blinded to each other's results. In cases of discrepancy, colonoscopy and ileoscopy were performed. The diagnostic yield of capsule endoscopy was 77% versus 23% and 20% of barium and computerised tomography examinations, respectively.</w:t>
            </w:r>
          </w:p>
        </w:tc>
        <w:tc>
          <w:tcPr>
            <w:tcW w:w="1383" w:type="pct"/>
            <w:tcBorders>
              <w:top w:val="single" w:sz="4" w:space="0" w:color="auto"/>
              <w:left w:val="single" w:sz="4" w:space="0" w:color="auto"/>
              <w:bottom w:val="single" w:sz="4" w:space="0" w:color="auto"/>
              <w:right w:val="single" w:sz="4" w:space="0" w:color="auto"/>
            </w:tcBorders>
          </w:tcPr>
          <w:p w14:paraId="582717D7" w14:textId="77777777" w:rsidR="00767258" w:rsidRPr="00A41F07" w:rsidRDefault="00742C65" w:rsidP="00DD1E38">
            <w:pPr>
              <w:rPr>
                <w:sz w:val="22"/>
              </w:rPr>
            </w:pPr>
            <w:hyperlink r:id="rId45" w:history="1">
              <w:r w:rsidR="00B47D47" w:rsidRPr="00A41F07">
                <w:rPr>
                  <w:rStyle w:val="Hyperlink"/>
                  <w:sz w:val="22"/>
                </w:rPr>
                <w:t>https://www.ncbi.nlm.nih.gov/pubmed/15334771</w:t>
              </w:r>
            </w:hyperlink>
          </w:p>
          <w:p w14:paraId="582717D8" w14:textId="77777777" w:rsidR="00B47D47" w:rsidRPr="00A41F07" w:rsidRDefault="00B47D47" w:rsidP="00DD1E38">
            <w:pPr>
              <w:rPr>
                <w:sz w:val="22"/>
              </w:rPr>
            </w:pPr>
          </w:p>
        </w:tc>
        <w:tc>
          <w:tcPr>
            <w:tcW w:w="555" w:type="pct"/>
            <w:tcBorders>
              <w:top w:val="single" w:sz="4" w:space="0" w:color="auto"/>
              <w:left w:val="single" w:sz="4" w:space="0" w:color="auto"/>
              <w:bottom w:val="single" w:sz="4" w:space="0" w:color="auto"/>
              <w:right w:val="single" w:sz="4" w:space="0" w:color="auto"/>
            </w:tcBorders>
          </w:tcPr>
          <w:p w14:paraId="582717D9" w14:textId="77777777" w:rsidR="00767258" w:rsidRPr="00A41F07" w:rsidRDefault="00F11A4D">
            <w:r w:rsidRPr="00A41F07">
              <w:t>2004</w:t>
            </w:r>
          </w:p>
        </w:tc>
      </w:tr>
      <w:tr w:rsidR="00992395" w:rsidRPr="00A41F07" w14:paraId="582717E4"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DB" w14:textId="77777777" w:rsidR="00992395" w:rsidRPr="00A41F07" w:rsidRDefault="00992395">
            <w:pPr>
              <w:rPr>
                <w:szCs w:val="20"/>
              </w:rPr>
            </w:pPr>
            <w:r w:rsidRPr="00A41F07">
              <w:rPr>
                <w:szCs w:val="20"/>
              </w:rPr>
              <w:t>11.</w:t>
            </w:r>
          </w:p>
        </w:tc>
        <w:tc>
          <w:tcPr>
            <w:tcW w:w="572" w:type="pct"/>
            <w:tcBorders>
              <w:top w:val="single" w:sz="4" w:space="0" w:color="auto"/>
              <w:left w:val="single" w:sz="4" w:space="0" w:color="auto"/>
              <w:bottom w:val="single" w:sz="4" w:space="0" w:color="auto"/>
              <w:right w:val="single" w:sz="4" w:space="0" w:color="auto"/>
            </w:tcBorders>
          </w:tcPr>
          <w:p w14:paraId="582717DC" w14:textId="77777777" w:rsidR="00992395" w:rsidRPr="00A41F07" w:rsidRDefault="00992395" w:rsidP="00992395">
            <w:pPr>
              <w:rPr>
                <w:rFonts w:cstheme="minorHAnsi"/>
                <w:szCs w:val="20"/>
              </w:rPr>
            </w:pPr>
            <w:r w:rsidRPr="00A41F07">
              <w:rPr>
                <w:rFonts w:cstheme="minorHAnsi"/>
                <w:szCs w:val="20"/>
              </w:rPr>
              <w:t>Prospective diagnostic yield</w:t>
            </w:r>
            <w:r w:rsidR="00381496" w:rsidRPr="00A41F07">
              <w:rPr>
                <w:rFonts w:cstheme="minorHAnsi"/>
                <w:szCs w:val="20"/>
              </w:rPr>
              <w:t xml:space="preserve"> study.</w:t>
            </w:r>
          </w:p>
          <w:p w14:paraId="582717DD" w14:textId="77777777" w:rsidR="00992395" w:rsidRPr="00A41F07" w:rsidRDefault="00992395" w:rsidP="00992395">
            <w:pPr>
              <w:autoSpaceDE w:val="0"/>
              <w:autoSpaceDN w:val="0"/>
              <w:adjustRightInd w:val="0"/>
              <w:jc w:val="cente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DE" w14:textId="77777777" w:rsidR="00992395" w:rsidRPr="00A41F07" w:rsidRDefault="00992395" w:rsidP="00992395">
            <w:pPr>
              <w:autoSpaceDE w:val="0"/>
              <w:autoSpaceDN w:val="0"/>
              <w:adjustRightInd w:val="0"/>
              <w:rPr>
                <w:rFonts w:cstheme="minorHAnsi"/>
                <w:szCs w:val="20"/>
              </w:rPr>
            </w:pPr>
            <w:r w:rsidRPr="00A41F07">
              <w:rPr>
                <w:rFonts w:cstheme="minorHAnsi"/>
                <w:szCs w:val="20"/>
              </w:rPr>
              <w:t>Capsule endoscopy in diagnosis of small bowel Crohn’s disease.</w:t>
            </w:r>
          </w:p>
          <w:p w14:paraId="582717DF" w14:textId="77777777" w:rsidR="00992395" w:rsidRPr="00A41F07" w:rsidRDefault="00992395" w:rsidP="00992395">
            <w:pPr>
              <w:rPr>
                <w:rFonts w:cstheme="minorHAnsi"/>
                <w:b/>
                <w:bCs/>
                <w:szCs w:val="20"/>
              </w:rPr>
            </w:pPr>
            <w:r w:rsidRPr="00A41F07">
              <w:rPr>
                <w:rFonts w:cstheme="minorHAnsi"/>
                <w:b/>
                <w:i/>
                <w:szCs w:val="20"/>
              </w:rPr>
              <w:t>Ge et al.</w:t>
            </w:r>
          </w:p>
        </w:tc>
        <w:tc>
          <w:tcPr>
            <w:tcW w:w="1474" w:type="pct"/>
            <w:tcBorders>
              <w:top w:val="single" w:sz="4" w:space="0" w:color="auto"/>
              <w:left w:val="single" w:sz="4" w:space="0" w:color="auto"/>
              <w:bottom w:val="single" w:sz="4" w:space="0" w:color="auto"/>
              <w:right w:val="single" w:sz="4" w:space="0" w:color="auto"/>
            </w:tcBorders>
          </w:tcPr>
          <w:p w14:paraId="582717E0" w14:textId="77777777" w:rsidR="00992395" w:rsidRPr="00A41F07" w:rsidRDefault="00992395" w:rsidP="00DD1E38">
            <w:pPr>
              <w:autoSpaceDE w:val="0"/>
              <w:autoSpaceDN w:val="0"/>
              <w:adjustRightInd w:val="0"/>
              <w:jc w:val="both"/>
              <w:rPr>
                <w:rFonts w:cstheme="minorHAnsi"/>
                <w:szCs w:val="20"/>
              </w:rPr>
            </w:pPr>
            <w:r w:rsidRPr="00A41F07">
              <w:rPr>
                <w:rFonts w:cstheme="minorHAnsi"/>
                <w:szCs w:val="20"/>
              </w:rPr>
              <w:t>From May 2002 to April 2003, prospectively examined 20 patients with suspected CD. All the patients had normal results in small bowel series and in upper and lower gastrointestinal endoscopy before they were examined. Mean duration of symptoms before diagnosis was 6.5 years.</w:t>
            </w:r>
          </w:p>
        </w:tc>
        <w:tc>
          <w:tcPr>
            <w:tcW w:w="1383" w:type="pct"/>
            <w:tcBorders>
              <w:top w:val="single" w:sz="4" w:space="0" w:color="auto"/>
              <w:left w:val="single" w:sz="4" w:space="0" w:color="auto"/>
              <w:bottom w:val="single" w:sz="4" w:space="0" w:color="auto"/>
              <w:right w:val="single" w:sz="4" w:space="0" w:color="auto"/>
            </w:tcBorders>
          </w:tcPr>
          <w:p w14:paraId="582717E1" w14:textId="77777777" w:rsidR="00992395" w:rsidRPr="00A41F07" w:rsidRDefault="00742C65" w:rsidP="00992395">
            <w:pPr>
              <w:rPr>
                <w:rFonts w:cstheme="minorHAnsi"/>
                <w:szCs w:val="20"/>
              </w:rPr>
            </w:pPr>
            <w:hyperlink r:id="rId46" w:history="1">
              <w:r w:rsidR="00992395" w:rsidRPr="00A41F07">
                <w:rPr>
                  <w:rStyle w:val="Hyperlink"/>
                  <w:rFonts w:cstheme="minorHAnsi"/>
                  <w:szCs w:val="20"/>
                </w:rPr>
                <w:t>http://www.ncbi.nlm.nih.gov/pmc/articles/PMC4622781/</w:t>
              </w:r>
            </w:hyperlink>
          </w:p>
          <w:p w14:paraId="582717E2" w14:textId="77777777" w:rsidR="00992395" w:rsidRPr="00A41F07" w:rsidRDefault="00992395" w:rsidP="00DD1E38">
            <w:pPr>
              <w:rPr>
                <w:sz w:val="22"/>
              </w:rPr>
            </w:pPr>
          </w:p>
        </w:tc>
        <w:tc>
          <w:tcPr>
            <w:tcW w:w="555" w:type="pct"/>
            <w:tcBorders>
              <w:top w:val="single" w:sz="4" w:space="0" w:color="auto"/>
              <w:left w:val="single" w:sz="4" w:space="0" w:color="auto"/>
              <w:bottom w:val="single" w:sz="4" w:space="0" w:color="auto"/>
              <w:right w:val="single" w:sz="4" w:space="0" w:color="auto"/>
            </w:tcBorders>
          </w:tcPr>
          <w:p w14:paraId="582717E3" w14:textId="77777777" w:rsidR="00992395" w:rsidRPr="00A41F07" w:rsidRDefault="00992395">
            <w:r w:rsidRPr="00A41F07">
              <w:t>2004</w:t>
            </w:r>
          </w:p>
        </w:tc>
      </w:tr>
      <w:tr w:rsidR="000D292E" w:rsidRPr="00A41F07" w14:paraId="582717EE"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E5" w14:textId="77777777" w:rsidR="000D292E" w:rsidRPr="00A41F07" w:rsidRDefault="000D292E">
            <w:pPr>
              <w:rPr>
                <w:szCs w:val="20"/>
              </w:rPr>
            </w:pPr>
            <w:r w:rsidRPr="00A41F07">
              <w:rPr>
                <w:szCs w:val="20"/>
              </w:rPr>
              <w:t>12.</w:t>
            </w:r>
          </w:p>
        </w:tc>
        <w:tc>
          <w:tcPr>
            <w:tcW w:w="572" w:type="pct"/>
            <w:tcBorders>
              <w:top w:val="single" w:sz="4" w:space="0" w:color="auto"/>
              <w:left w:val="single" w:sz="4" w:space="0" w:color="auto"/>
              <w:bottom w:val="single" w:sz="4" w:space="0" w:color="auto"/>
              <w:right w:val="single" w:sz="4" w:space="0" w:color="auto"/>
            </w:tcBorders>
          </w:tcPr>
          <w:p w14:paraId="582717E6" w14:textId="77777777" w:rsidR="000D292E" w:rsidRPr="00A41F07" w:rsidRDefault="000D292E" w:rsidP="000D292E">
            <w:pPr>
              <w:autoSpaceDE w:val="0"/>
              <w:autoSpaceDN w:val="0"/>
              <w:adjustRightInd w:val="0"/>
              <w:rPr>
                <w:rFonts w:cstheme="minorHAnsi"/>
                <w:szCs w:val="20"/>
              </w:rPr>
            </w:pPr>
            <w:r w:rsidRPr="00A41F07">
              <w:rPr>
                <w:rFonts w:cstheme="minorHAnsi"/>
                <w:szCs w:val="20"/>
              </w:rPr>
              <w:t>Prospective, non-consecutive diagnostic yield study</w:t>
            </w:r>
            <w:r w:rsidR="00381496" w:rsidRPr="00A41F07">
              <w:rPr>
                <w:rFonts w:cstheme="minorHAnsi"/>
                <w:szCs w:val="20"/>
              </w:rPr>
              <w:t>.</w:t>
            </w:r>
          </w:p>
          <w:p w14:paraId="582717E7" w14:textId="77777777" w:rsidR="000D292E" w:rsidRPr="00A41F07" w:rsidRDefault="000D292E" w:rsidP="00992395">
            <w:pP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E8" w14:textId="77777777" w:rsidR="000D292E" w:rsidRPr="00A41F07" w:rsidRDefault="000D292E" w:rsidP="0070626A">
            <w:pPr>
              <w:jc w:val="both"/>
              <w:rPr>
                <w:rFonts w:cstheme="minorHAnsi"/>
                <w:szCs w:val="20"/>
              </w:rPr>
            </w:pPr>
            <w:r w:rsidRPr="00A41F07">
              <w:rPr>
                <w:rFonts w:cstheme="minorHAnsi"/>
                <w:szCs w:val="20"/>
              </w:rPr>
              <w:t>Wireless capsule endoscopy for obscure small-bowel disorders: final results of the first paediatric controlled trial.</w:t>
            </w:r>
          </w:p>
          <w:p w14:paraId="582717E9" w14:textId="77777777" w:rsidR="000D292E" w:rsidRPr="00A41F07" w:rsidRDefault="000D292E" w:rsidP="000D292E">
            <w:pPr>
              <w:rPr>
                <w:rFonts w:cstheme="minorHAnsi"/>
                <w:b/>
                <w:i/>
                <w:szCs w:val="20"/>
              </w:rPr>
            </w:pPr>
            <w:proofErr w:type="spellStart"/>
            <w:r w:rsidRPr="00A41F07">
              <w:rPr>
                <w:rFonts w:cstheme="minorHAnsi"/>
                <w:b/>
                <w:i/>
                <w:szCs w:val="20"/>
              </w:rPr>
              <w:t>Guilhon</w:t>
            </w:r>
            <w:proofErr w:type="spellEnd"/>
            <w:r w:rsidRPr="00A41F07">
              <w:rPr>
                <w:rFonts w:cstheme="minorHAnsi"/>
                <w:b/>
                <w:i/>
                <w:szCs w:val="20"/>
              </w:rPr>
              <w:t xml:space="preserve"> de </w:t>
            </w:r>
            <w:proofErr w:type="spellStart"/>
            <w:r w:rsidRPr="00A41F07">
              <w:rPr>
                <w:rFonts w:cstheme="minorHAnsi"/>
                <w:b/>
                <w:i/>
                <w:szCs w:val="20"/>
              </w:rPr>
              <w:t>Araujo</w:t>
            </w:r>
            <w:proofErr w:type="spellEnd"/>
            <w:r w:rsidRPr="00A41F07">
              <w:rPr>
                <w:rFonts w:cstheme="minorHAnsi"/>
                <w:b/>
                <w:i/>
                <w:szCs w:val="20"/>
              </w:rPr>
              <w:t xml:space="preserve"> </w:t>
            </w:r>
            <w:proofErr w:type="spellStart"/>
            <w:r w:rsidRPr="00A41F07">
              <w:rPr>
                <w:rFonts w:cstheme="minorHAnsi"/>
                <w:b/>
                <w:bCs/>
                <w:i/>
                <w:szCs w:val="20"/>
              </w:rPr>
              <w:t>Sant'Anna</w:t>
            </w:r>
            <w:proofErr w:type="spellEnd"/>
            <w:r w:rsidRPr="00A41F07">
              <w:rPr>
                <w:rFonts w:cstheme="minorHAnsi"/>
                <w:b/>
                <w:bCs/>
                <w:i/>
                <w:szCs w:val="20"/>
              </w:rPr>
              <w:t xml:space="preserve"> et al.</w:t>
            </w:r>
            <w:r w:rsidRPr="00A41F07">
              <w:rPr>
                <w:rFonts w:cstheme="minorHAnsi"/>
                <w:b/>
                <w:i/>
                <w:szCs w:val="20"/>
              </w:rPr>
              <w:t xml:space="preserve"> </w:t>
            </w:r>
          </w:p>
        </w:tc>
        <w:tc>
          <w:tcPr>
            <w:tcW w:w="1474" w:type="pct"/>
            <w:tcBorders>
              <w:top w:val="single" w:sz="4" w:space="0" w:color="auto"/>
              <w:left w:val="single" w:sz="4" w:space="0" w:color="auto"/>
              <w:bottom w:val="single" w:sz="4" w:space="0" w:color="auto"/>
              <w:right w:val="single" w:sz="4" w:space="0" w:color="auto"/>
            </w:tcBorders>
          </w:tcPr>
          <w:p w14:paraId="582717EA" w14:textId="77777777" w:rsidR="000D292E" w:rsidRPr="00A41F07" w:rsidRDefault="00764F05" w:rsidP="00DD1E38">
            <w:pPr>
              <w:autoSpaceDE w:val="0"/>
              <w:autoSpaceDN w:val="0"/>
              <w:adjustRightInd w:val="0"/>
              <w:jc w:val="both"/>
              <w:rPr>
                <w:rFonts w:cstheme="minorHAnsi"/>
                <w:szCs w:val="20"/>
              </w:rPr>
            </w:pPr>
            <w:r w:rsidRPr="00A41F07">
              <w:rPr>
                <w:rFonts w:cstheme="minorHAnsi"/>
                <w:szCs w:val="20"/>
              </w:rPr>
              <w:t>Patients (age, 10-18 y) suspected to have either small-bowel Crohn's disease, polyps, or obscure gastrointestinal (GI) bleeding were included. Capsule results were compared with the diagnostic imaging studies normally used in this age group.</w:t>
            </w:r>
          </w:p>
        </w:tc>
        <w:tc>
          <w:tcPr>
            <w:tcW w:w="1383" w:type="pct"/>
            <w:tcBorders>
              <w:top w:val="single" w:sz="4" w:space="0" w:color="auto"/>
              <w:left w:val="single" w:sz="4" w:space="0" w:color="auto"/>
              <w:bottom w:val="single" w:sz="4" w:space="0" w:color="auto"/>
              <w:right w:val="single" w:sz="4" w:space="0" w:color="auto"/>
            </w:tcBorders>
          </w:tcPr>
          <w:p w14:paraId="582717EB" w14:textId="77777777" w:rsidR="000D292E" w:rsidRPr="00A41F07" w:rsidRDefault="00742C65" w:rsidP="00992395">
            <w:hyperlink r:id="rId47" w:history="1">
              <w:r w:rsidR="0070626A" w:rsidRPr="00A41F07">
                <w:rPr>
                  <w:rStyle w:val="Hyperlink"/>
                </w:rPr>
                <w:t>https://www.ncbi.nlm.nih.gov/pubmed/15765446</w:t>
              </w:r>
            </w:hyperlink>
          </w:p>
          <w:p w14:paraId="582717EC" w14:textId="77777777" w:rsidR="0070626A" w:rsidRPr="00A41F07" w:rsidRDefault="0070626A" w:rsidP="00992395"/>
        </w:tc>
        <w:tc>
          <w:tcPr>
            <w:tcW w:w="555" w:type="pct"/>
            <w:tcBorders>
              <w:top w:val="single" w:sz="4" w:space="0" w:color="auto"/>
              <w:left w:val="single" w:sz="4" w:space="0" w:color="auto"/>
              <w:bottom w:val="single" w:sz="4" w:space="0" w:color="auto"/>
              <w:right w:val="single" w:sz="4" w:space="0" w:color="auto"/>
            </w:tcBorders>
          </w:tcPr>
          <w:p w14:paraId="582717ED" w14:textId="77777777" w:rsidR="000D292E" w:rsidRPr="00A41F07" w:rsidRDefault="00764F05">
            <w:r w:rsidRPr="00A41F07">
              <w:t>2005</w:t>
            </w:r>
          </w:p>
        </w:tc>
      </w:tr>
      <w:tr w:rsidR="000D292E" w:rsidRPr="00A41F07" w14:paraId="582717F7"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EF" w14:textId="77777777" w:rsidR="000D292E" w:rsidRPr="00A41F07" w:rsidRDefault="005B057D">
            <w:pPr>
              <w:rPr>
                <w:szCs w:val="20"/>
              </w:rPr>
            </w:pPr>
            <w:r w:rsidRPr="00A41F07">
              <w:rPr>
                <w:szCs w:val="20"/>
              </w:rPr>
              <w:lastRenderedPageBreak/>
              <w:t>13.</w:t>
            </w:r>
          </w:p>
        </w:tc>
        <w:tc>
          <w:tcPr>
            <w:tcW w:w="572" w:type="pct"/>
            <w:tcBorders>
              <w:top w:val="single" w:sz="4" w:space="0" w:color="auto"/>
              <w:left w:val="single" w:sz="4" w:space="0" w:color="auto"/>
              <w:bottom w:val="single" w:sz="4" w:space="0" w:color="auto"/>
              <w:right w:val="single" w:sz="4" w:space="0" w:color="auto"/>
            </w:tcBorders>
          </w:tcPr>
          <w:p w14:paraId="582717F0" w14:textId="77777777" w:rsidR="000D292E" w:rsidRPr="00A41F07" w:rsidRDefault="008152B9" w:rsidP="00992395">
            <w:pPr>
              <w:rPr>
                <w:rFonts w:cstheme="minorHAnsi"/>
                <w:szCs w:val="20"/>
              </w:rPr>
            </w:pPr>
            <w:r w:rsidRPr="00A41F07">
              <w:rPr>
                <w:rFonts w:cstheme="minorHAnsi"/>
                <w:szCs w:val="20"/>
              </w:rPr>
              <w:t>Prospective diagnostic yield</w:t>
            </w:r>
            <w:r w:rsidR="00381496" w:rsidRPr="00A41F07">
              <w:rPr>
                <w:rFonts w:cstheme="minorHAnsi"/>
                <w:szCs w:val="20"/>
              </w:rPr>
              <w:t xml:space="preserve"> study.</w:t>
            </w:r>
          </w:p>
        </w:tc>
        <w:tc>
          <w:tcPr>
            <w:tcW w:w="830" w:type="pct"/>
            <w:tcBorders>
              <w:top w:val="single" w:sz="4" w:space="0" w:color="auto"/>
              <w:left w:val="single" w:sz="4" w:space="0" w:color="auto"/>
              <w:bottom w:val="single" w:sz="4" w:space="0" w:color="auto"/>
              <w:right w:val="single" w:sz="4" w:space="0" w:color="auto"/>
            </w:tcBorders>
          </w:tcPr>
          <w:p w14:paraId="582717F1" w14:textId="77777777" w:rsidR="008152B9" w:rsidRPr="00A41F07" w:rsidRDefault="008152B9" w:rsidP="008152B9">
            <w:pPr>
              <w:autoSpaceDE w:val="0"/>
              <w:autoSpaceDN w:val="0"/>
              <w:adjustRightInd w:val="0"/>
              <w:jc w:val="both"/>
              <w:rPr>
                <w:rFonts w:cstheme="minorHAnsi"/>
                <w:b/>
                <w:i/>
                <w:szCs w:val="20"/>
              </w:rPr>
            </w:pPr>
            <w:r w:rsidRPr="00A41F07">
              <w:rPr>
                <w:rFonts w:cstheme="minorHAnsi"/>
                <w:szCs w:val="20"/>
              </w:rPr>
              <w:t>Capsule endoscopy in patients with Suspected Crohn’s Disease and Negative Endoscopy.</w:t>
            </w:r>
            <w:r w:rsidRPr="00A41F07">
              <w:rPr>
                <w:rFonts w:cstheme="minorHAnsi"/>
                <w:b/>
                <w:i/>
                <w:szCs w:val="20"/>
              </w:rPr>
              <w:t xml:space="preserve"> </w:t>
            </w:r>
          </w:p>
          <w:p w14:paraId="582717F2" w14:textId="77777777" w:rsidR="000D292E" w:rsidRPr="00A41F07" w:rsidRDefault="00FD7C0C" w:rsidP="008152B9">
            <w:pPr>
              <w:autoSpaceDE w:val="0"/>
              <w:autoSpaceDN w:val="0"/>
              <w:adjustRightInd w:val="0"/>
              <w:rPr>
                <w:rFonts w:cstheme="minorHAnsi"/>
                <w:szCs w:val="20"/>
              </w:rPr>
            </w:pPr>
            <w:proofErr w:type="spellStart"/>
            <w:r w:rsidRPr="00A41F07">
              <w:rPr>
                <w:rFonts w:cstheme="minorHAnsi"/>
                <w:b/>
                <w:i/>
                <w:szCs w:val="20"/>
              </w:rPr>
              <w:t>Herrerias</w:t>
            </w:r>
            <w:proofErr w:type="spellEnd"/>
            <w:r w:rsidRPr="00A41F07">
              <w:rPr>
                <w:rFonts w:cstheme="minorHAnsi"/>
                <w:b/>
                <w:i/>
                <w:szCs w:val="20"/>
              </w:rPr>
              <w:t xml:space="preserve"> et </w:t>
            </w:r>
            <w:r w:rsidR="008152B9" w:rsidRPr="00A41F07">
              <w:rPr>
                <w:rFonts w:cstheme="minorHAnsi"/>
                <w:b/>
                <w:i/>
                <w:szCs w:val="20"/>
              </w:rPr>
              <w:t xml:space="preserve"> al</w:t>
            </w:r>
            <w:r w:rsidR="00FF5CFE" w:rsidRPr="00A41F07">
              <w:rPr>
                <w:rFonts w:cstheme="minorHAnsi"/>
                <w:b/>
                <w:i/>
                <w:szCs w:val="20"/>
              </w:rPr>
              <w:t>.</w:t>
            </w:r>
          </w:p>
        </w:tc>
        <w:tc>
          <w:tcPr>
            <w:tcW w:w="1474" w:type="pct"/>
            <w:tcBorders>
              <w:top w:val="single" w:sz="4" w:space="0" w:color="auto"/>
              <w:left w:val="single" w:sz="4" w:space="0" w:color="auto"/>
              <w:bottom w:val="single" w:sz="4" w:space="0" w:color="auto"/>
              <w:right w:val="single" w:sz="4" w:space="0" w:color="auto"/>
            </w:tcBorders>
          </w:tcPr>
          <w:p w14:paraId="582717F3" w14:textId="77777777" w:rsidR="000D292E" w:rsidRPr="00A41F07" w:rsidRDefault="008152B9" w:rsidP="008152B9">
            <w:pPr>
              <w:autoSpaceDE w:val="0"/>
              <w:autoSpaceDN w:val="0"/>
              <w:adjustRightInd w:val="0"/>
              <w:jc w:val="both"/>
              <w:rPr>
                <w:rFonts w:cstheme="minorHAnsi"/>
                <w:szCs w:val="20"/>
              </w:rPr>
            </w:pPr>
            <w:r w:rsidRPr="00A41F07">
              <w:rPr>
                <w:rFonts w:cstheme="minorHAnsi"/>
                <w:szCs w:val="20"/>
              </w:rPr>
              <w:t>Patients clinical and biochemical suspicion of CD as indicated by symptoms (chronic diarrhoea (&gt;6 months), diffuse abdominal pain, fever or weight loss) included. Crohn’s disease not confirmed using traditional techniques.</w:t>
            </w:r>
          </w:p>
        </w:tc>
        <w:tc>
          <w:tcPr>
            <w:tcW w:w="1383" w:type="pct"/>
            <w:tcBorders>
              <w:top w:val="single" w:sz="4" w:space="0" w:color="auto"/>
              <w:left w:val="single" w:sz="4" w:space="0" w:color="auto"/>
              <w:bottom w:val="single" w:sz="4" w:space="0" w:color="auto"/>
              <w:right w:val="single" w:sz="4" w:space="0" w:color="auto"/>
            </w:tcBorders>
          </w:tcPr>
          <w:p w14:paraId="582717F4" w14:textId="77777777" w:rsidR="00EB60A6" w:rsidRPr="00A41F07" w:rsidRDefault="00742C65" w:rsidP="00EB60A6">
            <w:pPr>
              <w:rPr>
                <w:rFonts w:cstheme="minorHAnsi"/>
                <w:szCs w:val="20"/>
              </w:rPr>
            </w:pPr>
            <w:hyperlink r:id="rId48" w:history="1">
              <w:r w:rsidR="00EB60A6" w:rsidRPr="00A41F07">
                <w:rPr>
                  <w:rStyle w:val="Hyperlink"/>
                  <w:rFonts w:cstheme="minorHAnsi"/>
                  <w:szCs w:val="20"/>
                </w:rPr>
                <w:t>http://www.ncbi.nlm.nih.gov/pubmed/12822090</w:t>
              </w:r>
            </w:hyperlink>
          </w:p>
          <w:p w14:paraId="582717F5" w14:textId="77777777" w:rsidR="000D292E" w:rsidRPr="00A41F07" w:rsidRDefault="000D292E" w:rsidP="00992395"/>
        </w:tc>
        <w:tc>
          <w:tcPr>
            <w:tcW w:w="555" w:type="pct"/>
            <w:tcBorders>
              <w:top w:val="single" w:sz="4" w:space="0" w:color="auto"/>
              <w:left w:val="single" w:sz="4" w:space="0" w:color="auto"/>
              <w:bottom w:val="single" w:sz="4" w:space="0" w:color="auto"/>
              <w:right w:val="single" w:sz="4" w:space="0" w:color="auto"/>
            </w:tcBorders>
          </w:tcPr>
          <w:p w14:paraId="582717F6" w14:textId="77777777" w:rsidR="000D292E" w:rsidRPr="00A41F07" w:rsidRDefault="00EB60A6">
            <w:r w:rsidRPr="00A41F07">
              <w:t>2003</w:t>
            </w:r>
          </w:p>
        </w:tc>
      </w:tr>
      <w:tr w:rsidR="00EC385C" w:rsidRPr="00A41F07" w14:paraId="58271801"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7F8" w14:textId="77777777" w:rsidR="00EC385C" w:rsidRPr="00A41F07" w:rsidRDefault="00EC385C">
            <w:pPr>
              <w:rPr>
                <w:szCs w:val="20"/>
              </w:rPr>
            </w:pPr>
            <w:r w:rsidRPr="00A41F07">
              <w:rPr>
                <w:szCs w:val="20"/>
              </w:rPr>
              <w:t>14.</w:t>
            </w:r>
          </w:p>
        </w:tc>
        <w:tc>
          <w:tcPr>
            <w:tcW w:w="572" w:type="pct"/>
            <w:tcBorders>
              <w:top w:val="single" w:sz="4" w:space="0" w:color="auto"/>
              <w:left w:val="single" w:sz="4" w:space="0" w:color="auto"/>
              <w:bottom w:val="single" w:sz="4" w:space="0" w:color="auto"/>
              <w:right w:val="single" w:sz="4" w:space="0" w:color="auto"/>
            </w:tcBorders>
          </w:tcPr>
          <w:p w14:paraId="582717F9" w14:textId="77777777" w:rsidR="00EC385C" w:rsidRPr="00A41F07" w:rsidRDefault="00EC385C" w:rsidP="00DD1E38">
            <w:pPr>
              <w:rPr>
                <w:rFonts w:cstheme="minorHAnsi"/>
                <w:szCs w:val="20"/>
              </w:rPr>
            </w:pPr>
            <w:r w:rsidRPr="00A41F07">
              <w:rPr>
                <w:rFonts w:cstheme="minorHAnsi"/>
                <w:szCs w:val="20"/>
              </w:rPr>
              <w:t xml:space="preserve">Prospective diagnostic yield </w:t>
            </w:r>
            <w:r w:rsidR="00381496" w:rsidRPr="00A41F07">
              <w:rPr>
                <w:rFonts w:cstheme="minorHAnsi"/>
                <w:szCs w:val="20"/>
              </w:rPr>
              <w:t>study.</w:t>
            </w:r>
          </w:p>
          <w:p w14:paraId="582717FA" w14:textId="77777777" w:rsidR="00EC385C" w:rsidRPr="00A41F07" w:rsidRDefault="00EC385C" w:rsidP="00DD1E38">
            <w:pPr>
              <w:rPr>
                <w:rFonts w:cstheme="minorHAnsi"/>
                <w:szCs w:val="20"/>
              </w:rPr>
            </w:pPr>
          </w:p>
        </w:tc>
        <w:tc>
          <w:tcPr>
            <w:tcW w:w="830" w:type="pct"/>
            <w:tcBorders>
              <w:top w:val="single" w:sz="4" w:space="0" w:color="auto"/>
              <w:left w:val="single" w:sz="4" w:space="0" w:color="auto"/>
              <w:bottom w:val="single" w:sz="4" w:space="0" w:color="auto"/>
              <w:right w:val="single" w:sz="4" w:space="0" w:color="auto"/>
            </w:tcBorders>
          </w:tcPr>
          <w:p w14:paraId="582717FB" w14:textId="77777777" w:rsidR="00EC385C" w:rsidRPr="00A41F07" w:rsidRDefault="00EC385C" w:rsidP="00DD1E38">
            <w:pPr>
              <w:pStyle w:val="Heading1"/>
              <w:shd w:val="clear" w:color="auto" w:fill="FFFFFF"/>
              <w:spacing w:before="90" w:after="90" w:line="270" w:lineRule="atLeast"/>
              <w:outlineLvl w:val="0"/>
              <w:rPr>
                <w:rFonts w:cstheme="minorHAnsi"/>
                <w:i/>
                <w:sz w:val="20"/>
                <w:szCs w:val="20"/>
              </w:rPr>
            </w:pPr>
            <w:proofErr w:type="gramStart"/>
            <w:r w:rsidRPr="00A41F07">
              <w:rPr>
                <w:rFonts w:cstheme="minorHAnsi"/>
                <w:bCs w:val="0"/>
                <w:color w:val="auto"/>
                <w:sz w:val="20"/>
                <w:szCs w:val="20"/>
              </w:rPr>
              <w:t>Clinical features of patients with negative results from traditional diagnostic work-up and Crohn's disease findings from capsule endoscopy.</w:t>
            </w:r>
            <w:proofErr w:type="gramEnd"/>
            <w:r w:rsidRPr="00A41F07">
              <w:rPr>
                <w:rFonts w:cstheme="minorHAnsi"/>
                <w:i/>
                <w:sz w:val="20"/>
                <w:szCs w:val="20"/>
              </w:rPr>
              <w:t xml:space="preserve"> </w:t>
            </w:r>
          </w:p>
          <w:p w14:paraId="582717FC" w14:textId="77777777" w:rsidR="00EC385C" w:rsidRPr="00A41F07" w:rsidRDefault="00EC385C" w:rsidP="006862AD">
            <w:pPr>
              <w:pStyle w:val="Heading1"/>
              <w:shd w:val="clear" w:color="auto" w:fill="FFFFFF"/>
              <w:spacing w:before="90" w:after="90" w:line="270" w:lineRule="atLeast"/>
              <w:outlineLvl w:val="0"/>
              <w:rPr>
                <w:rFonts w:cstheme="minorHAnsi"/>
                <w:b/>
                <w:bCs w:val="0"/>
                <w:color w:val="auto"/>
                <w:sz w:val="20"/>
                <w:szCs w:val="20"/>
              </w:rPr>
            </w:pPr>
            <w:proofErr w:type="gramStart"/>
            <w:r w:rsidRPr="00A41F07">
              <w:rPr>
                <w:rFonts w:cstheme="minorHAnsi"/>
                <w:b/>
                <w:bCs w:val="0"/>
                <w:i/>
                <w:color w:val="auto"/>
                <w:sz w:val="20"/>
                <w:szCs w:val="20"/>
              </w:rPr>
              <w:t>Valle et al.</w:t>
            </w:r>
            <w:proofErr w:type="gramEnd"/>
          </w:p>
        </w:tc>
        <w:tc>
          <w:tcPr>
            <w:tcW w:w="1474" w:type="pct"/>
            <w:tcBorders>
              <w:top w:val="single" w:sz="4" w:space="0" w:color="auto"/>
              <w:left w:val="single" w:sz="4" w:space="0" w:color="auto"/>
              <w:bottom w:val="single" w:sz="4" w:space="0" w:color="auto"/>
              <w:right w:val="single" w:sz="4" w:space="0" w:color="auto"/>
            </w:tcBorders>
          </w:tcPr>
          <w:p w14:paraId="582717FD" w14:textId="77777777" w:rsidR="00EC385C" w:rsidRPr="00A41F07" w:rsidRDefault="00EC385C" w:rsidP="00DD1E38">
            <w:pPr>
              <w:autoSpaceDE w:val="0"/>
              <w:autoSpaceDN w:val="0"/>
              <w:adjustRightInd w:val="0"/>
              <w:jc w:val="both"/>
              <w:rPr>
                <w:rFonts w:cstheme="minorHAnsi"/>
              </w:rPr>
            </w:pPr>
            <w:r w:rsidRPr="00A41F07">
              <w:rPr>
                <w:rFonts w:cstheme="minorHAnsi"/>
                <w:szCs w:val="20"/>
              </w:rPr>
              <w:t xml:space="preserve">Twenty-three patients (7 men, 16 women; mean age: 40+/-15 y) with negative results from conventional imaging techniques were prospectively included in the study because of suspicion of Crohn's disease.  CE diagnosed Crohn's disease in 6 patients (26%). </w:t>
            </w:r>
          </w:p>
        </w:tc>
        <w:tc>
          <w:tcPr>
            <w:tcW w:w="1383" w:type="pct"/>
            <w:tcBorders>
              <w:top w:val="single" w:sz="4" w:space="0" w:color="auto"/>
              <w:left w:val="single" w:sz="4" w:space="0" w:color="auto"/>
              <w:bottom w:val="single" w:sz="4" w:space="0" w:color="auto"/>
              <w:right w:val="single" w:sz="4" w:space="0" w:color="auto"/>
            </w:tcBorders>
          </w:tcPr>
          <w:p w14:paraId="582717FE" w14:textId="77777777" w:rsidR="00EC385C" w:rsidRPr="00A41F07" w:rsidRDefault="00742C65" w:rsidP="00DD1E38">
            <w:pPr>
              <w:rPr>
                <w:rFonts w:cstheme="minorHAnsi"/>
                <w:szCs w:val="20"/>
              </w:rPr>
            </w:pPr>
            <w:hyperlink r:id="rId49" w:history="1">
              <w:r w:rsidR="00EC385C" w:rsidRPr="00A41F07">
                <w:rPr>
                  <w:rStyle w:val="Hyperlink"/>
                  <w:rFonts w:cstheme="minorHAnsi"/>
                  <w:szCs w:val="20"/>
                </w:rPr>
                <w:t>http://www.ncbi.nlm.nih.gov/pubmed/16940880</w:t>
              </w:r>
            </w:hyperlink>
          </w:p>
          <w:p w14:paraId="582717FF" w14:textId="77777777" w:rsidR="00EC385C" w:rsidRPr="00A41F07" w:rsidRDefault="00EC385C" w:rsidP="00DD1E38">
            <w:pPr>
              <w:rPr>
                <w:rFonts w:cstheme="minorHAnsi"/>
                <w:szCs w:val="20"/>
              </w:rPr>
            </w:pPr>
          </w:p>
        </w:tc>
        <w:tc>
          <w:tcPr>
            <w:tcW w:w="555" w:type="pct"/>
            <w:tcBorders>
              <w:top w:val="single" w:sz="4" w:space="0" w:color="auto"/>
              <w:left w:val="single" w:sz="4" w:space="0" w:color="auto"/>
              <w:bottom w:val="single" w:sz="4" w:space="0" w:color="auto"/>
              <w:right w:val="single" w:sz="4" w:space="0" w:color="auto"/>
            </w:tcBorders>
          </w:tcPr>
          <w:p w14:paraId="58271800" w14:textId="77777777" w:rsidR="00EC385C" w:rsidRPr="00A41F07" w:rsidRDefault="00EC385C" w:rsidP="00DD1E38">
            <w:pPr>
              <w:rPr>
                <w:rFonts w:cstheme="minorHAnsi"/>
                <w:szCs w:val="20"/>
              </w:rPr>
            </w:pPr>
            <w:r w:rsidRPr="00A41F07">
              <w:rPr>
                <w:rFonts w:cstheme="minorHAnsi"/>
                <w:szCs w:val="20"/>
              </w:rPr>
              <w:t>2006</w:t>
            </w:r>
          </w:p>
        </w:tc>
      </w:tr>
      <w:tr w:rsidR="00DD1E38" w:rsidRPr="00A41F07" w14:paraId="58271809"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802" w14:textId="77777777" w:rsidR="00DD1E38" w:rsidRPr="00A41F07" w:rsidRDefault="00DD1E38">
            <w:pPr>
              <w:rPr>
                <w:szCs w:val="20"/>
              </w:rPr>
            </w:pPr>
            <w:r w:rsidRPr="00A41F07">
              <w:rPr>
                <w:szCs w:val="20"/>
              </w:rPr>
              <w:t>15.</w:t>
            </w:r>
          </w:p>
        </w:tc>
        <w:tc>
          <w:tcPr>
            <w:tcW w:w="572" w:type="pct"/>
            <w:tcBorders>
              <w:top w:val="single" w:sz="4" w:space="0" w:color="auto"/>
              <w:left w:val="single" w:sz="4" w:space="0" w:color="auto"/>
              <w:bottom w:val="single" w:sz="4" w:space="0" w:color="auto"/>
              <w:right w:val="single" w:sz="4" w:space="0" w:color="auto"/>
            </w:tcBorders>
          </w:tcPr>
          <w:p w14:paraId="58271803" w14:textId="77777777" w:rsidR="00DD1E38" w:rsidRPr="00A41F07" w:rsidRDefault="00DD1E38" w:rsidP="00DD1E38">
            <w:pPr>
              <w:rPr>
                <w:rFonts w:cstheme="minorHAnsi"/>
                <w:szCs w:val="20"/>
              </w:rPr>
            </w:pPr>
            <w:r w:rsidRPr="00A41F07">
              <w:rPr>
                <w:rFonts w:cstheme="minorHAnsi"/>
                <w:szCs w:val="20"/>
              </w:rPr>
              <w:t xml:space="preserve">Retrospective case series </w:t>
            </w:r>
            <w:r w:rsidR="00381496" w:rsidRPr="00A41F07">
              <w:rPr>
                <w:rFonts w:cstheme="minorHAnsi"/>
                <w:szCs w:val="20"/>
              </w:rPr>
              <w:t>study.</w:t>
            </w:r>
          </w:p>
        </w:tc>
        <w:tc>
          <w:tcPr>
            <w:tcW w:w="830" w:type="pct"/>
            <w:tcBorders>
              <w:top w:val="single" w:sz="4" w:space="0" w:color="auto"/>
              <w:left w:val="single" w:sz="4" w:space="0" w:color="auto"/>
              <w:bottom w:val="single" w:sz="4" w:space="0" w:color="auto"/>
              <w:right w:val="single" w:sz="4" w:space="0" w:color="auto"/>
            </w:tcBorders>
          </w:tcPr>
          <w:p w14:paraId="58271804" w14:textId="77777777" w:rsidR="00DD1E38" w:rsidRPr="00A41F07" w:rsidRDefault="00DD1E38" w:rsidP="00BA79E9">
            <w:pPr>
              <w:pStyle w:val="Heading1"/>
              <w:shd w:val="clear" w:color="auto" w:fill="FFFFFF"/>
              <w:spacing w:before="90" w:after="90" w:line="270" w:lineRule="atLeast"/>
              <w:outlineLvl w:val="0"/>
              <w:rPr>
                <w:rFonts w:cstheme="minorHAnsi"/>
                <w:i/>
                <w:sz w:val="20"/>
                <w:szCs w:val="20"/>
              </w:rPr>
            </w:pPr>
            <w:proofErr w:type="gramStart"/>
            <w:r w:rsidRPr="00A41F07">
              <w:rPr>
                <w:rFonts w:cstheme="minorHAnsi"/>
                <w:bCs w:val="0"/>
                <w:color w:val="auto"/>
                <w:sz w:val="20"/>
                <w:szCs w:val="20"/>
              </w:rPr>
              <w:t>The risk of retention of the capsule endoscope in patients with known or suspected Crohn's disease.</w:t>
            </w:r>
            <w:proofErr w:type="gramEnd"/>
            <w:r w:rsidRPr="00A41F07">
              <w:rPr>
                <w:rFonts w:cstheme="minorHAnsi"/>
                <w:i/>
                <w:sz w:val="20"/>
                <w:szCs w:val="20"/>
              </w:rPr>
              <w:t xml:space="preserve"> </w:t>
            </w:r>
          </w:p>
          <w:p w14:paraId="58271805" w14:textId="77777777" w:rsidR="00DD1E38" w:rsidRPr="00A41F07" w:rsidRDefault="00FD7C0C" w:rsidP="00BA79E9">
            <w:pPr>
              <w:pStyle w:val="Heading1"/>
              <w:shd w:val="clear" w:color="auto" w:fill="FFFFFF"/>
              <w:spacing w:before="90" w:after="90" w:line="270" w:lineRule="atLeast"/>
              <w:outlineLvl w:val="0"/>
              <w:rPr>
                <w:rFonts w:cstheme="minorHAnsi"/>
                <w:b/>
                <w:bCs w:val="0"/>
                <w:i/>
                <w:color w:val="auto"/>
                <w:sz w:val="20"/>
                <w:szCs w:val="20"/>
              </w:rPr>
            </w:pPr>
            <w:proofErr w:type="spellStart"/>
            <w:proofErr w:type="gramStart"/>
            <w:r w:rsidRPr="00A41F07">
              <w:rPr>
                <w:rFonts w:cstheme="minorHAnsi"/>
                <w:b/>
                <w:bCs w:val="0"/>
                <w:i/>
                <w:color w:val="auto"/>
                <w:sz w:val="20"/>
                <w:szCs w:val="20"/>
              </w:rPr>
              <w:t>Cheifetz</w:t>
            </w:r>
            <w:proofErr w:type="spellEnd"/>
            <w:r w:rsidRPr="00A41F07">
              <w:rPr>
                <w:rFonts w:cstheme="minorHAnsi"/>
                <w:b/>
                <w:bCs w:val="0"/>
                <w:i/>
                <w:color w:val="auto"/>
                <w:sz w:val="20"/>
                <w:szCs w:val="20"/>
              </w:rPr>
              <w:t xml:space="preserve"> et </w:t>
            </w:r>
            <w:r w:rsidR="00BA79E9" w:rsidRPr="00A41F07">
              <w:rPr>
                <w:rFonts w:cstheme="minorHAnsi"/>
                <w:b/>
                <w:bCs w:val="0"/>
                <w:i/>
                <w:color w:val="auto"/>
                <w:sz w:val="20"/>
                <w:szCs w:val="20"/>
              </w:rPr>
              <w:t>al</w:t>
            </w:r>
            <w:r w:rsidR="00DE4A39" w:rsidRPr="00A41F07">
              <w:rPr>
                <w:rFonts w:cstheme="minorHAnsi"/>
                <w:b/>
                <w:bCs w:val="0"/>
                <w:i/>
                <w:color w:val="auto"/>
                <w:sz w:val="20"/>
                <w:szCs w:val="20"/>
              </w:rPr>
              <w:t>.</w:t>
            </w:r>
            <w:proofErr w:type="gramEnd"/>
          </w:p>
        </w:tc>
        <w:tc>
          <w:tcPr>
            <w:tcW w:w="1474" w:type="pct"/>
            <w:tcBorders>
              <w:top w:val="single" w:sz="4" w:space="0" w:color="auto"/>
              <w:left w:val="single" w:sz="4" w:space="0" w:color="auto"/>
              <w:bottom w:val="single" w:sz="4" w:space="0" w:color="auto"/>
              <w:right w:val="single" w:sz="4" w:space="0" w:color="auto"/>
            </w:tcBorders>
          </w:tcPr>
          <w:p w14:paraId="58271806" w14:textId="77777777" w:rsidR="00DD1E38" w:rsidRPr="00A41F07" w:rsidRDefault="00DD1E38" w:rsidP="00DD1E38">
            <w:pPr>
              <w:autoSpaceDE w:val="0"/>
              <w:autoSpaceDN w:val="0"/>
              <w:adjustRightInd w:val="0"/>
              <w:jc w:val="both"/>
              <w:rPr>
                <w:rFonts w:cstheme="minorHAnsi"/>
                <w:szCs w:val="20"/>
              </w:rPr>
            </w:pPr>
            <w:r w:rsidRPr="00A41F07">
              <w:rPr>
                <w:rFonts w:cstheme="minorHAnsi"/>
                <w:szCs w:val="20"/>
              </w:rPr>
              <w:t>Multicentre (3 private gastroenterology practices) December 2000-December 2003 n=102 patients with suspected (n=64) or known (n=38) Crohn’s disease. Capsule retention occurred in 13% (95% CI 5.6%-28%) of patients with known CD, but only in 1.6% (95% CI 0.2%-10%) with suspected Crohn's.</w:t>
            </w:r>
          </w:p>
        </w:tc>
        <w:tc>
          <w:tcPr>
            <w:tcW w:w="1383" w:type="pct"/>
            <w:tcBorders>
              <w:top w:val="single" w:sz="4" w:space="0" w:color="auto"/>
              <w:left w:val="single" w:sz="4" w:space="0" w:color="auto"/>
              <w:bottom w:val="single" w:sz="4" w:space="0" w:color="auto"/>
              <w:right w:val="single" w:sz="4" w:space="0" w:color="auto"/>
            </w:tcBorders>
          </w:tcPr>
          <w:p w14:paraId="58271807" w14:textId="77777777" w:rsidR="00DD1E38" w:rsidRPr="00A41F07" w:rsidRDefault="00742C65" w:rsidP="00DD1E38">
            <w:hyperlink r:id="rId50" w:history="1">
              <w:r w:rsidR="00A953C4" w:rsidRPr="00A41F07">
                <w:rPr>
                  <w:rStyle w:val="Hyperlink"/>
                </w:rPr>
                <w:t>https://www.ncbi.nlm.nih.gov/pubmed/16848804</w:t>
              </w:r>
            </w:hyperlink>
          </w:p>
        </w:tc>
        <w:tc>
          <w:tcPr>
            <w:tcW w:w="555" w:type="pct"/>
            <w:tcBorders>
              <w:top w:val="single" w:sz="4" w:space="0" w:color="auto"/>
              <w:left w:val="single" w:sz="4" w:space="0" w:color="auto"/>
              <w:bottom w:val="single" w:sz="4" w:space="0" w:color="auto"/>
              <w:right w:val="single" w:sz="4" w:space="0" w:color="auto"/>
            </w:tcBorders>
          </w:tcPr>
          <w:p w14:paraId="58271808" w14:textId="77777777" w:rsidR="00DD1E38" w:rsidRPr="00A41F07" w:rsidRDefault="00A953C4" w:rsidP="00DD1E38">
            <w:pPr>
              <w:rPr>
                <w:rFonts w:cstheme="minorHAnsi"/>
                <w:szCs w:val="20"/>
              </w:rPr>
            </w:pPr>
            <w:r w:rsidRPr="00A41F07">
              <w:rPr>
                <w:rFonts w:cstheme="minorHAnsi"/>
                <w:szCs w:val="20"/>
              </w:rPr>
              <w:t>2006</w:t>
            </w:r>
          </w:p>
        </w:tc>
      </w:tr>
      <w:tr w:rsidR="00390D1C" w:rsidRPr="00A41F07" w14:paraId="58271812"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80A" w14:textId="77777777" w:rsidR="00390D1C" w:rsidRPr="00A41F07" w:rsidRDefault="00390D1C">
            <w:pPr>
              <w:rPr>
                <w:szCs w:val="20"/>
              </w:rPr>
            </w:pPr>
            <w:r w:rsidRPr="00A41F07">
              <w:rPr>
                <w:szCs w:val="20"/>
              </w:rPr>
              <w:lastRenderedPageBreak/>
              <w:t>16.</w:t>
            </w:r>
          </w:p>
        </w:tc>
        <w:tc>
          <w:tcPr>
            <w:tcW w:w="572" w:type="pct"/>
            <w:tcBorders>
              <w:top w:val="single" w:sz="4" w:space="0" w:color="auto"/>
              <w:left w:val="single" w:sz="4" w:space="0" w:color="auto"/>
              <w:bottom w:val="single" w:sz="4" w:space="0" w:color="auto"/>
              <w:right w:val="single" w:sz="4" w:space="0" w:color="auto"/>
            </w:tcBorders>
          </w:tcPr>
          <w:p w14:paraId="5827180B" w14:textId="77777777" w:rsidR="00390D1C" w:rsidRPr="00A41F07" w:rsidRDefault="00C06B85" w:rsidP="00DD1E38">
            <w:pPr>
              <w:rPr>
                <w:rFonts w:cstheme="minorHAnsi"/>
                <w:szCs w:val="20"/>
              </w:rPr>
            </w:pPr>
            <w:r w:rsidRPr="00A41F07">
              <w:rPr>
                <w:rFonts w:cstheme="minorHAnsi"/>
                <w:szCs w:val="20"/>
              </w:rPr>
              <w:t>Prospective diagnostic yield study</w:t>
            </w:r>
            <w:r w:rsidR="00381496" w:rsidRPr="00A41F07">
              <w:rPr>
                <w:rFonts w:cstheme="minorHAnsi"/>
                <w:szCs w:val="20"/>
              </w:rPr>
              <w:t>.</w:t>
            </w:r>
          </w:p>
        </w:tc>
        <w:tc>
          <w:tcPr>
            <w:tcW w:w="830" w:type="pct"/>
            <w:tcBorders>
              <w:top w:val="single" w:sz="4" w:space="0" w:color="auto"/>
              <w:left w:val="single" w:sz="4" w:space="0" w:color="auto"/>
              <w:bottom w:val="single" w:sz="4" w:space="0" w:color="auto"/>
              <w:right w:val="single" w:sz="4" w:space="0" w:color="auto"/>
            </w:tcBorders>
          </w:tcPr>
          <w:p w14:paraId="5827180C" w14:textId="77777777" w:rsidR="00390D1C" w:rsidRPr="00A41F07" w:rsidRDefault="00DD5436" w:rsidP="00DD5436">
            <w:pPr>
              <w:pStyle w:val="Heading1"/>
              <w:shd w:val="clear" w:color="auto" w:fill="FFFFFF"/>
              <w:spacing w:before="90" w:after="90" w:line="270" w:lineRule="atLeast"/>
              <w:outlineLvl w:val="0"/>
              <w:rPr>
                <w:rFonts w:cstheme="minorHAnsi"/>
                <w:bCs w:val="0"/>
                <w:color w:val="auto"/>
                <w:sz w:val="20"/>
                <w:szCs w:val="20"/>
              </w:rPr>
            </w:pPr>
            <w:r w:rsidRPr="00A41F07">
              <w:rPr>
                <w:rFonts w:cstheme="minorHAnsi"/>
                <w:bCs w:val="0"/>
                <w:color w:val="auto"/>
                <w:sz w:val="20"/>
                <w:szCs w:val="20"/>
              </w:rPr>
              <w:t>Capsule Endoscopy Is Superior to Small-bowel Follow-through and Equivalent to Ileocolonoscopy in Suspected Crohn’s Disease</w:t>
            </w:r>
            <w:r w:rsidR="00BA2E4A">
              <w:rPr>
                <w:rFonts w:cstheme="minorHAnsi"/>
                <w:bCs w:val="0"/>
                <w:color w:val="auto"/>
                <w:sz w:val="20"/>
                <w:szCs w:val="20"/>
              </w:rPr>
              <w:t>.</w:t>
            </w:r>
          </w:p>
          <w:p w14:paraId="5827180D" w14:textId="77777777" w:rsidR="00DD5436" w:rsidRPr="00A41F07" w:rsidRDefault="00DD5436" w:rsidP="00DD5436">
            <w:pPr>
              <w:rPr>
                <w:b/>
                <w:i/>
              </w:rPr>
            </w:pPr>
            <w:r w:rsidRPr="00A41F07">
              <w:rPr>
                <w:b/>
                <w:i/>
              </w:rPr>
              <w:t>Leighton et al.</w:t>
            </w:r>
          </w:p>
        </w:tc>
        <w:tc>
          <w:tcPr>
            <w:tcW w:w="1474" w:type="pct"/>
            <w:tcBorders>
              <w:top w:val="single" w:sz="4" w:space="0" w:color="auto"/>
              <w:left w:val="single" w:sz="4" w:space="0" w:color="auto"/>
              <w:bottom w:val="single" w:sz="4" w:space="0" w:color="auto"/>
              <w:right w:val="single" w:sz="4" w:space="0" w:color="auto"/>
            </w:tcBorders>
          </w:tcPr>
          <w:p w14:paraId="5827180E" w14:textId="77777777" w:rsidR="00390D1C" w:rsidRPr="00A41F07" w:rsidRDefault="002927E1" w:rsidP="00DD1E38">
            <w:pPr>
              <w:autoSpaceDE w:val="0"/>
              <w:autoSpaceDN w:val="0"/>
              <w:adjustRightInd w:val="0"/>
              <w:jc w:val="both"/>
              <w:rPr>
                <w:rFonts w:cstheme="minorHAnsi"/>
                <w:szCs w:val="20"/>
              </w:rPr>
            </w:pPr>
            <w:r w:rsidRPr="00A41F07">
              <w:rPr>
                <w:rFonts w:cstheme="minorHAnsi"/>
                <w:szCs w:val="20"/>
              </w:rPr>
              <w:t>Eighty patients with signs and/or symptoms of</w:t>
            </w:r>
            <w:r w:rsidRPr="00A41F07">
              <w:rPr>
                <w:rFonts w:cstheme="minorHAnsi"/>
              </w:rPr>
              <w:t> small-bowel </w:t>
            </w:r>
            <w:r w:rsidRPr="00A41F07">
              <w:rPr>
                <w:rFonts w:cstheme="minorHAnsi"/>
                <w:szCs w:val="20"/>
              </w:rPr>
              <w:t>Crohn's</w:t>
            </w:r>
            <w:r w:rsidRPr="00A41F07">
              <w:rPr>
                <w:rFonts w:cstheme="minorHAnsi"/>
              </w:rPr>
              <w:t> disease </w:t>
            </w:r>
            <w:r w:rsidRPr="00A41F07">
              <w:rPr>
                <w:rFonts w:cstheme="minorHAnsi"/>
                <w:szCs w:val="20"/>
              </w:rPr>
              <w:t>(age, 10-65 years) underwent CE, followed by SBFT and ileocolonoscopy. Readers were blinded to other test</w:t>
            </w:r>
            <w:r w:rsidRPr="00A41F07">
              <w:rPr>
                <w:rFonts w:cstheme="minorHAnsi"/>
              </w:rPr>
              <w:t> results</w:t>
            </w:r>
            <w:r w:rsidRPr="00A41F07">
              <w:rPr>
                <w:rFonts w:cstheme="minorHAnsi"/>
                <w:szCs w:val="20"/>
              </w:rPr>
              <w:t>. The primary outcome was the diagnostic yield for inflammatory lesions found with CE before ileocolonoscopy compared with SBFT and ileocolonoscopy. A secondary outcome was the incremental diagnostic yield of CE compared with ileocolonoscopy and CE compared with SBFT.</w:t>
            </w:r>
          </w:p>
        </w:tc>
        <w:tc>
          <w:tcPr>
            <w:tcW w:w="1383" w:type="pct"/>
            <w:tcBorders>
              <w:top w:val="single" w:sz="4" w:space="0" w:color="auto"/>
              <w:left w:val="single" w:sz="4" w:space="0" w:color="auto"/>
              <w:bottom w:val="single" w:sz="4" w:space="0" w:color="auto"/>
              <w:right w:val="single" w:sz="4" w:space="0" w:color="auto"/>
            </w:tcBorders>
          </w:tcPr>
          <w:p w14:paraId="5827180F" w14:textId="77777777" w:rsidR="00390D1C" w:rsidRPr="00A41F07" w:rsidRDefault="00742C65" w:rsidP="00DD1E38">
            <w:hyperlink r:id="rId51" w:history="1">
              <w:r w:rsidR="00884666" w:rsidRPr="00A41F07">
                <w:rPr>
                  <w:rStyle w:val="Hyperlink"/>
                </w:rPr>
                <w:t>https://www.ncbi.nlm.nih.gov/pubmed/24075891</w:t>
              </w:r>
            </w:hyperlink>
          </w:p>
          <w:p w14:paraId="58271810" w14:textId="77777777" w:rsidR="00884666" w:rsidRPr="00A41F07" w:rsidRDefault="00884666" w:rsidP="00DD1E38"/>
        </w:tc>
        <w:tc>
          <w:tcPr>
            <w:tcW w:w="555" w:type="pct"/>
            <w:tcBorders>
              <w:top w:val="single" w:sz="4" w:space="0" w:color="auto"/>
              <w:left w:val="single" w:sz="4" w:space="0" w:color="auto"/>
              <w:bottom w:val="single" w:sz="4" w:space="0" w:color="auto"/>
              <w:right w:val="single" w:sz="4" w:space="0" w:color="auto"/>
            </w:tcBorders>
          </w:tcPr>
          <w:p w14:paraId="58271811" w14:textId="77777777" w:rsidR="00390D1C" w:rsidRPr="00A41F07" w:rsidRDefault="00884666" w:rsidP="00DD1E38">
            <w:pPr>
              <w:rPr>
                <w:rFonts w:cstheme="minorHAnsi"/>
                <w:szCs w:val="20"/>
              </w:rPr>
            </w:pPr>
            <w:r w:rsidRPr="00A41F07">
              <w:rPr>
                <w:rFonts w:cstheme="minorHAnsi"/>
                <w:szCs w:val="20"/>
              </w:rPr>
              <w:t>2014</w:t>
            </w:r>
          </w:p>
        </w:tc>
      </w:tr>
      <w:tr w:rsidR="00E8275F" w:rsidRPr="00A41F07" w14:paraId="5827181C" w14:textId="77777777" w:rsidTr="00EC385C">
        <w:trPr>
          <w:cantSplit/>
        </w:trPr>
        <w:tc>
          <w:tcPr>
            <w:tcW w:w="186" w:type="pct"/>
            <w:tcBorders>
              <w:top w:val="single" w:sz="4" w:space="0" w:color="auto"/>
              <w:left w:val="single" w:sz="4" w:space="0" w:color="auto"/>
              <w:bottom w:val="single" w:sz="4" w:space="0" w:color="auto"/>
              <w:right w:val="single" w:sz="4" w:space="0" w:color="auto"/>
            </w:tcBorders>
          </w:tcPr>
          <w:p w14:paraId="58271813" w14:textId="77777777" w:rsidR="00E8275F" w:rsidRPr="00A41F07" w:rsidRDefault="00E8275F">
            <w:pPr>
              <w:rPr>
                <w:szCs w:val="20"/>
              </w:rPr>
            </w:pPr>
            <w:r w:rsidRPr="00A41F07">
              <w:rPr>
                <w:szCs w:val="20"/>
              </w:rPr>
              <w:lastRenderedPageBreak/>
              <w:t>17.</w:t>
            </w:r>
          </w:p>
        </w:tc>
        <w:tc>
          <w:tcPr>
            <w:tcW w:w="572" w:type="pct"/>
            <w:tcBorders>
              <w:top w:val="single" w:sz="4" w:space="0" w:color="auto"/>
              <w:left w:val="single" w:sz="4" w:space="0" w:color="auto"/>
              <w:bottom w:val="single" w:sz="4" w:space="0" w:color="auto"/>
              <w:right w:val="single" w:sz="4" w:space="0" w:color="auto"/>
            </w:tcBorders>
          </w:tcPr>
          <w:p w14:paraId="58271814" w14:textId="77777777" w:rsidR="00E8275F" w:rsidRPr="00A41F07" w:rsidRDefault="00464C05" w:rsidP="00DD1E38">
            <w:pPr>
              <w:rPr>
                <w:rFonts w:cstheme="minorHAnsi"/>
                <w:szCs w:val="20"/>
              </w:rPr>
            </w:pPr>
            <w:r w:rsidRPr="00A41F07">
              <w:rPr>
                <w:rFonts w:cstheme="minorHAnsi"/>
                <w:szCs w:val="20"/>
              </w:rPr>
              <w:t>Prospective, blinded single centre</w:t>
            </w:r>
            <w:r w:rsidR="00592EB1" w:rsidRPr="00A41F07">
              <w:rPr>
                <w:rFonts w:cstheme="minorHAnsi"/>
                <w:szCs w:val="20"/>
              </w:rPr>
              <w:t xml:space="preserve"> study.</w:t>
            </w:r>
          </w:p>
        </w:tc>
        <w:tc>
          <w:tcPr>
            <w:tcW w:w="830" w:type="pct"/>
            <w:tcBorders>
              <w:top w:val="single" w:sz="4" w:space="0" w:color="auto"/>
              <w:left w:val="single" w:sz="4" w:space="0" w:color="auto"/>
              <w:bottom w:val="single" w:sz="4" w:space="0" w:color="auto"/>
              <w:right w:val="single" w:sz="4" w:space="0" w:color="auto"/>
            </w:tcBorders>
          </w:tcPr>
          <w:p w14:paraId="58271815" w14:textId="77777777" w:rsidR="00E8275F" w:rsidRPr="00A41F07" w:rsidRDefault="00E8275F" w:rsidP="00FD7C0C">
            <w:pPr>
              <w:pStyle w:val="Heading1"/>
              <w:shd w:val="clear" w:color="auto" w:fill="FFFFFF"/>
              <w:spacing w:after="225"/>
              <w:jc w:val="both"/>
              <w:outlineLvl w:val="0"/>
              <w:rPr>
                <w:rFonts w:cstheme="minorHAnsi"/>
                <w:bCs w:val="0"/>
                <w:color w:val="auto"/>
                <w:sz w:val="20"/>
                <w:szCs w:val="20"/>
              </w:rPr>
            </w:pPr>
            <w:r w:rsidRPr="00A41F07">
              <w:rPr>
                <w:rFonts w:cstheme="minorHAnsi"/>
                <w:bCs w:val="0"/>
                <w:color w:val="auto"/>
                <w:sz w:val="20"/>
                <w:szCs w:val="20"/>
              </w:rPr>
              <w:t>Diagnostic Accuracy of Capsule Endoscopy for Small Bowel Crohn's Disease Is Superior to That of MR Enterography or CT Enterography</w:t>
            </w:r>
          </w:p>
          <w:p w14:paraId="58271816" w14:textId="77777777" w:rsidR="00E8275F" w:rsidRPr="00A41F07" w:rsidRDefault="00E8275F" w:rsidP="00E8275F">
            <w:pPr>
              <w:rPr>
                <w:b/>
                <w:i/>
              </w:rPr>
            </w:pPr>
            <w:r w:rsidRPr="00A41F07">
              <w:rPr>
                <w:b/>
                <w:i/>
              </w:rPr>
              <w:t>Jensen et al.</w:t>
            </w:r>
          </w:p>
          <w:p w14:paraId="58271817" w14:textId="77777777" w:rsidR="00E8275F" w:rsidRPr="00A41F07" w:rsidRDefault="00E8275F" w:rsidP="00DD5436">
            <w:pPr>
              <w:pStyle w:val="Heading1"/>
              <w:shd w:val="clear" w:color="auto" w:fill="FFFFFF"/>
              <w:spacing w:before="90" w:after="90" w:line="270" w:lineRule="atLeast"/>
              <w:outlineLvl w:val="0"/>
              <w:rPr>
                <w:rFonts w:cstheme="minorHAnsi"/>
                <w:bCs w:val="0"/>
                <w:color w:val="auto"/>
                <w:sz w:val="20"/>
                <w:szCs w:val="20"/>
              </w:rPr>
            </w:pPr>
          </w:p>
        </w:tc>
        <w:tc>
          <w:tcPr>
            <w:tcW w:w="1474" w:type="pct"/>
            <w:tcBorders>
              <w:top w:val="single" w:sz="4" w:space="0" w:color="auto"/>
              <w:left w:val="single" w:sz="4" w:space="0" w:color="auto"/>
              <w:bottom w:val="single" w:sz="4" w:space="0" w:color="auto"/>
              <w:right w:val="single" w:sz="4" w:space="0" w:color="auto"/>
            </w:tcBorders>
          </w:tcPr>
          <w:p w14:paraId="58271818" w14:textId="77777777" w:rsidR="00464C05" w:rsidRPr="00A41F07" w:rsidRDefault="00464C05" w:rsidP="00464C05">
            <w:pPr>
              <w:autoSpaceDE w:val="0"/>
              <w:autoSpaceDN w:val="0"/>
              <w:adjustRightInd w:val="0"/>
              <w:jc w:val="both"/>
              <w:rPr>
                <w:rFonts w:cstheme="minorHAnsi"/>
                <w:szCs w:val="20"/>
              </w:rPr>
            </w:pPr>
            <w:r w:rsidRPr="00A41F07">
              <w:rPr>
                <w:rFonts w:cstheme="minorHAnsi"/>
                <w:szCs w:val="20"/>
              </w:rPr>
              <w:t>93 patients scheduled to undergo ileocolonoscopy, MRE, and CTE and subsequently CE if stenosis was excluded. Physicians reporting CE, MRE, and CTE results were blinded to patient histories and findings from ileocolonoscopy and other small bowel examinations. Results were compared with those from ileoscopy (n = 70), ileoscopy and surgery (n = 4), or surgery (n = 1). Twenty-one patients had Crohn's disease in the terminal ileum. The sensitivity and specificity for diagnosis of Crohn's disease of the terminal ileum were 100% and 91% by CE, 81% and 86% by MRE, and 76% and 85% by CTE, respectively. Proximal Crohn's disease was detected in 18 patients by using CE, compared with 2 and 6 patients by using MRE or CTE, respectively (</w:t>
            </w:r>
            <w:r w:rsidRPr="00A41F07">
              <w:rPr>
                <w:rFonts w:cstheme="minorHAnsi"/>
                <w:i/>
                <w:iCs/>
                <w:szCs w:val="20"/>
              </w:rPr>
              <w:t>P</w:t>
            </w:r>
            <w:r w:rsidRPr="00A41F07">
              <w:rPr>
                <w:rFonts w:cstheme="minorHAnsi"/>
                <w:szCs w:val="20"/>
              </w:rPr>
              <w:t xml:space="preserve"> &lt; .05). </w:t>
            </w:r>
          </w:p>
        </w:tc>
        <w:tc>
          <w:tcPr>
            <w:tcW w:w="1383" w:type="pct"/>
            <w:tcBorders>
              <w:top w:val="single" w:sz="4" w:space="0" w:color="auto"/>
              <w:left w:val="single" w:sz="4" w:space="0" w:color="auto"/>
              <w:bottom w:val="single" w:sz="4" w:space="0" w:color="auto"/>
              <w:right w:val="single" w:sz="4" w:space="0" w:color="auto"/>
            </w:tcBorders>
          </w:tcPr>
          <w:p w14:paraId="58271819" w14:textId="77777777" w:rsidR="00464C05" w:rsidRPr="00A41F07" w:rsidRDefault="00742C65" w:rsidP="00464C05">
            <w:hyperlink r:id="rId52" w:history="1">
              <w:r w:rsidR="00464C05" w:rsidRPr="00A41F07">
                <w:rPr>
                  <w:rStyle w:val="Hyperlink"/>
                </w:rPr>
                <w:t>https://www.ncbi.nlm.nih.gov/pubmed/21056692</w:t>
              </w:r>
            </w:hyperlink>
          </w:p>
          <w:p w14:paraId="5827181A" w14:textId="77777777" w:rsidR="00464C05" w:rsidRPr="00A41F07" w:rsidRDefault="00464C05" w:rsidP="00464C05">
            <w:pPr>
              <w:rPr>
                <w:b/>
              </w:rPr>
            </w:pPr>
          </w:p>
        </w:tc>
        <w:tc>
          <w:tcPr>
            <w:tcW w:w="555" w:type="pct"/>
            <w:tcBorders>
              <w:top w:val="single" w:sz="4" w:space="0" w:color="auto"/>
              <w:left w:val="single" w:sz="4" w:space="0" w:color="auto"/>
              <w:bottom w:val="single" w:sz="4" w:space="0" w:color="auto"/>
              <w:right w:val="single" w:sz="4" w:space="0" w:color="auto"/>
            </w:tcBorders>
          </w:tcPr>
          <w:p w14:paraId="5827181B" w14:textId="77777777" w:rsidR="00E8275F" w:rsidRPr="00A41F07" w:rsidRDefault="00E8275F" w:rsidP="00DD1E38">
            <w:pPr>
              <w:rPr>
                <w:rFonts w:cstheme="minorHAnsi"/>
                <w:szCs w:val="20"/>
              </w:rPr>
            </w:pPr>
            <w:r w:rsidRPr="00A41F07">
              <w:rPr>
                <w:rFonts w:cstheme="minorHAnsi"/>
                <w:szCs w:val="20"/>
              </w:rPr>
              <w:t>2011</w:t>
            </w:r>
          </w:p>
        </w:tc>
      </w:tr>
    </w:tbl>
    <w:p w14:paraId="5827181D" w14:textId="77777777" w:rsidR="00530374" w:rsidRPr="00A41F07" w:rsidRDefault="00412F8D" w:rsidP="00E530DF">
      <w:pPr>
        <w:spacing w:after="0"/>
        <w:rPr>
          <w:i/>
          <w:szCs w:val="20"/>
        </w:rPr>
      </w:pPr>
      <w:r w:rsidRPr="00A41F07">
        <w:rPr>
          <w:b/>
          <w:i/>
          <w:szCs w:val="20"/>
        </w:rPr>
        <w:t>Note</w:t>
      </w:r>
      <w:r w:rsidR="00337D5A" w:rsidRPr="00A41F07">
        <w:rPr>
          <w:b/>
          <w:i/>
          <w:szCs w:val="20"/>
        </w:rPr>
        <w:t>:</w:t>
      </w:r>
      <w:r w:rsidR="00337D5A" w:rsidRPr="00A41F07">
        <w:rPr>
          <w:i/>
          <w:szCs w:val="20"/>
        </w:rPr>
        <w:t xml:space="preserve"> </w:t>
      </w:r>
      <w:r w:rsidR="00530374" w:rsidRPr="00A41F07">
        <w:rPr>
          <w:i/>
          <w:szCs w:val="20"/>
        </w:rPr>
        <w:t>Capsule Endoscopy also named/known as Wireless Capsule Endoscopy</w:t>
      </w:r>
      <w:r w:rsidR="00316517" w:rsidRPr="00A41F07">
        <w:rPr>
          <w:i/>
          <w:szCs w:val="20"/>
        </w:rPr>
        <w:t xml:space="preserve"> or Video Capsule Endoscopy</w:t>
      </w:r>
      <w:r w:rsidR="00A255E9" w:rsidRPr="00A41F07">
        <w:rPr>
          <w:i/>
          <w:szCs w:val="20"/>
        </w:rPr>
        <w:t xml:space="preserve"> or Small Bowel Capsule Endoscopy</w:t>
      </w:r>
      <w:r w:rsidR="00316517" w:rsidRPr="00A41F07">
        <w:rPr>
          <w:i/>
          <w:szCs w:val="20"/>
        </w:rPr>
        <w:t>.</w:t>
      </w:r>
    </w:p>
    <w:p w14:paraId="5827181E" w14:textId="77777777" w:rsidR="00B15DCB" w:rsidRPr="00A41F07" w:rsidRDefault="00316517" w:rsidP="00412F8D">
      <w:pPr>
        <w:spacing w:after="0"/>
        <w:jc w:val="both"/>
        <w:rPr>
          <w:b/>
          <w:i/>
          <w:szCs w:val="20"/>
        </w:rPr>
      </w:pPr>
      <w:r w:rsidRPr="00A41F07">
        <w:rPr>
          <w:b/>
          <w:i/>
          <w:szCs w:val="20"/>
        </w:rPr>
        <w:t>Abbreviations:</w:t>
      </w:r>
      <w:r w:rsidRPr="00A41F07">
        <w:rPr>
          <w:i/>
          <w:szCs w:val="20"/>
        </w:rPr>
        <w:t xml:space="preserve"> </w:t>
      </w:r>
      <w:r w:rsidR="00E1193E" w:rsidRPr="00A41F07">
        <w:rPr>
          <w:szCs w:val="20"/>
        </w:rPr>
        <w:t>CD=</w:t>
      </w:r>
      <w:r w:rsidR="00EA6F21" w:rsidRPr="00A41F07">
        <w:rPr>
          <w:szCs w:val="20"/>
        </w:rPr>
        <w:t xml:space="preserve">Crohn’s disease; </w:t>
      </w:r>
      <w:r w:rsidR="00E1193E" w:rsidRPr="00A41F07">
        <w:rPr>
          <w:szCs w:val="20"/>
        </w:rPr>
        <w:t>GI=</w:t>
      </w:r>
      <w:r w:rsidR="000C6A18" w:rsidRPr="00A41F07">
        <w:rPr>
          <w:szCs w:val="20"/>
        </w:rPr>
        <w:t xml:space="preserve">Gastrointestinal; </w:t>
      </w:r>
      <w:r w:rsidR="00E1193E" w:rsidRPr="00A41F07">
        <w:rPr>
          <w:szCs w:val="20"/>
        </w:rPr>
        <w:t>IBD=</w:t>
      </w:r>
      <w:r w:rsidR="00EA6F21" w:rsidRPr="00A41F07">
        <w:rPr>
          <w:szCs w:val="20"/>
        </w:rPr>
        <w:t>Inflammatory Bowel Disease</w:t>
      </w:r>
      <w:r w:rsidR="003343BF" w:rsidRPr="00A41F07">
        <w:rPr>
          <w:szCs w:val="20"/>
        </w:rPr>
        <w:t>; IBDU</w:t>
      </w:r>
      <w:r w:rsidR="00E1193E" w:rsidRPr="00A41F07">
        <w:rPr>
          <w:szCs w:val="20"/>
        </w:rPr>
        <w:t>=</w:t>
      </w:r>
      <w:r w:rsidR="003343BF" w:rsidRPr="00A41F07">
        <w:rPr>
          <w:szCs w:val="20"/>
        </w:rPr>
        <w:t xml:space="preserve">Inflammatory Bowel Disease Unclassified; </w:t>
      </w:r>
      <w:r w:rsidR="00E1193E" w:rsidRPr="00A41F07">
        <w:rPr>
          <w:szCs w:val="20"/>
        </w:rPr>
        <w:t>SB=</w:t>
      </w:r>
      <w:r w:rsidR="00530374" w:rsidRPr="00A41F07">
        <w:rPr>
          <w:szCs w:val="20"/>
        </w:rPr>
        <w:t>Small Bowel;</w:t>
      </w:r>
      <w:r w:rsidRPr="00A41F07">
        <w:rPr>
          <w:szCs w:val="20"/>
        </w:rPr>
        <w:t xml:space="preserve"> </w:t>
      </w:r>
      <w:r w:rsidR="00E1193E" w:rsidRPr="00A41F07">
        <w:rPr>
          <w:szCs w:val="20"/>
        </w:rPr>
        <w:t>SBCE=</w:t>
      </w:r>
      <w:r w:rsidR="00B13F47" w:rsidRPr="00A41F07">
        <w:rPr>
          <w:szCs w:val="20"/>
        </w:rPr>
        <w:t xml:space="preserve"> Small Bowel Capsule Endoscopy; </w:t>
      </w:r>
      <w:r w:rsidR="00E1193E" w:rsidRPr="00A41F07">
        <w:rPr>
          <w:szCs w:val="20"/>
        </w:rPr>
        <w:t>CE=</w:t>
      </w:r>
      <w:r w:rsidR="00530374" w:rsidRPr="00A41F07">
        <w:rPr>
          <w:szCs w:val="20"/>
        </w:rPr>
        <w:t>Capsule Endoscopy</w:t>
      </w:r>
      <w:r w:rsidR="0093699D" w:rsidRPr="00A41F07">
        <w:rPr>
          <w:szCs w:val="20"/>
        </w:rPr>
        <w:t>/Endoscope</w:t>
      </w:r>
      <w:r w:rsidR="00530374" w:rsidRPr="00A41F07">
        <w:rPr>
          <w:szCs w:val="20"/>
        </w:rPr>
        <w:t>;</w:t>
      </w:r>
      <w:r w:rsidR="00E1193E" w:rsidRPr="00A41F07">
        <w:rPr>
          <w:szCs w:val="20"/>
        </w:rPr>
        <w:t xml:space="preserve"> WCE=</w:t>
      </w:r>
      <w:r w:rsidR="00530374" w:rsidRPr="00A41F07">
        <w:rPr>
          <w:szCs w:val="20"/>
        </w:rPr>
        <w:t>Wireless Capsule Endoscop</w:t>
      </w:r>
      <w:r w:rsidRPr="00A41F07">
        <w:rPr>
          <w:szCs w:val="20"/>
        </w:rPr>
        <w:t>y;</w:t>
      </w:r>
      <w:r w:rsidR="002C033D" w:rsidRPr="00A41F07">
        <w:rPr>
          <w:szCs w:val="20"/>
        </w:rPr>
        <w:t xml:space="preserve"> CECDAI</w:t>
      </w:r>
      <w:r w:rsidR="00E1193E" w:rsidRPr="00A41F07">
        <w:rPr>
          <w:szCs w:val="20"/>
        </w:rPr>
        <w:t>=</w:t>
      </w:r>
      <w:r w:rsidR="00A960E7" w:rsidRPr="00A41F07">
        <w:rPr>
          <w:szCs w:val="20"/>
        </w:rPr>
        <w:t>Capsule Endoscopy Crohn's Disease Activity Index;</w:t>
      </w:r>
      <w:r w:rsidR="00E1193E" w:rsidRPr="00A41F07">
        <w:rPr>
          <w:szCs w:val="20"/>
        </w:rPr>
        <w:t xml:space="preserve"> US=</w:t>
      </w:r>
      <w:r w:rsidR="00DC42AC" w:rsidRPr="00A41F07">
        <w:rPr>
          <w:szCs w:val="20"/>
        </w:rPr>
        <w:t>Ultrasound; CT</w:t>
      </w:r>
      <w:r w:rsidR="00E1193E" w:rsidRPr="00A41F07">
        <w:rPr>
          <w:szCs w:val="20"/>
        </w:rPr>
        <w:t>=</w:t>
      </w:r>
      <w:r w:rsidR="00742E7E" w:rsidRPr="00A41F07">
        <w:rPr>
          <w:szCs w:val="20"/>
        </w:rPr>
        <w:t>Computed</w:t>
      </w:r>
      <w:r w:rsidR="00EC4795" w:rsidRPr="00A41F07">
        <w:rPr>
          <w:szCs w:val="20"/>
        </w:rPr>
        <w:t>/</w:t>
      </w:r>
      <w:r w:rsidR="00EC4795" w:rsidRPr="00A41F07">
        <w:rPr>
          <w:rFonts w:cstheme="minorHAnsi"/>
          <w:bCs/>
          <w:szCs w:val="20"/>
        </w:rPr>
        <w:t>computerised</w:t>
      </w:r>
      <w:r w:rsidR="00742E7E" w:rsidRPr="00A41F07">
        <w:rPr>
          <w:szCs w:val="20"/>
        </w:rPr>
        <w:t xml:space="preserve"> Tomograph</w:t>
      </w:r>
      <w:r w:rsidR="000C6A18" w:rsidRPr="00A41F07">
        <w:rPr>
          <w:szCs w:val="20"/>
        </w:rPr>
        <w:t>y</w:t>
      </w:r>
      <w:r w:rsidR="00E1193E" w:rsidRPr="00A41F07">
        <w:rPr>
          <w:szCs w:val="20"/>
        </w:rPr>
        <w:t>; LS=</w:t>
      </w:r>
      <w:r w:rsidR="000C6A18" w:rsidRPr="00A41F07">
        <w:rPr>
          <w:szCs w:val="20"/>
        </w:rPr>
        <w:t>Lewis Score</w:t>
      </w:r>
      <w:r w:rsidR="00E1193E" w:rsidRPr="00A41F07">
        <w:rPr>
          <w:szCs w:val="20"/>
        </w:rPr>
        <w:t>; C+IL=</w:t>
      </w:r>
      <w:r w:rsidR="00282A6B" w:rsidRPr="00A41F07">
        <w:rPr>
          <w:szCs w:val="20"/>
        </w:rPr>
        <w:t>Colonoscopy+ileoscopy;</w:t>
      </w:r>
      <w:r w:rsidR="00E1193E" w:rsidRPr="00A41F07">
        <w:rPr>
          <w:szCs w:val="20"/>
        </w:rPr>
        <w:t xml:space="preserve"> SBFT=</w:t>
      </w:r>
      <w:r w:rsidR="009122DF" w:rsidRPr="00A41F07">
        <w:rPr>
          <w:szCs w:val="20"/>
        </w:rPr>
        <w:t xml:space="preserve"> Small Bowel Follow Through;</w:t>
      </w:r>
      <w:r w:rsidR="009122DF" w:rsidRPr="00A41F07">
        <w:t xml:space="preserve"> SBE = small bowel enteroclysis (double contrast small bowel fluoroscopy);</w:t>
      </w:r>
      <w:r w:rsidR="00E1193E" w:rsidRPr="00A41F07">
        <w:t xml:space="preserve"> MRE=magnetic resonance imaging with enterography</w:t>
      </w:r>
      <w:r w:rsidR="00E33A81" w:rsidRPr="00A41F07">
        <w:t>; EGD = oesophagogastroduodenoscopy</w:t>
      </w:r>
    </w:p>
    <w:p w14:paraId="5827181F" w14:textId="77777777" w:rsidR="00F435DC" w:rsidRPr="00A41F07" w:rsidRDefault="00F435DC" w:rsidP="00DD308E">
      <w:pPr>
        <w:spacing w:after="0"/>
        <w:ind w:left="426"/>
        <w:rPr>
          <w:i/>
          <w:szCs w:val="20"/>
        </w:rPr>
      </w:pPr>
    </w:p>
    <w:p w14:paraId="58271820" w14:textId="77777777" w:rsidR="00412F8D" w:rsidRPr="00A41F07" w:rsidRDefault="00412F8D" w:rsidP="00DD308E">
      <w:pPr>
        <w:spacing w:after="0"/>
        <w:ind w:left="426"/>
        <w:rPr>
          <w:i/>
          <w:szCs w:val="20"/>
        </w:rPr>
      </w:pPr>
    </w:p>
    <w:p w14:paraId="58271821" w14:textId="77777777" w:rsidR="00412F8D" w:rsidRPr="00A41F07" w:rsidRDefault="00412F8D" w:rsidP="00DD308E">
      <w:pPr>
        <w:spacing w:after="0"/>
        <w:ind w:left="426"/>
        <w:rPr>
          <w:i/>
          <w:szCs w:val="20"/>
        </w:rPr>
      </w:pPr>
    </w:p>
    <w:p w14:paraId="58271822" w14:textId="77777777" w:rsidR="00DD308E" w:rsidRPr="00A41F07" w:rsidRDefault="00DD308E" w:rsidP="00DD308E">
      <w:pPr>
        <w:spacing w:after="0"/>
        <w:ind w:left="426"/>
        <w:rPr>
          <w:i/>
          <w:szCs w:val="20"/>
        </w:rPr>
      </w:pPr>
      <w:r w:rsidRPr="00A41F07">
        <w:rPr>
          <w:i/>
          <w:szCs w:val="20"/>
        </w:rPr>
        <w:lastRenderedPageBreak/>
        <w:t xml:space="preserve">* Categorise study design, for example meta-analysis, randomised trials, non-randomised trial or observational study, study of diagnostic accuracy, etc. </w:t>
      </w:r>
    </w:p>
    <w:p w14:paraId="58271823" w14:textId="77777777" w:rsidR="00DD308E" w:rsidRPr="00A41F07" w:rsidRDefault="00DD308E" w:rsidP="00DD308E">
      <w:pPr>
        <w:spacing w:after="0"/>
        <w:ind w:left="426"/>
        <w:rPr>
          <w:i/>
          <w:szCs w:val="20"/>
        </w:rPr>
      </w:pPr>
      <w:r w:rsidRPr="00A41F07">
        <w:rPr>
          <w:i/>
          <w:szCs w:val="20"/>
        </w:rPr>
        <w:t>**Provide high level information including population numbers and whether patients are being recruited or in post-recruitment, including providing the trial registration number to allow for tracking purposes.</w:t>
      </w:r>
    </w:p>
    <w:p w14:paraId="58271824" w14:textId="77777777" w:rsidR="00DD308E" w:rsidRPr="00A41F07" w:rsidRDefault="00DD308E" w:rsidP="00DD308E">
      <w:pPr>
        <w:spacing w:after="0"/>
        <w:ind w:left="426"/>
        <w:rPr>
          <w:i/>
          <w:szCs w:val="20"/>
        </w:rPr>
      </w:pPr>
      <w:r w:rsidRPr="00A41F07">
        <w:rPr>
          <w:i/>
          <w:szCs w:val="20"/>
        </w:rPr>
        <w:t>*</w:t>
      </w:r>
      <w:r w:rsidRPr="00A41F07">
        <w:rPr>
          <w:szCs w:val="20"/>
        </w:rPr>
        <w:t>**</w:t>
      </w:r>
      <w:r w:rsidRPr="00A41F07">
        <w:rPr>
          <w:i/>
          <w:szCs w:val="20"/>
        </w:rPr>
        <w:t xml:space="preserve"> If the publication is a follow-up to an initial publication, please </w:t>
      </w:r>
      <w:proofErr w:type="gramStart"/>
      <w:r w:rsidRPr="00A41F07">
        <w:rPr>
          <w:i/>
          <w:szCs w:val="20"/>
        </w:rPr>
        <w:t>advise</w:t>
      </w:r>
      <w:proofErr w:type="gramEnd"/>
      <w:r w:rsidRPr="00A41F07">
        <w:rPr>
          <w:i/>
          <w:szCs w:val="20"/>
        </w:rPr>
        <w:t>.</w:t>
      </w:r>
    </w:p>
    <w:p w14:paraId="58271825" w14:textId="77777777" w:rsidR="00DD308E" w:rsidRPr="00A41F07" w:rsidRDefault="00DD308E" w:rsidP="00DD308E">
      <w:pPr>
        <w:rPr>
          <w:i/>
          <w:szCs w:val="20"/>
        </w:rPr>
      </w:pPr>
      <w:r w:rsidRPr="00A41F07">
        <w:rPr>
          <w:i/>
          <w:szCs w:val="20"/>
        </w:rPr>
        <w:br w:type="page"/>
      </w:r>
    </w:p>
    <w:p w14:paraId="58271826" w14:textId="77777777" w:rsidR="00DD308E" w:rsidRPr="00A41F07" w:rsidRDefault="00DD308E">
      <w:pPr>
        <w:rPr>
          <w:b/>
          <w:sz w:val="32"/>
          <w:szCs w:val="32"/>
        </w:rPr>
        <w:sectPr w:rsidR="00DD308E" w:rsidRPr="00A41F07" w:rsidSect="00DD308E">
          <w:pgSz w:w="16838" w:h="11906" w:orient="landscape"/>
          <w:pgMar w:top="1440" w:right="1440" w:bottom="1440" w:left="1440" w:header="708" w:footer="708" w:gutter="0"/>
          <w:cols w:space="708"/>
          <w:docGrid w:linePitch="360"/>
        </w:sectPr>
      </w:pPr>
    </w:p>
    <w:p w14:paraId="58271827" w14:textId="77777777" w:rsidR="004C49EF" w:rsidRPr="00A41F07" w:rsidRDefault="004C49EF" w:rsidP="00530204">
      <w:pPr>
        <w:pStyle w:val="Heading2"/>
      </w:pPr>
      <w:r w:rsidRPr="00A41F07">
        <w:lastRenderedPageBreak/>
        <w:t>Identify yet to be published research that may have results available in the near future that could be relevant in the consideration of your application by MSAC (limiting these to the English language only).</w:t>
      </w:r>
      <w:r w:rsidRPr="00A41F07">
        <w:rPr>
          <w:i/>
        </w:rPr>
        <w:t xml:space="preserve"> Please do not attach full text </w:t>
      </w:r>
      <w:proofErr w:type="gramStart"/>
      <w:r w:rsidRPr="00A41F07">
        <w:rPr>
          <w:i/>
        </w:rPr>
        <w:t>articles,</w:t>
      </w:r>
      <w:proofErr w:type="gramEnd"/>
      <w:r w:rsidRPr="00A41F07">
        <w:rPr>
          <w:i/>
        </w:rPr>
        <w:t xml:space="preserve"> this is just intended to be a summary.</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rsidRPr="00A41F07" w14:paraId="5827182E" w14:textId="77777777" w:rsidTr="004C49EF">
        <w:trPr>
          <w:cantSplit/>
          <w:tblHeader/>
        </w:trPr>
        <w:tc>
          <w:tcPr>
            <w:tcW w:w="326" w:type="pct"/>
          </w:tcPr>
          <w:p w14:paraId="58271828" w14:textId="77777777" w:rsidR="004C49EF" w:rsidRPr="00A41F07" w:rsidRDefault="004C49EF" w:rsidP="00855944">
            <w:pPr>
              <w:pStyle w:val="TableHEADER"/>
            </w:pPr>
          </w:p>
        </w:tc>
        <w:tc>
          <w:tcPr>
            <w:tcW w:w="895" w:type="pct"/>
          </w:tcPr>
          <w:p w14:paraId="58271829" w14:textId="77777777" w:rsidR="004C49EF" w:rsidRPr="00A41F07" w:rsidRDefault="004C49EF" w:rsidP="00855944">
            <w:pPr>
              <w:pStyle w:val="TableHEADER"/>
            </w:pPr>
            <w:r w:rsidRPr="00A41F07">
              <w:t>Type of study design*</w:t>
            </w:r>
          </w:p>
        </w:tc>
        <w:tc>
          <w:tcPr>
            <w:tcW w:w="1125" w:type="pct"/>
          </w:tcPr>
          <w:p w14:paraId="5827182A" w14:textId="77777777" w:rsidR="004C49EF" w:rsidRPr="00A41F07" w:rsidRDefault="004C49EF" w:rsidP="00855944">
            <w:pPr>
              <w:pStyle w:val="TableHEADER"/>
            </w:pPr>
            <w:r w:rsidRPr="00A41F07">
              <w:t>Title of research (including any trial identifier if relevant)</w:t>
            </w:r>
          </w:p>
        </w:tc>
        <w:tc>
          <w:tcPr>
            <w:tcW w:w="884" w:type="pct"/>
          </w:tcPr>
          <w:p w14:paraId="5827182B" w14:textId="77777777" w:rsidR="004C49EF" w:rsidRPr="00A41F07" w:rsidRDefault="00367C1B" w:rsidP="00855944">
            <w:pPr>
              <w:pStyle w:val="TableHEADER"/>
            </w:pPr>
            <w:r w:rsidRPr="00A41F07">
              <w:t xml:space="preserve">Short description of research </w:t>
            </w:r>
            <w:r w:rsidR="004C49EF" w:rsidRPr="00A41F07">
              <w:t>(max 50 words)**</w:t>
            </w:r>
          </w:p>
        </w:tc>
        <w:tc>
          <w:tcPr>
            <w:tcW w:w="1246" w:type="pct"/>
          </w:tcPr>
          <w:p w14:paraId="5827182C" w14:textId="77777777" w:rsidR="004C49EF" w:rsidRPr="00A41F07" w:rsidRDefault="004C49EF" w:rsidP="00855944">
            <w:pPr>
              <w:pStyle w:val="TableHEADER"/>
            </w:pPr>
            <w:r w:rsidRPr="00A41F07">
              <w:t>Website link to research (if available)</w:t>
            </w:r>
          </w:p>
        </w:tc>
        <w:tc>
          <w:tcPr>
            <w:tcW w:w="524" w:type="pct"/>
          </w:tcPr>
          <w:p w14:paraId="5827182D" w14:textId="77777777" w:rsidR="004C49EF" w:rsidRPr="00A41F07" w:rsidRDefault="004C49EF" w:rsidP="00855944">
            <w:pPr>
              <w:pStyle w:val="TableHEADER"/>
            </w:pPr>
            <w:r w:rsidRPr="00A41F07">
              <w:t>Date***</w:t>
            </w:r>
          </w:p>
        </w:tc>
      </w:tr>
      <w:tr w:rsidR="004C49EF" w:rsidRPr="00A41F07" w14:paraId="58271835" w14:textId="77777777" w:rsidTr="004C49EF">
        <w:trPr>
          <w:cantSplit/>
        </w:trPr>
        <w:tc>
          <w:tcPr>
            <w:tcW w:w="326" w:type="pct"/>
          </w:tcPr>
          <w:p w14:paraId="5827182F" w14:textId="77777777" w:rsidR="004C49EF" w:rsidRPr="00A41F07" w:rsidRDefault="004C49EF" w:rsidP="00526478">
            <w:pPr>
              <w:rPr>
                <w:szCs w:val="20"/>
              </w:rPr>
            </w:pPr>
            <w:r w:rsidRPr="00A41F07">
              <w:rPr>
                <w:szCs w:val="20"/>
              </w:rPr>
              <w:t>1.</w:t>
            </w:r>
          </w:p>
        </w:tc>
        <w:tc>
          <w:tcPr>
            <w:tcW w:w="895" w:type="pct"/>
          </w:tcPr>
          <w:p w14:paraId="58271830" w14:textId="77777777" w:rsidR="004C49EF" w:rsidRPr="00A41F07" w:rsidRDefault="00767032" w:rsidP="009375C6">
            <w:pPr>
              <w:rPr>
                <w:szCs w:val="20"/>
              </w:rPr>
            </w:pPr>
            <w:r w:rsidRPr="00A41F07">
              <w:rPr>
                <w:szCs w:val="20"/>
              </w:rPr>
              <w:t xml:space="preserve">No study to our knowledge to be published in </w:t>
            </w:r>
            <w:r w:rsidR="009375C6" w:rsidRPr="00A41F07">
              <w:rPr>
                <w:szCs w:val="20"/>
              </w:rPr>
              <w:t xml:space="preserve">12 </w:t>
            </w:r>
            <w:r w:rsidR="00592EB1" w:rsidRPr="00A41F07">
              <w:rPr>
                <w:szCs w:val="20"/>
              </w:rPr>
              <w:t>months’ time</w:t>
            </w:r>
            <w:r w:rsidR="009375C6" w:rsidRPr="00A41F07">
              <w:rPr>
                <w:szCs w:val="20"/>
              </w:rPr>
              <w:t>.</w:t>
            </w:r>
          </w:p>
        </w:tc>
        <w:tc>
          <w:tcPr>
            <w:tcW w:w="1125" w:type="pct"/>
          </w:tcPr>
          <w:p w14:paraId="58271831" w14:textId="77777777" w:rsidR="004C49EF" w:rsidRPr="00A41F07" w:rsidRDefault="00767032" w:rsidP="00526478">
            <w:pPr>
              <w:rPr>
                <w:szCs w:val="20"/>
              </w:rPr>
            </w:pPr>
            <w:r w:rsidRPr="00A41F07">
              <w:rPr>
                <w:szCs w:val="20"/>
              </w:rPr>
              <w:t>N/A</w:t>
            </w:r>
          </w:p>
        </w:tc>
        <w:tc>
          <w:tcPr>
            <w:tcW w:w="884" w:type="pct"/>
          </w:tcPr>
          <w:p w14:paraId="58271832" w14:textId="77777777" w:rsidR="004C49EF" w:rsidRPr="00A41F07" w:rsidRDefault="00767032" w:rsidP="00526478">
            <w:pPr>
              <w:rPr>
                <w:szCs w:val="20"/>
              </w:rPr>
            </w:pPr>
            <w:r w:rsidRPr="00A41F07">
              <w:rPr>
                <w:szCs w:val="20"/>
              </w:rPr>
              <w:t>N/A</w:t>
            </w:r>
          </w:p>
        </w:tc>
        <w:tc>
          <w:tcPr>
            <w:tcW w:w="1246" w:type="pct"/>
          </w:tcPr>
          <w:p w14:paraId="58271833" w14:textId="77777777" w:rsidR="004C49EF" w:rsidRPr="00A41F07" w:rsidRDefault="00767032" w:rsidP="00526478">
            <w:pPr>
              <w:rPr>
                <w:szCs w:val="20"/>
              </w:rPr>
            </w:pPr>
            <w:r w:rsidRPr="00A41F07">
              <w:rPr>
                <w:szCs w:val="20"/>
              </w:rPr>
              <w:t>N/A</w:t>
            </w:r>
          </w:p>
        </w:tc>
        <w:tc>
          <w:tcPr>
            <w:tcW w:w="524" w:type="pct"/>
          </w:tcPr>
          <w:p w14:paraId="58271834" w14:textId="77777777" w:rsidR="004C49EF" w:rsidRPr="00A41F07" w:rsidRDefault="00767032" w:rsidP="00526478">
            <w:pPr>
              <w:rPr>
                <w:szCs w:val="20"/>
              </w:rPr>
            </w:pPr>
            <w:r w:rsidRPr="00A41F07">
              <w:rPr>
                <w:szCs w:val="20"/>
              </w:rPr>
              <w:t>N/A</w:t>
            </w:r>
          </w:p>
        </w:tc>
      </w:tr>
      <w:tr w:rsidR="00634562" w:rsidRPr="00A41F07" w14:paraId="5827183C" w14:textId="77777777" w:rsidTr="004C49EF">
        <w:trPr>
          <w:cantSplit/>
        </w:trPr>
        <w:tc>
          <w:tcPr>
            <w:tcW w:w="326" w:type="pct"/>
          </w:tcPr>
          <w:p w14:paraId="58271836" w14:textId="77777777" w:rsidR="00634562" w:rsidRPr="00A41F07" w:rsidRDefault="00634562" w:rsidP="00526478">
            <w:pPr>
              <w:rPr>
                <w:szCs w:val="20"/>
              </w:rPr>
            </w:pPr>
            <w:r w:rsidRPr="00A41F07">
              <w:rPr>
                <w:szCs w:val="20"/>
              </w:rPr>
              <w:t>2.</w:t>
            </w:r>
          </w:p>
        </w:tc>
        <w:tc>
          <w:tcPr>
            <w:tcW w:w="895" w:type="pct"/>
          </w:tcPr>
          <w:p w14:paraId="58271837"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38"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39"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3A"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3B"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43" w14:textId="77777777" w:rsidTr="004C49EF">
        <w:trPr>
          <w:cantSplit/>
        </w:trPr>
        <w:tc>
          <w:tcPr>
            <w:tcW w:w="326" w:type="pct"/>
          </w:tcPr>
          <w:p w14:paraId="5827183D" w14:textId="77777777" w:rsidR="00634562" w:rsidRPr="00A41F07" w:rsidRDefault="00634562" w:rsidP="00526478">
            <w:pPr>
              <w:rPr>
                <w:szCs w:val="20"/>
              </w:rPr>
            </w:pPr>
            <w:r w:rsidRPr="00A41F07">
              <w:rPr>
                <w:szCs w:val="20"/>
              </w:rPr>
              <w:t>3.</w:t>
            </w:r>
          </w:p>
        </w:tc>
        <w:tc>
          <w:tcPr>
            <w:tcW w:w="895" w:type="pct"/>
          </w:tcPr>
          <w:p w14:paraId="5827183E"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3F"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40"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41"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42"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4A" w14:textId="77777777" w:rsidTr="004C49EF">
        <w:trPr>
          <w:cantSplit/>
        </w:trPr>
        <w:tc>
          <w:tcPr>
            <w:tcW w:w="326" w:type="pct"/>
          </w:tcPr>
          <w:p w14:paraId="58271844" w14:textId="77777777" w:rsidR="00634562" w:rsidRPr="00A41F07" w:rsidRDefault="00634562" w:rsidP="00526478">
            <w:pPr>
              <w:rPr>
                <w:szCs w:val="20"/>
              </w:rPr>
            </w:pPr>
            <w:r w:rsidRPr="00A41F07">
              <w:rPr>
                <w:szCs w:val="20"/>
              </w:rPr>
              <w:t>4.</w:t>
            </w:r>
          </w:p>
        </w:tc>
        <w:tc>
          <w:tcPr>
            <w:tcW w:w="895" w:type="pct"/>
          </w:tcPr>
          <w:p w14:paraId="58271845"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46"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47"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48"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49"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51" w14:textId="77777777" w:rsidTr="004C49EF">
        <w:trPr>
          <w:cantSplit/>
        </w:trPr>
        <w:tc>
          <w:tcPr>
            <w:tcW w:w="326" w:type="pct"/>
          </w:tcPr>
          <w:p w14:paraId="5827184B" w14:textId="77777777" w:rsidR="00634562" w:rsidRPr="00A41F07" w:rsidRDefault="00634562" w:rsidP="00526478">
            <w:pPr>
              <w:rPr>
                <w:szCs w:val="20"/>
              </w:rPr>
            </w:pPr>
            <w:r w:rsidRPr="00A41F07">
              <w:rPr>
                <w:szCs w:val="20"/>
              </w:rPr>
              <w:t>5.</w:t>
            </w:r>
          </w:p>
        </w:tc>
        <w:tc>
          <w:tcPr>
            <w:tcW w:w="895" w:type="pct"/>
          </w:tcPr>
          <w:p w14:paraId="5827184C"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4D"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4E"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4F"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50"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58" w14:textId="77777777" w:rsidTr="004C49EF">
        <w:trPr>
          <w:cantSplit/>
        </w:trPr>
        <w:tc>
          <w:tcPr>
            <w:tcW w:w="326" w:type="pct"/>
          </w:tcPr>
          <w:p w14:paraId="58271852" w14:textId="77777777" w:rsidR="00634562" w:rsidRPr="00A41F07" w:rsidRDefault="00634562" w:rsidP="00526478">
            <w:pPr>
              <w:rPr>
                <w:szCs w:val="20"/>
              </w:rPr>
            </w:pPr>
            <w:r w:rsidRPr="00A41F07">
              <w:rPr>
                <w:szCs w:val="20"/>
              </w:rPr>
              <w:t>6.</w:t>
            </w:r>
          </w:p>
        </w:tc>
        <w:tc>
          <w:tcPr>
            <w:tcW w:w="895" w:type="pct"/>
          </w:tcPr>
          <w:p w14:paraId="58271853"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54"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55"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56"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57"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5F" w14:textId="77777777" w:rsidTr="004C49EF">
        <w:trPr>
          <w:cantSplit/>
        </w:trPr>
        <w:tc>
          <w:tcPr>
            <w:tcW w:w="326" w:type="pct"/>
          </w:tcPr>
          <w:p w14:paraId="58271859" w14:textId="77777777" w:rsidR="00634562" w:rsidRPr="00A41F07" w:rsidRDefault="00634562" w:rsidP="00526478">
            <w:pPr>
              <w:rPr>
                <w:szCs w:val="20"/>
              </w:rPr>
            </w:pPr>
            <w:r w:rsidRPr="00A41F07">
              <w:rPr>
                <w:szCs w:val="20"/>
              </w:rPr>
              <w:t>7.</w:t>
            </w:r>
          </w:p>
        </w:tc>
        <w:tc>
          <w:tcPr>
            <w:tcW w:w="895" w:type="pct"/>
          </w:tcPr>
          <w:p w14:paraId="5827185A"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5B"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5C"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5D"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5E"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66" w14:textId="77777777" w:rsidTr="004C49EF">
        <w:trPr>
          <w:cantSplit/>
        </w:trPr>
        <w:tc>
          <w:tcPr>
            <w:tcW w:w="326" w:type="pct"/>
          </w:tcPr>
          <w:p w14:paraId="58271860" w14:textId="77777777" w:rsidR="00634562" w:rsidRPr="00A41F07" w:rsidRDefault="00634562" w:rsidP="00526478">
            <w:pPr>
              <w:rPr>
                <w:szCs w:val="20"/>
              </w:rPr>
            </w:pPr>
            <w:r w:rsidRPr="00A41F07">
              <w:rPr>
                <w:szCs w:val="20"/>
              </w:rPr>
              <w:t>8.</w:t>
            </w:r>
          </w:p>
        </w:tc>
        <w:tc>
          <w:tcPr>
            <w:tcW w:w="895" w:type="pct"/>
          </w:tcPr>
          <w:p w14:paraId="58271861"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62"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63"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64"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65"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6D" w14:textId="77777777" w:rsidTr="004C49EF">
        <w:trPr>
          <w:cantSplit/>
        </w:trPr>
        <w:tc>
          <w:tcPr>
            <w:tcW w:w="326" w:type="pct"/>
          </w:tcPr>
          <w:p w14:paraId="58271867" w14:textId="77777777" w:rsidR="00634562" w:rsidRPr="00A41F07" w:rsidRDefault="00634562" w:rsidP="00526478">
            <w:pPr>
              <w:rPr>
                <w:szCs w:val="20"/>
              </w:rPr>
            </w:pPr>
            <w:r w:rsidRPr="00A41F07">
              <w:rPr>
                <w:szCs w:val="20"/>
              </w:rPr>
              <w:t>9.</w:t>
            </w:r>
          </w:p>
        </w:tc>
        <w:tc>
          <w:tcPr>
            <w:tcW w:w="895" w:type="pct"/>
          </w:tcPr>
          <w:p w14:paraId="58271868"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69"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6A"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6B"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6C"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74" w14:textId="77777777" w:rsidTr="004C49EF">
        <w:trPr>
          <w:cantSplit/>
        </w:trPr>
        <w:tc>
          <w:tcPr>
            <w:tcW w:w="326" w:type="pct"/>
          </w:tcPr>
          <w:p w14:paraId="5827186E" w14:textId="77777777" w:rsidR="00634562" w:rsidRPr="00A41F07" w:rsidRDefault="00634562" w:rsidP="00526478">
            <w:pPr>
              <w:rPr>
                <w:szCs w:val="20"/>
              </w:rPr>
            </w:pPr>
            <w:r w:rsidRPr="00A41F07">
              <w:rPr>
                <w:szCs w:val="20"/>
              </w:rPr>
              <w:t>10.</w:t>
            </w:r>
          </w:p>
        </w:tc>
        <w:tc>
          <w:tcPr>
            <w:tcW w:w="895" w:type="pct"/>
          </w:tcPr>
          <w:p w14:paraId="5827186F"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70"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71"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72"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73"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7B" w14:textId="77777777" w:rsidTr="004C49EF">
        <w:trPr>
          <w:cantSplit/>
        </w:trPr>
        <w:tc>
          <w:tcPr>
            <w:tcW w:w="326" w:type="pct"/>
          </w:tcPr>
          <w:p w14:paraId="58271875" w14:textId="77777777" w:rsidR="00634562" w:rsidRPr="00A41F07" w:rsidRDefault="00634562" w:rsidP="00526478">
            <w:pPr>
              <w:rPr>
                <w:szCs w:val="20"/>
              </w:rPr>
            </w:pPr>
            <w:r w:rsidRPr="00A41F07">
              <w:rPr>
                <w:szCs w:val="20"/>
              </w:rPr>
              <w:t>11.</w:t>
            </w:r>
          </w:p>
        </w:tc>
        <w:tc>
          <w:tcPr>
            <w:tcW w:w="895" w:type="pct"/>
          </w:tcPr>
          <w:p w14:paraId="58271876"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77"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78"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79"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7A"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82" w14:textId="77777777" w:rsidTr="004C49EF">
        <w:trPr>
          <w:cantSplit/>
        </w:trPr>
        <w:tc>
          <w:tcPr>
            <w:tcW w:w="326" w:type="pct"/>
          </w:tcPr>
          <w:p w14:paraId="5827187C" w14:textId="77777777" w:rsidR="00634562" w:rsidRPr="00A41F07" w:rsidRDefault="00634562" w:rsidP="00526478">
            <w:pPr>
              <w:rPr>
                <w:szCs w:val="20"/>
              </w:rPr>
            </w:pPr>
            <w:r w:rsidRPr="00A41F07">
              <w:rPr>
                <w:szCs w:val="20"/>
              </w:rPr>
              <w:t>12.</w:t>
            </w:r>
          </w:p>
        </w:tc>
        <w:tc>
          <w:tcPr>
            <w:tcW w:w="895" w:type="pct"/>
          </w:tcPr>
          <w:p w14:paraId="5827187D"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7E"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7F"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80"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81"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89" w14:textId="77777777" w:rsidTr="004C49EF">
        <w:trPr>
          <w:cantSplit/>
        </w:trPr>
        <w:tc>
          <w:tcPr>
            <w:tcW w:w="326" w:type="pct"/>
          </w:tcPr>
          <w:p w14:paraId="58271883" w14:textId="77777777" w:rsidR="00634562" w:rsidRPr="00A41F07" w:rsidRDefault="00634562" w:rsidP="00526478">
            <w:pPr>
              <w:rPr>
                <w:szCs w:val="20"/>
              </w:rPr>
            </w:pPr>
            <w:r w:rsidRPr="00A41F07">
              <w:rPr>
                <w:szCs w:val="20"/>
              </w:rPr>
              <w:t>13.</w:t>
            </w:r>
          </w:p>
        </w:tc>
        <w:tc>
          <w:tcPr>
            <w:tcW w:w="895" w:type="pct"/>
          </w:tcPr>
          <w:p w14:paraId="58271884"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85"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86"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87"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88"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90" w14:textId="77777777" w:rsidTr="004C49EF">
        <w:trPr>
          <w:cantSplit/>
        </w:trPr>
        <w:tc>
          <w:tcPr>
            <w:tcW w:w="326" w:type="pct"/>
          </w:tcPr>
          <w:p w14:paraId="5827188A" w14:textId="77777777" w:rsidR="00634562" w:rsidRPr="00A41F07" w:rsidRDefault="00634562" w:rsidP="00526478">
            <w:pPr>
              <w:rPr>
                <w:szCs w:val="20"/>
              </w:rPr>
            </w:pPr>
            <w:r w:rsidRPr="00A41F07">
              <w:rPr>
                <w:szCs w:val="20"/>
              </w:rPr>
              <w:t>14.</w:t>
            </w:r>
          </w:p>
        </w:tc>
        <w:tc>
          <w:tcPr>
            <w:tcW w:w="895" w:type="pct"/>
          </w:tcPr>
          <w:p w14:paraId="5827188B"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8C"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8D"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8E"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8F"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r w:rsidR="00634562" w:rsidRPr="00A41F07" w14:paraId="58271897" w14:textId="77777777" w:rsidTr="004C49EF">
        <w:trPr>
          <w:cantSplit/>
        </w:trPr>
        <w:tc>
          <w:tcPr>
            <w:tcW w:w="326" w:type="pct"/>
          </w:tcPr>
          <w:p w14:paraId="58271891" w14:textId="77777777" w:rsidR="00634562" w:rsidRPr="00A41F07" w:rsidRDefault="00634562" w:rsidP="00526478">
            <w:pPr>
              <w:rPr>
                <w:szCs w:val="20"/>
              </w:rPr>
            </w:pPr>
            <w:r w:rsidRPr="00A41F07">
              <w:rPr>
                <w:szCs w:val="20"/>
              </w:rPr>
              <w:lastRenderedPageBreak/>
              <w:t>15.</w:t>
            </w:r>
          </w:p>
        </w:tc>
        <w:tc>
          <w:tcPr>
            <w:tcW w:w="895" w:type="pct"/>
          </w:tcPr>
          <w:p w14:paraId="58271892" w14:textId="77777777" w:rsidR="00634562" w:rsidRPr="00A41F07" w:rsidRDefault="00634562" w:rsidP="00526478">
            <w:pPr>
              <w:rPr>
                <w:b/>
                <w:szCs w:val="20"/>
              </w:rPr>
            </w:pPr>
            <w:r w:rsidRPr="00A41F07">
              <w:fldChar w:fldCharType="begin">
                <w:ffData>
                  <w:name w:val=""/>
                  <w:enabled/>
                  <w:calcOnExit w:val="0"/>
                  <w:textInput>
                    <w:default w:val="Insert study design"/>
                  </w:textInput>
                </w:ffData>
              </w:fldChar>
            </w:r>
            <w:r w:rsidRPr="00A41F07">
              <w:instrText xml:space="preserve"> FORMTEXT </w:instrText>
            </w:r>
            <w:r w:rsidRPr="00A41F07">
              <w:fldChar w:fldCharType="separate"/>
            </w:r>
            <w:r w:rsidRPr="00A41F07">
              <w:rPr>
                <w:noProof/>
              </w:rPr>
              <w:t>Insert study design</w:t>
            </w:r>
            <w:r w:rsidRPr="00A41F07">
              <w:fldChar w:fldCharType="end"/>
            </w:r>
          </w:p>
        </w:tc>
        <w:tc>
          <w:tcPr>
            <w:tcW w:w="1125" w:type="pct"/>
          </w:tcPr>
          <w:p w14:paraId="58271893" w14:textId="77777777" w:rsidR="00634562" w:rsidRPr="00A41F07" w:rsidRDefault="00634562" w:rsidP="00526478">
            <w:pPr>
              <w:rPr>
                <w:b/>
                <w:szCs w:val="20"/>
              </w:rPr>
            </w:pPr>
            <w:r w:rsidRPr="00A41F07">
              <w:fldChar w:fldCharType="begin">
                <w:ffData>
                  <w:name w:val=""/>
                  <w:enabled/>
                  <w:calcOnExit w:val="0"/>
                  <w:textInput>
                    <w:default w:val="Insert title of research"/>
                  </w:textInput>
                </w:ffData>
              </w:fldChar>
            </w:r>
            <w:r w:rsidRPr="00A41F07">
              <w:instrText xml:space="preserve"> FORMTEXT </w:instrText>
            </w:r>
            <w:r w:rsidRPr="00A41F07">
              <w:fldChar w:fldCharType="separate"/>
            </w:r>
            <w:r w:rsidRPr="00A41F07">
              <w:rPr>
                <w:noProof/>
              </w:rPr>
              <w:t>Insert title of research</w:t>
            </w:r>
            <w:r w:rsidRPr="00A41F07">
              <w:fldChar w:fldCharType="end"/>
            </w:r>
          </w:p>
        </w:tc>
        <w:tc>
          <w:tcPr>
            <w:tcW w:w="884" w:type="pct"/>
          </w:tcPr>
          <w:p w14:paraId="58271894" w14:textId="77777777" w:rsidR="00634562" w:rsidRPr="00A41F07" w:rsidRDefault="00634562" w:rsidP="00526478">
            <w:pPr>
              <w:rPr>
                <w:b/>
                <w:szCs w:val="20"/>
              </w:rPr>
            </w:pPr>
            <w:r w:rsidRPr="00A41F07">
              <w:fldChar w:fldCharType="begin">
                <w:ffData>
                  <w:name w:val=""/>
                  <w:enabled/>
                  <w:calcOnExit w:val="0"/>
                  <w:textInput>
                    <w:default w:val="Insert description "/>
                  </w:textInput>
                </w:ffData>
              </w:fldChar>
            </w:r>
            <w:r w:rsidRPr="00A41F07">
              <w:instrText xml:space="preserve"> FORMTEXT </w:instrText>
            </w:r>
            <w:r w:rsidRPr="00A41F07">
              <w:fldChar w:fldCharType="separate"/>
            </w:r>
            <w:r w:rsidRPr="00A41F07">
              <w:rPr>
                <w:noProof/>
              </w:rPr>
              <w:t xml:space="preserve">Insert description </w:t>
            </w:r>
            <w:r w:rsidRPr="00A41F07">
              <w:fldChar w:fldCharType="end"/>
            </w:r>
          </w:p>
        </w:tc>
        <w:tc>
          <w:tcPr>
            <w:tcW w:w="1246" w:type="pct"/>
          </w:tcPr>
          <w:p w14:paraId="58271895" w14:textId="77777777" w:rsidR="00634562" w:rsidRPr="00A41F07" w:rsidRDefault="00634562" w:rsidP="00526478">
            <w:pPr>
              <w:rPr>
                <w:b/>
                <w:szCs w:val="20"/>
              </w:rPr>
            </w:pPr>
            <w:r w:rsidRPr="00A41F07">
              <w:fldChar w:fldCharType="begin">
                <w:ffData>
                  <w:name w:val=""/>
                  <w:enabled/>
                  <w:calcOnExit w:val="0"/>
                  <w:textInput>
                    <w:default w:val="Insert website link"/>
                  </w:textInput>
                </w:ffData>
              </w:fldChar>
            </w:r>
            <w:r w:rsidRPr="00A41F07">
              <w:instrText xml:space="preserve"> FORMTEXT </w:instrText>
            </w:r>
            <w:r w:rsidRPr="00A41F07">
              <w:fldChar w:fldCharType="separate"/>
            </w:r>
            <w:r w:rsidRPr="00A41F07">
              <w:rPr>
                <w:noProof/>
              </w:rPr>
              <w:t>Insert website link</w:t>
            </w:r>
            <w:r w:rsidRPr="00A41F07">
              <w:fldChar w:fldCharType="end"/>
            </w:r>
          </w:p>
        </w:tc>
        <w:tc>
          <w:tcPr>
            <w:tcW w:w="524" w:type="pct"/>
          </w:tcPr>
          <w:p w14:paraId="58271896" w14:textId="77777777" w:rsidR="00634562" w:rsidRPr="00A41F07" w:rsidRDefault="00634562" w:rsidP="00526478">
            <w:pPr>
              <w:rPr>
                <w:b/>
                <w:szCs w:val="20"/>
              </w:rPr>
            </w:pPr>
            <w:r w:rsidRPr="00A41F07">
              <w:fldChar w:fldCharType="begin">
                <w:ffData>
                  <w:name w:val=""/>
                  <w:enabled/>
                  <w:calcOnExit w:val="0"/>
                  <w:textInput>
                    <w:default w:val="Insert date"/>
                  </w:textInput>
                </w:ffData>
              </w:fldChar>
            </w:r>
            <w:r w:rsidRPr="00A41F07">
              <w:instrText xml:space="preserve"> FORMTEXT </w:instrText>
            </w:r>
            <w:r w:rsidRPr="00A41F07">
              <w:fldChar w:fldCharType="separate"/>
            </w:r>
            <w:r w:rsidRPr="00A41F07">
              <w:rPr>
                <w:noProof/>
              </w:rPr>
              <w:t>Insert date</w:t>
            </w:r>
            <w:r w:rsidRPr="00A41F07">
              <w:fldChar w:fldCharType="end"/>
            </w:r>
          </w:p>
        </w:tc>
      </w:tr>
    </w:tbl>
    <w:p w14:paraId="58271898" w14:textId="77777777" w:rsidR="004C49EF" w:rsidRPr="00A41F07" w:rsidRDefault="004C49EF" w:rsidP="004C49EF">
      <w:pPr>
        <w:spacing w:after="0"/>
        <w:ind w:left="426"/>
        <w:rPr>
          <w:i/>
          <w:szCs w:val="20"/>
        </w:rPr>
      </w:pPr>
      <w:r w:rsidRPr="00A41F07">
        <w:rPr>
          <w:i/>
          <w:szCs w:val="20"/>
        </w:rPr>
        <w:t xml:space="preserve">* Categorise study design, for example meta-analysis, randomised trials, non-randomised trial or observational study, study of diagnostic accuracy, etc. </w:t>
      </w:r>
    </w:p>
    <w:p w14:paraId="58271899" w14:textId="77777777" w:rsidR="004C49EF" w:rsidRPr="00A41F07" w:rsidRDefault="004C49EF" w:rsidP="004C49EF">
      <w:pPr>
        <w:spacing w:after="0"/>
        <w:ind w:left="426"/>
        <w:rPr>
          <w:i/>
          <w:szCs w:val="20"/>
        </w:rPr>
      </w:pPr>
      <w:r w:rsidRPr="00A41F07">
        <w:rPr>
          <w:i/>
          <w:szCs w:val="20"/>
        </w:rPr>
        <w:t>**Provide high level information including population numbers and whether patients are being recruited or in post-recruitment.</w:t>
      </w:r>
    </w:p>
    <w:p w14:paraId="5827189A" w14:textId="77777777" w:rsidR="004C49EF" w:rsidRPr="00A41F07" w:rsidRDefault="004C49EF" w:rsidP="004C49EF">
      <w:pPr>
        <w:spacing w:after="0"/>
        <w:ind w:left="426"/>
        <w:rPr>
          <w:i/>
          <w:szCs w:val="20"/>
        </w:rPr>
      </w:pPr>
      <w:r w:rsidRPr="00A41F07">
        <w:rPr>
          <w:i/>
          <w:szCs w:val="20"/>
        </w:rPr>
        <w:t>*</w:t>
      </w:r>
      <w:r w:rsidRPr="00A41F07">
        <w:rPr>
          <w:szCs w:val="20"/>
        </w:rPr>
        <w:t>**</w:t>
      </w:r>
      <w:r w:rsidRPr="00A41F07">
        <w:rPr>
          <w:i/>
          <w:szCs w:val="20"/>
        </w:rPr>
        <w:t>Date of when results will be made available (to the best of your knowledge).</w:t>
      </w:r>
    </w:p>
    <w:p w14:paraId="5827189B" w14:textId="77777777" w:rsidR="00AA2E5C" w:rsidRPr="00A41F07" w:rsidRDefault="00AA2E5C">
      <w:pPr>
        <w:rPr>
          <w:b/>
          <w:sz w:val="32"/>
          <w:szCs w:val="32"/>
        </w:rPr>
      </w:pPr>
    </w:p>
    <w:p w14:paraId="5827189C" w14:textId="77777777" w:rsidR="00AA2E5C" w:rsidRPr="00A41F07" w:rsidRDefault="00AA2E5C">
      <w:pPr>
        <w:rPr>
          <w:b/>
          <w:sz w:val="32"/>
          <w:szCs w:val="32"/>
        </w:rPr>
      </w:pPr>
    </w:p>
    <w:p w14:paraId="5827189D" w14:textId="77777777" w:rsidR="00DD308E" w:rsidRPr="00A41F07" w:rsidRDefault="00F301F1">
      <w:pPr>
        <w:rPr>
          <w:b/>
          <w:sz w:val="32"/>
          <w:szCs w:val="32"/>
        </w:rPr>
        <w:sectPr w:rsidR="00DD308E" w:rsidRPr="00A41F07" w:rsidSect="00DD308E">
          <w:pgSz w:w="16838" w:h="11906" w:orient="landscape"/>
          <w:pgMar w:top="1440" w:right="1440" w:bottom="1440" w:left="1440" w:header="708" w:footer="708" w:gutter="0"/>
          <w:cols w:space="708"/>
          <w:docGrid w:linePitch="360"/>
        </w:sectPr>
      </w:pPr>
      <w:r w:rsidRPr="00A41F07">
        <w:rPr>
          <w:b/>
          <w:sz w:val="32"/>
          <w:szCs w:val="32"/>
        </w:rPr>
        <w:br w:type="page"/>
      </w:r>
    </w:p>
    <w:p w14:paraId="5827189E" w14:textId="77777777" w:rsidR="00E82F54" w:rsidRPr="00A41F07" w:rsidRDefault="005C3AE7" w:rsidP="00CA26DD">
      <w:pPr>
        <w:pStyle w:val="Heading1"/>
      </w:pPr>
      <w:r w:rsidRPr="00A41F07">
        <w:lastRenderedPageBreak/>
        <w:t>PART 5</w:t>
      </w:r>
      <w:r w:rsidR="00F93784" w:rsidRPr="00A41F07">
        <w:t xml:space="preserve"> – </w:t>
      </w:r>
      <w:r w:rsidR="00E82F54" w:rsidRPr="00A41F07">
        <w:t>CLINICAL ENDORSEMENT AND CONSUMER INFORMATION</w:t>
      </w:r>
    </w:p>
    <w:p w14:paraId="5827189F" w14:textId="77777777" w:rsidR="00E82F54" w:rsidRPr="00A41F07" w:rsidRDefault="00E82F54" w:rsidP="005C3AE7">
      <w:pPr>
        <w:pStyle w:val="Heading2"/>
      </w:pPr>
      <w:r w:rsidRPr="00A41F07">
        <w:t xml:space="preserve">List </w:t>
      </w:r>
      <w:r w:rsidR="00EA173C" w:rsidRPr="00A41F07">
        <w:t>all appropriate professional bodies / organisations</w:t>
      </w:r>
      <w:r w:rsidRPr="00A41F07">
        <w:t xml:space="preserve"> representing the group(s) of health profess</w:t>
      </w:r>
      <w:r w:rsidR="00EA173C" w:rsidRPr="00A41F07">
        <w:t xml:space="preserve">ionals who provide the service </w:t>
      </w:r>
      <w:r w:rsidR="00F93784" w:rsidRPr="00A41F07">
        <w:t xml:space="preserve">(please </w:t>
      </w:r>
      <w:r w:rsidR="00EA173C" w:rsidRPr="00A41F07">
        <w:t>attach</w:t>
      </w:r>
      <w:r w:rsidR="00F93784" w:rsidRPr="00A41F07">
        <w:t xml:space="preserve"> a </w:t>
      </w:r>
      <w:r w:rsidR="00254813" w:rsidRPr="00A41F07">
        <w:t>statement of clinical relevance from</w:t>
      </w:r>
      <w:r w:rsidR="00EA173C" w:rsidRPr="00A41F07">
        <w:t xml:space="preserve"> each </w:t>
      </w:r>
      <w:r w:rsidR="00F93784" w:rsidRPr="00A41F07">
        <w:t>group</w:t>
      </w:r>
      <w:r w:rsidR="00EA173C" w:rsidRPr="00A41F07">
        <w:t xml:space="preserve"> nominated</w:t>
      </w:r>
      <w:r w:rsidR="00F93784" w:rsidRPr="00A41F07">
        <w:t>)</w:t>
      </w:r>
      <w:r w:rsidR="00A727B6" w:rsidRPr="00A41F07">
        <w:t>:</w:t>
      </w:r>
    </w:p>
    <w:p w14:paraId="582718A0" w14:textId="77777777" w:rsidR="00A727B6" w:rsidRPr="00A41F07" w:rsidRDefault="00A614BA" w:rsidP="00F71702">
      <w:pPr>
        <w:tabs>
          <w:tab w:val="left" w:pos="5536"/>
        </w:tabs>
        <w:ind w:left="426"/>
      </w:pPr>
      <w:r w:rsidRPr="00A41F07">
        <w:fldChar w:fldCharType="begin">
          <w:ffData>
            <w:name w:val=""/>
            <w:enabled/>
            <w:calcOnExit w:val="0"/>
            <w:textInput>
              <w:default w:val="Gastroenterological Society of Australia (GESA)"/>
            </w:textInput>
          </w:ffData>
        </w:fldChar>
      </w:r>
      <w:r w:rsidRPr="00A41F07">
        <w:instrText xml:space="preserve"> FORMTEXT </w:instrText>
      </w:r>
      <w:r w:rsidRPr="00A41F07">
        <w:fldChar w:fldCharType="separate"/>
      </w:r>
      <w:r w:rsidRPr="00A41F07">
        <w:rPr>
          <w:noProof/>
        </w:rPr>
        <w:t>Gastroenterological Society of Australia (GESA)</w:t>
      </w:r>
      <w:r w:rsidRPr="00A41F07">
        <w:fldChar w:fldCharType="end"/>
      </w:r>
      <w:r w:rsidR="00F71702" w:rsidRPr="00A41F07">
        <w:t xml:space="preserve"> </w:t>
      </w:r>
    </w:p>
    <w:p w14:paraId="582718A1" w14:textId="77777777" w:rsidR="00EA173C" w:rsidRPr="00A41F07" w:rsidRDefault="00EA173C" w:rsidP="00530204">
      <w:pPr>
        <w:pStyle w:val="Heading2"/>
      </w:pPr>
      <w:r w:rsidRPr="00A41F07">
        <w:t>List any professional bodies / organisations that may be impacted by this medical service</w:t>
      </w:r>
      <w:r w:rsidR="00F93784" w:rsidRPr="00A41F07">
        <w:t xml:space="preserve"> (i.e. those who provide the comparator service)</w:t>
      </w:r>
      <w:r w:rsidR="00197D29" w:rsidRPr="00A41F07">
        <w:t>:</w:t>
      </w:r>
    </w:p>
    <w:p w14:paraId="582718A2" w14:textId="77777777" w:rsidR="00EA173C" w:rsidRPr="00A41F07" w:rsidRDefault="00A614BA" w:rsidP="00A4295D">
      <w:pPr>
        <w:ind w:left="426"/>
        <w:jc w:val="both"/>
      </w:pPr>
      <w:r w:rsidRPr="00A41F07">
        <w:rPr>
          <w:rFonts w:cstheme="minorHAnsi"/>
          <w:szCs w:val="20"/>
        </w:rPr>
        <w:t>C</w:t>
      </w:r>
      <w:r w:rsidR="009375C6" w:rsidRPr="00A41F07">
        <w:rPr>
          <w:rFonts w:cstheme="minorHAnsi"/>
          <w:szCs w:val="20"/>
        </w:rPr>
        <w:t xml:space="preserve">apsule </w:t>
      </w:r>
      <w:r w:rsidRPr="00A41F07">
        <w:rPr>
          <w:rFonts w:cstheme="minorHAnsi"/>
          <w:szCs w:val="20"/>
        </w:rPr>
        <w:t>E</w:t>
      </w:r>
      <w:r w:rsidR="009A6B30" w:rsidRPr="00A41F07">
        <w:rPr>
          <w:rFonts w:cstheme="minorHAnsi"/>
          <w:szCs w:val="20"/>
        </w:rPr>
        <w:t>ndoscopy</w:t>
      </w:r>
      <w:r w:rsidRPr="00A41F07">
        <w:rPr>
          <w:rFonts w:cstheme="minorHAnsi"/>
          <w:szCs w:val="20"/>
        </w:rPr>
        <w:t xml:space="preserve"> is used in addition to other investigative services and provided by the same group of clinicians. For diagnosis of suspected CD –</w:t>
      </w:r>
      <w:r w:rsidR="009375C6" w:rsidRPr="00A41F07">
        <w:rPr>
          <w:rFonts w:cstheme="minorHAnsi"/>
          <w:szCs w:val="20"/>
        </w:rPr>
        <w:t xml:space="preserve"> </w:t>
      </w:r>
      <w:r w:rsidRPr="00A41F07">
        <w:rPr>
          <w:rFonts w:cstheme="minorHAnsi"/>
          <w:szCs w:val="20"/>
        </w:rPr>
        <w:t>it does not replace other investigative services</w:t>
      </w:r>
      <w:r w:rsidR="00705392" w:rsidRPr="00A41F07">
        <w:rPr>
          <w:rFonts w:cstheme="minorHAnsi"/>
          <w:szCs w:val="20"/>
        </w:rPr>
        <w:t xml:space="preserve"> in general</w:t>
      </w:r>
      <w:r w:rsidRPr="00A41F07">
        <w:rPr>
          <w:rFonts w:cstheme="minorHAnsi"/>
          <w:szCs w:val="20"/>
        </w:rPr>
        <w:t xml:space="preserve">. For </w:t>
      </w:r>
      <w:r w:rsidR="00CF5078" w:rsidRPr="00A41F07">
        <w:rPr>
          <w:rFonts w:cstheme="minorHAnsi"/>
          <w:szCs w:val="20"/>
        </w:rPr>
        <w:t>assessment of known isolated small bowel Crohn’s</w:t>
      </w:r>
      <w:r w:rsidRPr="00A41F07">
        <w:rPr>
          <w:rFonts w:cstheme="minorHAnsi"/>
          <w:szCs w:val="20"/>
        </w:rPr>
        <w:t xml:space="preserve"> use, CE may be used in addition to and/or replace alterna</w:t>
      </w:r>
      <w:r w:rsidR="00705392" w:rsidRPr="00A41F07">
        <w:rPr>
          <w:rFonts w:cstheme="minorHAnsi"/>
          <w:szCs w:val="20"/>
        </w:rPr>
        <w:t xml:space="preserve">tive investigative </w:t>
      </w:r>
      <w:r w:rsidR="00CF5078" w:rsidRPr="00A41F07">
        <w:rPr>
          <w:rFonts w:cstheme="minorHAnsi"/>
          <w:szCs w:val="20"/>
        </w:rPr>
        <w:t>services in</w:t>
      </w:r>
      <w:r w:rsidR="004E1E85" w:rsidRPr="00A41F07">
        <w:rPr>
          <w:rFonts w:cstheme="minorHAnsi"/>
          <w:szCs w:val="20"/>
        </w:rPr>
        <w:t xml:space="preserve"> exceptional situations</w:t>
      </w:r>
      <w:r w:rsidR="00705392" w:rsidRPr="00A41F07">
        <w:rPr>
          <w:rFonts w:cstheme="minorHAnsi"/>
          <w:szCs w:val="20"/>
        </w:rPr>
        <w:t>.</w:t>
      </w:r>
      <w:r w:rsidR="004E1E85" w:rsidRPr="00A41F07">
        <w:rPr>
          <w:rFonts w:cstheme="minorHAnsi"/>
          <w:szCs w:val="20"/>
        </w:rPr>
        <w:t xml:space="preserve"> Thus we do not expect any </w:t>
      </w:r>
      <w:r w:rsidR="00A4295D" w:rsidRPr="00A41F07">
        <w:rPr>
          <w:rFonts w:cstheme="minorHAnsi"/>
          <w:szCs w:val="20"/>
        </w:rPr>
        <w:t xml:space="preserve">significant </w:t>
      </w:r>
      <w:r w:rsidR="004E1E85" w:rsidRPr="00A41F07">
        <w:rPr>
          <w:rFonts w:cstheme="minorHAnsi"/>
          <w:szCs w:val="20"/>
        </w:rPr>
        <w:t xml:space="preserve">impact on groups who provide </w:t>
      </w:r>
      <w:r w:rsidR="00B6746A" w:rsidRPr="00A41F07">
        <w:rPr>
          <w:rFonts w:cstheme="minorHAnsi"/>
          <w:szCs w:val="20"/>
        </w:rPr>
        <w:t>other diagnostic modalities.</w:t>
      </w:r>
    </w:p>
    <w:p w14:paraId="582718A3" w14:textId="77777777" w:rsidR="00E82F54" w:rsidRPr="00A41F07" w:rsidRDefault="00E82F54" w:rsidP="00530204">
      <w:pPr>
        <w:pStyle w:val="Heading2"/>
      </w:pPr>
      <w:r w:rsidRPr="00A41F07">
        <w:t>List the relevant consumer organisations relevant to the proposed medical service</w:t>
      </w:r>
      <w:r w:rsidR="00C12C5C" w:rsidRPr="00A41F07">
        <w:t xml:space="preserve"> (please attach a letter of support for each consumer organisation nominated)</w:t>
      </w:r>
      <w:r w:rsidR="00197D29" w:rsidRPr="00A41F07">
        <w:t>:</w:t>
      </w:r>
    </w:p>
    <w:p w14:paraId="582718A4" w14:textId="77777777" w:rsidR="00E82F54" w:rsidRPr="00A41F07" w:rsidRDefault="0070458D" w:rsidP="00634562">
      <w:pPr>
        <w:ind w:left="426"/>
        <w:jc w:val="both"/>
        <w:rPr>
          <w:szCs w:val="20"/>
        </w:rPr>
      </w:pPr>
      <w:r w:rsidRPr="00A41F07">
        <w:fldChar w:fldCharType="begin">
          <w:ffData>
            <w:name w:val=""/>
            <w:enabled/>
            <w:calcOnExit w:val="0"/>
            <w:textInput>
              <w:default w:val="Crohn’s and Colitis Society Australia"/>
            </w:textInput>
          </w:ffData>
        </w:fldChar>
      </w:r>
      <w:r w:rsidRPr="00A41F07">
        <w:instrText xml:space="preserve"> FORMTEXT </w:instrText>
      </w:r>
      <w:r w:rsidRPr="00A41F07">
        <w:fldChar w:fldCharType="separate"/>
      </w:r>
      <w:r w:rsidRPr="00A41F07">
        <w:rPr>
          <w:noProof/>
        </w:rPr>
        <w:t>Crohn’s and Colitis Society Australia</w:t>
      </w:r>
      <w:r w:rsidRPr="00A41F07">
        <w:fldChar w:fldCharType="end"/>
      </w:r>
      <w:r w:rsidR="00B97739" w:rsidRPr="00A41F07">
        <w:t xml:space="preserve"> is the relevant consumer organisation for the proposed medical service. Crohn’s and Colitis </w:t>
      </w:r>
      <w:r w:rsidR="00BB44D6" w:rsidRPr="00A41F07">
        <w:t>Society submitted</w:t>
      </w:r>
      <w:r w:rsidR="00B97739" w:rsidRPr="00A41F07">
        <w:t xml:space="preserve"> their</w:t>
      </w:r>
      <w:r w:rsidR="00240989" w:rsidRPr="00A41F07">
        <w:t xml:space="preserve"> letter of support to </w:t>
      </w:r>
      <w:hyperlink r:id="rId53" w:history="1">
        <w:r w:rsidR="00240989" w:rsidRPr="00A41F07">
          <w:rPr>
            <w:rStyle w:val="Hyperlink"/>
          </w:rPr>
          <w:t>hta@health.gov.au</w:t>
        </w:r>
      </w:hyperlink>
      <w:r w:rsidR="00240989" w:rsidRPr="00A41F07">
        <w:t xml:space="preserve"> on November 8</w:t>
      </w:r>
      <w:r w:rsidR="00240989" w:rsidRPr="00A41F07">
        <w:rPr>
          <w:vertAlign w:val="superscript"/>
        </w:rPr>
        <w:t>th</w:t>
      </w:r>
      <w:r w:rsidR="00240989" w:rsidRPr="00A41F07">
        <w:t>, 2016.</w:t>
      </w:r>
    </w:p>
    <w:p w14:paraId="582718A5" w14:textId="77777777" w:rsidR="003433D1" w:rsidRPr="00A41F07" w:rsidRDefault="003433D1" w:rsidP="00530204">
      <w:pPr>
        <w:pStyle w:val="Heading2"/>
      </w:pPr>
      <w:r w:rsidRPr="00A41F07">
        <w:t xml:space="preserve">List the relevant sponsor(s) and / or manufacturer(s) who produce similar products relevant </w:t>
      </w:r>
      <w:r w:rsidR="00197D29" w:rsidRPr="00A41F07">
        <w:t>to the proposed medical service:</w:t>
      </w:r>
    </w:p>
    <w:p w14:paraId="582718A6" w14:textId="77777777" w:rsidR="00EE6450" w:rsidRPr="00F0403F" w:rsidRDefault="00F25F0D" w:rsidP="00F25F0D">
      <w:pPr>
        <w:spacing w:before="100" w:beforeAutospacing="1" w:after="100" w:afterAutospacing="1"/>
        <w:ind w:left="360"/>
        <w:rPr>
          <w:rFonts w:cstheme="minorHAnsi"/>
          <w:color w:val="FF0000"/>
          <w:szCs w:val="20"/>
        </w:rPr>
      </w:pPr>
      <w:proofErr w:type="spellStart"/>
      <w:r w:rsidRPr="00A41F07">
        <w:rPr>
          <w:rFonts w:cstheme="minorHAnsi"/>
          <w:szCs w:val="20"/>
        </w:rPr>
        <w:t>EndoCapsule</w:t>
      </w:r>
      <w:proofErr w:type="spellEnd"/>
      <w:r w:rsidRPr="00A41F07">
        <w:rPr>
          <w:rFonts w:cstheme="minorHAnsi"/>
          <w:szCs w:val="20"/>
        </w:rPr>
        <w:t xml:space="preserve"> by Olympus </w:t>
      </w:r>
      <w:r w:rsidRPr="00A41F07">
        <w:rPr>
          <w:rFonts w:cstheme="minorHAnsi"/>
          <w:color w:val="222222"/>
          <w:szCs w:val="20"/>
        </w:rPr>
        <w:t>Australia Pty Ltd</w:t>
      </w:r>
      <w:r w:rsidRPr="00A41F07">
        <w:rPr>
          <w:rFonts w:cstheme="minorHAnsi"/>
          <w:szCs w:val="20"/>
        </w:rPr>
        <w:t xml:space="preserve">, </w:t>
      </w:r>
      <w:proofErr w:type="spellStart"/>
      <w:r w:rsidRPr="00A41F07">
        <w:rPr>
          <w:rFonts w:cstheme="minorHAnsi"/>
          <w:szCs w:val="20"/>
        </w:rPr>
        <w:t>MiRo</w:t>
      </w:r>
      <w:proofErr w:type="spellEnd"/>
      <w:r w:rsidRPr="00A41F07">
        <w:rPr>
          <w:rFonts w:cstheme="minorHAnsi"/>
          <w:szCs w:val="20"/>
        </w:rPr>
        <w:t xml:space="preserve">-Cam by </w:t>
      </w:r>
      <w:proofErr w:type="spellStart"/>
      <w:r w:rsidRPr="00A41F07">
        <w:rPr>
          <w:rFonts w:cstheme="minorHAnsi"/>
          <w:szCs w:val="20"/>
        </w:rPr>
        <w:t>IntroMedic</w:t>
      </w:r>
      <w:proofErr w:type="spellEnd"/>
      <w:r w:rsidRPr="00A41F07">
        <w:rPr>
          <w:rFonts w:cstheme="minorHAnsi"/>
          <w:szCs w:val="20"/>
        </w:rPr>
        <w:t xml:space="preserve"> (distributed by C.R. Kennedy), </w:t>
      </w:r>
      <w:proofErr w:type="spellStart"/>
      <w:r w:rsidR="001F23DE" w:rsidRPr="00A41F07">
        <w:rPr>
          <w:rFonts w:cstheme="minorHAnsi"/>
          <w:szCs w:val="20"/>
        </w:rPr>
        <w:t>CapsoCam</w:t>
      </w:r>
      <w:proofErr w:type="spellEnd"/>
      <w:r w:rsidR="001F23DE" w:rsidRPr="00A41F07">
        <w:rPr>
          <w:rFonts w:cstheme="minorHAnsi"/>
          <w:szCs w:val="20"/>
        </w:rPr>
        <w:t xml:space="preserve"> Plus by </w:t>
      </w:r>
      <w:proofErr w:type="spellStart"/>
      <w:r w:rsidR="001F23DE" w:rsidRPr="00A41F07">
        <w:rPr>
          <w:rFonts w:cstheme="minorHAnsi"/>
          <w:szCs w:val="20"/>
        </w:rPr>
        <w:t>CapsoVision</w:t>
      </w:r>
      <w:proofErr w:type="spellEnd"/>
      <w:r w:rsidR="001F23DE" w:rsidRPr="00A41F07">
        <w:rPr>
          <w:rFonts w:cstheme="minorHAnsi"/>
          <w:szCs w:val="20"/>
        </w:rPr>
        <w:t xml:space="preserve"> </w:t>
      </w:r>
      <w:r w:rsidRPr="00A41F07">
        <w:rPr>
          <w:rFonts w:cstheme="minorHAnsi"/>
          <w:szCs w:val="20"/>
        </w:rPr>
        <w:t>(distributed by Device Technologies)</w:t>
      </w:r>
      <w:r w:rsidR="00FD1982">
        <w:rPr>
          <w:rFonts w:cstheme="minorHAnsi"/>
          <w:szCs w:val="20"/>
        </w:rPr>
        <w:t xml:space="preserve">, </w:t>
      </w:r>
      <w:proofErr w:type="spellStart"/>
      <w:r w:rsidR="00644E0E">
        <w:rPr>
          <w:rFonts w:cstheme="minorHAnsi"/>
          <w:szCs w:val="20"/>
        </w:rPr>
        <w:t>PillCam</w:t>
      </w:r>
      <w:proofErr w:type="spellEnd"/>
      <w:r w:rsidR="00644E0E">
        <w:rPr>
          <w:rFonts w:cstheme="minorHAnsi"/>
          <w:szCs w:val="20"/>
        </w:rPr>
        <w:t xml:space="preserve"> by Medtronic Australasia Pty </w:t>
      </w:r>
      <w:r w:rsidR="00644E0E" w:rsidRPr="00F0403F">
        <w:rPr>
          <w:rFonts w:cstheme="minorHAnsi"/>
          <w:szCs w:val="20"/>
        </w:rPr>
        <w:t>Ltd.</w:t>
      </w:r>
    </w:p>
    <w:p w14:paraId="582718A7" w14:textId="77777777" w:rsidR="00E82F54" w:rsidRPr="00F0403F" w:rsidRDefault="00E82F54" w:rsidP="00530204">
      <w:pPr>
        <w:pStyle w:val="Heading2"/>
      </w:pPr>
      <w:r w:rsidRPr="00F0403F">
        <w:t>Nominate two experts who could be approached about the proposed medical service and the current clinical management of the service(s):</w:t>
      </w:r>
    </w:p>
    <w:p w14:paraId="582718A8" w14:textId="77777777" w:rsidR="00987ABE" w:rsidRPr="00F0403F" w:rsidRDefault="00F0403F" w:rsidP="00161E01">
      <w:pPr>
        <w:ind w:firstLine="360"/>
        <w:rPr>
          <w:szCs w:val="20"/>
        </w:rPr>
      </w:pPr>
      <w:r>
        <w:rPr>
          <w:szCs w:val="20"/>
        </w:rPr>
        <w:t xml:space="preserve"> </w:t>
      </w:r>
      <w:r w:rsidR="00987ABE" w:rsidRPr="00F0403F">
        <w:rPr>
          <w:szCs w:val="20"/>
        </w:rPr>
        <w:t xml:space="preserve">Name of expert 1: </w:t>
      </w:r>
    </w:p>
    <w:p w14:paraId="582718A9" w14:textId="77777777" w:rsidR="00987ABE" w:rsidRPr="00F0403F" w:rsidRDefault="00987ABE" w:rsidP="00987ABE">
      <w:pPr>
        <w:ind w:left="426"/>
        <w:rPr>
          <w:szCs w:val="20"/>
        </w:rPr>
      </w:pPr>
      <w:r w:rsidRPr="00F0403F">
        <w:rPr>
          <w:szCs w:val="20"/>
        </w:rPr>
        <w:t xml:space="preserve">Telephone number(s): </w:t>
      </w:r>
    </w:p>
    <w:p w14:paraId="582718AA" w14:textId="77777777" w:rsidR="00987ABE" w:rsidRPr="00F0403F" w:rsidRDefault="00987ABE" w:rsidP="00987ABE">
      <w:pPr>
        <w:ind w:left="426"/>
        <w:rPr>
          <w:szCs w:val="20"/>
        </w:rPr>
      </w:pPr>
      <w:r w:rsidRPr="00F0403F">
        <w:rPr>
          <w:szCs w:val="20"/>
        </w:rPr>
        <w:t xml:space="preserve">Email address: </w:t>
      </w:r>
    </w:p>
    <w:p w14:paraId="582718AB" w14:textId="77777777" w:rsidR="00587E97" w:rsidRPr="00F0403F" w:rsidRDefault="00587E97" w:rsidP="00987ABE">
      <w:pPr>
        <w:ind w:left="426"/>
        <w:rPr>
          <w:szCs w:val="20"/>
        </w:rPr>
      </w:pPr>
    </w:p>
    <w:p w14:paraId="582718AC" w14:textId="77777777" w:rsidR="00987ABE" w:rsidRPr="00F0403F" w:rsidRDefault="00987ABE" w:rsidP="00987ABE">
      <w:pPr>
        <w:ind w:left="426"/>
        <w:rPr>
          <w:szCs w:val="20"/>
        </w:rPr>
      </w:pPr>
      <w:r w:rsidRPr="00F0403F">
        <w:rPr>
          <w:szCs w:val="20"/>
        </w:rPr>
        <w:t xml:space="preserve">Name of expert 2: </w:t>
      </w:r>
    </w:p>
    <w:p w14:paraId="582718AD" w14:textId="77777777" w:rsidR="00987ABE" w:rsidRPr="00F0403F" w:rsidRDefault="00987ABE" w:rsidP="00987ABE">
      <w:pPr>
        <w:ind w:left="426"/>
        <w:rPr>
          <w:szCs w:val="20"/>
        </w:rPr>
      </w:pPr>
      <w:r w:rsidRPr="00F0403F">
        <w:rPr>
          <w:szCs w:val="20"/>
        </w:rPr>
        <w:t xml:space="preserve">Telephone number(s): </w:t>
      </w:r>
    </w:p>
    <w:p w14:paraId="582718AE" w14:textId="77777777" w:rsidR="004E4D36" w:rsidRPr="00F0403F" w:rsidRDefault="00987ABE" w:rsidP="004E4D36">
      <w:pPr>
        <w:ind w:left="426"/>
        <w:jc w:val="both"/>
      </w:pPr>
      <w:r w:rsidRPr="00F0403F">
        <w:rPr>
          <w:szCs w:val="20"/>
        </w:rPr>
        <w:t xml:space="preserve">Email address: </w:t>
      </w:r>
    </w:p>
    <w:p w14:paraId="582718AF" w14:textId="77777777" w:rsidR="00BA6034" w:rsidRPr="00A41F07" w:rsidRDefault="004E4D36" w:rsidP="004E4D36">
      <w:pPr>
        <w:ind w:left="426"/>
        <w:jc w:val="both"/>
        <w:rPr>
          <w:rFonts w:ascii="Helvetica" w:hAnsi="Helvetica" w:cs="Helvetica"/>
          <w:color w:val="555555"/>
          <w:sz w:val="21"/>
          <w:szCs w:val="21"/>
          <w:shd w:val="clear" w:color="auto" w:fill="EEEEEE"/>
        </w:rPr>
      </w:pPr>
      <w:r w:rsidRPr="00F0403F">
        <w:rPr>
          <w:szCs w:val="20"/>
        </w:rPr>
        <w:t xml:space="preserve">Justification of expertise: </w:t>
      </w:r>
    </w:p>
    <w:p w14:paraId="582718B0" w14:textId="77777777" w:rsidR="00E82F54" w:rsidRPr="00A41F07" w:rsidRDefault="00E82F54" w:rsidP="00987ABE">
      <w:pPr>
        <w:ind w:left="426"/>
        <w:rPr>
          <w:szCs w:val="20"/>
        </w:rPr>
      </w:pPr>
    </w:p>
    <w:p w14:paraId="582718B1" w14:textId="77777777" w:rsidR="00987ABE" w:rsidRPr="00A41F07" w:rsidRDefault="00987ABE" w:rsidP="00E82F54">
      <w:pPr>
        <w:ind w:left="426"/>
        <w:rPr>
          <w:i/>
          <w:szCs w:val="20"/>
        </w:rPr>
      </w:pPr>
    </w:p>
    <w:p w14:paraId="582718B2" w14:textId="77777777" w:rsidR="00E82F54" w:rsidRPr="00A41F07" w:rsidRDefault="00E82F54" w:rsidP="00E82F54">
      <w:pPr>
        <w:ind w:left="426"/>
        <w:rPr>
          <w:i/>
          <w:szCs w:val="20"/>
        </w:rPr>
      </w:pPr>
      <w:r w:rsidRPr="00A41F07">
        <w:rPr>
          <w:i/>
          <w:szCs w:val="20"/>
        </w:rPr>
        <w:t xml:space="preserve">Please note that the Department may also consult with other referrers, </w:t>
      </w:r>
      <w:proofErr w:type="spellStart"/>
      <w:r w:rsidRPr="00A41F07">
        <w:rPr>
          <w:i/>
          <w:szCs w:val="20"/>
        </w:rPr>
        <w:t>proceduralists</w:t>
      </w:r>
      <w:proofErr w:type="spellEnd"/>
      <w:r w:rsidRPr="00A41F07">
        <w:rPr>
          <w:i/>
          <w:szCs w:val="20"/>
        </w:rPr>
        <w:t xml:space="preserve"> and disease specialists to obtain their insight.</w:t>
      </w:r>
    </w:p>
    <w:p w14:paraId="582718B3" w14:textId="77777777" w:rsidR="003433D1" w:rsidRPr="00A41F07" w:rsidRDefault="003433D1">
      <w:pPr>
        <w:rPr>
          <w:b/>
          <w:sz w:val="32"/>
          <w:szCs w:val="32"/>
        </w:rPr>
      </w:pPr>
      <w:r w:rsidRPr="00A41F07">
        <w:rPr>
          <w:b/>
          <w:sz w:val="32"/>
          <w:szCs w:val="32"/>
        </w:rPr>
        <w:br w:type="page"/>
      </w:r>
    </w:p>
    <w:p w14:paraId="582718B4" w14:textId="77777777" w:rsidR="00E82F54" w:rsidRPr="00A41F07" w:rsidRDefault="00F93784" w:rsidP="00A96329">
      <w:pPr>
        <w:pStyle w:val="Heading1"/>
      </w:pPr>
      <w:r w:rsidRPr="00A41F07">
        <w:lastRenderedPageBreak/>
        <w:t>PAR</w:t>
      </w:r>
      <w:r w:rsidR="005C3AE7" w:rsidRPr="00A41F07">
        <w:t>T 6</w:t>
      </w:r>
      <w:r w:rsidRPr="00A41F07">
        <w:t xml:space="preserve"> – POPULATION</w:t>
      </w:r>
      <w:r w:rsidR="000525BC" w:rsidRPr="00A41F07">
        <w:t xml:space="preserve"> (AND PRIOR TESTS)</w:t>
      </w:r>
      <w:r w:rsidRPr="00A41F07">
        <w:t>, INDICATION, COMPARATOR, OUTCOME (PICO)</w:t>
      </w:r>
    </w:p>
    <w:p w14:paraId="582718B5" w14:textId="77777777" w:rsidR="0021185D" w:rsidRPr="00A41F07" w:rsidRDefault="005C3AE7" w:rsidP="005C3AE7">
      <w:pPr>
        <w:pStyle w:val="Subtitle"/>
      </w:pPr>
      <w:r w:rsidRPr="00A41F07">
        <w:t xml:space="preserve">PART 6a – </w:t>
      </w:r>
      <w:r w:rsidR="0021185D" w:rsidRPr="00A41F07">
        <w:t>INFORMATION ABOUT THE PROPOSED POPULATION</w:t>
      </w:r>
    </w:p>
    <w:p w14:paraId="582718B6" w14:textId="77777777" w:rsidR="002A6753" w:rsidRPr="00A41F07" w:rsidRDefault="0021185D" w:rsidP="001211E6">
      <w:pPr>
        <w:pStyle w:val="Heading2"/>
      </w:pPr>
      <w:r w:rsidRPr="00A41F07">
        <w:t>Define the medical condition, including providing information</w:t>
      </w:r>
      <w:r w:rsidR="00DF0C51" w:rsidRPr="00A41F07">
        <w:t xml:space="preserve"> on the natural history of the </w:t>
      </w:r>
      <w:r w:rsidRPr="00A41F07">
        <w:t>condition</w:t>
      </w:r>
      <w:r w:rsidR="0018630F" w:rsidRPr="00A41F07">
        <w:t xml:space="preserve"> and a high level</w:t>
      </w:r>
      <w:r w:rsidR="009C03FB" w:rsidRPr="00A41F07">
        <w:t xml:space="preserve"> summary of associated </w:t>
      </w:r>
      <w:r w:rsidR="0018630F" w:rsidRPr="00A41F07">
        <w:t>burden of disea</w:t>
      </w:r>
      <w:r w:rsidR="009C03FB" w:rsidRPr="00A41F07">
        <w:t>se</w:t>
      </w:r>
      <w:r w:rsidR="0054594B" w:rsidRPr="00A41F07">
        <w:t xml:space="preserve"> in terms of both morbidity and mortality</w:t>
      </w:r>
      <w:r w:rsidR="00197D29" w:rsidRPr="00A41F07">
        <w:t>:</w:t>
      </w:r>
    </w:p>
    <w:p w14:paraId="582718B7" w14:textId="77777777" w:rsidR="006738D3" w:rsidRPr="00A41F07" w:rsidRDefault="006738D3" w:rsidP="00CE1ED3">
      <w:pPr>
        <w:spacing w:before="100" w:beforeAutospacing="1" w:after="100" w:afterAutospacing="1"/>
        <w:jc w:val="both"/>
        <w:rPr>
          <w:rFonts w:cstheme="minorHAnsi"/>
          <w:szCs w:val="20"/>
        </w:rPr>
      </w:pPr>
      <w:r w:rsidRPr="00A41F07">
        <w:rPr>
          <w:rFonts w:cstheme="minorHAnsi"/>
          <w:szCs w:val="20"/>
        </w:rPr>
        <w:t xml:space="preserve">Crohn's </w:t>
      </w:r>
      <w:r w:rsidR="007E299C" w:rsidRPr="00A41F07">
        <w:rPr>
          <w:rFonts w:cstheme="minorHAnsi"/>
          <w:szCs w:val="20"/>
        </w:rPr>
        <w:t>disease (</w:t>
      </w:r>
      <w:r w:rsidR="00634562" w:rsidRPr="00A41F07">
        <w:rPr>
          <w:rFonts w:cstheme="minorHAnsi"/>
          <w:szCs w:val="20"/>
        </w:rPr>
        <w:t xml:space="preserve">CD) </w:t>
      </w:r>
      <w:r w:rsidRPr="00A41F07">
        <w:rPr>
          <w:rFonts w:cstheme="minorHAnsi"/>
          <w:szCs w:val="20"/>
        </w:rPr>
        <w:t xml:space="preserve">is characterized by recurring episodes of inflammation of any part of the gastrointestinal </w:t>
      </w:r>
      <w:r w:rsidR="009C7CB1" w:rsidRPr="00A41F07">
        <w:rPr>
          <w:rFonts w:cstheme="minorHAnsi"/>
          <w:szCs w:val="20"/>
        </w:rPr>
        <w:t xml:space="preserve">tract. </w:t>
      </w:r>
      <w:r w:rsidRPr="00A41F07">
        <w:rPr>
          <w:rFonts w:cstheme="minorHAnsi"/>
          <w:szCs w:val="20"/>
        </w:rPr>
        <w:t xml:space="preserve">CD may involve segments of small bowel other than the ileum and isolated small bowel </w:t>
      </w:r>
      <w:r w:rsidR="00AF36BF" w:rsidRPr="00A41F07">
        <w:rPr>
          <w:rFonts w:cstheme="minorHAnsi"/>
          <w:szCs w:val="20"/>
        </w:rPr>
        <w:t xml:space="preserve">disease </w:t>
      </w:r>
      <w:r w:rsidRPr="00A41F07">
        <w:rPr>
          <w:rFonts w:cstheme="minorHAnsi"/>
          <w:szCs w:val="20"/>
        </w:rPr>
        <w:t>can present a diagnostic challenge</w:t>
      </w:r>
      <w:r w:rsidR="009C547F" w:rsidRPr="00A41F07">
        <w:rPr>
          <w:rFonts w:cstheme="minorHAnsi"/>
          <w:szCs w:val="20"/>
        </w:rPr>
        <w:t xml:space="preserve"> since it is beyond the reach of colonoscopy with ileoscopy</w:t>
      </w:r>
      <w:r w:rsidR="00AF36BF" w:rsidRPr="00A41F07">
        <w:rPr>
          <w:rFonts w:cstheme="minorHAnsi"/>
          <w:szCs w:val="20"/>
        </w:rPr>
        <w:t xml:space="preserve">. Imaging modalities </w:t>
      </w:r>
      <w:r w:rsidR="007E412F" w:rsidRPr="00A41F07">
        <w:rPr>
          <w:rFonts w:cstheme="minorHAnsi"/>
          <w:szCs w:val="20"/>
        </w:rPr>
        <w:t>with CTE</w:t>
      </w:r>
      <w:r w:rsidR="00AF36BF" w:rsidRPr="00A41F07">
        <w:rPr>
          <w:rFonts w:cstheme="minorHAnsi"/>
          <w:szCs w:val="20"/>
        </w:rPr>
        <w:t xml:space="preserve"> and/or MRE do</w:t>
      </w:r>
      <w:r w:rsidR="009C547F" w:rsidRPr="00A41F07">
        <w:rPr>
          <w:rFonts w:cstheme="minorHAnsi"/>
          <w:szCs w:val="20"/>
        </w:rPr>
        <w:t xml:space="preserve"> not provide clear picture of the mucosa</w:t>
      </w:r>
      <w:r w:rsidR="00AF36BF" w:rsidRPr="00A41F07">
        <w:rPr>
          <w:rFonts w:cstheme="minorHAnsi"/>
          <w:szCs w:val="20"/>
        </w:rPr>
        <w:t xml:space="preserve"> or its response to therapies</w:t>
      </w:r>
      <w:r w:rsidR="009C547F" w:rsidRPr="00A41F07">
        <w:rPr>
          <w:rFonts w:cstheme="minorHAnsi"/>
          <w:szCs w:val="20"/>
        </w:rPr>
        <w:t>.</w:t>
      </w:r>
      <w:r w:rsidRPr="00A41F07">
        <w:rPr>
          <w:rFonts w:cstheme="minorHAnsi"/>
          <w:szCs w:val="20"/>
        </w:rPr>
        <w:t xml:space="preserve"> Isolated small bowel involvement can occur in</w:t>
      </w:r>
      <w:r w:rsidR="009C547F" w:rsidRPr="00A41F07">
        <w:rPr>
          <w:rFonts w:cstheme="minorHAnsi"/>
          <w:szCs w:val="20"/>
        </w:rPr>
        <w:t xml:space="preserve"> </w:t>
      </w:r>
      <w:r w:rsidRPr="00A41F07">
        <w:rPr>
          <w:rFonts w:cstheme="minorHAnsi"/>
          <w:szCs w:val="20"/>
        </w:rPr>
        <w:t xml:space="preserve">one third of </w:t>
      </w:r>
      <w:r w:rsidR="009C547F" w:rsidRPr="00A41F07">
        <w:rPr>
          <w:rFonts w:cstheme="minorHAnsi"/>
          <w:szCs w:val="20"/>
        </w:rPr>
        <w:t xml:space="preserve">the </w:t>
      </w:r>
      <w:r w:rsidRPr="00A41F07">
        <w:rPr>
          <w:rFonts w:cstheme="minorHAnsi"/>
          <w:szCs w:val="20"/>
        </w:rPr>
        <w:t>patients.</w:t>
      </w:r>
      <w:r w:rsidR="009C547F" w:rsidRPr="00A41F07">
        <w:rPr>
          <w:rFonts w:cstheme="minorHAnsi"/>
          <w:szCs w:val="20"/>
        </w:rPr>
        <w:t xml:space="preserve">  </w:t>
      </w:r>
      <w:r w:rsidR="002F1126" w:rsidRPr="00A41F07">
        <w:rPr>
          <w:rFonts w:cstheme="minorHAnsi"/>
          <w:szCs w:val="20"/>
        </w:rPr>
        <w:t>These patients</w:t>
      </w:r>
      <w:r w:rsidR="007E412F" w:rsidRPr="00A41F07">
        <w:rPr>
          <w:rFonts w:cstheme="minorHAnsi"/>
          <w:szCs w:val="20"/>
        </w:rPr>
        <w:t xml:space="preserve"> can</w:t>
      </w:r>
      <w:r w:rsidR="002F1126" w:rsidRPr="00A41F07">
        <w:rPr>
          <w:rFonts w:cstheme="minorHAnsi"/>
          <w:szCs w:val="20"/>
        </w:rPr>
        <w:t xml:space="preserve"> have symptoms such as abdominal pain, diar</w:t>
      </w:r>
      <w:r w:rsidR="007E412F" w:rsidRPr="00A41F07">
        <w:rPr>
          <w:rFonts w:cstheme="minorHAnsi"/>
          <w:szCs w:val="20"/>
        </w:rPr>
        <w:t>rhoea, vomiting, or weight loss. They may also experience</w:t>
      </w:r>
      <w:r w:rsidR="002F1126" w:rsidRPr="00A41F07">
        <w:rPr>
          <w:rFonts w:cstheme="minorHAnsi"/>
          <w:szCs w:val="20"/>
        </w:rPr>
        <w:t xml:space="preserve"> local</w:t>
      </w:r>
      <w:r w:rsidR="001B102A" w:rsidRPr="00A41F07">
        <w:rPr>
          <w:rFonts w:cstheme="minorHAnsi"/>
          <w:szCs w:val="20"/>
        </w:rPr>
        <w:t xml:space="preserve"> small bowel</w:t>
      </w:r>
      <w:r w:rsidR="002F1126" w:rsidRPr="00A41F07">
        <w:rPr>
          <w:rFonts w:cstheme="minorHAnsi"/>
          <w:szCs w:val="20"/>
        </w:rPr>
        <w:t xml:space="preserve"> complications (e.g., bleeding, obstruction, fistulae) and complications outside the gastrointestinal tract (e.g., skin rashes, arthritis, inflammation of the eye and fatigue). It is most common in adolescents and young adults, but can occur at any age. There is no single test that can be used to diagnose Crohn’s disease, so a combination of tests is usually required. Currently this patient group can remain undiagnosed for years and continue to cycle through rounds of futile diagnostic tests.</w:t>
      </w:r>
      <w:r w:rsidR="007E299C" w:rsidRPr="00A41F07">
        <w:rPr>
          <w:rFonts w:cstheme="minorHAnsi"/>
          <w:szCs w:val="20"/>
        </w:rPr>
        <w:t xml:space="preserve"> Early diagnosis to facilitate optimal treatment is a significant consideration in the management of Crohn’s disease.</w:t>
      </w:r>
    </w:p>
    <w:p w14:paraId="582718B8" w14:textId="77777777" w:rsidR="002F7113" w:rsidRPr="00A41F07" w:rsidRDefault="001211E6" w:rsidP="001211E6">
      <w:pPr>
        <w:spacing w:before="100" w:beforeAutospacing="1" w:after="100" w:afterAutospacing="1"/>
        <w:jc w:val="both"/>
        <w:rPr>
          <w:rFonts w:cstheme="minorHAnsi"/>
          <w:szCs w:val="20"/>
        </w:rPr>
      </w:pPr>
      <w:r w:rsidRPr="00A41F07">
        <w:rPr>
          <w:rFonts w:cstheme="minorHAnsi"/>
          <w:szCs w:val="20"/>
        </w:rPr>
        <w:t>Crohn’s disease is a lifelong condition which often requires repeat diagnostic investigations</w:t>
      </w:r>
      <w:r w:rsidR="00634562" w:rsidRPr="00A41F07">
        <w:rPr>
          <w:rFonts w:cstheme="minorHAnsi"/>
          <w:szCs w:val="20"/>
        </w:rPr>
        <w:t xml:space="preserve"> to evaluate and assess disease.  P</w:t>
      </w:r>
      <w:r w:rsidRPr="00A41F07">
        <w:rPr>
          <w:rFonts w:cstheme="minorHAnsi"/>
          <w:szCs w:val="20"/>
        </w:rPr>
        <w:t xml:space="preserve">atients may undergo imaging as frequently as several times a year or not at all depending on their progress and disease severity. </w:t>
      </w:r>
      <w:r w:rsidR="00C373A6" w:rsidRPr="00A41F07">
        <w:rPr>
          <w:rFonts w:cstheme="minorHAnsi"/>
          <w:szCs w:val="20"/>
        </w:rPr>
        <w:t>50</w:t>
      </w:r>
      <w:r w:rsidRPr="00A41F07">
        <w:rPr>
          <w:rFonts w:cstheme="minorHAnsi"/>
          <w:szCs w:val="20"/>
        </w:rPr>
        <w:t>-60% of patients require surgery at some point, to manage their disease. Many require repeat surgery for recurrent disease despite treatment with pharmacotherapy. Management depends on the disease location, disease severity, and disease-associated complications (Zimmermann and Al-</w:t>
      </w:r>
      <w:proofErr w:type="spellStart"/>
      <w:r w:rsidRPr="00A41F07">
        <w:rPr>
          <w:rFonts w:cstheme="minorHAnsi"/>
          <w:szCs w:val="20"/>
        </w:rPr>
        <w:t>Hawary</w:t>
      </w:r>
      <w:proofErr w:type="spellEnd"/>
      <w:r w:rsidRPr="00A41F07">
        <w:rPr>
          <w:rFonts w:cstheme="minorHAnsi"/>
          <w:szCs w:val="20"/>
        </w:rPr>
        <w:t xml:space="preserve">, 2011). </w:t>
      </w:r>
      <w:r w:rsidR="008B444D" w:rsidRPr="00A41F07">
        <w:rPr>
          <w:rFonts w:cstheme="minorHAnsi"/>
          <w:szCs w:val="20"/>
        </w:rPr>
        <w:t xml:space="preserve"> Crohn’s disease</w:t>
      </w:r>
      <w:r w:rsidR="0017372E" w:rsidRPr="00A41F07">
        <w:rPr>
          <w:rFonts w:cstheme="minorHAnsi"/>
          <w:szCs w:val="20"/>
        </w:rPr>
        <w:t xml:space="preserve"> </w:t>
      </w:r>
      <w:r w:rsidR="0043018D" w:rsidRPr="00A41F07">
        <w:rPr>
          <w:rFonts w:cstheme="minorHAnsi"/>
          <w:szCs w:val="20"/>
        </w:rPr>
        <w:t>has variable</w:t>
      </w:r>
      <w:r w:rsidR="0017372E" w:rsidRPr="00A41F07">
        <w:rPr>
          <w:rFonts w:cstheme="minorHAnsi"/>
          <w:szCs w:val="20"/>
        </w:rPr>
        <w:t xml:space="preserve"> </w:t>
      </w:r>
      <w:r w:rsidR="0043018D" w:rsidRPr="00A41F07">
        <w:rPr>
          <w:rFonts w:cstheme="minorHAnsi"/>
          <w:szCs w:val="20"/>
        </w:rPr>
        <w:t>clinical presentation</w:t>
      </w:r>
      <w:r w:rsidR="00991743" w:rsidRPr="00A41F07">
        <w:rPr>
          <w:rFonts w:cstheme="minorHAnsi"/>
          <w:szCs w:val="20"/>
        </w:rPr>
        <w:t xml:space="preserve"> of symptoms and prognosis which all contribute to the challenge of managing </w:t>
      </w:r>
      <w:r w:rsidR="008B444D" w:rsidRPr="00A41F07">
        <w:rPr>
          <w:rFonts w:cstheme="minorHAnsi"/>
          <w:szCs w:val="20"/>
        </w:rPr>
        <w:t>the disease</w:t>
      </w:r>
      <w:r w:rsidR="00991743" w:rsidRPr="00A41F07">
        <w:rPr>
          <w:rFonts w:cstheme="minorHAnsi"/>
          <w:szCs w:val="20"/>
        </w:rPr>
        <w:t>.</w:t>
      </w:r>
      <w:r w:rsidR="00624C8C" w:rsidRPr="00A41F07">
        <w:rPr>
          <w:rFonts w:cstheme="minorHAnsi"/>
          <w:szCs w:val="20"/>
        </w:rPr>
        <w:t xml:space="preserve"> </w:t>
      </w:r>
      <w:r w:rsidRPr="00A41F07">
        <w:rPr>
          <w:rFonts w:cstheme="minorHAnsi"/>
          <w:szCs w:val="20"/>
        </w:rPr>
        <w:t>Successful Crohn’s disease management begins with an accurate diagnosis and assessment of disease activity, including its precise location in the gastrointestinal tract. Choices for both medical and surgical treatment options will be guided by ongoing clinical and diagnostic</w:t>
      </w:r>
      <w:r w:rsidRPr="00A41F07">
        <w:rPr>
          <w:rFonts w:cstheme="minorHAnsi"/>
          <w:color w:val="FF0000"/>
          <w:szCs w:val="20"/>
        </w:rPr>
        <w:t xml:space="preserve"> </w:t>
      </w:r>
      <w:r w:rsidRPr="00A41F07">
        <w:rPr>
          <w:rFonts w:cstheme="minorHAnsi"/>
          <w:szCs w:val="20"/>
        </w:rPr>
        <w:t>assessment of disease activity.</w:t>
      </w:r>
      <w:r w:rsidR="00CE1ED3" w:rsidRPr="00A41F07">
        <w:rPr>
          <w:rFonts w:cstheme="minorHAnsi"/>
          <w:szCs w:val="20"/>
        </w:rPr>
        <w:t xml:space="preserve"> </w:t>
      </w:r>
    </w:p>
    <w:p w14:paraId="582718B9" w14:textId="77777777" w:rsidR="00A07A5B" w:rsidRPr="00A41F07" w:rsidRDefault="00A07A5B" w:rsidP="001211E6">
      <w:pPr>
        <w:spacing w:before="100" w:beforeAutospacing="1" w:after="100" w:afterAutospacing="1"/>
        <w:jc w:val="both"/>
      </w:pPr>
      <w:r w:rsidRPr="00A41F07">
        <w:rPr>
          <w:rFonts w:cstheme="minorHAnsi"/>
          <w:szCs w:val="20"/>
        </w:rPr>
        <w:t xml:space="preserve">A recent report from PricewaterhouseCoopers (2013) </w:t>
      </w:r>
      <w:r w:rsidRPr="00A41F07">
        <w:t>highlights the need for coordination for long-term surveillance to monitor increased cancer risks, management of medications and the broader needs of an IBD sufferer.</w:t>
      </w:r>
      <w:r w:rsidR="00634562" w:rsidRPr="00A41F07">
        <w:t xml:space="preserve"> </w:t>
      </w:r>
      <w:r w:rsidR="005A1FBB" w:rsidRPr="00A41F07">
        <w:rPr>
          <w:rFonts w:cstheme="minorHAnsi"/>
          <w:szCs w:val="20"/>
        </w:rPr>
        <w:t>According to this report, o</w:t>
      </w:r>
      <w:r w:rsidR="00597597" w:rsidRPr="00A41F07">
        <w:t xml:space="preserve">ver 74,955 Australians are burdened with a constant and often hidden struggle </w:t>
      </w:r>
      <w:r w:rsidR="005A1FBB" w:rsidRPr="00A41F07">
        <w:t>due to inflammatory bowel diseases</w:t>
      </w:r>
      <w:r w:rsidR="00746406" w:rsidRPr="00A41F07">
        <w:t xml:space="preserve"> including Crohn’s disease</w:t>
      </w:r>
      <w:r w:rsidR="005A1FBB" w:rsidRPr="00A41F07">
        <w:t xml:space="preserve"> </w:t>
      </w:r>
      <w:r w:rsidR="00597597" w:rsidRPr="00A41F07">
        <w:t>that affects a sufferer’s personal, social and work life.</w:t>
      </w:r>
      <w:r w:rsidR="005A1FBB" w:rsidRPr="00A41F07">
        <w:t xml:space="preserve"> Direct costs resulting from hospitalisation are also increasing, with a significant cost burden related to healthcare utilisation. A comprehensive analysis of total costs for IBD cases including Crohn’s disease is difficult due to limited publicly available data and as sufferers of IBD also access hospital services for illnesses potentially unrelated to their chronic condition. This report also states that in 2012 the productivity losses attributable to IBD amounted to over $380 million. An additional $2.7 billion of financial and economic costs have been associated with the management of IBD.</w:t>
      </w:r>
      <w:r w:rsidRPr="00A41F07">
        <w:t xml:space="preserve"> </w:t>
      </w:r>
    </w:p>
    <w:p w14:paraId="582718BA" w14:textId="77777777" w:rsidR="001211E6" w:rsidRPr="00A41F07" w:rsidRDefault="001211E6" w:rsidP="001211E6">
      <w:pPr>
        <w:spacing w:before="100" w:beforeAutospacing="1" w:after="100" w:afterAutospacing="1"/>
        <w:jc w:val="both"/>
        <w:rPr>
          <w:rFonts w:cstheme="minorHAnsi"/>
          <w:szCs w:val="20"/>
        </w:rPr>
      </w:pPr>
      <w:proofErr w:type="spellStart"/>
      <w:r w:rsidRPr="00A41F07">
        <w:rPr>
          <w:rFonts w:cstheme="minorHAnsi"/>
          <w:szCs w:val="20"/>
        </w:rPr>
        <w:t>Begg</w:t>
      </w:r>
      <w:proofErr w:type="spellEnd"/>
      <w:r w:rsidRPr="00A41F07">
        <w:rPr>
          <w:rFonts w:cstheme="minorHAnsi"/>
          <w:szCs w:val="20"/>
        </w:rPr>
        <w:t xml:space="preserve"> et al</w:t>
      </w:r>
      <w:r w:rsidR="00F02BC0" w:rsidRPr="00A41F07">
        <w:rPr>
          <w:rFonts w:cstheme="minorHAnsi"/>
          <w:szCs w:val="20"/>
        </w:rPr>
        <w:t>.</w:t>
      </w:r>
      <w:r w:rsidRPr="00A41F07">
        <w:rPr>
          <w:rFonts w:cstheme="minorHAnsi"/>
          <w:szCs w:val="20"/>
        </w:rPr>
        <w:t xml:space="preserve"> (2007) reported that inflammatory bowel disease (which includes Crohn’s disease and ulcerative colitis) accounted for 0.5% of the total disease burden in Australia in 2003. Crohn’s disease may carry a small increased risk of mortality (</w:t>
      </w:r>
      <w:proofErr w:type="spellStart"/>
      <w:r w:rsidRPr="00A41F07">
        <w:rPr>
          <w:rFonts w:cstheme="minorHAnsi"/>
          <w:szCs w:val="20"/>
        </w:rPr>
        <w:t>Osterman</w:t>
      </w:r>
      <w:proofErr w:type="spellEnd"/>
      <w:r w:rsidRPr="00A41F07">
        <w:rPr>
          <w:rFonts w:cstheme="minorHAnsi"/>
          <w:szCs w:val="20"/>
        </w:rPr>
        <w:t xml:space="preserve"> 2006) and a large effect on morbidity due to its negative influence on employment</w:t>
      </w:r>
      <w:r w:rsidR="001B102A" w:rsidRPr="00A41F07">
        <w:rPr>
          <w:rFonts w:cstheme="minorHAnsi"/>
          <w:szCs w:val="20"/>
        </w:rPr>
        <w:t>,</w:t>
      </w:r>
      <w:r w:rsidRPr="00A41F07">
        <w:rPr>
          <w:rFonts w:cstheme="minorHAnsi"/>
          <w:szCs w:val="20"/>
        </w:rPr>
        <w:t xml:space="preserve"> social life, psychological distress and sexual dysfunction (Morrison et al 2009). Crohn’s disease impairs quality of life due to the challenges associated with symptoms such as abdominal pain and diarrhoea. Factors that concern patients include the uncertainty of the disease, adverse effects of medication, having to use an ostomy bag, low energy levels and the possible need for surgery (</w:t>
      </w:r>
      <w:proofErr w:type="spellStart"/>
      <w:r w:rsidRPr="00A41F07">
        <w:rPr>
          <w:rFonts w:cstheme="minorHAnsi"/>
          <w:szCs w:val="20"/>
        </w:rPr>
        <w:t>Pihl-Lesnovska</w:t>
      </w:r>
      <w:proofErr w:type="spellEnd"/>
      <w:r w:rsidRPr="00A41F07">
        <w:rPr>
          <w:rFonts w:cstheme="minorHAnsi"/>
          <w:szCs w:val="20"/>
        </w:rPr>
        <w:t xml:space="preserve"> et al 2010). Crohn’s disease exerts a significant burden to individuals since it is an incurable chronic condition that manifests most commonly in adolescents and young adults. It substantially impairs quality of life due to the experience of symptoms such as abdominal pain and diarrhoea. Factors that concern patients include the uncertainty of the </w:t>
      </w:r>
      <w:r w:rsidRPr="00A41F07">
        <w:rPr>
          <w:rFonts w:cstheme="minorHAnsi"/>
          <w:szCs w:val="20"/>
        </w:rPr>
        <w:lastRenderedPageBreak/>
        <w:t xml:space="preserve">disease, adverse effects of medication, incontinence, having to use an ostomy bag, low energy levels and the possible need for surgery. </w:t>
      </w:r>
    </w:p>
    <w:p w14:paraId="582718BB" w14:textId="77777777" w:rsidR="009C5E4E" w:rsidRPr="00A41F07" w:rsidRDefault="001211E6" w:rsidP="00AA1715">
      <w:pPr>
        <w:jc w:val="both"/>
        <w:rPr>
          <w:rFonts w:cstheme="minorHAnsi"/>
          <w:szCs w:val="20"/>
        </w:rPr>
      </w:pPr>
      <w:r w:rsidRPr="00A41F07">
        <w:rPr>
          <w:rFonts w:cstheme="minorHAnsi"/>
          <w:szCs w:val="20"/>
        </w:rPr>
        <w:t>Two meta-analyses reported standardized mortality ratios for patients with Crohn’s disease. A small but statistically significant increase in mortality (standardized mortality ratio 1.39 (95%CI: 1.3-1.49) has been reported (</w:t>
      </w:r>
      <w:proofErr w:type="spellStart"/>
      <w:r w:rsidRPr="00A41F07">
        <w:rPr>
          <w:rFonts w:cstheme="minorHAnsi"/>
          <w:szCs w:val="20"/>
        </w:rPr>
        <w:t>Duricova</w:t>
      </w:r>
      <w:proofErr w:type="spellEnd"/>
      <w:r w:rsidRPr="00A41F07">
        <w:rPr>
          <w:rFonts w:cstheme="minorHAnsi"/>
          <w:szCs w:val="20"/>
        </w:rPr>
        <w:t xml:space="preserve"> et al., 2010). The higher number of deaths relative to population norms was explained by increased deaths from gastrointestinal diseases (including Crohn’s disease) as well as other diseases (COPD, lung disease and genitourinary disease). In a second study including 13 published studies from 1970, a meta-analysis found an elevated risk of mortality for individuals with Crohn’s disease (standardized mortality ration 1.52 (95%CI</w:t>
      </w:r>
      <w:r w:rsidR="007E299C" w:rsidRPr="00A41F07">
        <w:rPr>
          <w:rFonts w:cstheme="minorHAnsi"/>
          <w:szCs w:val="20"/>
        </w:rPr>
        <w:t>: 1.32</w:t>
      </w:r>
      <w:r w:rsidRPr="00A41F07">
        <w:rPr>
          <w:rFonts w:cstheme="minorHAnsi"/>
          <w:szCs w:val="20"/>
        </w:rPr>
        <w:t>-1.74), p&lt;0.001 (</w:t>
      </w:r>
      <w:proofErr w:type="spellStart"/>
      <w:r w:rsidRPr="00A41F07">
        <w:rPr>
          <w:rFonts w:cstheme="minorHAnsi"/>
          <w:szCs w:val="20"/>
        </w:rPr>
        <w:t>Canavan</w:t>
      </w:r>
      <w:proofErr w:type="spellEnd"/>
      <w:r w:rsidRPr="00A41F07">
        <w:rPr>
          <w:rFonts w:cstheme="minorHAnsi"/>
          <w:szCs w:val="20"/>
        </w:rPr>
        <w:t xml:space="preserve"> et al., 2007). </w:t>
      </w:r>
      <w:r w:rsidR="004C4465" w:rsidRPr="00A41F07">
        <w:rPr>
          <w:rFonts w:cstheme="minorHAnsi"/>
          <w:szCs w:val="20"/>
        </w:rPr>
        <w:t>M</w:t>
      </w:r>
      <w:r w:rsidRPr="00A41F07">
        <w:rPr>
          <w:rFonts w:cstheme="minorHAnsi"/>
          <w:szCs w:val="20"/>
        </w:rPr>
        <w:t>any of the studies in the review</w:t>
      </w:r>
      <w:r w:rsidR="00293F1F" w:rsidRPr="00A41F07">
        <w:rPr>
          <w:rFonts w:cstheme="minorHAnsi"/>
          <w:szCs w:val="20"/>
        </w:rPr>
        <w:t xml:space="preserve">, however, </w:t>
      </w:r>
      <w:r w:rsidRPr="00A41F07">
        <w:rPr>
          <w:rFonts w:cstheme="minorHAnsi"/>
          <w:szCs w:val="20"/>
        </w:rPr>
        <w:t>do not reflect current clinical practice and improved therapies.</w:t>
      </w:r>
      <w:r w:rsidR="00AA1715" w:rsidRPr="00A41F07">
        <w:rPr>
          <w:rFonts w:cstheme="minorHAnsi"/>
          <w:szCs w:val="20"/>
        </w:rPr>
        <w:t xml:space="preserve"> </w:t>
      </w:r>
      <w:r w:rsidR="009C5E4E" w:rsidRPr="00A41F07">
        <w:rPr>
          <w:rFonts w:cstheme="minorHAnsi"/>
          <w:szCs w:val="20"/>
        </w:rPr>
        <w:t xml:space="preserve">Access Economics </w:t>
      </w:r>
      <w:r w:rsidR="00AA1715" w:rsidRPr="00A41F07">
        <w:rPr>
          <w:rFonts w:cstheme="minorHAnsi"/>
          <w:szCs w:val="20"/>
        </w:rPr>
        <w:t xml:space="preserve">report </w:t>
      </w:r>
      <w:r w:rsidR="009C5E4E" w:rsidRPr="00A41F07">
        <w:rPr>
          <w:rFonts w:cstheme="minorHAnsi"/>
          <w:szCs w:val="20"/>
        </w:rPr>
        <w:t>(2007</w:t>
      </w:r>
      <w:r w:rsidR="00AA1715" w:rsidRPr="00A41F07">
        <w:rPr>
          <w:rFonts w:cstheme="minorHAnsi"/>
          <w:szCs w:val="20"/>
        </w:rPr>
        <w:t>) states</w:t>
      </w:r>
      <w:r w:rsidR="009C5E4E" w:rsidRPr="00A41F07">
        <w:rPr>
          <w:rFonts w:cstheme="minorHAnsi"/>
          <w:szCs w:val="20"/>
        </w:rPr>
        <w:t xml:space="preserve"> that Crohn’s disease </w:t>
      </w:r>
      <w:r w:rsidR="009C5E4E" w:rsidRPr="00A41F07">
        <w:t>is assoc</w:t>
      </w:r>
      <w:r w:rsidR="00293F1F" w:rsidRPr="00A41F07">
        <w:t>iated with a 47% increase in</w:t>
      </w:r>
      <w:r w:rsidR="009C5E4E" w:rsidRPr="00A41F07">
        <w:t xml:space="preserve"> mortality risk.</w:t>
      </w:r>
    </w:p>
    <w:p w14:paraId="582718BC" w14:textId="77777777" w:rsidR="001211E6" w:rsidRPr="00A41F07" w:rsidRDefault="001211E6" w:rsidP="006D5B45">
      <w:pPr>
        <w:jc w:val="both"/>
      </w:pPr>
      <w:r w:rsidRPr="00A41F07">
        <w:rPr>
          <w:rFonts w:cstheme="minorHAnsi"/>
          <w:szCs w:val="20"/>
        </w:rPr>
        <w:t xml:space="preserve">In a recent prospective, population-based study of inflammatory bowel disease incidence, the Asia- Pacific Crohn’s and Colitis Epidemiology Study, the crude annual overall incidence of Crohn’s disease in Australia during 2011-2012 was 14.00 (95%CI: 10.09-18.92) per 100,000 persons (n=49) (Ng et al., 2013). This equates to approximately 3,220 new cases each year in Australia. In this study, there were slightly more females (51%) than males (49%) and all incident cases were Caucasians with a mean age of 40 years. The peak age of diagnosis was 20-24 years with a second smaller peak at 40-44 years. The ratio of Crohn’s disease to ulcerative colitis in Australia was 2:1. Median time from the onset of symptoms to diagnosis was 5½ months (interquartile range 1.4 – 15 months) and 25% of patients were diagnosed as an inpatient. </w:t>
      </w:r>
      <w:proofErr w:type="gramStart"/>
      <w:r w:rsidRPr="00A41F07">
        <w:rPr>
          <w:rFonts w:cstheme="minorHAnsi"/>
          <w:szCs w:val="20"/>
        </w:rPr>
        <w:t>(Ng et al., 2013).</w:t>
      </w:r>
      <w:proofErr w:type="gramEnd"/>
      <w:r w:rsidRPr="00A41F07">
        <w:rPr>
          <w:rFonts w:cstheme="minorHAnsi"/>
          <w:szCs w:val="20"/>
        </w:rPr>
        <w:t xml:space="preserve"> </w:t>
      </w:r>
    </w:p>
    <w:p w14:paraId="582718BD" w14:textId="77777777" w:rsidR="001211E6" w:rsidRPr="00A41F07" w:rsidRDefault="001211E6" w:rsidP="006D5B45">
      <w:pPr>
        <w:rPr>
          <w:szCs w:val="20"/>
        </w:rPr>
      </w:pPr>
    </w:p>
    <w:p w14:paraId="582718BE" w14:textId="77777777" w:rsidR="00A01778" w:rsidRPr="00A41F07" w:rsidRDefault="00AA5FDA" w:rsidP="00A01778">
      <w:pPr>
        <w:pStyle w:val="Heading2"/>
      </w:pPr>
      <w:r w:rsidRPr="00A41F07">
        <w:t>Specify any characteristics of patients with the medical condition</w:t>
      </w:r>
      <w:r w:rsidR="00707D4D" w:rsidRPr="00A41F07">
        <w:t>, or suspected of,</w:t>
      </w:r>
      <w:r w:rsidRPr="00A41F07">
        <w:t xml:space="preserve"> who are proposed to be eligible for the proposed medical service</w:t>
      </w:r>
      <w:r w:rsidR="00102686" w:rsidRPr="00A41F07">
        <w:t>, including any details of how a patient w</w:t>
      </w:r>
      <w:r w:rsidR="0054594B" w:rsidRPr="00A41F07">
        <w:t>ould be</w:t>
      </w:r>
      <w:r w:rsidR="00102686" w:rsidRPr="00A41F07">
        <w:t xml:space="preserve"> </w:t>
      </w:r>
      <w:r w:rsidR="0018630F" w:rsidRPr="00A41F07">
        <w:t>investigated</w:t>
      </w:r>
      <w:r w:rsidR="0054594B" w:rsidRPr="00A41F07">
        <w:t>,</w:t>
      </w:r>
      <w:r w:rsidR="0018630F" w:rsidRPr="00A41F07">
        <w:t xml:space="preserve"> managed </w:t>
      </w:r>
      <w:r w:rsidR="0054594B" w:rsidRPr="00A41F07">
        <w:t xml:space="preserve">and referred </w:t>
      </w:r>
      <w:r w:rsidR="007D2358" w:rsidRPr="00A41F07">
        <w:t xml:space="preserve">within the Australian health care system </w:t>
      </w:r>
      <w:r w:rsidR="0018630F" w:rsidRPr="00A41F07">
        <w:t xml:space="preserve">in the lead up to being considered </w:t>
      </w:r>
      <w:r w:rsidR="00DF6D37" w:rsidRPr="00A41F07">
        <w:t xml:space="preserve">eligible </w:t>
      </w:r>
      <w:r w:rsidR="0018630F" w:rsidRPr="00A41F07">
        <w:t>for the service</w:t>
      </w:r>
      <w:r w:rsidR="00197D29" w:rsidRPr="00A41F07">
        <w:t>:</w:t>
      </w:r>
    </w:p>
    <w:p w14:paraId="582718BF" w14:textId="77777777" w:rsidR="007A2454" w:rsidRPr="00A41F07" w:rsidRDefault="007A2454" w:rsidP="00223F2C">
      <w:pPr>
        <w:jc w:val="both"/>
      </w:pPr>
      <w:r w:rsidRPr="00A41F07">
        <w:t>As</w:t>
      </w:r>
      <w:r w:rsidR="009016DF" w:rsidRPr="00A41F07">
        <w:t xml:space="preserve"> discussed above, the proposed MSAC submission consists of two distinct indications for C</w:t>
      </w:r>
      <w:r w:rsidR="007E299C" w:rsidRPr="00A41F07">
        <w:t xml:space="preserve">apsule </w:t>
      </w:r>
      <w:r w:rsidR="009016DF" w:rsidRPr="00A41F07">
        <w:t>E</w:t>
      </w:r>
      <w:r w:rsidR="007E299C" w:rsidRPr="00A41F07">
        <w:t xml:space="preserve">ndoscopy </w:t>
      </w:r>
      <w:r w:rsidR="00271E38" w:rsidRPr="00A41F07">
        <w:t>i</w:t>
      </w:r>
      <w:r w:rsidR="009016DF" w:rsidRPr="00A41F07">
        <w:t xml:space="preserve">n </w:t>
      </w:r>
      <w:r w:rsidR="007E299C" w:rsidRPr="00A41F07">
        <w:t xml:space="preserve">Small Bowel </w:t>
      </w:r>
      <w:r w:rsidR="009016DF" w:rsidRPr="00A41F07">
        <w:t>C</w:t>
      </w:r>
      <w:r w:rsidR="007E299C" w:rsidRPr="00A41F07">
        <w:t xml:space="preserve">rohn’s </w:t>
      </w:r>
      <w:r w:rsidR="009016DF" w:rsidRPr="00A41F07">
        <w:t>D</w:t>
      </w:r>
      <w:r w:rsidR="007E299C" w:rsidRPr="00A41F07">
        <w:t>isease</w:t>
      </w:r>
      <w:r w:rsidR="009016DF" w:rsidRPr="00A41F07">
        <w:t xml:space="preserve">. The first indication is for the diagnosis of </w:t>
      </w:r>
      <w:r w:rsidR="007E299C" w:rsidRPr="00A41F07">
        <w:t xml:space="preserve">patients with </w:t>
      </w:r>
      <w:r w:rsidR="009016DF" w:rsidRPr="00A41F07">
        <w:t>suspected small bowel C</w:t>
      </w:r>
      <w:r w:rsidR="007E299C" w:rsidRPr="00A41F07">
        <w:t xml:space="preserve">rohn’s </w:t>
      </w:r>
      <w:r w:rsidR="009016DF" w:rsidRPr="00A41F07">
        <w:t>D</w:t>
      </w:r>
      <w:r w:rsidR="007E299C" w:rsidRPr="00A41F07">
        <w:t>isease</w:t>
      </w:r>
      <w:r w:rsidR="009016DF" w:rsidRPr="00A41F07">
        <w:t>, while the second relates to the assessment of patients with known</w:t>
      </w:r>
      <w:r w:rsidR="00EF7C08" w:rsidRPr="00A41F07">
        <w:t xml:space="preserve"> small bowel </w:t>
      </w:r>
      <w:r w:rsidR="009016DF" w:rsidRPr="00A41F07">
        <w:t>C</w:t>
      </w:r>
      <w:r w:rsidR="007E299C" w:rsidRPr="00A41F07">
        <w:t xml:space="preserve">rohn’s </w:t>
      </w:r>
      <w:r w:rsidR="009016DF" w:rsidRPr="00A41F07">
        <w:t>D</w:t>
      </w:r>
      <w:r w:rsidR="007E299C" w:rsidRPr="00A41F07">
        <w:t>isease</w:t>
      </w:r>
      <w:r w:rsidR="009016DF" w:rsidRPr="00A41F07">
        <w:t xml:space="preserve">. </w:t>
      </w:r>
      <w:r w:rsidR="00F3378E" w:rsidRPr="00A41F07">
        <w:t xml:space="preserve"> The Capsule Endoscopy service would be provided by the Specialist Gastroenterologist managing the patients with Known/Suspected Small Bowel Crohn’s Disease. Initially patients would generally be ref</w:t>
      </w:r>
      <w:r w:rsidR="003923C6" w:rsidRPr="00A41F07">
        <w:t>erred by General Practitioners</w:t>
      </w:r>
      <w:r w:rsidR="00F3378E" w:rsidRPr="00A41F07">
        <w:t xml:space="preserve"> other specialists to a Gastroenterologist based on a combination of medical history, physical examination, laboratory findings and possibly initial imaging investigations suggesting the possibility of Small Bowel Crohn’s disease.</w:t>
      </w:r>
    </w:p>
    <w:p w14:paraId="582718C0" w14:textId="77777777" w:rsidR="001455B8" w:rsidRPr="00A41F07" w:rsidRDefault="001455B8" w:rsidP="00CC2139">
      <w:pPr>
        <w:spacing w:before="100" w:beforeAutospacing="1" w:after="100" w:afterAutospacing="1"/>
        <w:jc w:val="both"/>
        <w:rPr>
          <w:rFonts w:cstheme="minorHAnsi"/>
          <w:b/>
          <w:szCs w:val="20"/>
        </w:rPr>
      </w:pPr>
      <w:r w:rsidRPr="00A41F07">
        <w:rPr>
          <w:rFonts w:cstheme="minorHAnsi"/>
          <w:b/>
          <w:szCs w:val="20"/>
        </w:rPr>
        <w:t xml:space="preserve">Diagnosis of Suspected </w:t>
      </w:r>
      <w:r w:rsidR="00BB0457" w:rsidRPr="00A41F07">
        <w:rPr>
          <w:rFonts w:cstheme="minorHAnsi"/>
          <w:b/>
          <w:szCs w:val="20"/>
        </w:rPr>
        <w:t xml:space="preserve">Small Bowel </w:t>
      </w:r>
      <w:r w:rsidRPr="00A41F07">
        <w:rPr>
          <w:rFonts w:cstheme="minorHAnsi"/>
          <w:b/>
          <w:szCs w:val="20"/>
        </w:rPr>
        <w:t>Crohn’s</w:t>
      </w:r>
      <w:r w:rsidR="00CC5CA0" w:rsidRPr="00A41F07">
        <w:rPr>
          <w:rFonts w:cstheme="minorHAnsi"/>
          <w:b/>
          <w:szCs w:val="20"/>
        </w:rPr>
        <w:t xml:space="preserve"> Disease</w:t>
      </w:r>
    </w:p>
    <w:p w14:paraId="582718C1" w14:textId="77777777" w:rsidR="00EF7C08" w:rsidRPr="00A41F07" w:rsidRDefault="001455B8" w:rsidP="001455B8">
      <w:pPr>
        <w:spacing w:before="100" w:beforeAutospacing="1" w:after="100" w:afterAutospacing="1"/>
        <w:jc w:val="both"/>
        <w:rPr>
          <w:rFonts w:cstheme="minorHAnsi"/>
          <w:szCs w:val="20"/>
          <w:shd w:val="clear" w:color="auto" w:fill="FFFFFF"/>
        </w:rPr>
      </w:pPr>
      <w:r w:rsidRPr="00A41F07">
        <w:rPr>
          <w:rFonts w:cstheme="minorHAnsi"/>
          <w:szCs w:val="20"/>
        </w:rPr>
        <w:t xml:space="preserve">Patients eligible to receive capsule endoscopy </w:t>
      </w:r>
      <w:r w:rsidR="00A945C9" w:rsidRPr="00A41F07">
        <w:rPr>
          <w:rFonts w:cstheme="minorHAnsi"/>
          <w:szCs w:val="20"/>
        </w:rPr>
        <w:t xml:space="preserve">should have </w:t>
      </w:r>
      <w:r w:rsidR="00BB0457" w:rsidRPr="00A41F07">
        <w:rPr>
          <w:rFonts w:cstheme="minorHAnsi"/>
          <w:szCs w:val="20"/>
        </w:rPr>
        <w:t>objective evidence of inflammation (elevated CRP</w:t>
      </w:r>
      <w:r w:rsidR="00A945C9" w:rsidRPr="00A41F07">
        <w:rPr>
          <w:rFonts w:cstheme="minorHAnsi"/>
          <w:szCs w:val="20"/>
        </w:rPr>
        <w:t>, ESR</w:t>
      </w:r>
      <w:r w:rsidR="00BB0457" w:rsidRPr="00A41F07">
        <w:rPr>
          <w:rFonts w:cstheme="minorHAnsi"/>
          <w:szCs w:val="20"/>
        </w:rPr>
        <w:t xml:space="preserve"> or Faecal Calprotectin) and Gastrointestinal (GI) symptoms such as abdominal pain and diarrhoea</w:t>
      </w:r>
      <w:r w:rsidR="00A945C9" w:rsidRPr="00A41F07">
        <w:rPr>
          <w:rFonts w:cstheme="minorHAnsi"/>
          <w:szCs w:val="20"/>
        </w:rPr>
        <w:t>. They</w:t>
      </w:r>
      <w:r w:rsidR="00BB0457" w:rsidRPr="00A41F07">
        <w:rPr>
          <w:rFonts w:cstheme="minorHAnsi"/>
          <w:szCs w:val="20"/>
        </w:rPr>
        <w:t xml:space="preserve"> </w:t>
      </w:r>
      <w:r w:rsidR="00A945C9" w:rsidRPr="00A41F07">
        <w:rPr>
          <w:rFonts w:cstheme="minorHAnsi"/>
          <w:szCs w:val="20"/>
        </w:rPr>
        <w:t>should</w:t>
      </w:r>
      <w:r w:rsidRPr="00A41F07">
        <w:rPr>
          <w:rFonts w:cstheme="minorHAnsi"/>
          <w:szCs w:val="20"/>
        </w:rPr>
        <w:t xml:space="preserve"> have undergone pri</w:t>
      </w:r>
      <w:r w:rsidR="00A945C9" w:rsidRPr="00A41F07">
        <w:rPr>
          <w:rFonts w:cstheme="minorHAnsi"/>
          <w:szCs w:val="20"/>
        </w:rPr>
        <w:t>or colonoscopy with ileoscopy</w:t>
      </w:r>
      <w:r w:rsidR="00A35658" w:rsidRPr="00A41F07">
        <w:rPr>
          <w:rFonts w:cstheme="minorHAnsi"/>
          <w:szCs w:val="20"/>
        </w:rPr>
        <w:t>, prior</w:t>
      </w:r>
      <w:r w:rsidRPr="00A41F07">
        <w:rPr>
          <w:rFonts w:cstheme="minorHAnsi"/>
          <w:szCs w:val="20"/>
        </w:rPr>
        <w:t xml:space="preserve"> radiographic imaging with CTE or MRE and still remain with</w:t>
      </w:r>
      <w:r w:rsidR="00A945C9" w:rsidRPr="00A41F07">
        <w:rPr>
          <w:rFonts w:cstheme="minorHAnsi"/>
          <w:szCs w:val="20"/>
        </w:rPr>
        <w:t xml:space="preserve"> a non-diagnostic result</w:t>
      </w:r>
      <w:r w:rsidRPr="00A41F07">
        <w:rPr>
          <w:rFonts w:cstheme="minorHAnsi"/>
          <w:szCs w:val="20"/>
        </w:rPr>
        <w:t>. These patients</w:t>
      </w:r>
      <w:r w:rsidR="00A35658" w:rsidRPr="00A41F07">
        <w:rPr>
          <w:rFonts w:cstheme="minorHAnsi"/>
          <w:szCs w:val="20"/>
        </w:rPr>
        <w:t xml:space="preserve"> will</w:t>
      </w:r>
      <w:r w:rsidRPr="00A41F07">
        <w:rPr>
          <w:rFonts w:cstheme="minorHAnsi"/>
          <w:szCs w:val="20"/>
        </w:rPr>
        <w:t xml:space="preserve"> typically </w:t>
      </w:r>
      <w:r w:rsidR="00A35658" w:rsidRPr="00A41F07">
        <w:rPr>
          <w:rFonts w:cstheme="minorHAnsi"/>
          <w:szCs w:val="20"/>
        </w:rPr>
        <w:t xml:space="preserve">have </w:t>
      </w:r>
      <w:r w:rsidRPr="00A41F07">
        <w:rPr>
          <w:rFonts w:cstheme="minorHAnsi"/>
          <w:szCs w:val="20"/>
        </w:rPr>
        <w:t xml:space="preserve">failed </w:t>
      </w:r>
      <w:r w:rsidR="00A35658" w:rsidRPr="00A41F07">
        <w:rPr>
          <w:rFonts w:cstheme="minorHAnsi"/>
          <w:szCs w:val="20"/>
        </w:rPr>
        <w:t>to achieve a diagnosis</w:t>
      </w:r>
      <w:r w:rsidRPr="00A41F07">
        <w:rPr>
          <w:rFonts w:cstheme="minorHAnsi"/>
          <w:szCs w:val="20"/>
        </w:rPr>
        <w:t xml:space="preserve"> by </w:t>
      </w:r>
      <w:r w:rsidRPr="00A41F07">
        <w:rPr>
          <w:rFonts w:cstheme="minorHAnsi"/>
          <w:szCs w:val="20"/>
          <w:shd w:val="clear" w:color="auto" w:fill="FFFFFF"/>
        </w:rPr>
        <w:t>ileoscopy due to inacce</w:t>
      </w:r>
      <w:r w:rsidR="00EE7C89" w:rsidRPr="00A41F07">
        <w:rPr>
          <w:rFonts w:cstheme="minorHAnsi"/>
          <w:szCs w:val="20"/>
          <w:shd w:val="clear" w:color="auto" w:fill="FFFFFF"/>
        </w:rPr>
        <w:t xml:space="preserve">ssibility of </w:t>
      </w:r>
      <w:r w:rsidR="00A35658" w:rsidRPr="00A41F07">
        <w:rPr>
          <w:rFonts w:cstheme="minorHAnsi"/>
          <w:szCs w:val="20"/>
          <w:shd w:val="clear" w:color="auto" w:fill="FFFFFF"/>
        </w:rPr>
        <w:t xml:space="preserve">most of the </w:t>
      </w:r>
      <w:r w:rsidR="00EE7C89" w:rsidRPr="00A41F07">
        <w:rPr>
          <w:rFonts w:cstheme="minorHAnsi"/>
          <w:szCs w:val="20"/>
          <w:shd w:val="clear" w:color="auto" w:fill="FFFFFF"/>
        </w:rPr>
        <w:t>small bowel</w:t>
      </w:r>
      <w:r w:rsidR="00A35658" w:rsidRPr="00A41F07">
        <w:rPr>
          <w:rFonts w:cstheme="minorHAnsi"/>
          <w:szCs w:val="20"/>
          <w:shd w:val="clear" w:color="auto" w:fill="FFFFFF"/>
        </w:rPr>
        <w:t xml:space="preserve"> using this modality</w:t>
      </w:r>
      <w:r w:rsidR="00EE7C89" w:rsidRPr="00A41F07">
        <w:rPr>
          <w:rFonts w:cstheme="minorHAnsi"/>
          <w:szCs w:val="20"/>
          <w:shd w:val="clear" w:color="auto" w:fill="FFFFFF"/>
        </w:rPr>
        <w:t xml:space="preserve"> and </w:t>
      </w:r>
      <w:r w:rsidR="00A35658" w:rsidRPr="00A41F07">
        <w:rPr>
          <w:rFonts w:cstheme="minorHAnsi"/>
          <w:szCs w:val="20"/>
          <w:shd w:val="clear" w:color="auto" w:fill="FFFFFF"/>
        </w:rPr>
        <w:t xml:space="preserve">inability </w:t>
      </w:r>
      <w:r w:rsidR="003923C6" w:rsidRPr="00A41F07">
        <w:rPr>
          <w:rFonts w:cstheme="minorHAnsi"/>
          <w:szCs w:val="20"/>
          <w:shd w:val="clear" w:color="auto" w:fill="FFFFFF"/>
        </w:rPr>
        <w:t>of imaging modalities</w:t>
      </w:r>
      <w:r w:rsidR="00A35658" w:rsidRPr="00A41F07">
        <w:rPr>
          <w:rFonts w:cstheme="minorHAnsi"/>
          <w:szCs w:val="20"/>
          <w:shd w:val="clear" w:color="auto" w:fill="FFFFFF"/>
        </w:rPr>
        <w:t xml:space="preserve"> to discern subtle mucosal lesions.</w:t>
      </w:r>
    </w:p>
    <w:p w14:paraId="582718C2" w14:textId="77777777" w:rsidR="001455B8" w:rsidRPr="00A41F07" w:rsidRDefault="00426803" w:rsidP="001455B8">
      <w:pPr>
        <w:spacing w:before="100" w:beforeAutospacing="1" w:after="100" w:afterAutospacing="1"/>
        <w:jc w:val="both"/>
        <w:rPr>
          <w:rFonts w:cstheme="minorHAnsi"/>
          <w:b/>
          <w:szCs w:val="20"/>
        </w:rPr>
      </w:pPr>
      <w:r w:rsidRPr="00A41F07">
        <w:rPr>
          <w:rFonts w:cstheme="minorHAnsi"/>
          <w:b/>
          <w:szCs w:val="20"/>
        </w:rPr>
        <w:t xml:space="preserve">Assessment </w:t>
      </w:r>
      <w:r w:rsidR="001455B8" w:rsidRPr="00A41F07">
        <w:rPr>
          <w:rFonts w:cstheme="minorHAnsi"/>
          <w:b/>
          <w:szCs w:val="20"/>
        </w:rPr>
        <w:t xml:space="preserve">of Patients with Known </w:t>
      </w:r>
      <w:r w:rsidR="00223F2C" w:rsidRPr="00A41F07">
        <w:rPr>
          <w:rFonts w:cstheme="minorHAnsi"/>
          <w:b/>
          <w:szCs w:val="20"/>
        </w:rPr>
        <w:t xml:space="preserve">Small Bowel </w:t>
      </w:r>
      <w:r w:rsidR="001455B8" w:rsidRPr="00A41F07">
        <w:rPr>
          <w:rFonts w:cstheme="minorHAnsi"/>
          <w:b/>
          <w:szCs w:val="20"/>
        </w:rPr>
        <w:t>Crohn’s</w:t>
      </w:r>
      <w:r w:rsidR="00F404F1" w:rsidRPr="00A41F07">
        <w:rPr>
          <w:rFonts w:cstheme="minorHAnsi"/>
          <w:b/>
          <w:szCs w:val="20"/>
        </w:rPr>
        <w:t xml:space="preserve"> Disease</w:t>
      </w:r>
    </w:p>
    <w:p w14:paraId="582718C3" w14:textId="77777777" w:rsidR="00D16058" w:rsidRPr="00A41F07" w:rsidRDefault="00D47DE0" w:rsidP="001455B8">
      <w:pPr>
        <w:spacing w:before="100" w:beforeAutospacing="1" w:after="100" w:afterAutospacing="1"/>
        <w:jc w:val="both"/>
      </w:pPr>
      <w:r w:rsidRPr="00A41F07">
        <w:t xml:space="preserve">Crohn’s disease is </w:t>
      </w:r>
      <w:r w:rsidR="00784418" w:rsidRPr="00A41F07">
        <w:t>a</w:t>
      </w:r>
      <w:r w:rsidRPr="00A41F07">
        <w:t xml:space="preserve"> heterogeneous disease showing a wide spectrum of symptoms, severity</w:t>
      </w:r>
      <w:r w:rsidR="00CB2492" w:rsidRPr="00A41F07">
        <w:t>, anatomical distribution and</w:t>
      </w:r>
      <w:r w:rsidRPr="00A41F07">
        <w:t xml:space="preserve"> response to treatment.</w:t>
      </w:r>
      <w:r w:rsidR="00CB2492" w:rsidRPr="00A41F07">
        <w:t xml:space="preserve"> T</w:t>
      </w:r>
      <w:r w:rsidR="00784418" w:rsidRPr="00A41F07">
        <w:t xml:space="preserve">his </w:t>
      </w:r>
      <w:r w:rsidR="00CB2492" w:rsidRPr="00A41F07">
        <w:t>necessitates the</w:t>
      </w:r>
      <w:r w:rsidR="00784418" w:rsidRPr="00A41F07">
        <w:t xml:space="preserve"> need for patient specific tailoring of investigative pathway</w:t>
      </w:r>
      <w:r w:rsidR="00CB2492" w:rsidRPr="00A41F07">
        <w:t>s when evaluating the disease</w:t>
      </w:r>
      <w:r w:rsidR="00784418" w:rsidRPr="00A41F07">
        <w:t>.</w:t>
      </w:r>
      <w:r w:rsidR="00D16058" w:rsidRPr="00A41F07">
        <w:t xml:space="preserve"> </w:t>
      </w:r>
    </w:p>
    <w:p w14:paraId="582718C4" w14:textId="77777777" w:rsidR="00C21B58" w:rsidRPr="00A41F07" w:rsidRDefault="00D16058" w:rsidP="001455B8">
      <w:pPr>
        <w:spacing w:before="100" w:beforeAutospacing="1" w:after="100" w:afterAutospacing="1"/>
        <w:jc w:val="both"/>
      </w:pPr>
      <w:r w:rsidRPr="00A41F07">
        <w:t xml:space="preserve">Patients eligible to receive capsule endoscopy for the assessment of Known isolated small bowel Crohn’s disease should have had prior colonoscopy with ileoscopy and demonstration of non stricturing small bowel disease involvement with either MRE or prior capsule endoscopy. Capsule Endoscopy can be used in this patient population to assess mucosal healing response after various treatments and inform medical decisions </w:t>
      </w:r>
      <w:r w:rsidRPr="00A41F07">
        <w:lastRenderedPageBreak/>
        <w:t xml:space="preserve">regarding cessation, modification or escalation of therapy. It can also be used to evaluate mucosa during suspected complications or exacerbations of known isolated non stricturing small bowel Crohn’s disease. </w:t>
      </w:r>
    </w:p>
    <w:p w14:paraId="582718C5" w14:textId="77777777" w:rsidR="00EB7330" w:rsidRPr="00A41F07" w:rsidRDefault="00F404F1" w:rsidP="00EB7330">
      <w:pPr>
        <w:jc w:val="both"/>
        <w:rPr>
          <w:rFonts w:cstheme="minorHAnsi"/>
          <w:szCs w:val="20"/>
        </w:rPr>
      </w:pPr>
      <w:r w:rsidRPr="00A41F07">
        <w:rPr>
          <w:rFonts w:cstheme="minorHAnsi"/>
          <w:szCs w:val="20"/>
        </w:rPr>
        <w:t xml:space="preserve">Assessment of </w:t>
      </w:r>
      <w:r w:rsidR="00EB7330" w:rsidRPr="00A41F07">
        <w:rPr>
          <w:rFonts w:cstheme="minorHAnsi"/>
          <w:szCs w:val="20"/>
        </w:rPr>
        <w:t xml:space="preserve">Known Isolated Small Bowel </w:t>
      </w:r>
      <w:r w:rsidRPr="00A41F07">
        <w:rPr>
          <w:rFonts w:cstheme="minorHAnsi"/>
          <w:szCs w:val="20"/>
        </w:rPr>
        <w:t>Crohn’s</w:t>
      </w:r>
      <w:r w:rsidR="00EB7330" w:rsidRPr="00A41F07">
        <w:rPr>
          <w:rFonts w:cstheme="minorHAnsi"/>
          <w:szCs w:val="20"/>
        </w:rPr>
        <w:t xml:space="preserve"> disease</w:t>
      </w:r>
      <w:r w:rsidRPr="00A41F07">
        <w:rPr>
          <w:rFonts w:cstheme="minorHAnsi"/>
          <w:szCs w:val="20"/>
        </w:rPr>
        <w:t xml:space="preserve"> with Capsule </w:t>
      </w:r>
      <w:r w:rsidR="00EB7330" w:rsidRPr="00A41F07">
        <w:rPr>
          <w:rFonts w:cstheme="minorHAnsi"/>
          <w:szCs w:val="20"/>
        </w:rPr>
        <w:t>Endoscopy will be of particular value in the following sub-populations of patients:</w:t>
      </w:r>
    </w:p>
    <w:p w14:paraId="582718C6" w14:textId="77777777" w:rsidR="000776A5" w:rsidRPr="00A41F07" w:rsidRDefault="00F404F1" w:rsidP="003923C6">
      <w:pPr>
        <w:pStyle w:val="ListParagraph"/>
        <w:numPr>
          <w:ilvl w:val="0"/>
          <w:numId w:val="37"/>
        </w:numPr>
        <w:jc w:val="both"/>
        <w:rPr>
          <w:rFonts w:cstheme="minorHAnsi"/>
          <w:szCs w:val="20"/>
        </w:rPr>
      </w:pPr>
      <w:r w:rsidRPr="00A41F07">
        <w:rPr>
          <w:rFonts w:cstheme="minorHAnsi"/>
          <w:szCs w:val="20"/>
        </w:rPr>
        <w:t xml:space="preserve">In the assessment </w:t>
      </w:r>
      <w:r w:rsidR="009016DF" w:rsidRPr="00A41F07">
        <w:rPr>
          <w:rFonts w:cstheme="minorHAnsi"/>
          <w:szCs w:val="20"/>
        </w:rPr>
        <w:t>of</w:t>
      </w:r>
      <w:r w:rsidR="00223F2C" w:rsidRPr="00A41F07">
        <w:rPr>
          <w:rFonts w:cstheme="minorHAnsi"/>
          <w:szCs w:val="20"/>
        </w:rPr>
        <w:t xml:space="preserve"> suspected </w:t>
      </w:r>
      <w:r w:rsidR="009016DF" w:rsidRPr="00A41F07">
        <w:rPr>
          <w:rFonts w:cstheme="minorHAnsi"/>
          <w:szCs w:val="20"/>
        </w:rPr>
        <w:t>p</w:t>
      </w:r>
      <w:r w:rsidRPr="00A41F07">
        <w:rPr>
          <w:rFonts w:cstheme="minorHAnsi"/>
          <w:szCs w:val="20"/>
        </w:rPr>
        <w:t>ost-operative recurrence</w:t>
      </w:r>
      <w:r w:rsidR="00223F2C" w:rsidRPr="00A41F07">
        <w:rPr>
          <w:rFonts w:cstheme="minorHAnsi"/>
          <w:szCs w:val="20"/>
        </w:rPr>
        <w:t xml:space="preserve"> of</w:t>
      </w:r>
      <w:r w:rsidR="00426803" w:rsidRPr="00A41F07">
        <w:rPr>
          <w:rFonts w:cstheme="minorHAnsi"/>
          <w:szCs w:val="20"/>
        </w:rPr>
        <w:t xml:space="preserve"> small bowel </w:t>
      </w:r>
      <w:r w:rsidR="00223F2C" w:rsidRPr="00A41F07">
        <w:rPr>
          <w:rFonts w:cstheme="minorHAnsi"/>
          <w:szCs w:val="20"/>
        </w:rPr>
        <w:t>Crohn’s disease</w:t>
      </w:r>
      <w:r w:rsidR="000776A5" w:rsidRPr="00A41F07">
        <w:rPr>
          <w:rFonts w:cstheme="minorHAnsi"/>
          <w:szCs w:val="20"/>
        </w:rPr>
        <w:t xml:space="preserve"> where colonoscopy with ileoscopy is contraindicated or cannot access remaining proximal small bowel </w:t>
      </w:r>
      <w:r w:rsidR="004244E8" w:rsidRPr="00A41F07">
        <w:rPr>
          <w:rFonts w:cstheme="minorHAnsi"/>
          <w:szCs w:val="20"/>
        </w:rPr>
        <w:t>and MRE can underestimate superficial lesions. Disease recurs in most Crohn’s disease patients after intestinal resection, with endoscopic recurrence preceding clinical recurrence. We consider that capsule endoscopy is a potential alternative in selected patients who have had surgical resections that are not accessible by ileoscopy.</w:t>
      </w:r>
    </w:p>
    <w:p w14:paraId="582718C7" w14:textId="77777777" w:rsidR="00085258" w:rsidRPr="00A41F07" w:rsidRDefault="00085258" w:rsidP="00085258">
      <w:pPr>
        <w:pStyle w:val="ListParagraph"/>
        <w:jc w:val="both"/>
        <w:rPr>
          <w:rFonts w:cstheme="minorHAnsi"/>
          <w:szCs w:val="20"/>
        </w:rPr>
      </w:pPr>
    </w:p>
    <w:p w14:paraId="582718C8" w14:textId="77777777" w:rsidR="00426803" w:rsidRPr="00A41F07" w:rsidRDefault="00F404F1" w:rsidP="00426803">
      <w:pPr>
        <w:pStyle w:val="ListParagraph"/>
        <w:numPr>
          <w:ilvl w:val="0"/>
          <w:numId w:val="37"/>
        </w:numPr>
        <w:spacing w:before="0" w:after="200" w:line="276" w:lineRule="auto"/>
        <w:jc w:val="both"/>
        <w:rPr>
          <w:rFonts w:cstheme="minorHAnsi"/>
          <w:szCs w:val="20"/>
        </w:rPr>
      </w:pPr>
      <w:r w:rsidRPr="00A41F07">
        <w:rPr>
          <w:rFonts w:cstheme="minorHAnsi"/>
          <w:szCs w:val="20"/>
        </w:rPr>
        <w:t xml:space="preserve">Assessment of paediatric patients where ileoscopy is contraindicated and </w:t>
      </w:r>
      <w:r w:rsidR="00223F2C" w:rsidRPr="00A41F07">
        <w:rPr>
          <w:rFonts w:cstheme="minorHAnsi"/>
          <w:szCs w:val="20"/>
        </w:rPr>
        <w:t>MRE</w:t>
      </w:r>
      <w:r w:rsidRPr="00A41F07">
        <w:rPr>
          <w:rFonts w:cstheme="minorHAnsi"/>
          <w:szCs w:val="20"/>
        </w:rPr>
        <w:t xml:space="preserve"> might underestimate superficial mucosal lesions: </w:t>
      </w:r>
      <w:r w:rsidR="001455B8" w:rsidRPr="00A41F07">
        <w:rPr>
          <w:color w:val="000000"/>
          <w:szCs w:val="20"/>
          <w:shd w:val="clear" w:color="auto" w:fill="FFFFFF"/>
        </w:rPr>
        <w:t xml:space="preserve">Given the serious consequences of Crohn’s on growth and development, early and accurate </w:t>
      </w:r>
      <w:r w:rsidR="00CB57FC" w:rsidRPr="00A41F07">
        <w:rPr>
          <w:color w:val="000000"/>
          <w:szCs w:val="20"/>
          <w:shd w:val="clear" w:color="auto" w:fill="FFFFFF"/>
        </w:rPr>
        <w:t xml:space="preserve">assessment of </w:t>
      </w:r>
      <w:r w:rsidR="006A5067" w:rsidRPr="00A41F07">
        <w:rPr>
          <w:color w:val="000000"/>
          <w:szCs w:val="20"/>
          <w:shd w:val="clear" w:color="auto" w:fill="FFFFFF"/>
        </w:rPr>
        <w:t>paediatric</w:t>
      </w:r>
      <w:r w:rsidR="001455B8" w:rsidRPr="00A41F07">
        <w:rPr>
          <w:color w:val="000000"/>
          <w:szCs w:val="20"/>
          <w:shd w:val="clear" w:color="auto" w:fill="FFFFFF"/>
        </w:rPr>
        <w:t xml:space="preserve"> patients is essential. Although diagnostic evaluation in children and adolescents is recommended as soon as IBD is suspected,</w:t>
      </w:r>
      <w:r w:rsidR="001455B8" w:rsidRPr="00A41F07">
        <w:rPr>
          <w:color w:val="000000"/>
          <w:szCs w:val="20"/>
          <w:shd w:val="clear" w:color="auto" w:fill="FFFFFF"/>
          <w:vertAlign w:val="superscript"/>
        </w:rPr>
        <w:t xml:space="preserve"> </w:t>
      </w:r>
      <w:r w:rsidR="001455B8" w:rsidRPr="00A41F07">
        <w:rPr>
          <w:color w:val="000000"/>
          <w:szCs w:val="20"/>
          <w:shd w:val="clear" w:color="auto" w:fill="FFFFFF"/>
        </w:rPr>
        <w:t>delayed diagnosis remains a significant problem in this population.</w:t>
      </w:r>
      <w:r w:rsidR="001455B8" w:rsidRPr="00A41F07">
        <w:rPr>
          <w:rStyle w:val="apple-converted-space"/>
          <w:color w:val="000000"/>
          <w:szCs w:val="20"/>
          <w:shd w:val="clear" w:color="auto" w:fill="FFFFFF"/>
        </w:rPr>
        <w:t> </w:t>
      </w:r>
      <w:r w:rsidR="001455B8" w:rsidRPr="00A41F07">
        <w:rPr>
          <w:color w:val="000000"/>
          <w:szCs w:val="20"/>
          <w:shd w:val="clear" w:color="auto" w:fill="FFFFFF"/>
        </w:rPr>
        <w:t xml:space="preserve">The mean delay in diagnosis is 7–11 months for </w:t>
      </w:r>
      <w:r w:rsidR="006A5067" w:rsidRPr="00A41F07">
        <w:rPr>
          <w:color w:val="000000"/>
          <w:szCs w:val="20"/>
          <w:shd w:val="clear" w:color="auto" w:fill="FFFFFF"/>
        </w:rPr>
        <w:t>paediatric</w:t>
      </w:r>
      <w:r w:rsidR="007E299C" w:rsidRPr="00A41F07">
        <w:rPr>
          <w:color w:val="000000"/>
          <w:szCs w:val="20"/>
          <w:shd w:val="clear" w:color="auto" w:fill="FFFFFF"/>
        </w:rPr>
        <w:t xml:space="preserve"> </w:t>
      </w:r>
      <w:proofErr w:type="spellStart"/>
      <w:r w:rsidR="007E299C" w:rsidRPr="00A41F07">
        <w:rPr>
          <w:color w:val="000000"/>
          <w:szCs w:val="20"/>
          <w:shd w:val="clear" w:color="auto" w:fill="FFFFFF"/>
        </w:rPr>
        <w:t>Crohn's</w:t>
      </w:r>
      <w:proofErr w:type="spellEnd"/>
      <w:r w:rsidR="007E299C" w:rsidRPr="00A41F07">
        <w:rPr>
          <w:color w:val="000000"/>
          <w:szCs w:val="20"/>
          <w:shd w:val="clear" w:color="auto" w:fill="FFFFFF"/>
        </w:rPr>
        <w:t xml:space="preserve"> disease (</w:t>
      </w:r>
      <w:proofErr w:type="spellStart"/>
      <w:r w:rsidR="007E299C" w:rsidRPr="00A41F07">
        <w:rPr>
          <w:color w:val="000000"/>
          <w:szCs w:val="20"/>
          <w:shd w:val="clear" w:color="auto" w:fill="FFFFFF"/>
        </w:rPr>
        <w:t>Cuffari</w:t>
      </w:r>
      <w:proofErr w:type="spellEnd"/>
      <w:r w:rsidR="007E299C" w:rsidRPr="00A41F07">
        <w:rPr>
          <w:color w:val="000000"/>
          <w:szCs w:val="20"/>
          <w:shd w:val="clear" w:color="auto" w:fill="FFFFFF"/>
        </w:rPr>
        <w:t xml:space="preserve"> 2009).</w:t>
      </w:r>
      <w:r w:rsidR="001455B8" w:rsidRPr="00A41F07">
        <w:rPr>
          <w:color w:val="000000"/>
          <w:szCs w:val="20"/>
          <w:shd w:val="clear" w:color="auto" w:fill="FFFFFF"/>
        </w:rPr>
        <w:t xml:space="preserve"> Diagnosis may be particularly difficult in children and adolescents who present with less than typical symptoms and/or </w:t>
      </w:r>
      <w:r w:rsidR="006A5067" w:rsidRPr="00A41F07">
        <w:rPr>
          <w:color w:val="000000"/>
          <w:szCs w:val="20"/>
          <w:shd w:val="clear" w:color="auto" w:fill="FFFFFF"/>
        </w:rPr>
        <w:t>extra intestinal</w:t>
      </w:r>
      <w:r w:rsidR="001455B8" w:rsidRPr="00A41F07">
        <w:rPr>
          <w:color w:val="000000"/>
          <w:szCs w:val="20"/>
          <w:shd w:val="clear" w:color="auto" w:fill="FFFFFF"/>
        </w:rPr>
        <w:t xml:space="preserve"> manifestations (e</w:t>
      </w:r>
      <w:r w:rsidR="006A5067" w:rsidRPr="00A41F07">
        <w:rPr>
          <w:color w:val="000000"/>
          <w:szCs w:val="20"/>
          <w:shd w:val="clear" w:color="auto" w:fill="FFFFFF"/>
        </w:rPr>
        <w:t>.</w:t>
      </w:r>
      <w:r w:rsidR="001455B8" w:rsidRPr="00A41F07">
        <w:rPr>
          <w:color w:val="000000"/>
          <w:szCs w:val="20"/>
          <w:shd w:val="clear" w:color="auto" w:fill="FFFFFF"/>
        </w:rPr>
        <w:t>g</w:t>
      </w:r>
      <w:r w:rsidR="006A5067" w:rsidRPr="00A41F07">
        <w:rPr>
          <w:color w:val="000000"/>
          <w:szCs w:val="20"/>
          <w:shd w:val="clear" w:color="auto" w:fill="FFFFFF"/>
        </w:rPr>
        <w:t>.</w:t>
      </w:r>
      <w:r w:rsidR="001455B8" w:rsidRPr="00A41F07">
        <w:rPr>
          <w:color w:val="000000"/>
          <w:szCs w:val="20"/>
          <w:shd w:val="clear" w:color="auto" w:fill="FFFFFF"/>
        </w:rPr>
        <w:t xml:space="preserve">, short stature, chronic </w:t>
      </w:r>
      <w:r w:rsidR="006A5067" w:rsidRPr="00A41F07">
        <w:rPr>
          <w:color w:val="000000"/>
          <w:szCs w:val="20"/>
          <w:shd w:val="clear" w:color="auto" w:fill="FFFFFF"/>
        </w:rPr>
        <w:t>anaemia</w:t>
      </w:r>
      <w:r w:rsidR="001455B8" w:rsidRPr="00A41F07">
        <w:rPr>
          <w:color w:val="000000"/>
          <w:szCs w:val="20"/>
          <w:shd w:val="clear" w:color="auto" w:fill="FFFFFF"/>
        </w:rPr>
        <w:t>, unexplained fever, arthritis, mouth ulcers)</w:t>
      </w:r>
    </w:p>
    <w:p w14:paraId="582718C9" w14:textId="77777777" w:rsidR="0018630F" w:rsidRPr="00A41F07" w:rsidRDefault="0018630F" w:rsidP="00530204">
      <w:pPr>
        <w:pStyle w:val="Heading2"/>
      </w:pPr>
      <w:r w:rsidRPr="00A41F07">
        <w:t xml:space="preserve">Define and summarise the current clinical management pathway </w:t>
      </w:r>
      <w:r w:rsidRPr="00A41F07">
        <w:rPr>
          <w:i/>
        </w:rPr>
        <w:t>before</w:t>
      </w:r>
      <w:r w:rsidRPr="00A41F07">
        <w:t xml:space="preserve"> patients would be eligible for the proposed medical service (supplement this summary with </w:t>
      </w:r>
      <w:r w:rsidR="00F33F1A" w:rsidRPr="00A41F07">
        <w:t xml:space="preserve">an easy to follow flowchart </w:t>
      </w:r>
      <w:r w:rsidR="00DF0C51" w:rsidRPr="00A41F07">
        <w:t xml:space="preserve">[as an attachment to the Application Form] </w:t>
      </w:r>
      <w:r w:rsidR="00F33F1A" w:rsidRPr="00A41F07">
        <w:t>dep</w:t>
      </w:r>
      <w:r w:rsidRPr="00A41F07">
        <w:t>icting the current clinical manag</w:t>
      </w:r>
      <w:r w:rsidR="00197D29" w:rsidRPr="00A41F07">
        <w:t>ement pathway up to this point):</w:t>
      </w:r>
    </w:p>
    <w:p w14:paraId="582718CA" w14:textId="77777777" w:rsidR="00223F2C" w:rsidRPr="00A41F07" w:rsidRDefault="00223F2C" w:rsidP="00223F2C">
      <w:pPr>
        <w:spacing w:before="100" w:beforeAutospacing="1" w:after="100" w:afterAutospacing="1"/>
        <w:jc w:val="both"/>
        <w:rPr>
          <w:rFonts w:cstheme="minorHAnsi"/>
          <w:b/>
          <w:szCs w:val="20"/>
        </w:rPr>
      </w:pPr>
      <w:r w:rsidRPr="00A41F07">
        <w:rPr>
          <w:rFonts w:cstheme="minorHAnsi"/>
          <w:b/>
          <w:szCs w:val="20"/>
        </w:rPr>
        <w:t>Diagnosis of Suspected Small Bowel Crohn’s Disease</w:t>
      </w:r>
      <w:r w:rsidR="00DD11C1">
        <w:rPr>
          <w:rFonts w:cstheme="minorHAnsi"/>
          <w:b/>
          <w:szCs w:val="20"/>
        </w:rPr>
        <w:t xml:space="preserve"> (Please refer to Appendix for flowcharts</w:t>
      </w:r>
      <w:r w:rsidR="003376F7">
        <w:rPr>
          <w:rFonts w:cstheme="minorHAnsi"/>
          <w:b/>
          <w:szCs w:val="20"/>
        </w:rPr>
        <w:t xml:space="preserve"> Figure 1 and Figure 3</w:t>
      </w:r>
      <w:r w:rsidR="0051696B" w:rsidRPr="00A41F07">
        <w:rPr>
          <w:rFonts w:cstheme="minorHAnsi"/>
          <w:b/>
          <w:szCs w:val="20"/>
        </w:rPr>
        <w:t>)</w:t>
      </w:r>
    </w:p>
    <w:p w14:paraId="582718CB" w14:textId="77777777" w:rsidR="00A21238" w:rsidRPr="00A41F07" w:rsidRDefault="00A21238" w:rsidP="00A21238">
      <w:pPr>
        <w:autoSpaceDE w:val="0"/>
        <w:autoSpaceDN w:val="0"/>
        <w:adjustRightInd w:val="0"/>
        <w:jc w:val="both"/>
        <w:rPr>
          <w:rFonts w:cstheme="minorHAnsi"/>
          <w:szCs w:val="20"/>
        </w:rPr>
      </w:pPr>
      <w:r w:rsidRPr="00A41F07">
        <w:rPr>
          <w:rFonts w:cstheme="minorHAnsi"/>
          <w:szCs w:val="20"/>
        </w:rPr>
        <w:t xml:space="preserve">Diagnosis of small bowel Crohn’s disease can be difficult as the symptoms for Crohn’s disease mimic those of ulcerative colitis and other gastrointestinal conditions. Currently, </w:t>
      </w:r>
      <w:r w:rsidR="001548D4" w:rsidRPr="00A41F07">
        <w:rPr>
          <w:rFonts w:cstheme="minorHAnsi"/>
          <w:szCs w:val="20"/>
        </w:rPr>
        <w:t xml:space="preserve">there is no single test to diagnose all patients with Suspected Small Bowel Crohn’s disease. In the absence of an agreed ‘gold standard’ test, diagnosis of Crohn’s disease is based on patient history, physical examination, radiographic imaging, endoscopic </w:t>
      </w:r>
      <w:r w:rsidR="00DE4A29" w:rsidRPr="00A41F07">
        <w:rPr>
          <w:rFonts w:cstheme="minorHAnsi"/>
          <w:szCs w:val="20"/>
        </w:rPr>
        <w:t xml:space="preserve">evidence, </w:t>
      </w:r>
      <w:proofErr w:type="gramStart"/>
      <w:r w:rsidR="00DE4A29" w:rsidRPr="00A41F07">
        <w:rPr>
          <w:rFonts w:cstheme="minorHAnsi"/>
          <w:szCs w:val="20"/>
        </w:rPr>
        <w:t>specimen</w:t>
      </w:r>
      <w:proofErr w:type="gramEnd"/>
      <w:r w:rsidR="001548D4" w:rsidRPr="00A41F07">
        <w:rPr>
          <w:rFonts w:cstheme="minorHAnsi"/>
          <w:szCs w:val="20"/>
        </w:rPr>
        <w:t xml:space="preserve"> histopathology and laboratory findings. Ileocolonoscopy</w:t>
      </w:r>
      <w:r w:rsidRPr="00A41F07">
        <w:rPr>
          <w:rFonts w:cstheme="minorHAnsi"/>
          <w:szCs w:val="20"/>
        </w:rPr>
        <w:t xml:space="preserve"> is commonly used to diagnose Crohn’s disease as first-line testing. In most cases, a definitive diagnosis of Crohn’s can be made but sometimes the results of ileocolonoscopy are in</w:t>
      </w:r>
      <w:r w:rsidR="00092B80" w:rsidRPr="00A41F07">
        <w:rPr>
          <w:rFonts w:cstheme="minorHAnsi"/>
          <w:szCs w:val="20"/>
        </w:rPr>
        <w:t xml:space="preserve">conclusive </w:t>
      </w:r>
      <w:r w:rsidRPr="00A41F07">
        <w:rPr>
          <w:rFonts w:cstheme="minorHAnsi"/>
          <w:szCs w:val="20"/>
        </w:rPr>
        <w:t xml:space="preserve">due to the inability of ileocolonoscopy to view </w:t>
      </w:r>
      <w:r w:rsidR="007E0F01" w:rsidRPr="00A41F07">
        <w:rPr>
          <w:rFonts w:cstheme="minorHAnsi"/>
          <w:szCs w:val="20"/>
        </w:rPr>
        <w:t>small bowel</w:t>
      </w:r>
      <w:r w:rsidRPr="00A41F07">
        <w:rPr>
          <w:rFonts w:cstheme="minorHAnsi"/>
          <w:szCs w:val="20"/>
        </w:rPr>
        <w:t>. In this case radio</w:t>
      </w:r>
      <w:r w:rsidR="007E0F01" w:rsidRPr="00A41F07">
        <w:rPr>
          <w:rFonts w:cstheme="minorHAnsi"/>
          <w:szCs w:val="20"/>
        </w:rPr>
        <w:t>logical</w:t>
      </w:r>
      <w:r w:rsidRPr="00A41F07">
        <w:rPr>
          <w:rFonts w:cstheme="minorHAnsi"/>
          <w:szCs w:val="20"/>
        </w:rPr>
        <w:t xml:space="preserve"> imaging (</w:t>
      </w:r>
      <w:r w:rsidR="00DE4A29" w:rsidRPr="00A41F07">
        <w:rPr>
          <w:rFonts w:cstheme="minorHAnsi"/>
          <w:szCs w:val="20"/>
        </w:rPr>
        <w:t>MRE)</w:t>
      </w:r>
      <w:r w:rsidRPr="00A41F07">
        <w:rPr>
          <w:rFonts w:cstheme="minorHAnsi"/>
          <w:szCs w:val="20"/>
        </w:rPr>
        <w:t xml:space="preserve"> is often undertaken as </w:t>
      </w:r>
      <w:r w:rsidR="00DE4A29" w:rsidRPr="00A41F07">
        <w:rPr>
          <w:rFonts w:cstheme="minorHAnsi"/>
          <w:szCs w:val="20"/>
        </w:rPr>
        <w:t xml:space="preserve">a </w:t>
      </w:r>
      <w:r w:rsidRPr="00A41F07">
        <w:rPr>
          <w:rFonts w:cstheme="minorHAnsi"/>
          <w:szCs w:val="20"/>
        </w:rPr>
        <w:t xml:space="preserve">second line test to confirm </w:t>
      </w:r>
      <w:r w:rsidR="00DE4A29" w:rsidRPr="00A41F07">
        <w:rPr>
          <w:rFonts w:cstheme="minorHAnsi"/>
          <w:szCs w:val="20"/>
        </w:rPr>
        <w:t xml:space="preserve">the </w:t>
      </w:r>
      <w:r w:rsidRPr="00A41F07">
        <w:rPr>
          <w:rFonts w:cstheme="minorHAnsi"/>
          <w:szCs w:val="20"/>
        </w:rPr>
        <w:t xml:space="preserve">diagnosis of Crohn’s disease. </w:t>
      </w:r>
      <w:r w:rsidR="00DE4A29" w:rsidRPr="00A41F07">
        <w:rPr>
          <w:rFonts w:cstheme="minorHAnsi"/>
          <w:szCs w:val="20"/>
        </w:rPr>
        <w:t>This can provide useful information such as the presence of small bowel stricturing. However it does not provide direct visualisation of mucosal inflammation and there are cases</w:t>
      </w:r>
      <w:r w:rsidRPr="00A41F07">
        <w:rPr>
          <w:rFonts w:cstheme="minorHAnsi"/>
          <w:szCs w:val="20"/>
        </w:rPr>
        <w:t xml:space="preserve"> where after </w:t>
      </w:r>
      <w:r w:rsidR="00DE4A29" w:rsidRPr="00A41F07">
        <w:rPr>
          <w:rFonts w:cstheme="minorHAnsi"/>
          <w:szCs w:val="20"/>
        </w:rPr>
        <w:t>imaging does not provide diagnostic information</w:t>
      </w:r>
      <w:r w:rsidRPr="00A41F07">
        <w:rPr>
          <w:rFonts w:cstheme="minorHAnsi"/>
          <w:szCs w:val="20"/>
        </w:rPr>
        <w:t xml:space="preserve">. In this case, Capsule Endoscopy with a high negative predictive </w:t>
      </w:r>
      <w:r w:rsidR="00DE4A29" w:rsidRPr="00A41F07">
        <w:rPr>
          <w:rFonts w:cstheme="minorHAnsi"/>
          <w:szCs w:val="20"/>
        </w:rPr>
        <w:t>value can exclude</w:t>
      </w:r>
      <w:r w:rsidRPr="00A41F07">
        <w:rPr>
          <w:rFonts w:cstheme="minorHAnsi"/>
          <w:szCs w:val="20"/>
        </w:rPr>
        <w:t xml:space="preserve"> Crohn’s disease and prevent further exams in the absence of obstructive symptoms or known stenosis.</w:t>
      </w:r>
    </w:p>
    <w:p w14:paraId="582718CC" w14:textId="77777777" w:rsidR="00A21238" w:rsidRPr="00A41F07" w:rsidRDefault="00A21238" w:rsidP="00A21238">
      <w:pPr>
        <w:pStyle w:val="Subtitle"/>
        <w:ind w:left="0"/>
        <w:jc w:val="both"/>
        <w:rPr>
          <w:rFonts w:cstheme="minorHAnsi"/>
          <w:b w:val="0"/>
          <w:i w:val="0"/>
          <w:u w:val="none"/>
        </w:rPr>
      </w:pPr>
      <w:r w:rsidRPr="00A41F07">
        <w:rPr>
          <w:rFonts w:cstheme="minorHAnsi"/>
          <w:b w:val="0"/>
          <w:i w:val="0"/>
          <w:u w:val="none"/>
        </w:rPr>
        <w:t>In the absence of CE</w:t>
      </w:r>
      <w:r w:rsidR="00E4360B" w:rsidRPr="00A41F07">
        <w:rPr>
          <w:rFonts w:cstheme="minorHAnsi"/>
          <w:b w:val="0"/>
          <w:i w:val="0"/>
          <w:u w:val="none"/>
        </w:rPr>
        <w:t xml:space="preserve">, patients without diagnostic information of Crohn’s disease after testing with </w:t>
      </w:r>
      <w:r w:rsidR="003923C6" w:rsidRPr="00A41F07">
        <w:rPr>
          <w:rFonts w:cstheme="minorHAnsi"/>
          <w:b w:val="0"/>
          <w:i w:val="0"/>
          <w:u w:val="none"/>
        </w:rPr>
        <w:t>ileo</w:t>
      </w:r>
      <w:r w:rsidR="00E4360B" w:rsidRPr="00A41F07">
        <w:rPr>
          <w:rFonts w:cstheme="minorHAnsi"/>
          <w:b w:val="0"/>
          <w:i w:val="0"/>
          <w:u w:val="none"/>
        </w:rPr>
        <w:t>colonoscopy and imaging</w:t>
      </w:r>
      <w:r w:rsidR="003923C6" w:rsidRPr="00A41F07">
        <w:rPr>
          <w:rFonts w:cstheme="minorHAnsi"/>
          <w:b w:val="0"/>
          <w:i w:val="0"/>
          <w:u w:val="none"/>
        </w:rPr>
        <w:t>,</w:t>
      </w:r>
      <w:r w:rsidR="00E4360B" w:rsidRPr="00A41F07">
        <w:rPr>
          <w:rFonts w:cstheme="minorHAnsi"/>
          <w:b w:val="0"/>
          <w:i w:val="0"/>
          <w:u w:val="none"/>
        </w:rPr>
        <w:t xml:space="preserve"> can </w:t>
      </w:r>
      <w:r w:rsidR="007E0F01" w:rsidRPr="00A41F07">
        <w:rPr>
          <w:rFonts w:cstheme="minorHAnsi"/>
          <w:b w:val="0"/>
          <w:i w:val="0"/>
          <w:u w:val="none"/>
        </w:rPr>
        <w:t xml:space="preserve">cycle through </w:t>
      </w:r>
      <w:r w:rsidR="00E4360B" w:rsidRPr="00A41F07">
        <w:rPr>
          <w:rFonts w:cstheme="minorHAnsi"/>
          <w:b w:val="0"/>
          <w:i w:val="0"/>
          <w:u w:val="none"/>
        </w:rPr>
        <w:t xml:space="preserve">repeated futile investigations until their disease substantially progresses. </w:t>
      </w:r>
      <w:r w:rsidR="007E0F01" w:rsidRPr="00A41F07">
        <w:rPr>
          <w:rFonts w:cstheme="minorHAnsi"/>
          <w:b w:val="0"/>
          <w:i w:val="0"/>
          <w:u w:val="none"/>
        </w:rPr>
        <w:t xml:space="preserve">In contrast to earlier applications (MSAC application 1146 and 1146.1), this submission does not assume patients who do not have a definitive diagnosis of CD would be treated empirically </w:t>
      </w:r>
      <w:r w:rsidRPr="00A41F07">
        <w:rPr>
          <w:rFonts w:cstheme="minorHAnsi"/>
          <w:b w:val="0"/>
          <w:i w:val="0"/>
          <w:u w:val="none"/>
        </w:rPr>
        <w:t>(</w:t>
      </w:r>
      <w:r w:rsidR="007E0F01" w:rsidRPr="00A41F07">
        <w:rPr>
          <w:rFonts w:cstheme="minorHAnsi"/>
          <w:b w:val="0"/>
          <w:i w:val="0"/>
          <w:u w:val="none"/>
        </w:rPr>
        <w:t xml:space="preserve">e.g. with </w:t>
      </w:r>
      <w:r w:rsidRPr="00A41F07">
        <w:rPr>
          <w:rFonts w:cstheme="minorHAnsi"/>
          <w:b w:val="0"/>
          <w:i w:val="0"/>
          <w:u w:val="none"/>
        </w:rPr>
        <w:t>immunosuppressant</w:t>
      </w:r>
      <w:r w:rsidR="007E0F01" w:rsidRPr="00A41F07">
        <w:rPr>
          <w:rFonts w:cstheme="minorHAnsi"/>
          <w:b w:val="0"/>
          <w:i w:val="0"/>
          <w:u w:val="none"/>
        </w:rPr>
        <w:t>s</w:t>
      </w:r>
      <w:r w:rsidRPr="00A41F07">
        <w:rPr>
          <w:rFonts w:cstheme="minorHAnsi"/>
          <w:b w:val="0"/>
          <w:i w:val="0"/>
          <w:u w:val="none"/>
        </w:rPr>
        <w:t xml:space="preserve"> such as azathioprine, 6-mercaptopurine or methotrexate and tapering doses of corticosteroids</w:t>
      </w:r>
      <w:r w:rsidR="00C253BB" w:rsidRPr="00A41F07">
        <w:rPr>
          <w:rFonts w:cstheme="minorHAnsi"/>
          <w:b w:val="0"/>
          <w:i w:val="0"/>
          <w:u w:val="none"/>
        </w:rPr>
        <w:t>)</w:t>
      </w:r>
      <w:r w:rsidR="007E0F01" w:rsidRPr="00A41F07">
        <w:rPr>
          <w:rFonts w:cstheme="minorHAnsi"/>
          <w:b w:val="0"/>
          <w:i w:val="0"/>
          <w:u w:val="none"/>
        </w:rPr>
        <w:t xml:space="preserve"> based on</w:t>
      </w:r>
      <w:r w:rsidR="00C253BB" w:rsidRPr="00A41F07">
        <w:rPr>
          <w:rFonts w:cstheme="minorHAnsi"/>
          <w:b w:val="0"/>
          <w:i w:val="0"/>
          <w:u w:val="none"/>
        </w:rPr>
        <w:t xml:space="preserve"> recent</w:t>
      </w:r>
      <w:r w:rsidR="007E0F01" w:rsidRPr="00A41F07">
        <w:rPr>
          <w:rFonts w:cstheme="minorHAnsi"/>
          <w:b w:val="0"/>
          <w:i w:val="0"/>
          <w:u w:val="none"/>
        </w:rPr>
        <w:t xml:space="preserve"> discussions with </w:t>
      </w:r>
      <w:r w:rsidR="00253459" w:rsidRPr="00A41F07">
        <w:rPr>
          <w:rFonts w:cstheme="minorHAnsi"/>
          <w:b w:val="0"/>
          <w:i w:val="0"/>
          <w:u w:val="none"/>
        </w:rPr>
        <w:t>clinical experts</w:t>
      </w:r>
      <w:r w:rsidR="00DA4182" w:rsidRPr="00A41F07">
        <w:rPr>
          <w:rFonts w:cstheme="minorHAnsi"/>
          <w:b w:val="0"/>
          <w:i w:val="0"/>
          <w:u w:val="none"/>
        </w:rPr>
        <w:t xml:space="preserve">. Alternatively, a small number of patients may undergo bidirectional double balloon enteroscopy which is </w:t>
      </w:r>
      <w:r w:rsidR="00E4360B" w:rsidRPr="00A41F07">
        <w:rPr>
          <w:rFonts w:cstheme="minorHAnsi"/>
          <w:b w:val="0"/>
          <w:i w:val="0"/>
          <w:u w:val="none"/>
        </w:rPr>
        <w:t>more</w:t>
      </w:r>
      <w:r w:rsidR="00DA4182" w:rsidRPr="00A41F07">
        <w:rPr>
          <w:rFonts w:cstheme="minorHAnsi"/>
          <w:b w:val="0"/>
          <w:i w:val="0"/>
          <w:u w:val="none"/>
        </w:rPr>
        <w:t xml:space="preserve"> invasive and </w:t>
      </w:r>
      <w:r w:rsidR="00E4360B" w:rsidRPr="00A41F07">
        <w:rPr>
          <w:rFonts w:cstheme="minorHAnsi"/>
          <w:b w:val="0"/>
          <w:i w:val="0"/>
          <w:u w:val="none"/>
        </w:rPr>
        <w:t>associated with its own risk profile and of limited use</w:t>
      </w:r>
      <w:r w:rsidR="009B1A47" w:rsidRPr="00A41F07">
        <w:rPr>
          <w:rFonts w:cstheme="minorHAnsi"/>
          <w:b w:val="0"/>
          <w:i w:val="0"/>
          <w:u w:val="none"/>
        </w:rPr>
        <w:t xml:space="preserve"> </w:t>
      </w:r>
      <w:r w:rsidR="00DA4182" w:rsidRPr="00A41F07">
        <w:rPr>
          <w:rFonts w:cstheme="minorHAnsi"/>
          <w:b w:val="0"/>
          <w:i w:val="0"/>
          <w:u w:val="none"/>
        </w:rPr>
        <w:t>in Australia.</w:t>
      </w:r>
    </w:p>
    <w:p w14:paraId="582718CD" w14:textId="77777777" w:rsidR="003376F7" w:rsidRDefault="003376F7" w:rsidP="00F22C33">
      <w:pPr>
        <w:spacing w:before="100" w:beforeAutospacing="1" w:after="100" w:afterAutospacing="1"/>
        <w:jc w:val="both"/>
        <w:rPr>
          <w:rFonts w:cstheme="minorHAnsi"/>
          <w:b/>
          <w:szCs w:val="20"/>
        </w:rPr>
      </w:pPr>
    </w:p>
    <w:p w14:paraId="582718CE" w14:textId="77777777" w:rsidR="003376F7" w:rsidRDefault="003376F7" w:rsidP="00F22C33">
      <w:pPr>
        <w:spacing w:before="100" w:beforeAutospacing="1" w:after="100" w:afterAutospacing="1"/>
        <w:jc w:val="both"/>
        <w:rPr>
          <w:rFonts w:cstheme="minorHAnsi"/>
          <w:b/>
          <w:szCs w:val="20"/>
        </w:rPr>
      </w:pPr>
    </w:p>
    <w:p w14:paraId="582718CF" w14:textId="77777777" w:rsidR="00F22C33" w:rsidRPr="00A41F07" w:rsidRDefault="00F22C33" w:rsidP="00F22C33">
      <w:pPr>
        <w:spacing w:before="100" w:beforeAutospacing="1" w:after="100" w:afterAutospacing="1"/>
        <w:jc w:val="both"/>
        <w:rPr>
          <w:rFonts w:cstheme="minorHAnsi"/>
          <w:b/>
          <w:szCs w:val="20"/>
        </w:rPr>
      </w:pPr>
      <w:r w:rsidRPr="00A41F07">
        <w:rPr>
          <w:rFonts w:cstheme="minorHAnsi"/>
          <w:b/>
          <w:szCs w:val="20"/>
        </w:rPr>
        <w:lastRenderedPageBreak/>
        <w:t xml:space="preserve">Assessment of </w:t>
      </w:r>
      <w:r w:rsidR="00526518" w:rsidRPr="00A41F07">
        <w:rPr>
          <w:rFonts w:cstheme="minorHAnsi"/>
          <w:b/>
          <w:szCs w:val="20"/>
        </w:rPr>
        <w:t xml:space="preserve">Patients with </w:t>
      </w:r>
      <w:r w:rsidRPr="00A41F07">
        <w:rPr>
          <w:rFonts w:cstheme="minorHAnsi"/>
          <w:b/>
          <w:szCs w:val="20"/>
        </w:rPr>
        <w:t>Known Small Bowel Crohn’s Disease</w:t>
      </w:r>
      <w:r w:rsidR="0051696B" w:rsidRPr="00A41F07">
        <w:rPr>
          <w:rFonts w:cstheme="minorHAnsi"/>
          <w:b/>
          <w:szCs w:val="20"/>
        </w:rPr>
        <w:t xml:space="preserve"> </w:t>
      </w:r>
      <w:r w:rsidR="00DD11C1">
        <w:rPr>
          <w:rFonts w:cstheme="minorHAnsi"/>
          <w:b/>
          <w:szCs w:val="20"/>
        </w:rPr>
        <w:t>(Please refer to Appendix for flowcharts</w:t>
      </w:r>
      <w:r w:rsidR="003376F7">
        <w:rPr>
          <w:rFonts w:cstheme="minorHAnsi"/>
          <w:b/>
          <w:szCs w:val="20"/>
        </w:rPr>
        <w:t xml:space="preserve"> Figure 2 and Figure 3</w:t>
      </w:r>
      <w:r w:rsidR="00DD11C1" w:rsidRPr="00A41F07">
        <w:rPr>
          <w:rFonts w:cstheme="minorHAnsi"/>
          <w:b/>
          <w:szCs w:val="20"/>
        </w:rPr>
        <w:t>)</w:t>
      </w:r>
    </w:p>
    <w:p w14:paraId="582718D0" w14:textId="77777777" w:rsidR="00D70BD5" w:rsidRPr="00A41F07" w:rsidRDefault="006D7972" w:rsidP="00D70BD5">
      <w:pPr>
        <w:autoSpaceDE w:val="0"/>
        <w:autoSpaceDN w:val="0"/>
        <w:adjustRightInd w:val="0"/>
        <w:jc w:val="both"/>
        <w:rPr>
          <w:rFonts w:cstheme="minorHAnsi"/>
          <w:szCs w:val="20"/>
        </w:rPr>
      </w:pPr>
      <w:r w:rsidRPr="00A41F07">
        <w:rPr>
          <w:rFonts w:cstheme="minorHAnsi"/>
          <w:szCs w:val="20"/>
        </w:rPr>
        <w:t>Following diagnosis</w:t>
      </w:r>
      <w:r w:rsidR="001912B3" w:rsidRPr="00A41F07">
        <w:rPr>
          <w:rFonts w:cstheme="minorHAnsi"/>
          <w:szCs w:val="20"/>
        </w:rPr>
        <w:t xml:space="preserve"> </w:t>
      </w:r>
      <w:r w:rsidRPr="00A41F07">
        <w:rPr>
          <w:rFonts w:cstheme="minorHAnsi"/>
          <w:szCs w:val="20"/>
        </w:rPr>
        <w:t>for</w:t>
      </w:r>
      <w:r w:rsidR="001912B3" w:rsidRPr="00A41F07">
        <w:rPr>
          <w:rFonts w:cstheme="minorHAnsi"/>
          <w:szCs w:val="20"/>
        </w:rPr>
        <w:t xml:space="preserve"> patients with </w:t>
      </w:r>
      <w:r w:rsidR="009B1A47" w:rsidRPr="00A41F07">
        <w:rPr>
          <w:rFonts w:cstheme="minorHAnsi"/>
          <w:szCs w:val="20"/>
        </w:rPr>
        <w:t xml:space="preserve">isolated small bowel </w:t>
      </w:r>
      <w:r w:rsidR="001912B3" w:rsidRPr="00A41F07">
        <w:rPr>
          <w:rFonts w:cstheme="minorHAnsi"/>
          <w:szCs w:val="20"/>
        </w:rPr>
        <w:t>known Crohn’s</w:t>
      </w:r>
      <w:r w:rsidR="009B1A47" w:rsidRPr="00A41F07">
        <w:rPr>
          <w:rFonts w:cstheme="minorHAnsi"/>
          <w:szCs w:val="20"/>
        </w:rPr>
        <w:t xml:space="preserve"> disease</w:t>
      </w:r>
      <w:r w:rsidR="001912B3" w:rsidRPr="00A41F07">
        <w:rPr>
          <w:rFonts w:cstheme="minorHAnsi"/>
          <w:szCs w:val="20"/>
        </w:rPr>
        <w:t xml:space="preserve"> in the absence of obstructive symptoms or known stenosis, the assessment of their disease activity</w:t>
      </w:r>
      <w:r w:rsidR="00663BC8" w:rsidRPr="00A41F07">
        <w:rPr>
          <w:rFonts w:cstheme="minorHAnsi"/>
          <w:szCs w:val="20"/>
        </w:rPr>
        <w:t xml:space="preserve"> to drive</w:t>
      </w:r>
      <w:r w:rsidR="009B1A47" w:rsidRPr="00A41F07">
        <w:rPr>
          <w:rFonts w:cstheme="minorHAnsi"/>
          <w:szCs w:val="20"/>
        </w:rPr>
        <w:t xml:space="preserve"> treatment decisions and guide</w:t>
      </w:r>
      <w:r w:rsidR="00526518" w:rsidRPr="00A41F07">
        <w:rPr>
          <w:rFonts w:cstheme="minorHAnsi"/>
          <w:szCs w:val="20"/>
        </w:rPr>
        <w:t xml:space="preserve"> </w:t>
      </w:r>
      <w:r w:rsidR="00663BC8" w:rsidRPr="00A41F07">
        <w:rPr>
          <w:rFonts w:cstheme="minorHAnsi"/>
          <w:szCs w:val="20"/>
        </w:rPr>
        <w:t>changes in therapy</w:t>
      </w:r>
      <w:r w:rsidR="001912B3" w:rsidRPr="00A41F07">
        <w:rPr>
          <w:rFonts w:cstheme="minorHAnsi"/>
          <w:szCs w:val="20"/>
        </w:rPr>
        <w:t xml:space="preserve"> for this patient population utilizes Capsule Endoscopy.</w:t>
      </w:r>
      <w:r w:rsidR="006A6909" w:rsidRPr="00A41F07">
        <w:rPr>
          <w:rFonts w:cstheme="minorHAnsi"/>
          <w:szCs w:val="20"/>
        </w:rPr>
        <w:t xml:space="preserve"> </w:t>
      </w:r>
      <w:r w:rsidR="00D70BD5" w:rsidRPr="00A41F07">
        <w:rPr>
          <w:rFonts w:cstheme="minorHAnsi"/>
          <w:szCs w:val="20"/>
        </w:rPr>
        <w:t>A</w:t>
      </w:r>
      <w:r w:rsidR="00D70BD5" w:rsidRPr="00A41F07">
        <w:t xml:space="preserve"> small number of patients may experience recurrent or continued symptoms, requiring subsequent assessment with ileocolonoscopy and MRE. This group includes post-operative </w:t>
      </w:r>
      <w:r w:rsidR="00E32472" w:rsidRPr="00A41F07">
        <w:t xml:space="preserve">patients </w:t>
      </w:r>
      <w:r w:rsidR="00D70BD5" w:rsidRPr="00A41F07">
        <w:t>with</w:t>
      </w:r>
      <w:r w:rsidR="00D70BD5" w:rsidRPr="00A41F07">
        <w:rPr>
          <w:rFonts w:cstheme="minorHAnsi"/>
          <w:color w:val="000000"/>
          <w:szCs w:val="19"/>
          <w:shd w:val="clear" w:color="auto" w:fill="FFFFFF"/>
        </w:rPr>
        <w:t xml:space="preserve"> non-diagnostic findings from prior imaging, who may require confirmation of recurrent CD in order to be eligible for treatment with biologic therapies.</w:t>
      </w:r>
    </w:p>
    <w:p w14:paraId="582718D1" w14:textId="77777777" w:rsidR="00A21238" w:rsidRPr="00A41F07" w:rsidRDefault="00A21238" w:rsidP="003816C6">
      <w:pPr>
        <w:pStyle w:val="Subtitle"/>
        <w:ind w:left="0"/>
      </w:pPr>
    </w:p>
    <w:p w14:paraId="582718D2" w14:textId="77777777" w:rsidR="00A21238" w:rsidRPr="00A41F07" w:rsidRDefault="00A21238" w:rsidP="005C3AE7">
      <w:pPr>
        <w:pStyle w:val="Subtitle"/>
      </w:pPr>
    </w:p>
    <w:p w14:paraId="582718D3" w14:textId="77777777" w:rsidR="002A50FD" w:rsidRPr="00A41F07" w:rsidRDefault="005C3AE7" w:rsidP="005C3AE7">
      <w:pPr>
        <w:pStyle w:val="Subtitle"/>
      </w:pPr>
      <w:r w:rsidRPr="00A41F07">
        <w:t xml:space="preserve">PART 6b – </w:t>
      </w:r>
      <w:r w:rsidR="002A50FD" w:rsidRPr="00A41F07">
        <w:t>INFORMATION ABOUT THE INTERVENTION</w:t>
      </w:r>
    </w:p>
    <w:p w14:paraId="582718D4" w14:textId="77777777" w:rsidR="002A50FD" w:rsidRPr="00A41F07" w:rsidRDefault="002A6753" w:rsidP="00530204">
      <w:pPr>
        <w:pStyle w:val="Heading2"/>
      </w:pPr>
      <w:r w:rsidRPr="00A41F07">
        <w:t xml:space="preserve">Describe the </w:t>
      </w:r>
      <w:r w:rsidR="00DF6D37" w:rsidRPr="00A41F07">
        <w:t>key components and</w:t>
      </w:r>
      <w:r w:rsidR="00B771AD" w:rsidRPr="00A41F07">
        <w:t xml:space="preserve"> clinical</w:t>
      </w:r>
      <w:r w:rsidR="00DF6D37" w:rsidRPr="00A41F07">
        <w:t xml:space="preserve"> steps involved in delivering </w:t>
      </w:r>
      <w:r w:rsidR="00C05A45" w:rsidRPr="00A41F07">
        <w:t xml:space="preserve">the </w:t>
      </w:r>
      <w:r w:rsidR="00197D29" w:rsidRPr="00A41F07">
        <w:t>proposed medical service:</w:t>
      </w:r>
    </w:p>
    <w:p w14:paraId="582718D5" w14:textId="77777777" w:rsidR="003E1C77" w:rsidRPr="00A41F07" w:rsidRDefault="00D37D57" w:rsidP="003E1C77">
      <w:pPr>
        <w:spacing w:before="100" w:beforeAutospacing="1" w:after="100" w:afterAutospacing="1"/>
        <w:jc w:val="both"/>
        <w:rPr>
          <w:rFonts w:cstheme="minorHAnsi"/>
          <w:szCs w:val="20"/>
        </w:rPr>
      </w:pPr>
      <w:r w:rsidRPr="00A41F07">
        <w:rPr>
          <w:rFonts w:cstheme="minorHAnsi"/>
          <w:szCs w:val="20"/>
        </w:rPr>
        <w:t xml:space="preserve">Clinician consultation:  preliminary discussion/communication with patient to guide patient before the procedure with specific instructions. These instructions may include food/drink requirement, medications and medical history. An empty stomach is optimal for viewing, so patients may be required to follow a clear liquid diet after lunch the day prior to </w:t>
      </w:r>
      <w:r w:rsidR="003E1C77" w:rsidRPr="00A41F07">
        <w:rPr>
          <w:rFonts w:cstheme="minorHAnsi"/>
          <w:szCs w:val="20"/>
        </w:rPr>
        <w:t xml:space="preserve">the </w:t>
      </w:r>
      <w:r w:rsidRPr="00A41F07">
        <w:rPr>
          <w:rFonts w:cstheme="minorHAnsi"/>
          <w:szCs w:val="20"/>
        </w:rPr>
        <w:t>procedure and to begin fasting at midnight. The clinician will also discuss   medication the patient regularly takes that might need dose adjustment prior to the Capsule Endoscopy procedure.  The clinician also discusses the medical history of the patient, including whether the patient has a pacemaker or other implantable electronic device, any previous abdominal surgery, swallowing problems or previous history of obstructions</w:t>
      </w:r>
      <w:r w:rsidR="003E1C77" w:rsidRPr="00A41F07">
        <w:rPr>
          <w:rFonts w:cstheme="minorHAnsi"/>
          <w:szCs w:val="20"/>
        </w:rPr>
        <w:t xml:space="preserve"> in the gastrointestinal tract.</w:t>
      </w:r>
    </w:p>
    <w:p w14:paraId="582718D6" w14:textId="77777777" w:rsidR="00D37D57" w:rsidRPr="00A41F07" w:rsidRDefault="003E1C77" w:rsidP="003E1C77">
      <w:pPr>
        <w:spacing w:before="100" w:beforeAutospacing="1" w:after="100" w:afterAutospacing="1"/>
        <w:jc w:val="both"/>
        <w:rPr>
          <w:rFonts w:cstheme="minorHAnsi"/>
          <w:szCs w:val="20"/>
        </w:rPr>
      </w:pPr>
      <w:r w:rsidRPr="00A41F07">
        <w:rPr>
          <w:rFonts w:cstheme="minorHAnsi"/>
          <w:szCs w:val="20"/>
        </w:rPr>
        <w:t>T</w:t>
      </w:r>
      <w:r w:rsidR="00D37D57" w:rsidRPr="00A41F07">
        <w:rPr>
          <w:rFonts w:cstheme="minorHAnsi"/>
          <w:szCs w:val="20"/>
        </w:rPr>
        <w:t xml:space="preserve">ime </w:t>
      </w:r>
      <w:r w:rsidRPr="00A41F07">
        <w:rPr>
          <w:rFonts w:cstheme="minorHAnsi"/>
          <w:szCs w:val="20"/>
        </w:rPr>
        <w:t xml:space="preserve">is taken </w:t>
      </w:r>
      <w:r w:rsidR="00D37D57" w:rsidRPr="00A41F07">
        <w:rPr>
          <w:rFonts w:cstheme="minorHAnsi"/>
          <w:szCs w:val="20"/>
        </w:rPr>
        <w:t xml:space="preserve">to prepare </w:t>
      </w:r>
      <w:r w:rsidRPr="00A41F07">
        <w:rPr>
          <w:rFonts w:cstheme="minorHAnsi"/>
          <w:szCs w:val="20"/>
        </w:rPr>
        <w:t xml:space="preserve">the </w:t>
      </w:r>
      <w:r w:rsidR="00D37D57" w:rsidRPr="00A41F07">
        <w:rPr>
          <w:rFonts w:cstheme="minorHAnsi"/>
          <w:szCs w:val="20"/>
        </w:rPr>
        <w:t>patient and instruct the</w:t>
      </w:r>
      <w:r w:rsidRPr="00A41F07">
        <w:rPr>
          <w:rFonts w:cstheme="minorHAnsi"/>
          <w:szCs w:val="20"/>
        </w:rPr>
        <w:t xml:space="preserve"> patient to swallow the capsule. T</w:t>
      </w:r>
      <w:r w:rsidR="00D37D57" w:rsidRPr="00A41F07">
        <w:rPr>
          <w:rFonts w:cstheme="minorHAnsi"/>
          <w:szCs w:val="20"/>
        </w:rPr>
        <w:t xml:space="preserve">he sensor or sensor belt </w:t>
      </w:r>
      <w:r w:rsidRPr="00A41F07">
        <w:rPr>
          <w:rFonts w:cstheme="minorHAnsi"/>
          <w:szCs w:val="20"/>
        </w:rPr>
        <w:t xml:space="preserve">is applied </w:t>
      </w:r>
      <w:r w:rsidR="00D37D57" w:rsidRPr="00A41F07">
        <w:rPr>
          <w:rFonts w:cstheme="minorHAnsi"/>
          <w:szCs w:val="20"/>
        </w:rPr>
        <w:t>to the patient and connect</w:t>
      </w:r>
      <w:r w:rsidRPr="00A41F07">
        <w:rPr>
          <w:rFonts w:cstheme="minorHAnsi"/>
          <w:szCs w:val="20"/>
        </w:rPr>
        <w:t>ed to the recorder. T</w:t>
      </w:r>
      <w:r w:rsidR="00D37D57" w:rsidRPr="00A41F07">
        <w:rPr>
          <w:rFonts w:cstheme="minorHAnsi"/>
          <w:szCs w:val="20"/>
        </w:rPr>
        <w:t xml:space="preserve">he patient </w:t>
      </w:r>
      <w:r w:rsidRPr="00A41F07">
        <w:rPr>
          <w:rFonts w:cstheme="minorHAnsi"/>
          <w:szCs w:val="20"/>
        </w:rPr>
        <w:t>then</w:t>
      </w:r>
      <w:r w:rsidR="00D37D57" w:rsidRPr="00A41F07">
        <w:rPr>
          <w:rFonts w:cstheme="minorHAnsi"/>
          <w:szCs w:val="20"/>
        </w:rPr>
        <w:t xml:space="preserve"> swallows capsule. At the end of this part of the procedure, </w:t>
      </w:r>
      <w:r w:rsidRPr="00A41F07">
        <w:rPr>
          <w:rFonts w:cstheme="minorHAnsi"/>
          <w:szCs w:val="20"/>
        </w:rPr>
        <w:t xml:space="preserve">the </w:t>
      </w:r>
      <w:r w:rsidR="00D37D57" w:rsidRPr="00A41F07">
        <w:rPr>
          <w:rFonts w:cstheme="minorHAnsi"/>
          <w:szCs w:val="20"/>
        </w:rPr>
        <w:t>patient can leave</w:t>
      </w:r>
      <w:r w:rsidRPr="00A41F07">
        <w:rPr>
          <w:rFonts w:cstheme="minorHAnsi"/>
          <w:szCs w:val="20"/>
        </w:rPr>
        <w:t xml:space="preserve"> the</w:t>
      </w:r>
      <w:r w:rsidR="00D37D57" w:rsidRPr="00A41F07">
        <w:rPr>
          <w:rFonts w:cstheme="minorHAnsi"/>
          <w:szCs w:val="20"/>
        </w:rPr>
        <w:t xml:space="preserve"> healthcare setting and go about normal daily activities. After </w:t>
      </w:r>
      <w:r w:rsidRPr="00A41F07">
        <w:rPr>
          <w:rFonts w:cstheme="minorHAnsi"/>
          <w:szCs w:val="20"/>
        </w:rPr>
        <w:t xml:space="preserve">the </w:t>
      </w:r>
      <w:r w:rsidR="00D37D57" w:rsidRPr="00A41F07">
        <w:rPr>
          <w:rFonts w:cstheme="minorHAnsi"/>
          <w:szCs w:val="20"/>
        </w:rPr>
        <w:t xml:space="preserve">test, </w:t>
      </w:r>
      <w:r w:rsidRPr="00A41F07">
        <w:rPr>
          <w:rFonts w:cstheme="minorHAnsi"/>
          <w:szCs w:val="20"/>
        </w:rPr>
        <w:t xml:space="preserve">the </w:t>
      </w:r>
      <w:r w:rsidR="00D37D57" w:rsidRPr="00A41F07">
        <w:rPr>
          <w:rFonts w:cstheme="minorHAnsi"/>
          <w:szCs w:val="20"/>
        </w:rPr>
        <w:t>patient comes back to</w:t>
      </w:r>
      <w:r w:rsidRPr="00A41F07">
        <w:rPr>
          <w:rFonts w:cstheme="minorHAnsi"/>
          <w:szCs w:val="20"/>
        </w:rPr>
        <w:t xml:space="preserve"> the</w:t>
      </w:r>
      <w:r w:rsidR="00D37D57" w:rsidRPr="00A41F07">
        <w:rPr>
          <w:rFonts w:cstheme="minorHAnsi"/>
          <w:szCs w:val="20"/>
        </w:rPr>
        <w:t xml:space="preserve"> healthcare setting and the test equipment is removed. After this the clinician downloads the images to a computer and will read and analyse these images </w:t>
      </w:r>
      <w:r w:rsidRPr="00A41F07">
        <w:rPr>
          <w:rFonts w:cstheme="minorHAnsi"/>
          <w:szCs w:val="20"/>
        </w:rPr>
        <w:t>to provide</w:t>
      </w:r>
      <w:r w:rsidR="00D37D57" w:rsidRPr="00A41F07">
        <w:rPr>
          <w:rFonts w:cstheme="minorHAnsi"/>
          <w:szCs w:val="20"/>
        </w:rPr>
        <w:t xml:space="preserve"> a full report. </w:t>
      </w:r>
    </w:p>
    <w:p w14:paraId="582718D7" w14:textId="77777777" w:rsidR="008E7B2C" w:rsidRPr="00A41F07" w:rsidRDefault="009A175E" w:rsidP="008461DB">
      <w:pPr>
        <w:jc w:val="both"/>
        <w:rPr>
          <w:rFonts w:cstheme="minorHAnsi"/>
          <w:szCs w:val="20"/>
        </w:rPr>
      </w:pPr>
      <w:r w:rsidRPr="00A41F07">
        <w:rPr>
          <w:rFonts w:cstheme="minorHAnsi"/>
          <w:szCs w:val="20"/>
        </w:rPr>
        <w:t>In diagnosis of suspected Crohn’s and assessment of known Crohn’s clinicians</w:t>
      </w:r>
      <w:r w:rsidR="004169A1" w:rsidRPr="00A41F07">
        <w:rPr>
          <w:rFonts w:cstheme="minorHAnsi"/>
          <w:szCs w:val="20"/>
        </w:rPr>
        <w:t xml:space="preserve"> looks for images of </w:t>
      </w:r>
      <w:r w:rsidR="003E1C77" w:rsidRPr="00A41F07">
        <w:rPr>
          <w:rFonts w:cstheme="minorHAnsi"/>
          <w:szCs w:val="20"/>
        </w:rPr>
        <w:t>mucosal fissuring</w:t>
      </w:r>
      <w:r w:rsidRPr="00A41F07">
        <w:rPr>
          <w:rFonts w:cstheme="minorHAnsi"/>
          <w:szCs w:val="20"/>
        </w:rPr>
        <w:t xml:space="preserve">, linear ulcers, round ulcers, irregular ulcers, </w:t>
      </w:r>
      <w:r w:rsidR="004169A1" w:rsidRPr="00A41F07">
        <w:rPr>
          <w:rFonts w:cstheme="minorHAnsi"/>
          <w:szCs w:val="20"/>
        </w:rPr>
        <w:t>cobble stoning</w:t>
      </w:r>
      <w:r w:rsidRPr="00A41F07">
        <w:rPr>
          <w:rFonts w:cstheme="minorHAnsi"/>
          <w:szCs w:val="20"/>
        </w:rPr>
        <w:t xml:space="preserve"> mucosa, aphthous lesions, or strictured and ulcerated areas of mucosa scarring. Additionally </w:t>
      </w:r>
      <w:r w:rsidR="005C46E8" w:rsidRPr="00A41F07">
        <w:rPr>
          <w:rFonts w:cstheme="minorHAnsi"/>
          <w:szCs w:val="20"/>
        </w:rPr>
        <w:t>clinicians also o</w:t>
      </w:r>
      <w:r w:rsidRPr="00A41F07">
        <w:rPr>
          <w:rFonts w:cstheme="minorHAnsi"/>
          <w:szCs w:val="20"/>
        </w:rPr>
        <w:t xml:space="preserve">bserve bleeding lesions, polyps, and </w:t>
      </w:r>
      <w:r w:rsidR="004169A1" w:rsidRPr="00A41F07">
        <w:rPr>
          <w:rFonts w:cstheme="minorHAnsi"/>
          <w:szCs w:val="20"/>
        </w:rPr>
        <w:t>pseudo polyps</w:t>
      </w:r>
      <w:r w:rsidRPr="00A41F07">
        <w:rPr>
          <w:rFonts w:cstheme="minorHAnsi"/>
          <w:szCs w:val="20"/>
        </w:rPr>
        <w:t xml:space="preserve"> suggestive of Crohn’s Disease.</w:t>
      </w:r>
      <w:r w:rsidR="004169A1" w:rsidRPr="00A41F07">
        <w:rPr>
          <w:rFonts w:cstheme="minorHAnsi"/>
          <w:szCs w:val="20"/>
        </w:rPr>
        <w:t xml:space="preserve"> Other minor lesions, such as erythema, </w:t>
      </w:r>
      <w:r w:rsidR="005C46E8" w:rsidRPr="00A41F07">
        <w:rPr>
          <w:rFonts w:cstheme="minorHAnsi"/>
          <w:szCs w:val="20"/>
        </w:rPr>
        <w:t>oedema</w:t>
      </w:r>
      <w:r w:rsidR="004169A1" w:rsidRPr="00A41F07">
        <w:rPr>
          <w:rFonts w:cstheme="minorHAnsi"/>
          <w:szCs w:val="20"/>
        </w:rPr>
        <w:t>, loss of villi, denudated area, or aphthous ulcer, not visualized by conventional radiological techniques, can be detected by the clinician while evaluating suspected and/or known Crohn’s disease cases.</w:t>
      </w:r>
      <w:r w:rsidR="00623FE7" w:rsidRPr="00A41F07">
        <w:rPr>
          <w:rFonts w:cstheme="minorHAnsi"/>
          <w:szCs w:val="20"/>
        </w:rPr>
        <w:t xml:space="preserve"> According to </w:t>
      </w:r>
      <w:r w:rsidR="003E1C77" w:rsidRPr="00A41F07">
        <w:rPr>
          <w:rFonts w:cstheme="minorHAnsi"/>
          <w:szCs w:val="20"/>
        </w:rPr>
        <w:t xml:space="preserve">the </w:t>
      </w:r>
      <w:r w:rsidR="00623FE7" w:rsidRPr="00A41F07">
        <w:rPr>
          <w:rFonts w:cstheme="minorHAnsi"/>
          <w:szCs w:val="20"/>
        </w:rPr>
        <w:t>Capsule Endoscopy scoring index, 3 parameters are utilised by the clinician: Villous appearance: normal/oedematous (longitudinal extent); Ulcer</w:t>
      </w:r>
      <w:r w:rsidR="003E1C77" w:rsidRPr="00A41F07">
        <w:rPr>
          <w:rFonts w:cstheme="minorHAnsi"/>
          <w:szCs w:val="20"/>
        </w:rPr>
        <w:t>ation</w:t>
      </w:r>
      <w:r w:rsidR="00623FE7" w:rsidRPr="00A41F07">
        <w:rPr>
          <w:rFonts w:cstheme="minorHAnsi"/>
          <w:szCs w:val="20"/>
        </w:rPr>
        <w:t>: number, size (longitudinal extent); Stenosis: Number and associated ulceration</w:t>
      </w:r>
      <w:r w:rsidR="008E7B2C" w:rsidRPr="00A41F07">
        <w:rPr>
          <w:rFonts w:cstheme="minorHAnsi"/>
          <w:szCs w:val="20"/>
        </w:rPr>
        <w:t xml:space="preserve"> (which are weighted based on extent and severity</w:t>
      </w:r>
      <w:r w:rsidR="001A5C8A" w:rsidRPr="00A41F07">
        <w:rPr>
          <w:rFonts w:cstheme="minorHAnsi"/>
          <w:szCs w:val="20"/>
        </w:rPr>
        <w:t>.</w:t>
      </w:r>
      <w:r w:rsidR="008E7B2C" w:rsidRPr="00A41F07">
        <w:rPr>
          <w:rFonts w:cstheme="minorHAnsi"/>
          <w:szCs w:val="20"/>
        </w:rPr>
        <w:t xml:space="preserve"> </w:t>
      </w:r>
    </w:p>
    <w:p w14:paraId="582718D8" w14:textId="77777777" w:rsidR="00880417" w:rsidRPr="00A41F07" w:rsidRDefault="00880417" w:rsidP="008461DB">
      <w:pPr>
        <w:jc w:val="both"/>
        <w:rPr>
          <w:rFonts w:cstheme="minorHAnsi"/>
          <w:szCs w:val="20"/>
        </w:rPr>
      </w:pPr>
    </w:p>
    <w:p w14:paraId="582718D9" w14:textId="77777777" w:rsidR="002A6753" w:rsidRPr="00F0403F" w:rsidRDefault="002A6753" w:rsidP="00530204">
      <w:pPr>
        <w:pStyle w:val="Heading2"/>
      </w:pPr>
      <w:r w:rsidRPr="00F0403F">
        <w:t>Does the proposed medical service include a registered trademark</w:t>
      </w:r>
      <w:r w:rsidR="00707D4D" w:rsidRPr="00F0403F">
        <w:t xml:space="preserve"> component</w:t>
      </w:r>
      <w:r w:rsidRPr="00F0403F">
        <w:t xml:space="preserve"> with characteristics that distinguishes it from other similar health </w:t>
      </w:r>
      <w:r w:rsidR="00707D4D" w:rsidRPr="00F0403F">
        <w:t>components</w:t>
      </w:r>
      <w:r w:rsidRPr="00F0403F">
        <w:t>?</w:t>
      </w:r>
    </w:p>
    <w:p w14:paraId="582718DA" w14:textId="77777777" w:rsidR="008461DB" w:rsidRPr="00A41F07" w:rsidRDefault="008461DB" w:rsidP="008461DB">
      <w:pPr>
        <w:rPr>
          <w:szCs w:val="20"/>
        </w:rPr>
      </w:pPr>
    </w:p>
    <w:p w14:paraId="582718DB" w14:textId="77777777" w:rsidR="00C22AD8" w:rsidRPr="00A41F07" w:rsidRDefault="00C22AD8" w:rsidP="00530204">
      <w:pPr>
        <w:pStyle w:val="Heading2"/>
      </w:pPr>
      <w:r w:rsidRPr="00A41F07">
        <w:t>If the proposed medical service has a prosthesis or device component to it, does it involve a new approach towards managing a particular sub-group of the population with the specific medical condition?</w:t>
      </w:r>
    </w:p>
    <w:p w14:paraId="582718DC" w14:textId="77777777" w:rsidR="000510B3" w:rsidRPr="00A41F07" w:rsidRDefault="00C20E26" w:rsidP="00526518">
      <w:pPr>
        <w:jc w:val="both"/>
        <w:rPr>
          <w:rFonts w:cstheme="minorHAnsi"/>
          <w:szCs w:val="20"/>
        </w:rPr>
      </w:pPr>
      <w:r w:rsidRPr="00A41F07">
        <w:rPr>
          <w:rFonts w:cstheme="minorHAnsi"/>
          <w:szCs w:val="20"/>
        </w:rPr>
        <w:t>Yes.</w:t>
      </w:r>
      <w:r w:rsidR="006C0D5E" w:rsidRPr="00A41F07">
        <w:rPr>
          <w:rFonts w:cstheme="minorHAnsi"/>
          <w:szCs w:val="20"/>
        </w:rPr>
        <w:t xml:space="preserve"> Capsule Endoscopy is a minimally invasive and well tolerated test with a high diagnostic yield.  </w:t>
      </w:r>
    </w:p>
    <w:p w14:paraId="582718DD" w14:textId="77777777" w:rsidR="005B7100" w:rsidRPr="00A41F07" w:rsidRDefault="006C0D5E" w:rsidP="00526518">
      <w:pPr>
        <w:jc w:val="both"/>
        <w:rPr>
          <w:rFonts w:cstheme="minorHAnsi"/>
          <w:szCs w:val="20"/>
        </w:rPr>
      </w:pPr>
      <w:r w:rsidRPr="00A41F07">
        <w:rPr>
          <w:rFonts w:cstheme="minorHAnsi"/>
          <w:szCs w:val="20"/>
        </w:rPr>
        <w:t>30% of patients will have Crohn’s disease restricted to the small bowel that will be beyond the reach of the ileocolonoscopy. Capsule Endoscopy is also able to detect subtle mucosal lesions that may not be detected on small bowel radiological examinations.</w:t>
      </w:r>
      <w:r w:rsidR="005B7100" w:rsidRPr="00A41F07">
        <w:rPr>
          <w:rFonts w:cstheme="minorHAnsi"/>
          <w:szCs w:val="20"/>
        </w:rPr>
        <w:t xml:space="preserve"> As previously outlined this potentially would enable patients who have not had a conclusive diagnosis in Suspected Small Bowel Crohn’s Disease to avoid repeated rounds of potentially futile testing whilst </w:t>
      </w:r>
      <w:proofErr w:type="gramStart"/>
      <w:r w:rsidR="005B7100" w:rsidRPr="00A41F07">
        <w:rPr>
          <w:rFonts w:cstheme="minorHAnsi"/>
          <w:szCs w:val="20"/>
        </w:rPr>
        <w:t>awaiting</w:t>
      </w:r>
      <w:proofErr w:type="gramEnd"/>
      <w:r w:rsidR="005B7100" w:rsidRPr="00A41F07">
        <w:rPr>
          <w:rFonts w:cstheme="minorHAnsi"/>
          <w:szCs w:val="20"/>
        </w:rPr>
        <w:t xml:space="preserve"> for disease progression. This is particularly important in the paediatric sub-population where delays in diagnosis can have developmental consequences. In patient with </w:t>
      </w:r>
      <w:r w:rsidR="0099086A" w:rsidRPr="00A41F07">
        <w:rPr>
          <w:rFonts w:cstheme="minorHAnsi"/>
          <w:szCs w:val="20"/>
        </w:rPr>
        <w:t xml:space="preserve">known </w:t>
      </w:r>
      <w:r w:rsidR="0099086A" w:rsidRPr="00A41F07">
        <w:rPr>
          <w:rFonts w:cstheme="minorHAnsi"/>
          <w:szCs w:val="20"/>
        </w:rPr>
        <w:lastRenderedPageBreak/>
        <w:t xml:space="preserve">Isolated Proximal </w:t>
      </w:r>
      <w:r w:rsidR="005B7100" w:rsidRPr="00A41F07">
        <w:rPr>
          <w:rFonts w:cstheme="minorHAnsi"/>
          <w:szCs w:val="20"/>
        </w:rPr>
        <w:t>Small Bowel Crohn’s Disease the post-surgical su</w:t>
      </w:r>
      <w:r w:rsidR="0099086A" w:rsidRPr="00A41F07">
        <w:rPr>
          <w:rFonts w:cstheme="minorHAnsi"/>
          <w:szCs w:val="20"/>
        </w:rPr>
        <w:t>bpopulation with disease distribution not readily accessible for direct visualisation by ileoscopy could be monitored for evidence of mucosal recurrence including subtle lesions not easily identified by imaging.</w:t>
      </w:r>
    </w:p>
    <w:p w14:paraId="582718DE" w14:textId="77777777" w:rsidR="00B45573" w:rsidRPr="00A41F07" w:rsidRDefault="00B45573" w:rsidP="006C0D5E">
      <w:pPr>
        <w:jc w:val="both"/>
        <w:rPr>
          <w:rFonts w:cstheme="minorHAnsi"/>
          <w:b/>
          <w:szCs w:val="20"/>
        </w:rPr>
      </w:pPr>
    </w:p>
    <w:p w14:paraId="582718DF" w14:textId="77777777" w:rsidR="006B1B49" w:rsidRPr="00A41F07" w:rsidRDefault="006B1B49" w:rsidP="00530204">
      <w:pPr>
        <w:pStyle w:val="Heading2"/>
      </w:pPr>
      <w:r w:rsidRPr="00A41F07">
        <w:t xml:space="preserve">If applicable, are there any limitations on the </w:t>
      </w:r>
      <w:r w:rsidR="00DF0C51" w:rsidRPr="00A41F07">
        <w:t xml:space="preserve">provision </w:t>
      </w:r>
      <w:r w:rsidRPr="00A41F07">
        <w:t>of the proposed medical se</w:t>
      </w:r>
      <w:r w:rsidR="00DF0C51" w:rsidRPr="00A41F07">
        <w:t xml:space="preserve">rvice delivered to the patient </w:t>
      </w:r>
      <w:r w:rsidR="00D30BDC" w:rsidRPr="00A41F07">
        <w:t>(</w:t>
      </w:r>
      <w:r w:rsidR="00DF0C51" w:rsidRPr="00A41F07">
        <w:t>i</w:t>
      </w:r>
      <w:r w:rsidR="00812EDD" w:rsidRPr="00A41F07">
        <w:t>.</w:t>
      </w:r>
      <w:r w:rsidR="00DF0C51" w:rsidRPr="00A41F07">
        <w:t xml:space="preserve">e. </w:t>
      </w:r>
      <w:r w:rsidR="00707D4D" w:rsidRPr="00A41F07">
        <w:t xml:space="preserve">accessibility, </w:t>
      </w:r>
      <w:r w:rsidR="00DF0C51" w:rsidRPr="00A41F07">
        <w:t>dosage, quantity, duration or frequency</w:t>
      </w:r>
      <w:r w:rsidR="00D30BDC" w:rsidRPr="00A41F07">
        <w:t>)</w:t>
      </w:r>
      <w:r w:rsidR="00AE1188" w:rsidRPr="00A41F07">
        <w:t>:</w:t>
      </w:r>
    </w:p>
    <w:p w14:paraId="582718E0" w14:textId="77777777" w:rsidR="009E39B3" w:rsidRPr="00A41F07" w:rsidRDefault="009E39B3" w:rsidP="00063E34">
      <w:pPr>
        <w:jc w:val="both"/>
      </w:pPr>
      <w:r w:rsidRPr="00A41F07">
        <w:t>For diagnosis of Suspected Crohn’s capsule endoscopy should be performed to the</w:t>
      </w:r>
      <w:r w:rsidR="00063E34" w:rsidRPr="00A41F07">
        <w:t xml:space="preserve"> same patient on not more than 1</w:t>
      </w:r>
      <w:r w:rsidRPr="00A41F07">
        <w:t xml:space="preserve"> </w:t>
      </w:r>
      <w:r w:rsidR="00063E34" w:rsidRPr="00A41F07">
        <w:t>occasion</w:t>
      </w:r>
      <w:r w:rsidRPr="00A41F07">
        <w:t xml:space="preserve"> in any 12 month period.</w:t>
      </w:r>
      <w:r w:rsidR="00645D4D" w:rsidRPr="00A41F07">
        <w:t xml:space="preserve"> </w:t>
      </w:r>
    </w:p>
    <w:p w14:paraId="582718E1" w14:textId="77777777" w:rsidR="00063E34" w:rsidRPr="00A41F07" w:rsidRDefault="00063E34" w:rsidP="00063E34">
      <w:pPr>
        <w:jc w:val="both"/>
      </w:pPr>
      <w:r w:rsidRPr="00A41F07">
        <w:t xml:space="preserve">Evaluation of exacerbation/suspected complications of patients with known small bowel Crohn’s disease should be performed to the same patient on not more than 1 occasion in any 12 month period. </w:t>
      </w:r>
    </w:p>
    <w:p w14:paraId="582718E2" w14:textId="77777777" w:rsidR="00063E34" w:rsidRPr="00A41F07" w:rsidRDefault="00063E34" w:rsidP="00063E34">
      <w:pPr>
        <w:jc w:val="both"/>
      </w:pPr>
      <w:r w:rsidRPr="00A41F07">
        <w:t>Assessment of change to therapy in patients with known small bowel Crohn’s disease</w:t>
      </w:r>
      <w:r w:rsidR="009C5908" w:rsidRPr="00A41F07">
        <w:t xml:space="preserve"> should</w:t>
      </w:r>
      <w:r w:rsidRPr="00A41F07">
        <w:t xml:space="preserve"> </w:t>
      </w:r>
      <w:r w:rsidR="009C5908" w:rsidRPr="00A41F07">
        <w:t>be</w:t>
      </w:r>
      <w:r w:rsidR="00D27068" w:rsidRPr="00A41F07">
        <w:t xml:space="preserve"> not</w:t>
      </w:r>
      <w:r w:rsidR="009C5908" w:rsidRPr="00A41F07">
        <w:t xml:space="preserve"> </w:t>
      </w:r>
      <w:r w:rsidRPr="00A41F07">
        <w:t>more than 1 occasion in any 12 month period.</w:t>
      </w:r>
    </w:p>
    <w:p w14:paraId="582718E3" w14:textId="77777777" w:rsidR="00625022" w:rsidRPr="00A41F07" w:rsidRDefault="00625022" w:rsidP="00625022">
      <w:pPr>
        <w:autoSpaceDE w:val="0"/>
        <w:autoSpaceDN w:val="0"/>
        <w:adjustRightInd w:val="0"/>
        <w:spacing w:before="0" w:after="0"/>
      </w:pPr>
    </w:p>
    <w:p w14:paraId="582718E4" w14:textId="77777777" w:rsidR="00791C8D" w:rsidRPr="00A41F07" w:rsidRDefault="00791C8D" w:rsidP="00530204">
      <w:pPr>
        <w:pStyle w:val="Heading2"/>
      </w:pPr>
      <w:r w:rsidRPr="00A41F07">
        <w:t xml:space="preserve">If applicable, identify any healthcare resources </w:t>
      </w:r>
      <w:r w:rsidR="007522E3" w:rsidRPr="00A41F07">
        <w:t xml:space="preserve">or other medical services </w:t>
      </w:r>
      <w:r w:rsidRPr="00A41F07">
        <w:t xml:space="preserve">that would need to be delivered </w:t>
      </w:r>
      <w:r w:rsidRPr="00A41F07">
        <w:rPr>
          <w:u w:val="single"/>
        </w:rPr>
        <w:t>at the same time</w:t>
      </w:r>
      <w:r w:rsidRPr="00A41F07">
        <w:t xml:space="preserve"> </w:t>
      </w:r>
      <w:r w:rsidR="00197D29" w:rsidRPr="00A41F07">
        <w:t>as the proposed medical service:</w:t>
      </w:r>
    </w:p>
    <w:p w14:paraId="582718E5" w14:textId="77777777" w:rsidR="00C20E26" w:rsidRPr="00A41F07" w:rsidRDefault="00C20E26" w:rsidP="00BB658E">
      <w:pPr>
        <w:ind w:firstLine="360"/>
      </w:pPr>
      <w:r w:rsidRPr="00A41F07">
        <w:t>Not applicable.</w:t>
      </w:r>
    </w:p>
    <w:p w14:paraId="582718E6" w14:textId="77777777" w:rsidR="00B17E26" w:rsidRPr="00A41F07" w:rsidRDefault="00B17E26" w:rsidP="00530204">
      <w:pPr>
        <w:pStyle w:val="Heading2"/>
      </w:pPr>
      <w:r w:rsidRPr="00A41F07">
        <w:t>If applicable, advise which health profession</w:t>
      </w:r>
      <w:r w:rsidR="00E4321E" w:rsidRPr="00A41F07">
        <w:t xml:space="preserve">als </w:t>
      </w:r>
      <w:r w:rsidRPr="00A41F07">
        <w:t>will</w:t>
      </w:r>
      <w:r w:rsidR="00E4321E" w:rsidRPr="00A41F07">
        <w:t xml:space="preserve"> </w:t>
      </w:r>
      <w:r w:rsidR="007D2358" w:rsidRPr="00A41F07">
        <w:t xml:space="preserve">primarily deliver the </w:t>
      </w:r>
      <w:r w:rsidR="00E4321E" w:rsidRPr="00A41F07">
        <w:t xml:space="preserve">proposed </w:t>
      </w:r>
      <w:r w:rsidR="00AE1188" w:rsidRPr="00A41F07">
        <w:t>service:</w:t>
      </w:r>
    </w:p>
    <w:p w14:paraId="582718E7" w14:textId="77777777" w:rsidR="00B17E26" w:rsidRPr="00A41F07" w:rsidRDefault="00744741" w:rsidP="00884E69">
      <w:pPr>
        <w:ind w:left="426"/>
        <w:rPr>
          <w:szCs w:val="20"/>
        </w:rPr>
      </w:pPr>
      <w:r w:rsidRPr="00A41F07">
        <w:rPr>
          <w:rFonts w:cstheme="minorHAnsi"/>
          <w:szCs w:val="20"/>
        </w:rPr>
        <w:t>Gastroenterologists will deliver the service.</w:t>
      </w:r>
    </w:p>
    <w:p w14:paraId="582718E8" w14:textId="77777777" w:rsidR="00B17E26" w:rsidRPr="00A41F07" w:rsidRDefault="00B17E26" w:rsidP="00530204">
      <w:pPr>
        <w:pStyle w:val="Heading2"/>
      </w:pPr>
      <w:r w:rsidRPr="00A41F07">
        <w:t>If applicable, advise whether the proposed medical service could be delegated or referred to another professional for delive</w:t>
      </w:r>
      <w:r w:rsidR="00AE1188" w:rsidRPr="00A41F07">
        <w:t>ry:</w:t>
      </w:r>
    </w:p>
    <w:p w14:paraId="582718E9" w14:textId="77777777" w:rsidR="00B17E26" w:rsidRPr="00A41F07" w:rsidRDefault="00897B03" w:rsidP="00884E69">
      <w:pPr>
        <w:ind w:left="426"/>
        <w:rPr>
          <w:szCs w:val="20"/>
        </w:rPr>
      </w:pPr>
      <w:r w:rsidRPr="00A41F07">
        <w:t>Not applicable.</w:t>
      </w:r>
    </w:p>
    <w:p w14:paraId="582718EA" w14:textId="77777777" w:rsidR="00EA0E25" w:rsidRPr="00A41F07" w:rsidRDefault="00EA0E25" w:rsidP="00530204">
      <w:pPr>
        <w:pStyle w:val="Heading2"/>
      </w:pPr>
      <w:r w:rsidRPr="00A41F07">
        <w:t xml:space="preserve">If applicable, specify any proposed limitations on who might deliver the proposed medical service, or who </w:t>
      </w:r>
      <w:r w:rsidR="00AE1188" w:rsidRPr="00A41F07">
        <w:t>might provide a referral for it:</w:t>
      </w:r>
    </w:p>
    <w:p w14:paraId="582718EB" w14:textId="77777777" w:rsidR="00760784" w:rsidRPr="00A41F07" w:rsidRDefault="00760784" w:rsidP="00915A5C">
      <w:pPr>
        <w:ind w:left="426"/>
        <w:jc w:val="both"/>
      </w:pPr>
      <w:r w:rsidRPr="00A41F07">
        <w:rPr>
          <w:rFonts w:eastAsia="SimSun" w:cstheme="minorHAnsi"/>
          <w:lang w:val="en-US" w:eastAsia="ja-JP"/>
        </w:rPr>
        <w:t xml:space="preserve">Specialists or consultant physicians performing this procedure must have endoscopic training </w:t>
      </w:r>
      <w:r w:rsidR="008F423D" w:rsidRPr="00A41F07">
        <w:rPr>
          <w:rFonts w:eastAsia="SimSun" w:cstheme="minorHAnsi"/>
          <w:lang w:val="en-US" w:eastAsia="ja-JP"/>
        </w:rPr>
        <w:t>recognized</w:t>
      </w:r>
      <w:r w:rsidRPr="00A41F07">
        <w:rPr>
          <w:rFonts w:eastAsia="SimSun" w:cstheme="minorHAnsi"/>
          <w:lang w:val="en-US" w:eastAsia="ja-JP"/>
        </w:rPr>
        <w:t xml:space="preserve"> by The Conjoint Committee for the Recognition of Training in Gastrointestinal Endoscopy, and Medicare Australia notified of that recognition. Referral group consists of GPs, surgeons</w:t>
      </w:r>
      <w:r w:rsidR="00D27068" w:rsidRPr="00A41F07">
        <w:rPr>
          <w:rFonts w:eastAsia="SimSun" w:cstheme="minorHAnsi"/>
          <w:lang w:val="en-US" w:eastAsia="ja-JP"/>
        </w:rPr>
        <w:t xml:space="preserve"> or Gastroenterologists who do</w:t>
      </w:r>
      <w:r w:rsidRPr="00A41F07">
        <w:rPr>
          <w:rFonts w:eastAsia="SimSun" w:cstheme="minorHAnsi"/>
          <w:lang w:val="en-US" w:eastAsia="ja-JP"/>
        </w:rPr>
        <w:t xml:space="preserve"> not have the qualification</w:t>
      </w:r>
      <w:r w:rsidR="00D27068" w:rsidRPr="00A41F07">
        <w:rPr>
          <w:rFonts w:eastAsia="SimSun" w:cstheme="minorHAnsi"/>
          <w:lang w:val="en-US" w:eastAsia="ja-JP"/>
        </w:rPr>
        <w:t>s required to</w:t>
      </w:r>
      <w:r w:rsidRPr="00A41F07">
        <w:rPr>
          <w:rFonts w:eastAsia="SimSun" w:cstheme="minorHAnsi"/>
          <w:lang w:val="en-US" w:eastAsia="ja-JP"/>
        </w:rPr>
        <w:t xml:space="preserve"> perform a Capsule </w:t>
      </w:r>
      <w:r w:rsidR="008F423D" w:rsidRPr="00A41F07">
        <w:rPr>
          <w:rFonts w:eastAsia="SimSun" w:cstheme="minorHAnsi"/>
          <w:lang w:val="en-US" w:eastAsia="ja-JP"/>
        </w:rPr>
        <w:t>Endoscopy.</w:t>
      </w:r>
    </w:p>
    <w:p w14:paraId="582718EC" w14:textId="77777777" w:rsidR="00EA0E25" w:rsidRPr="00A41F07" w:rsidRDefault="00EA0E25" w:rsidP="00530204">
      <w:pPr>
        <w:pStyle w:val="Heading2"/>
      </w:pPr>
      <w:r w:rsidRPr="00A41F07">
        <w:t xml:space="preserve">If applicable, </w:t>
      </w:r>
      <w:proofErr w:type="gramStart"/>
      <w:r w:rsidRPr="00A41F07">
        <w:t>advise</w:t>
      </w:r>
      <w:proofErr w:type="gramEnd"/>
      <w:r w:rsidRPr="00A41F07">
        <w:t xml:space="preserve"> what type of training </w:t>
      </w:r>
      <w:r w:rsidR="009C03FB" w:rsidRPr="00A41F07">
        <w:t xml:space="preserve">or qualifications </w:t>
      </w:r>
      <w:r w:rsidRPr="00A41F07">
        <w:t xml:space="preserve">would be required to perform the </w:t>
      </w:r>
      <w:r w:rsidR="007522E3" w:rsidRPr="00A41F07">
        <w:t xml:space="preserve">proposed </w:t>
      </w:r>
      <w:r w:rsidRPr="00A41F07">
        <w:t>service</w:t>
      </w:r>
      <w:r w:rsidR="00257FF2" w:rsidRPr="00A41F07">
        <w:t xml:space="preserve"> as well as any accreditation requirements to suppor</w:t>
      </w:r>
      <w:r w:rsidR="009C03FB" w:rsidRPr="00A41F07">
        <w:t xml:space="preserve">t </w:t>
      </w:r>
      <w:r w:rsidR="00257FF2" w:rsidRPr="00A41F07">
        <w:t>service</w:t>
      </w:r>
      <w:r w:rsidR="009C03FB" w:rsidRPr="00A41F07">
        <w:t xml:space="preserve"> delivery</w:t>
      </w:r>
      <w:r w:rsidR="00AE1188" w:rsidRPr="00A41F07">
        <w:t>:</w:t>
      </w:r>
    </w:p>
    <w:p w14:paraId="582718ED" w14:textId="77777777" w:rsidR="00915A5C" w:rsidRPr="00A41F07" w:rsidRDefault="00915A5C" w:rsidP="0073597B">
      <w:pPr>
        <w:ind w:left="426"/>
        <w:rPr>
          <w:szCs w:val="20"/>
        </w:rPr>
      </w:pPr>
      <w:r w:rsidRPr="00A41F07">
        <w:rPr>
          <w:rFonts w:eastAsia="SimSun" w:cstheme="minorHAnsi"/>
          <w:lang w:val="en-US" w:eastAsia="ja-JP"/>
        </w:rPr>
        <w:t>Specialists or consultant physicians performing this procedure must have endoscopic training recognised by The Conjoint Committee for the Recognition of Training in Gastrointestinal Endoscopy, and Medicare Australia notified of that recognition.</w:t>
      </w:r>
    </w:p>
    <w:p w14:paraId="582718EE" w14:textId="77777777" w:rsidR="005F3F07" w:rsidRPr="00A41F07" w:rsidRDefault="005C3AE7" w:rsidP="00530204">
      <w:pPr>
        <w:pStyle w:val="Heading2"/>
      </w:pPr>
      <w:r w:rsidRPr="00A41F07">
        <w:t>(</w:t>
      </w:r>
      <w:proofErr w:type="gramStart"/>
      <w:r w:rsidRPr="00A41F07">
        <w:t>a</w:t>
      </w:r>
      <w:proofErr w:type="gramEnd"/>
      <w:r w:rsidRPr="00A41F07">
        <w:t xml:space="preserve">) </w:t>
      </w:r>
      <w:r w:rsidR="005F3F07" w:rsidRPr="00A41F07">
        <w:t>Indicate the proposed setting</w:t>
      </w:r>
      <w:r w:rsidR="00D30BDC" w:rsidRPr="00A41F07">
        <w:t>(</w:t>
      </w:r>
      <w:r w:rsidR="005F3F07" w:rsidRPr="00A41F07">
        <w:t>s</w:t>
      </w:r>
      <w:r w:rsidR="00D30BDC" w:rsidRPr="00A41F07">
        <w:t>)</w:t>
      </w:r>
      <w:r w:rsidR="005F3F07" w:rsidRPr="00A41F07">
        <w:t xml:space="preserve"> in which the proposed medical service will be delivered</w:t>
      </w:r>
      <w:r w:rsidR="00D30BDC" w:rsidRPr="00A41F07">
        <w:t xml:space="preserve"> (select all relevant settings)</w:t>
      </w:r>
      <w:r w:rsidR="00AE1188" w:rsidRPr="00A41F07">
        <w:t>:</w:t>
      </w:r>
    </w:p>
    <w:p w14:paraId="582718EF" w14:textId="77777777" w:rsidR="000A478F" w:rsidRPr="00A41F07" w:rsidRDefault="00F160A2" w:rsidP="000A478F">
      <w:pPr>
        <w:spacing w:before="0" w:after="0"/>
        <w:ind w:left="426"/>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w:t>
      </w:r>
      <w:r w:rsidR="000A478F" w:rsidRPr="00A41F07">
        <w:t>Inpatient private hospital</w:t>
      </w:r>
    </w:p>
    <w:p w14:paraId="582718F0" w14:textId="77777777" w:rsidR="000A478F" w:rsidRPr="00A41F07" w:rsidRDefault="00F160A2" w:rsidP="000A478F">
      <w:pPr>
        <w:spacing w:before="0" w:after="0"/>
        <w:ind w:left="426"/>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w:t>
      </w:r>
      <w:r w:rsidR="000A478F" w:rsidRPr="00A41F07">
        <w:t>Inpatient public hospital</w:t>
      </w:r>
    </w:p>
    <w:p w14:paraId="582718F1" w14:textId="77777777" w:rsidR="000A478F" w:rsidRPr="00A41F07" w:rsidRDefault="00161E01" w:rsidP="000A478F">
      <w:pPr>
        <w:spacing w:before="0" w:after="0"/>
        <w:ind w:left="426"/>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w:t>
      </w:r>
      <w:r w:rsidR="000A478F" w:rsidRPr="00A41F07">
        <w:t>Outpatient clinic</w:t>
      </w:r>
    </w:p>
    <w:p w14:paraId="582718F2" w14:textId="77777777" w:rsidR="000A478F" w:rsidRPr="00A41F07" w:rsidRDefault="000A478F" w:rsidP="000A478F">
      <w:pPr>
        <w:spacing w:before="0" w:after="0"/>
        <w:ind w:left="426"/>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Pr="00A41F07">
        <w:t>Emergency Department</w:t>
      </w:r>
    </w:p>
    <w:p w14:paraId="582718F3" w14:textId="77777777" w:rsidR="000A478F" w:rsidRPr="00A41F07" w:rsidRDefault="00065751" w:rsidP="000A478F">
      <w:pPr>
        <w:spacing w:before="0" w:after="0"/>
        <w:ind w:left="426"/>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w:t>
      </w:r>
      <w:r w:rsidR="000A478F" w:rsidRPr="00A41F07">
        <w:t>Consulting rooms</w:t>
      </w:r>
    </w:p>
    <w:p w14:paraId="582718F4" w14:textId="77777777" w:rsidR="000A478F" w:rsidRPr="00A41F07" w:rsidRDefault="00F160A2" w:rsidP="000A478F">
      <w:pPr>
        <w:spacing w:before="0" w:after="0"/>
        <w:ind w:left="426"/>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w:t>
      </w:r>
      <w:r w:rsidR="000A478F" w:rsidRPr="00A41F07">
        <w:t>Day surgery centre</w:t>
      </w:r>
    </w:p>
    <w:p w14:paraId="582718F5" w14:textId="77777777" w:rsidR="000A478F" w:rsidRPr="00A41F07" w:rsidRDefault="000A478F" w:rsidP="000A478F">
      <w:pPr>
        <w:spacing w:before="0" w:after="0"/>
        <w:ind w:left="426"/>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Pr="00A41F07">
        <w:t>Residential aged care facility</w:t>
      </w:r>
    </w:p>
    <w:p w14:paraId="582718F6" w14:textId="77777777" w:rsidR="000A478F" w:rsidRPr="00A41F07" w:rsidRDefault="000A478F" w:rsidP="000A478F">
      <w:pPr>
        <w:spacing w:before="0" w:after="0"/>
        <w:ind w:left="426"/>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Pr="00A41F07">
        <w:t>Patient’s home</w:t>
      </w:r>
    </w:p>
    <w:p w14:paraId="582718F7" w14:textId="77777777" w:rsidR="000A478F" w:rsidRPr="00A41F07" w:rsidRDefault="000A478F" w:rsidP="000A478F">
      <w:pPr>
        <w:spacing w:before="0" w:after="0"/>
        <w:ind w:left="426"/>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Pr="00A41F07">
        <w:t>Laboratory</w:t>
      </w:r>
    </w:p>
    <w:p w14:paraId="582718F8" w14:textId="77777777" w:rsidR="000A478F" w:rsidRPr="00A41F07" w:rsidRDefault="000A478F" w:rsidP="000A478F">
      <w:pPr>
        <w:spacing w:before="0" w:after="0"/>
        <w:ind w:left="426"/>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w:t>
      </w:r>
      <w:r w:rsidRPr="00A41F07">
        <w:t>Other – please specify below</w:t>
      </w:r>
    </w:p>
    <w:p w14:paraId="582718F9" w14:textId="77777777" w:rsidR="005F3F07" w:rsidRPr="00A41F07" w:rsidRDefault="00065751" w:rsidP="0073597B">
      <w:pPr>
        <w:ind w:left="426"/>
        <w:rPr>
          <w:b/>
          <w:szCs w:val="20"/>
        </w:rPr>
      </w:pPr>
      <w:r w:rsidRPr="00A41F07">
        <w:fldChar w:fldCharType="begin">
          <w:ffData>
            <w:name w:val=""/>
            <w:enabled/>
            <w:calcOnExit w:val="0"/>
            <w:textInput>
              <w:default w:val="N/A"/>
            </w:textInput>
          </w:ffData>
        </w:fldChar>
      </w:r>
      <w:r w:rsidRPr="00A41F07">
        <w:instrText xml:space="preserve"> FORMTEXT </w:instrText>
      </w:r>
      <w:r w:rsidRPr="00A41F07">
        <w:fldChar w:fldCharType="separate"/>
      </w:r>
      <w:r w:rsidRPr="00A41F07">
        <w:rPr>
          <w:noProof/>
        </w:rPr>
        <w:t>N/A</w:t>
      </w:r>
      <w:r w:rsidRPr="00A41F07">
        <w:fldChar w:fldCharType="end"/>
      </w:r>
    </w:p>
    <w:p w14:paraId="582718FA" w14:textId="77777777" w:rsidR="003433D1" w:rsidRPr="00A41F07" w:rsidRDefault="00E048ED" w:rsidP="005C3AE7">
      <w:pPr>
        <w:pStyle w:val="ListParagraph"/>
        <w:numPr>
          <w:ilvl w:val="0"/>
          <w:numId w:val="29"/>
        </w:numPr>
        <w:rPr>
          <w:b/>
          <w:szCs w:val="20"/>
        </w:rPr>
      </w:pPr>
      <w:r w:rsidRPr="00A41F07">
        <w:rPr>
          <w:b/>
          <w:szCs w:val="20"/>
        </w:rPr>
        <w:t>Where the proposed medical service is provided in more than one setting, please describ</w:t>
      </w:r>
      <w:r w:rsidR="00AE1188" w:rsidRPr="00A41F07">
        <w:rPr>
          <w:b/>
          <w:szCs w:val="20"/>
        </w:rPr>
        <w:t>e the rationale related to each:</w:t>
      </w:r>
    </w:p>
    <w:p w14:paraId="582718FB" w14:textId="77777777" w:rsidR="00BA41FB" w:rsidRPr="00A41F07" w:rsidRDefault="00BA41FB" w:rsidP="00F160A2">
      <w:pPr>
        <w:spacing w:before="100" w:beforeAutospacing="1" w:after="100" w:afterAutospacing="1"/>
        <w:ind w:firstLine="360"/>
        <w:jc w:val="both"/>
        <w:rPr>
          <w:rFonts w:cstheme="minorHAnsi"/>
          <w:szCs w:val="20"/>
        </w:rPr>
      </w:pPr>
      <w:r w:rsidRPr="00A41F07">
        <w:rPr>
          <w:rFonts w:cstheme="minorHAnsi"/>
          <w:b/>
          <w:szCs w:val="20"/>
        </w:rPr>
        <w:lastRenderedPageBreak/>
        <w:t xml:space="preserve">Consulting rooms – </w:t>
      </w:r>
      <w:r w:rsidR="0087762C" w:rsidRPr="00A41F07">
        <w:rPr>
          <w:rFonts w:cstheme="minorHAnsi"/>
          <w:szCs w:val="20"/>
        </w:rPr>
        <w:t>This setting is required for</w:t>
      </w:r>
      <w:r w:rsidR="0087762C" w:rsidRPr="00A41F07">
        <w:rPr>
          <w:rFonts w:cstheme="minorHAnsi"/>
          <w:b/>
          <w:szCs w:val="20"/>
        </w:rPr>
        <w:t xml:space="preserve"> </w:t>
      </w:r>
      <w:r w:rsidR="0087762C" w:rsidRPr="00A41F07">
        <w:rPr>
          <w:rFonts w:cstheme="minorHAnsi"/>
          <w:szCs w:val="20"/>
        </w:rPr>
        <w:t>patients which</w:t>
      </w:r>
      <w:r w:rsidRPr="00A41F07">
        <w:rPr>
          <w:rFonts w:cstheme="minorHAnsi"/>
          <w:szCs w:val="20"/>
        </w:rPr>
        <w:t xml:space="preserve"> </w:t>
      </w:r>
      <w:r w:rsidR="0087762C" w:rsidRPr="00A41F07">
        <w:rPr>
          <w:rFonts w:cstheme="minorHAnsi"/>
          <w:szCs w:val="20"/>
        </w:rPr>
        <w:t>co</w:t>
      </w:r>
      <w:r w:rsidR="00F160A2" w:rsidRPr="00A41F07">
        <w:rPr>
          <w:rFonts w:cstheme="minorHAnsi"/>
          <w:szCs w:val="20"/>
        </w:rPr>
        <w:t xml:space="preserve">nsults directly for procedure. </w:t>
      </w:r>
    </w:p>
    <w:p w14:paraId="582718FC" w14:textId="77777777" w:rsidR="003E30FB" w:rsidRPr="00A41F07" w:rsidRDefault="003E30FB" w:rsidP="00530204">
      <w:pPr>
        <w:pStyle w:val="Heading2"/>
      </w:pPr>
      <w:r w:rsidRPr="00A41F07">
        <w:t>Is the proposed medical service intended to be entirely rendered in Australia?</w:t>
      </w:r>
    </w:p>
    <w:p w14:paraId="582718FD" w14:textId="77777777" w:rsidR="000A478F" w:rsidRPr="00A41F07" w:rsidRDefault="000F2F62" w:rsidP="000A478F">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0A478F" w:rsidRPr="00A41F07">
        <w:rPr>
          <w:szCs w:val="20"/>
        </w:rPr>
        <w:t xml:space="preserve"> Yes</w:t>
      </w:r>
    </w:p>
    <w:p w14:paraId="582718FE" w14:textId="77777777" w:rsidR="00F160A2" w:rsidRPr="00A41F07" w:rsidRDefault="000A478F" w:rsidP="00F160A2">
      <w:pPr>
        <w:spacing w:before="0" w:after="0"/>
        <w:ind w:left="426"/>
        <w:rPr>
          <w:szCs w:val="20"/>
        </w:rPr>
      </w:pPr>
      <w:r w:rsidRPr="00A41F07">
        <w:rPr>
          <w:szCs w:val="20"/>
        </w:rPr>
        <w:fldChar w:fldCharType="begin">
          <w:ffData>
            <w:name w:val="Check2"/>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r w:rsidR="00C4696B" w:rsidRPr="00A41F07">
        <w:rPr>
          <w:szCs w:val="20"/>
        </w:rPr>
        <w:t xml:space="preserve"> – please specify below</w:t>
      </w:r>
    </w:p>
    <w:p w14:paraId="582718FF" w14:textId="77777777" w:rsidR="000A478F" w:rsidRPr="00A41F07" w:rsidRDefault="000F2F62" w:rsidP="00F160A2">
      <w:pPr>
        <w:spacing w:before="0" w:after="0"/>
        <w:ind w:left="426"/>
        <w:rPr>
          <w:szCs w:val="20"/>
        </w:rPr>
      </w:pPr>
      <w:r w:rsidRPr="00A41F07">
        <w:fldChar w:fldCharType="begin">
          <w:ffData>
            <w:name w:val="Text1"/>
            <w:enabled/>
            <w:calcOnExit w:val="0"/>
            <w:textInput>
              <w:default w:val="N/A"/>
            </w:textInput>
          </w:ffData>
        </w:fldChar>
      </w:r>
      <w:bookmarkStart w:id="4" w:name="Text1"/>
      <w:r w:rsidRPr="00A41F07">
        <w:instrText xml:space="preserve"> FORMTEXT </w:instrText>
      </w:r>
      <w:r w:rsidRPr="00A41F07">
        <w:fldChar w:fldCharType="separate"/>
      </w:r>
      <w:r w:rsidRPr="00A41F07">
        <w:rPr>
          <w:noProof/>
        </w:rPr>
        <w:t>N/A</w:t>
      </w:r>
      <w:r w:rsidRPr="00A41F07">
        <w:fldChar w:fldCharType="end"/>
      </w:r>
      <w:bookmarkEnd w:id="4"/>
    </w:p>
    <w:p w14:paraId="58271900" w14:textId="77777777" w:rsidR="00E60529" w:rsidRPr="00A41F07" w:rsidRDefault="005C3AE7" w:rsidP="005C3AE7">
      <w:pPr>
        <w:pStyle w:val="Subtitle"/>
      </w:pPr>
      <w:r w:rsidRPr="00A41F07">
        <w:t xml:space="preserve">PART 6c – </w:t>
      </w:r>
      <w:r w:rsidR="00E60529" w:rsidRPr="00A41F07">
        <w:t>INFORMATION ABOUT THE COMPARATOR</w:t>
      </w:r>
      <w:r w:rsidR="00A83EC6" w:rsidRPr="00A41F07">
        <w:t>(S)</w:t>
      </w:r>
    </w:p>
    <w:p w14:paraId="58271901" w14:textId="77777777" w:rsidR="00E60529" w:rsidRPr="00A41F07" w:rsidRDefault="00A83EC6" w:rsidP="00530204">
      <w:pPr>
        <w:pStyle w:val="Heading2"/>
      </w:pPr>
      <w:r w:rsidRPr="00A41F07">
        <w:t>Nominate the appropriate comparator(s) for the proposed medical service</w:t>
      </w:r>
      <w:r w:rsidR="00757232" w:rsidRPr="00A41F07">
        <w:t>, i</w:t>
      </w:r>
      <w:r w:rsidR="00D30BDC" w:rsidRPr="00A41F07">
        <w:t>.</w:t>
      </w:r>
      <w:r w:rsidR="000159B9" w:rsidRPr="00A41F07">
        <w:t xml:space="preserve">e. how is the proposed population currently managed in </w:t>
      </w:r>
      <w:r w:rsidR="00707D4D" w:rsidRPr="00A41F07">
        <w:t>the</w:t>
      </w:r>
      <w:r w:rsidR="000159B9" w:rsidRPr="00A41F07">
        <w:t xml:space="preserve"> absence of the proposed medical service </w:t>
      </w:r>
      <w:r w:rsidR="00257FF2" w:rsidRPr="00A41F07">
        <w:t>being available in the Australian health care system (</w:t>
      </w:r>
      <w:r w:rsidR="00757232" w:rsidRPr="00A41F07">
        <w:t xml:space="preserve">including </w:t>
      </w:r>
      <w:r w:rsidR="00257FF2" w:rsidRPr="00A41F07">
        <w:t>identify</w:t>
      </w:r>
      <w:r w:rsidR="00757232" w:rsidRPr="00A41F07">
        <w:t>ing</w:t>
      </w:r>
      <w:r w:rsidR="00E4321E" w:rsidRPr="00A41F07">
        <w:t xml:space="preserve"> health care resources that </w:t>
      </w:r>
      <w:r w:rsidR="00257FF2" w:rsidRPr="00A41F07">
        <w:t xml:space="preserve">are </w:t>
      </w:r>
      <w:r w:rsidR="00E4321E" w:rsidRPr="00A41F07">
        <w:t>need</w:t>
      </w:r>
      <w:r w:rsidR="00757232" w:rsidRPr="00A41F07">
        <w:t>ed</w:t>
      </w:r>
      <w:r w:rsidR="00E4321E" w:rsidRPr="00A41F07">
        <w:t xml:space="preserve"> to be delivered at </w:t>
      </w:r>
      <w:r w:rsidR="00257FF2" w:rsidRPr="00A41F07">
        <w:t xml:space="preserve">the </w:t>
      </w:r>
      <w:r w:rsidR="00E4321E" w:rsidRPr="00A41F07">
        <w:t xml:space="preserve">same time </w:t>
      </w:r>
      <w:r w:rsidR="00257FF2" w:rsidRPr="00A41F07">
        <w:t>as the</w:t>
      </w:r>
      <w:r w:rsidR="00E4321E" w:rsidRPr="00A41F07">
        <w:t xml:space="preserve"> </w:t>
      </w:r>
      <w:r w:rsidR="00257FF2" w:rsidRPr="00A41F07">
        <w:t xml:space="preserve">comparator </w:t>
      </w:r>
      <w:r w:rsidR="00E4321E" w:rsidRPr="00A41F07">
        <w:t>service</w:t>
      </w:r>
      <w:r w:rsidR="00257FF2" w:rsidRPr="00A41F07">
        <w:t>)</w:t>
      </w:r>
      <w:r w:rsidR="00AE1188" w:rsidRPr="00A41F07">
        <w:t>:</w:t>
      </w:r>
    </w:p>
    <w:p w14:paraId="58271902" w14:textId="77777777" w:rsidR="00C93A9D" w:rsidRPr="00A41F07" w:rsidRDefault="00C93A9D" w:rsidP="00C93A9D">
      <w:pPr>
        <w:jc w:val="both"/>
        <w:rPr>
          <w:rFonts w:cstheme="minorHAnsi"/>
          <w:szCs w:val="20"/>
          <w:u w:val="single"/>
        </w:rPr>
      </w:pPr>
      <w:r w:rsidRPr="00A41F07">
        <w:rPr>
          <w:rFonts w:cstheme="minorHAnsi"/>
          <w:szCs w:val="20"/>
        </w:rPr>
        <w:t>The course of Crohn’s disease is heterogeneous which requires case by case approach. Hence, availability of different diagnostic tools is critical to assess small bowel mucosal inflammation. Despite this heterogeneous nature of patient population, from a general clinical perspective the comparators can be stated as follows:</w:t>
      </w:r>
    </w:p>
    <w:p w14:paraId="58271903" w14:textId="77777777" w:rsidR="00C93A9D" w:rsidRPr="00A41F07" w:rsidRDefault="00C93A9D" w:rsidP="00C93A9D">
      <w:pPr>
        <w:jc w:val="both"/>
        <w:rPr>
          <w:rFonts w:cstheme="minorHAnsi"/>
          <w:b/>
          <w:szCs w:val="20"/>
        </w:rPr>
      </w:pPr>
      <w:r w:rsidRPr="00A41F07">
        <w:rPr>
          <w:rFonts w:cstheme="minorHAnsi"/>
          <w:b/>
          <w:szCs w:val="20"/>
        </w:rPr>
        <w:t xml:space="preserve">Diagnosis of Suspected </w:t>
      </w:r>
      <w:r w:rsidR="007525EB" w:rsidRPr="00A41F07">
        <w:rPr>
          <w:rFonts w:cstheme="minorHAnsi"/>
          <w:b/>
          <w:szCs w:val="20"/>
        </w:rPr>
        <w:t xml:space="preserve">Small Bowel </w:t>
      </w:r>
      <w:r w:rsidRPr="00A41F07">
        <w:rPr>
          <w:rFonts w:cstheme="minorHAnsi"/>
          <w:b/>
          <w:szCs w:val="20"/>
        </w:rPr>
        <w:t>Crohn’s</w:t>
      </w:r>
      <w:r w:rsidR="009E199D" w:rsidRPr="00A41F07">
        <w:rPr>
          <w:rFonts w:cstheme="minorHAnsi"/>
          <w:b/>
          <w:szCs w:val="20"/>
        </w:rPr>
        <w:t xml:space="preserve"> Disease</w:t>
      </w:r>
      <w:r w:rsidRPr="00A41F07">
        <w:rPr>
          <w:rFonts w:cstheme="minorHAnsi"/>
          <w:b/>
          <w:szCs w:val="20"/>
        </w:rPr>
        <w:t>:</w:t>
      </w:r>
    </w:p>
    <w:p w14:paraId="58271904" w14:textId="77777777" w:rsidR="007A77B6" w:rsidRPr="00A41F07" w:rsidRDefault="00C93A9D" w:rsidP="00C93A9D">
      <w:pPr>
        <w:jc w:val="both"/>
        <w:rPr>
          <w:rFonts w:cstheme="minorHAnsi"/>
          <w:szCs w:val="20"/>
        </w:rPr>
      </w:pPr>
      <w:r w:rsidRPr="00A41F07">
        <w:rPr>
          <w:rFonts w:cstheme="minorHAnsi"/>
          <w:szCs w:val="20"/>
        </w:rPr>
        <w:t xml:space="preserve">In the absence of Capsule Endoscopy after failure to make a definite diagnosis of </w:t>
      </w:r>
      <w:r w:rsidRPr="00A41F07">
        <w:rPr>
          <w:rFonts w:cstheme="minorHAnsi"/>
          <w:szCs w:val="20"/>
          <w:lang w:val="en-US"/>
        </w:rPr>
        <w:t>Crohn disease</w:t>
      </w:r>
      <w:r w:rsidRPr="00A41F07">
        <w:rPr>
          <w:rFonts w:cstheme="minorHAnsi"/>
          <w:szCs w:val="20"/>
        </w:rPr>
        <w:t xml:space="preserve"> after endoscopy and radiographic imaging, the comparator is </w:t>
      </w:r>
      <w:r w:rsidR="007A77B6" w:rsidRPr="00A41F07">
        <w:t xml:space="preserve">“usual care” </w:t>
      </w:r>
      <w:r w:rsidR="00C464C0" w:rsidRPr="00A41F07">
        <w:t xml:space="preserve">mainly </w:t>
      </w:r>
      <w:r w:rsidR="007A77B6" w:rsidRPr="00A41F07">
        <w:t>consisting of repeat endoscopic and radiological investigations until such time as CD is definitively diagnosed. It should be noted these tests are often futile unless the disease has had sufficient time to progress substantially. In patients whose underlying diagnosis is actually IBD, testing can continue until disease symptoms subside. Discussions with clinicians suggest empiric treatment is NOT used in patients do not have a definitive diagnosis of CD, as these are chr</w:t>
      </w:r>
      <w:r w:rsidR="00D27068" w:rsidRPr="00A41F07">
        <w:t>onic therapies with a serious adverse event</w:t>
      </w:r>
      <w:r w:rsidR="007A77B6" w:rsidRPr="00A41F07">
        <w:t xml:space="preserve"> profile. This is in contrast to previous submissions for the diagnostic indication (Application 1146 and 1146.1), where empiric therapy was nominated as the main comparator. Another potential comparator is bidirectional double balloon enteroscopy. This technology is most analogous to CE in terms of the type of imaging provided (i.e. can visualise small bowel mucosa); however as it is </w:t>
      </w:r>
      <w:r w:rsidR="00D27068" w:rsidRPr="00A41F07">
        <w:t>an invasive procedure that involves its own risk profile including anaesthetic exposure. It is infrequently performed in Australia. Furthermore, the current MBS item does not include its use in Crohn’s disease.</w:t>
      </w:r>
    </w:p>
    <w:p w14:paraId="58271905" w14:textId="77777777" w:rsidR="00C93A9D" w:rsidRPr="00A41F07" w:rsidRDefault="00C93A9D" w:rsidP="00C93A9D">
      <w:pPr>
        <w:jc w:val="both"/>
        <w:rPr>
          <w:rFonts w:cstheme="minorHAnsi"/>
          <w:b/>
          <w:szCs w:val="20"/>
        </w:rPr>
      </w:pPr>
      <w:r w:rsidRPr="00A41F07">
        <w:rPr>
          <w:rFonts w:cstheme="minorHAnsi"/>
          <w:b/>
          <w:szCs w:val="20"/>
        </w:rPr>
        <w:t xml:space="preserve">Assessment </w:t>
      </w:r>
      <w:r w:rsidR="00C8122E" w:rsidRPr="00A41F07">
        <w:rPr>
          <w:rFonts w:cstheme="minorHAnsi"/>
          <w:b/>
          <w:szCs w:val="20"/>
        </w:rPr>
        <w:t>of Patients</w:t>
      </w:r>
      <w:r w:rsidRPr="00A41F07">
        <w:rPr>
          <w:rFonts w:cstheme="minorHAnsi"/>
          <w:b/>
          <w:szCs w:val="20"/>
        </w:rPr>
        <w:t xml:space="preserve"> with Known </w:t>
      </w:r>
      <w:r w:rsidR="007525EB" w:rsidRPr="00A41F07">
        <w:rPr>
          <w:rFonts w:cstheme="minorHAnsi"/>
          <w:b/>
          <w:szCs w:val="20"/>
        </w:rPr>
        <w:t xml:space="preserve">Small Bowel </w:t>
      </w:r>
      <w:r w:rsidRPr="00A41F07">
        <w:rPr>
          <w:rFonts w:cstheme="minorHAnsi"/>
          <w:b/>
          <w:szCs w:val="20"/>
        </w:rPr>
        <w:t>Crohn’s</w:t>
      </w:r>
      <w:r w:rsidR="009E199D" w:rsidRPr="00A41F07">
        <w:rPr>
          <w:rFonts w:cstheme="minorHAnsi"/>
          <w:b/>
          <w:szCs w:val="20"/>
        </w:rPr>
        <w:t xml:space="preserve"> Disease</w:t>
      </w:r>
      <w:r w:rsidRPr="00A41F07">
        <w:rPr>
          <w:rFonts w:cstheme="minorHAnsi"/>
          <w:b/>
          <w:szCs w:val="20"/>
        </w:rPr>
        <w:t>:</w:t>
      </w:r>
    </w:p>
    <w:p w14:paraId="58271906" w14:textId="77777777" w:rsidR="00F54EEB" w:rsidRPr="00A41F07" w:rsidRDefault="00D27068" w:rsidP="00D27068">
      <w:pPr>
        <w:jc w:val="both"/>
      </w:pPr>
      <w:r w:rsidRPr="00A41F07">
        <w:t>In patients who require assessment of mucosal response to therapy to guide decision making and patients who require evaluation of exacerbation/suspected complications in non stricturing isolated small bowel Crohn’s disease, the comparators are variable on a case by case basis. They include ‘watchful waiting’ with monitoring of blood tests and inflammatory biomarkers as well as imaging usually in the setting of acute exacerbation.</w:t>
      </w:r>
    </w:p>
    <w:p w14:paraId="58271907" w14:textId="77777777" w:rsidR="00D27068" w:rsidRPr="00A41F07" w:rsidRDefault="00D27068" w:rsidP="00F54EEB">
      <w:pPr>
        <w:jc w:val="both"/>
        <w:rPr>
          <w:rFonts w:cstheme="minorHAnsi"/>
          <w:szCs w:val="20"/>
        </w:rPr>
      </w:pPr>
    </w:p>
    <w:p w14:paraId="58271908" w14:textId="77777777" w:rsidR="00757232" w:rsidRPr="00A41F07" w:rsidRDefault="00AF5D1E" w:rsidP="00530204">
      <w:pPr>
        <w:pStyle w:val="Heading2"/>
      </w:pPr>
      <w:r w:rsidRPr="00A41F07">
        <w:t>Does the medical service that has been nominated as the comparator</w:t>
      </w:r>
      <w:r w:rsidR="000159B9" w:rsidRPr="00A41F07">
        <w:t xml:space="preserve"> </w:t>
      </w:r>
      <w:r w:rsidRPr="00A41F07">
        <w:t>have an existing MBS item number</w:t>
      </w:r>
      <w:r w:rsidR="00D30BDC" w:rsidRPr="00A41F07">
        <w:t>(s)</w:t>
      </w:r>
      <w:r w:rsidR="00757232" w:rsidRPr="00A41F07">
        <w:t>?</w:t>
      </w:r>
    </w:p>
    <w:p w14:paraId="58271909" w14:textId="77777777" w:rsidR="006A1038" w:rsidRPr="00A41F07" w:rsidRDefault="006A1038" w:rsidP="006A1038">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Yes (please provide all relevant MBS item numbers below)</w:t>
      </w:r>
    </w:p>
    <w:p w14:paraId="5827190A" w14:textId="77777777" w:rsidR="000159B9" w:rsidRPr="00A41F07" w:rsidRDefault="00C72479" w:rsidP="006A1038">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A1038" w:rsidRPr="00A41F07">
        <w:rPr>
          <w:szCs w:val="20"/>
        </w:rPr>
        <w:t xml:space="preserve"> No  </w:t>
      </w:r>
    </w:p>
    <w:p w14:paraId="5827190B" w14:textId="77777777" w:rsidR="00C72479" w:rsidRPr="00A41F07" w:rsidRDefault="00C72479" w:rsidP="006A1038">
      <w:pPr>
        <w:spacing w:before="0" w:after="0"/>
        <w:ind w:left="426"/>
        <w:rPr>
          <w:szCs w:val="20"/>
        </w:rPr>
      </w:pPr>
    </w:p>
    <w:p w14:paraId="5827190C" w14:textId="77777777" w:rsidR="004015D4" w:rsidRPr="00A41F07" w:rsidRDefault="00C72479" w:rsidP="000C639E">
      <w:pPr>
        <w:spacing w:before="0" w:after="0"/>
        <w:ind w:left="426"/>
        <w:jc w:val="both"/>
        <w:rPr>
          <w:szCs w:val="20"/>
        </w:rPr>
      </w:pPr>
      <w:r w:rsidRPr="00A41F07">
        <w:rPr>
          <w:szCs w:val="20"/>
        </w:rPr>
        <w:t>In general, Capsule Endoscopy will not replace ileocolonoscopy or radio imaging. However for special situations</w:t>
      </w:r>
      <w:r w:rsidR="004015D4" w:rsidRPr="00A41F07">
        <w:rPr>
          <w:szCs w:val="20"/>
        </w:rPr>
        <w:t xml:space="preserve"> stated in previous sections</w:t>
      </w:r>
      <w:r w:rsidRPr="00A41F07">
        <w:rPr>
          <w:szCs w:val="20"/>
        </w:rPr>
        <w:t xml:space="preserve">, it can </w:t>
      </w:r>
      <w:r w:rsidR="004015D4" w:rsidRPr="00A41F07">
        <w:rPr>
          <w:szCs w:val="20"/>
        </w:rPr>
        <w:t>replace radio</w:t>
      </w:r>
      <w:r w:rsidRPr="00A41F07">
        <w:rPr>
          <w:szCs w:val="20"/>
        </w:rPr>
        <w:t xml:space="preserve"> imaging modalities </w:t>
      </w:r>
      <w:r w:rsidR="000C639E" w:rsidRPr="00A41F07">
        <w:rPr>
          <w:szCs w:val="20"/>
        </w:rPr>
        <w:t>particularly Item</w:t>
      </w:r>
      <w:r w:rsidR="004015D4" w:rsidRPr="00A41F07">
        <w:rPr>
          <w:szCs w:val="20"/>
        </w:rPr>
        <w:t xml:space="preserve"> 63740: MRI Enterography to evaluate small bowel Crohn’s disease.</w:t>
      </w:r>
    </w:p>
    <w:p w14:paraId="5827190D" w14:textId="77777777" w:rsidR="00AF5D1E" w:rsidRPr="00A41F07" w:rsidRDefault="00AF5D1E" w:rsidP="00530204">
      <w:pPr>
        <w:pStyle w:val="Heading2"/>
      </w:pPr>
      <w:r w:rsidRPr="00A41F07">
        <w:t>Define and summarise the current cl</w:t>
      </w:r>
      <w:r w:rsidR="00F33F1A" w:rsidRPr="00A41F07">
        <w:t xml:space="preserve">inical management pathways that patients may follow </w:t>
      </w:r>
      <w:r w:rsidR="00F33F1A" w:rsidRPr="00A41F07">
        <w:rPr>
          <w:i/>
        </w:rPr>
        <w:t>after</w:t>
      </w:r>
      <w:r w:rsidR="00757232" w:rsidRPr="00A41F07">
        <w:t xml:space="preserve"> they receive</w:t>
      </w:r>
      <w:r w:rsidRPr="00A41F07">
        <w:t xml:space="preserve"> </w:t>
      </w:r>
      <w:r w:rsidR="00F33F1A" w:rsidRPr="00A41F07">
        <w:t xml:space="preserve">the medical service that has been nominated as the comparator </w:t>
      </w:r>
      <w:r w:rsidRPr="00A41F07">
        <w:t xml:space="preserve">(supplement this summary with </w:t>
      </w:r>
      <w:r w:rsidR="00F33F1A" w:rsidRPr="00A41F07">
        <w:t xml:space="preserve">an easy to follow flowchart </w:t>
      </w:r>
      <w:r w:rsidR="00757232" w:rsidRPr="00A41F07">
        <w:t xml:space="preserve">[as an attachment to the Application Form] </w:t>
      </w:r>
      <w:r w:rsidR="00F33F1A" w:rsidRPr="00A41F07">
        <w:t>dep</w:t>
      </w:r>
      <w:r w:rsidRPr="00A41F07">
        <w:t>icting the current c</w:t>
      </w:r>
      <w:r w:rsidR="0054594B" w:rsidRPr="00A41F07">
        <w:t>linical management pathway</w:t>
      </w:r>
      <w:r w:rsidR="00757232" w:rsidRPr="00A41F07">
        <w:t xml:space="preserve"> </w:t>
      </w:r>
      <w:r w:rsidR="0054594B" w:rsidRPr="00A41F07">
        <w:t>that patients may follow from the point of receiving the comparator onwards</w:t>
      </w:r>
      <w:r w:rsidR="00E4321E" w:rsidRPr="00A41F07">
        <w:t xml:space="preserve"> including health care resources</w:t>
      </w:r>
      <w:r w:rsidR="00AE1188" w:rsidRPr="00A41F07">
        <w:t>):</w:t>
      </w:r>
    </w:p>
    <w:p w14:paraId="5827190E" w14:textId="77777777" w:rsidR="00687AF5" w:rsidRPr="00A41F07" w:rsidRDefault="00687AF5" w:rsidP="00FF1593">
      <w:pPr>
        <w:spacing w:before="100" w:beforeAutospacing="1" w:after="100" w:afterAutospacing="1"/>
        <w:ind w:firstLine="360"/>
        <w:jc w:val="both"/>
        <w:rPr>
          <w:rFonts w:cstheme="minorHAnsi"/>
          <w:b/>
          <w:szCs w:val="20"/>
        </w:rPr>
      </w:pPr>
    </w:p>
    <w:p w14:paraId="5827190F" w14:textId="77777777" w:rsidR="001716D2" w:rsidRPr="00A41F07" w:rsidRDefault="001716D2" w:rsidP="00DD11C1">
      <w:pPr>
        <w:spacing w:before="100" w:beforeAutospacing="1" w:after="100" w:afterAutospacing="1"/>
        <w:ind w:left="360"/>
        <w:jc w:val="both"/>
        <w:rPr>
          <w:rFonts w:cstheme="minorHAnsi"/>
          <w:b/>
          <w:szCs w:val="20"/>
        </w:rPr>
      </w:pPr>
      <w:r w:rsidRPr="00A41F07">
        <w:rPr>
          <w:rFonts w:cstheme="minorHAnsi"/>
          <w:b/>
          <w:szCs w:val="20"/>
        </w:rPr>
        <w:lastRenderedPageBreak/>
        <w:t xml:space="preserve">Diagnosis of Patients with Suspected </w:t>
      </w:r>
      <w:r w:rsidR="00BC65D2" w:rsidRPr="00A41F07">
        <w:rPr>
          <w:rFonts w:cstheme="minorHAnsi"/>
          <w:b/>
          <w:szCs w:val="20"/>
        </w:rPr>
        <w:t xml:space="preserve">Small Bowel </w:t>
      </w:r>
      <w:r w:rsidRPr="00A41F07">
        <w:rPr>
          <w:rFonts w:cstheme="minorHAnsi"/>
          <w:b/>
          <w:szCs w:val="20"/>
        </w:rPr>
        <w:t>Crohn’s</w:t>
      </w:r>
      <w:r w:rsidR="009E199D" w:rsidRPr="00A41F07">
        <w:rPr>
          <w:rFonts w:cstheme="minorHAnsi"/>
          <w:b/>
          <w:szCs w:val="20"/>
        </w:rPr>
        <w:t xml:space="preserve"> </w:t>
      </w:r>
      <w:r w:rsidR="0051696B" w:rsidRPr="00A41F07">
        <w:rPr>
          <w:rFonts w:cstheme="minorHAnsi"/>
          <w:b/>
          <w:szCs w:val="20"/>
        </w:rPr>
        <w:t xml:space="preserve">Disease </w:t>
      </w:r>
      <w:r w:rsidR="00DD11C1">
        <w:rPr>
          <w:rFonts w:cstheme="minorHAnsi"/>
          <w:b/>
          <w:szCs w:val="20"/>
        </w:rPr>
        <w:t>(Please refer to Appendix for flowcharts</w:t>
      </w:r>
      <w:r w:rsidR="003376F7">
        <w:rPr>
          <w:rFonts w:cstheme="minorHAnsi"/>
          <w:b/>
          <w:szCs w:val="20"/>
        </w:rPr>
        <w:t xml:space="preserve"> Figure 1 and Figure 3</w:t>
      </w:r>
      <w:r w:rsidR="0051696B" w:rsidRPr="00A41F07">
        <w:rPr>
          <w:rFonts w:cstheme="minorHAnsi"/>
          <w:b/>
          <w:szCs w:val="20"/>
        </w:rPr>
        <w:t>)</w:t>
      </w:r>
    </w:p>
    <w:p w14:paraId="58271910" w14:textId="77777777" w:rsidR="003F4784" w:rsidRPr="00A41F07" w:rsidRDefault="003F4784" w:rsidP="003F4784">
      <w:pPr>
        <w:ind w:left="360"/>
        <w:jc w:val="both"/>
      </w:pPr>
      <w:r w:rsidRPr="00A41F07">
        <w:t>Currently, patients with suspected S</w:t>
      </w:r>
      <w:r w:rsidR="00E557F6" w:rsidRPr="00A41F07">
        <w:t xml:space="preserve">mall Bowel </w:t>
      </w:r>
      <w:r w:rsidRPr="00A41F07">
        <w:t>C</w:t>
      </w:r>
      <w:r w:rsidR="00E557F6" w:rsidRPr="00A41F07">
        <w:t xml:space="preserve">rohn’s </w:t>
      </w:r>
      <w:r w:rsidRPr="00A41F07">
        <w:t>D</w:t>
      </w:r>
      <w:r w:rsidR="00E557F6" w:rsidRPr="00A41F07">
        <w:t>isease</w:t>
      </w:r>
      <w:r w:rsidRPr="00A41F07">
        <w:t xml:space="preserve"> continue through cycles of endoscopic and radiologic imaging. A small proportion may eventually receive a confirmed diagnosis of CD if the disease progresses to the point that it can be visualised using these other modalities. Others, including those patients with an underlying diagnosis of IBD will continue to be tested and</w:t>
      </w:r>
      <w:r w:rsidR="00687AF5" w:rsidRPr="00A41F07">
        <w:t xml:space="preserve"> may</w:t>
      </w:r>
      <w:r w:rsidRPr="00A41F07">
        <w:t xml:space="preserve"> receive inappropriate treatment.  </w:t>
      </w:r>
    </w:p>
    <w:p w14:paraId="58271911" w14:textId="77777777" w:rsidR="009D119A" w:rsidRPr="00A41F07" w:rsidRDefault="00E557F6" w:rsidP="006A5FCB">
      <w:pPr>
        <w:ind w:left="360"/>
        <w:jc w:val="both"/>
      </w:pPr>
      <w:r w:rsidRPr="00A41F07">
        <w:t xml:space="preserve">Generally, after a positive diagnosis of Crohn’s with previous ileocolonoscopy or MRE, </w:t>
      </w:r>
      <w:r w:rsidR="00FA1CC7" w:rsidRPr="00A41F07">
        <w:t xml:space="preserve">a treatment plan is organized according to patient’s disease activity, behaviour and localization of disease, and associated complications. </w:t>
      </w:r>
      <w:r w:rsidR="00EF7B2C" w:rsidRPr="00A41F07">
        <w:t xml:space="preserve">Present therapeutic approaches is considered sequential to treat “acute disease” or “induce clinical remission,” and then </w:t>
      </w:r>
      <w:r w:rsidR="006A5FCB" w:rsidRPr="00A41F07">
        <w:t>to “maintain response/remission</w:t>
      </w:r>
      <w:r w:rsidR="00EF7B2C" w:rsidRPr="00A41F07">
        <w:t>”</w:t>
      </w:r>
      <w:r w:rsidR="006A5FCB" w:rsidRPr="00A41F07">
        <w:t>, minimise side effects of treatment and improve quality of life.</w:t>
      </w:r>
      <w:r w:rsidR="00EF7B2C" w:rsidRPr="00A41F07">
        <w:t xml:space="preserve"> </w:t>
      </w:r>
      <w:r w:rsidR="006A5FCB" w:rsidRPr="00A41F07">
        <w:t xml:space="preserve"> Non-surgical treatment includes dietary measures and drug therapy. Corticosteroids, antibiotics and anti TNF agents are used to induce remission, and immunosuppressive agents or maintenance anti TNF therapy to maintain remission. Surgical removal of the affected bowel is sometimes necessary but this is not curative as the disease can recur in other sites. Some people with Crohn's disease however have long periods of symptom-free remission. </w:t>
      </w:r>
      <w:r w:rsidR="00EF7B2C" w:rsidRPr="00A41F07">
        <w:t xml:space="preserve">The patients’ response to initial therapy should be evaluated within several weeks, whereas adverse events should be monitored closely throughout the period of therapy. Treatment for active disease should be continued to the point of symptomatic remission or failure to continue improvement. In general, clinical evidence of improvement should be evident within 2–4 weeks and the maximal improvement should occur with 12–16 weeks. Patients achieving remission should be considered for maintenance therapy. Those with continued symptoms should be treated with an alternative therapy for mild to moderate disease or advanced to treatment for moderate to severe disease according to their clinical status (Lichtenstein et al. 2009). </w:t>
      </w:r>
    </w:p>
    <w:p w14:paraId="58271912" w14:textId="77777777" w:rsidR="003F4784" w:rsidRPr="00A41F07" w:rsidRDefault="00FF1593" w:rsidP="003F4784">
      <w:pPr>
        <w:ind w:left="360"/>
        <w:jc w:val="both"/>
        <w:rPr>
          <w:rFonts w:cstheme="minorHAnsi"/>
          <w:szCs w:val="20"/>
        </w:rPr>
      </w:pPr>
      <w:r w:rsidRPr="00A41F07">
        <w:rPr>
          <w:rFonts w:cstheme="minorHAnsi"/>
          <w:b/>
          <w:szCs w:val="20"/>
        </w:rPr>
        <w:t>Assessment of Patients with Known</w:t>
      </w:r>
      <w:r w:rsidR="00687AF5" w:rsidRPr="00A41F07">
        <w:rPr>
          <w:rFonts w:cstheme="minorHAnsi"/>
          <w:b/>
          <w:szCs w:val="20"/>
        </w:rPr>
        <w:t xml:space="preserve"> Small Bowel Crohn’s</w:t>
      </w:r>
      <w:r w:rsidR="009E199D" w:rsidRPr="00A41F07">
        <w:rPr>
          <w:rFonts w:cstheme="minorHAnsi"/>
          <w:b/>
          <w:szCs w:val="20"/>
        </w:rPr>
        <w:t xml:space="preserve"> Disease</w:t>
      </w:r>
      <w:r w:rsidR="00DD11C1">
        <w:rPr>
          <w:rFonts w:cstheme="minorHAnsi"/>
          <w:b/>
          <w:szCs w:val="20"/>
        </w:rPr>
        <w:t xml:space="preserve"> (Please refer to Appendix for flowcharts</w:t>
      </w:r>
      <w:r w:rsidR="003376F7">
        <w:rPr>
          <w:rFonts w:cstheme="minorHAnsi"/>
          <w:b/>
          <w:szCs w:val="20"/>
        </w:rPr>
        <w:t xml:space="preserve"> Figure 2 and Figure 3</w:t>
      </w:r>
      <w:r w:rsidR="0051696B" w:rsidRPr="00A41F07">
        <w:rPr>
          <w:rFonts w:cstheme="minorHAnsi"/>
          <w:b/>
          <w:szCs w:val="20"/>
        </w:rPr>
        <w:t>)</w:t>
      </w:r>
    </w:p>
    <w:p w14:paraId="58271913" w14:textId="77777777" w:rsidR="006A5FCB" w:rsidRPr="00A41F07" w:rsidRDefault="006A5FCB" w:rsidP="006A5FCB">
      <w:pPr>
        <w:pStyle w:val="CommentText"/>
        <w:ind w:left="360"/>
        <w:jc w:val="both"/>
      </w:pPr>
      <w:r w:rsidRPr="00A41F07">
        <w:t>When patient symptoms are not resolved or getting worse in spite of treatment; there is a discrepancy between symptoms and blood or faecal tests or a decision has to be made as to whether to proceed with different medical management or to pursue surgery. This type of investigation may be required on more than one occasion during a patient’s life.</w:t>
      </w:r>
    </w:p>
    <w:p w14:paraId="58271914" w14:textId="77777777" w:rsidR="00233D41" w:rsidRPr="00A41F07" w:rsidRDefault="003F4784" w:rsidP="00233D41">
      <w:pPr>
        <w:pStyle w:val="CommentText"/>
        <w:ind w:left="360"/>
        <w:jc w:val="both"/>
      </w:pPr>
      <w:r w:rsidRPr="00A41F07">
        <w:t>Currently, patients with known CD who are symptomatic and/or with obje</w:t>
      </w:r>
      <w:r w:rsidR="00687AF5" w:rsidRPr="00A41F07">
        <w:t>ctive evidence of inflammation who</w:t>
      </w:r>
      <w:r w:rsidRPr="00A41F07">
        <w:t xml:space="preserve"> have non-diagnostic results on imaging, will have their management </w:t>
      </w:r>
      <w:r w:rsidR="00687AF5" w:rsidRPr="00A41F07">
        <w:t xml:space="preserve">determined by clinical judgement. In the absence of a confirmatory diagnosis they may </w:t>
      </w:r>
      <w:r w:rsidR="001B71A2" w:rsidRPr="00A41F07">
        <w:t>be subject to watchful wait</w:t>
      </w:r>
      <w:r w:rsidR="00C37145" w:rsidRPr="00A41F07">
        <w:t xml:space="preserve"> without and adjustment to their therapy</w:t>
      </w:r>
      <w:r w:rsidR="001B71A2" w:rsidRPr="00A41F07">
        <w:t xml:space="preserve"> or </w:t>
      </w:r>
      <w:r w:rsidR="00687AF5" w:rsidRPr="00A41F07">
        <w:t>cycle through repeated testing and acute prese</w:t>
      </w:r>
      <w:r w:rsidR="00C37145" w:rsidRPr="00A41F07">
        <w:t>ntations to healthcare services. In case of diagnostic information through investigations, they may be subject to escalation in their therapy or de-escalation depending on their disease state.</w:t>
      </w:r>
      <w:r w:rsidR="006A5FCB" w:rsidRPr="00A41F07">
        <w:t xml:space="preserve"> </w:t>
      </w:r>
    </w:p>
    <w:p w14:paraId="58271915" w14:textId="77777777" w:rsidR="001716D2" w:rsidRPr="00A41F07" w:rsidRDefault="001716D2" w:rsidP="001716D2"/>
    <w:p w14:paraId="58271916" w14:textId="77777777" w:rsidR="00A83EC6" w:rsidRPr="00A41F07" w:rsidRDefault="001716D2" w:rsidP="00530204">
      <w:pPr>
        <w:pStyle w:val="Heading2"/>
      </w:pPr>
      <w:r w:rsidRPr="00A41F07">
        <w:t xml:space="preserve"> </w:t>
      </w:r>
      <w:r w:rsidR="005C3AE7" w:rsidRPr="00A41F07">
        <w:t xml:space="preserve">(a) </w:t>
      </w:r>
      <w:r w:rsidR="00CD7A7D" w:rsidRPr="00A41F07">
        <w:t xml:space="preserve">Will </w:t>
      </w:r>
      <w:r w:rsidR="00A83EC6" w:rsidRPr="00A41F07">
        <w:t>the proposed medical service be used in addition to, or instead of, the nominated comparator(s)</w:t>
      </w:r>
      <w:r w:rsidR="00D30BDC" w:rsidRPr="00A41F07">
        <w:t>?</w:t>
      </w:r>
    </w:p>
    <w:p w14:paraId="58271917" w14:textId="77777777" w:rsidR="00CB57FC" w:rsidRPr="00A41F07" w:rsidRDefault="00CB57FC" w:rsidP="00CB57FC">
      <w:pPr>
        <w:ind w:left="426"/>
        <w:jc w:val="both"/>
        <w:rPr>
          <w:rFonts w:cstheme="minorHAnsi"/>
          <w:szCs w:val="20"/>
        </w:rPr>
      </w:pPr>
      <w:r w:rsidRPr="00A41F07">
        <w:rPr>
          <w:rFonts w:cstheme="minorHAnsi"/>
          <w:szCs w:val="20"/>
        </w:rPr>
        <w:t>For diagnosis of suspected CD – it replaces repeated investigations in case of non-diagnostic findings from previous modalities.</w:t>
      </w:r>
    </w:p>
    <w:p w14:paraId="58271918" w14:textId="77777777" w:rsidR="00CB57FC" w:rsidRPr="00A41F07" w:rsidRDefault="00CB57FC" w:rsidP="00CB57FC">
      <w:pPr>
        <w:ind w:left="426"/>
        <w:jc w:val="both"/>
        <w:rPr>
          <w:rFonts w:cstheme="minorHAnsi"/>
          <w:szCs w:val="20"/>
        </w:rPr>
      </w:pPr>
      <w:r w:rsidRPr="00A41F07">
        <w:rPr>
          <w:rFonts w:cstheme="minorHAnsi"/>
          <w:szCs w:val="20"/>
        </w:rPr>
        <w:t xml:space="preserve">For Assessment of Known isolated small bowel Crohn’s disease, CE may be used in addition to and/or replace alternative investigative services in sub populations such as post-operative recurrence and paediatrics where other modalities are contraindicated. </w:t>
      </w:r>
    </w:p>
    <w:p w14:paraId="58271919" w14:textId="77777777" w:rsidR="00604B30" w:rsidRPr="00A41F07" w:rsidRDefault="00604B30" w:rsidP="00CB57FC"/>
    <w:p w14:paraId="5827191A" w14:textId="77777777" w:rsidR="00604B30" w:rsidRPr="00A41F07" w:rsidRDefault="00517B55" w:rsidP="00604B30">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4B30" w:rsidRPr="00A41F07">
        <w:rPr>
          <w:szCs w:val="20"/>
        </w:rPr>
        <w:t xml:space="preserve"> Yes </w:t>
      </w:r>
    </w:p>
    <w:p w14:paraId="5827191B" w14:textId="77777777" w:rsidR="00604B30" w:rsidRPr="00A41F07" w:rsidRDefault="00517B55" w:rsidP="00604B30">
      <w:pPr>
        <w:spacing w:before="0" w:after="0"/>
        <w:ind w:left="426"/>
        <w:rPr>
          <w:szCs w:val="20"/>
        </w:rPr>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4B30" w:rsidRPr="00A41F07">
        <w:rPr>
          <w:szCs w:val="20"/>
        </w:rPr>
        <w:t xml:space="preserve"> No  </w:t>
      </w:r>
    </w:p>
    <w:p w14:paraId="5827191C" w14:textId="77777777" w:rsidR="00604B30" w:rsidRPr="00A41F07" w:rsidRDefault="00604B30" w:rsidP="00604B30">
      <w:pPr>
        <w:pStyle w:val="Heading2"/>
        <w:numPr>
          <w:ilvl w:val="0"/>
          <w:numId w:val="30"/>
        </w:numPr>
      </w:pPr>
      <w:r w:rsidRPr="00A41F07">
        <w:t xml:space="preserve">If yes, please outline the extent of which the current service/comparator is expected to be substituted: </w:t>
      </w:r>
    </w:p>
    <w:p w14:paraId="5827191D" w14:textId="77777777" w:rsidR="001B29A1" w:rsidRPr="00A41F07" w:rsidRDefault="00604B30" w:rsidP="001B29A1">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1B29A1" w:rsidRPr="00A41F07">
        <w:rPr>
          <w:szCs w:val="20"/>
        </w:rPr>
        <w:t xml:space="preserve"> Yes </w:t>
      </w:r>
    </w:p>
    <w:p w14:paraId="5827191E" w14:textId="77777777" w:rsidR="001B29A1" w:rsidRPr="00A41F07" w:rsidRDefault="001B29A1" w:rsidP="001B29A1">
      <w:pPr>
        <w:spacing w:before="0" w:after="0"/>
        <w:ind w:left="426"/>
        <w:rPr>
          <w:szCs w:val="20"/>
        </w:rPr>
      </w:pPr>
      <w:r w:rsidRPr="00A41F07">
        <w:rPr>
          <w:szCs w:val="20"/>
        </w:rPr>
        <w:fldChar w:fldCharType="begin">
          <w:ffData>
            <w:name w:val="Check2"/>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  </w:t>
      </w:r>
    </w:p>
    <w:p w14:paraId="5827191F" w14:textId="77777777" w:rsidR="008D5FDB" w:rsidRPr="00A41F07" w:rsidRDefault="00E70D86" w:rsidP="008D5FDB">
      <w:pPr>
        <w:pStyle w:val="Heading2"/>
        <w:numPr>
          <w:ilvl w:val="0"/>
          <w:numId w:val="0"/>
        </w:numPr>
        <w:ind w:left="720"/>
        <w:jc w:val="both"/>
      </w:pPr>
      <w:r w:rsidRPr="00A41F07">
        <w:lastRenderedPageBreak/>
        <w:t xml:space="preserve">If </w:t>
      </w:r>
      <w:r w:rsidR="00D00122" w:rsidRPr="00A41F07">
        <w:t xml:space="preserve">yes, </w:t>
      </w:r>
      <w:r w:rsidRPr="00A41F07">
        <w:t xml:space="preserve">please </w:t>
      </w:r>
      <w:r w:rsidR="00F33F1A" w:rsidRPr="00A41F07">
        <w:t xml:space="preserve">outline </w:t>
      </w:r>
      <w:r w:rsidRPr="00A41F07">
        <w:t xml:space="preserve">the extent of </w:t>
      </w:r>
      <w:r w:rsidR="00F33F1A" w:rsidRPr="00A41F07">
        <w:t xml:space="preserve">which </w:t>
      </w:r>
      <w:r w:rsidR="00D00122" w:rsidRPr="00A41F07">
        <w:t xml:space="preserve">the </w:t>
      </w:r>
      <w:r w:rsidR="00F33F1A" w:rsidRPr="00A41F07">
        <w:t xml:space="preserve">current service/comparator is expected to be </w:t>
      </w:r>
      <w:r w:rsidR="00AE1188" w:rsidRPr="00A41F07">
        <w:t>substituted:</w:t>
      </w:r>
    </w:p>
    <w:p w14:paraId="58271920" w14:textId="77777777" w:rsidR="008D5FDB" w:rsidRPr="00A41F07" w:rsidRDefault="008D5FDB" w:rsidP="008D5FDB">
      <w:pPr>
        <w:pStyle w:val="Heading2"/>
        <w:numPr>
          <w:ilvl w:val="0"/>
          <w:numId w:val="0"/>
        </w:numPr>
        <w:ind w:left="720"/>
        <w:jc w:val="both"/>
      </w:pPr>
    </w:p>
    <w:p w14:paraId="58271921" w14:textId="77777777" w:rsidR="008D5FDB" w:rsidRPr="00A41F07" w:rsidRDefault="008D5FDB" w:rsidP="00AA0665">
      <w:pPr>
        <w:ind w:left="720"/>
        <w:jc w:val="both"/>
      </w:pPr>
      <w:r w:rsidRPr="00A41F07">
        <w:t xml:space="preserve">For the diagnosis of suspected CD, the proposed service is anticipated to substitute for the comparator where there is no evidence of </w:t>
      </w:r>
      <w:r w:rsidR="00BD1415" w:rsidRPr="00A41F07">
        <w:t>strictures</w:t>
      </w:r>
      <w:r w:rsidR="00AA0665">
        <w:t>.</w:t>
      </w:r>
      <w:r w:rsidRPr="00A41F07">
        <w:t xml:space="preserve"> </w:t>
      </w:r>
    </w:p>
    <w:p w14:paraId="58271922" w14:textId="77777777" w:rsidR="008D5FDB" w:rsidRPr="00A41F07" w:rsidRDefault="008D5FDB" w:rsidP="008D5FDB">
      <w:pPr>
        <w:pStyle w:val="Heading2"/>
        <w:numPr>
          <w:ilvl w:val="0"/>
          <w:numId w:val="0"/>
        </w:numPr>
        <w:ind w:left="720"/>
        <w:jc w:val="both"/>
      </w:pPr>
    </w:p>
    <w:p w14:paraId="58271923" w14:textId="77777777" w:rsidR="003433D1" w:rsidRPr="00AA0665" w:rsidRDefault="00604B30" w:rsidP="00AA0665">
      <w:pPr>
        <w:pStyle w:val="Heading2"/>
        <w:numPr>
          <w:ilvl w:val="0"/>
          <w:numId w:val="0"/>
        </w:numPr>
        <w:ind w:left="720"/>
        <w:jc w:val="both"/>
        <w:rPr>
          <w:b w:val="0"/>
        </w:rPr>
      </w:pPr>
      <w:r w:rsidRPr="00A41F07">
        <w:rPr>
          <w:b w:val="0"/>
        </w:rPr>
        <w:t xml:space="preserve">Only for special situations such as post-operative recurrence </w:t>
      </w:r>
      <w:r w:rsidR="00497612" w:rsidRPr="00A41F07">
        <w:rPr>
          <w:b w:val="0"/>
        </w:rPr>
        <w:t xml:space="preserve">of isolated proximal small Crohn’s disease </w:t>
      </w:r>
      <w:r w:rsidR="006B17BC">
        <w:rPr>
          <w:b w:val="0"/>
        </w:rPr>
        <w:t>and</w:t>
      </w:r>
      <w:r w:rsidR="00AA0665">
        <w:rPr>
          <w:b w:val="0"/>
        </w:rPr>
        <w:t xml:space="preserve"> </w:t>
      </w:r>
      <w:r w:rsidR="006B17BC">
        <w:rPr>
          <w:b w:val="0"/>
        </w:rPr>
        <w:t>p</w:t>
      </w:r>
      <w:r w:rsidR="006B17BC" w:rsidRPr="00A41F07">
        <w:rPr>
          <w:b w:val="0"/>
        </w:rPr>
        <w:t>aediatric</w:t>
      </w:r>
      <w:r w:rsidRPr="00A41F07">
        <w:rPr>
          <w:b w:val="0"/>
        </w:rPr>
        <w:t xml:space="preserve"> population where ileoscopy contraindicated/failed to provide diagn</w:t>
      </w:r>
      <w:r w:rsidR="006B17BC">
        <w:rPr>
          <w:b w:val="0"/>
        </w:rPr>
        <w:t>ostic information, suspicion of</w:t>
      </w:r>
      <w:r w:rsidR="00AA0665">
        <w:rPr>
          <w:b w:val="0"/>
        </w:rPr>
        <w:t xml:space="preserve"> </w:t>
      </w:r>
      <w:r w:rsidRPr="00A41F07">
        <w:rPr>
          <w:b w:val="0"/>
        </w:rPr>
        <w:t>MR</w:t>
      </w:r>
      <w:r w:rsidR="008942B7" w:rsidRPr="00A41F07">
        <w:rPr>
          <w:b w:val="0"/>
        </w:rPr>
        <w:t>E</w:t>
      </w:r>
      <w:r w:rsidRPr="00A41F07">
        <w:rPr>
          <w:b w:val="0"/>
        </w:rPr>
        <w:t xml:space="preserve"> might underestimate superficial mucosal </w:t>
      </w:r>
      <w:r w:rsidR="00C62BE4" w:rsidRPr="00A41F07">
        <w:rPr>
          <w:b w:val="0"/>
        </w:rPr>
        <w:t>lesions; Capsule Endos</w:t>
      </w:r>
      <w:r w:rsidR="006B17BC">
        <w:rPr>
          <w:b w:val="0"/>
        </w:rPr>
        <w:t>copy can be used instead of the</w:t>
      </w:r>
      <w:r w:rsidR="00AA0665">
        <w:rPr>
          <w:b w:val="0"/>
        </w:rPr>
        <w:t xml:space="preserve"> </w:t>
      </w:r>
      <w:r w:rsidR="00C62BE4" w:rsidRPr="00A41F07">
        <w:rPr>
          <w:b w:val="0"/>
        </w:rPr>
        <w:t>comparators</w:t>
      </w:r>
      <w:r w:rsidRPr="00A41F07">
        <w:rPr>
          <w:b w:val="0"/>
        </w:rPr>
        <w:t>.</w:t>
      </w:r>
      <w:r w:rsidR="00C62BE4" w:rsidRPr="00A41F07">
        <w:rPr>
          <w:b w:val="0"/>
        </w:rPr>
        <w:t xml:space="preserve"> Thus the</w:t>
      </w:r>
      <w:r w:rsidRPr="00A41F07">
        <w:rPr>
          <w:b w:val="0"/>
        </w:rPr>
        <w:t xml:space="preserve"> </w:t>
      </w:r>
      <w:r w:rsidR="00C62BE4" w:rsidRPr="00A41F07">
        <w:rPr>
          <w:b w:val="0"/>
        </w:rPr>
        <w:t>extent of the use is expected to be minimal.</w:t>
      </w:r>
    </w:p>
    <w:p w14:paraId="58271924" w14:textId="77777777" w:rsidR="00604B30" w:rsidRPr="00A41F07" w:rsidRDefault="00604B30" w:rsidP="00EE132E">
      <w:pPr>
        <w:rPr>
          <w:szCs w:val="20"/>
        </w:rPr>
      </w:pPr>
    </w:p>
    <w:p w14:paraId="58271925" w14:textId="77777777" w:rsidR="002053F2" w:rsidRPr="00A41F07" w:rsidRDefault="009C03FB" w:rsidP="00776740">
      <w:pPr>
        <w:pStyle w:val="Heading2"/>
      </w:pPr>
      <w:r w:rsidRPr="00A41F07">
        <w:t>Define and summarise how</w:t>
      </w:r>
      <w:r w:rsidR="00F33F1A" w:rsidRPr="00A41F07">
        <w:t xml:space="preserve"> curr</w:t>
      </w:r>
      <w:r w:rsidRPr="00A41F07">
        <w:t>ent clinical management pathways (from the point of service delivery onwards) are</w:t>
      </w:r>
      <w:r w:rsidR="00F33F1A" w:rsidRPr="00A41F07">
        <w:t xml:space="preserve"> expected to change as a consequence of introducing the proposed medical service </w:t>
      </w:r>
      <w:r w:rsidR="007D2358" w:rsidRPr="00A41F07">
        <w:t xml:space="preserve">including variation in health care resources </w:t>
      </w:r>
      <w:r w:rsidRPr="00A41F07">
        <w:t>(</w:t>
      </w:r>
      <w:r w:rsidR="002053F2" w:rsidRPr="00A41F07">
        <w:t xml:space="preserve">Refer to </w:t>
      </w:r>
      <w:r w:rsidR="00F33F1A" w:rsidRPr="00A41F07">
        <w:t xml:space="preserve">Question </w:t>
      </w:r>
      <w:r w:rsidR="00197D29" w:rsidRPr="00A41F07">
        <w:t>39</w:t>
      </w:r>
      <w:r w:rsidR="00F33F1A" w:rsidRPr="00A41F07">
        <w:t xml:space="preserve"> as baseline)</w:t>
      </w:r>
      <w:r w:rsidR="00AE1188" w:rsidRPr="00A41F07">
        <w:t>:</w:t>
      </w:r>
    </w:p>
    <w:p w14:paraId="58271926" w14:textId="77777777" w:rsidR="00B46F12" w:rsidRPr="00A41F07" w:rsidRDefault="00B46F12" w:rsidP="00B46F12">
      <w:pPr>
        <w:spacing w:before="100" w:beforeAutospacing="1" w:after="100" w:afterAutospacing="1"/>
        <w:rPr>
          <w:rFonts w:cstheme="minorHAnsi"/>
          <w:b/>
          <w:szCs w:val="20"/>
        </w:rPr>
      </w:pPr>
      <w:r w:rsidRPr="00A41F07">
        <w:rPr>
          <w:rFonts w:cstheme="minorHAnsi"/>
          <w:b/>
          <w:szCs w:val="20"/>
        </w:rPr>
        <w:t xml:space="preserve">Diagnosis of Patients with Suspected Crohn’s </w:t>
      </w:r>
      <w:r w:rsidR="00B20F99" w:rsidRPr="00A41F07">
        <w:rPr>
          <w:rFonts w:cstheme="minorHAnsi"/>
          <w:b/>
          <w:szCs w:val="20"/>
        </w:rPr>
        <w:t>Disease</w:t>
      </w:r>
    </w:p>
    <w:p w14:paraId="58271927" w14:textId="77777777" w:rsidR="006B4A7B" w:rsidRPr="00A41F07" w:rsidRDefault="003B1222" w:rsidP="003B1222">
      <w:pPr>
        <w:autoSpaceDE w:val="0"/>
        <w:autoSpaceDN w:val="0"/>
        <w:adjustRightInd w:val="0"/>
        <w:jc w:val="both"/>
      </w:pPr>
      <w:r w:rsidRPr="00A41F07">
        <w:t xml:space="preserve">CE will prevent patients with suspected Small Bowel Crohn’s Disease from cycling through </w:t>
      </w:r>
      <w:r w:rsidR="00417858" w:rsidRPr="00A41F07">
        <w:t xml:space="preserve">repeated investigations including colonoscopy and imaging. Those who do have Small Bowel Crohn’s Disease will have their diagnosis confirmed and commence therapy for Crohn’s Disease. Others will have Small Bowel Crohn’s Disease ruled out definitively, and can avoid repeated diagnostic procedures or exposure to the serious risks of empiric treatment without diagnosis. </w:t>
      </w:r>
      <w:r w:rsidRPr="00A41F07">
        <w:t xml:space="preserve">Therefore, there will be increased use of therapies for CD, but decreased use of endoscopic and radiologic services. </w:t>
      </w:r>
    </w:p>
    <w:p w14:paraId="58271928" w14:textId="77777777" w:rsidR="00B46F12" w:rsidRPr="00A41F07" w:rsidRDefault="00350859" w:rsidP="003B1222">
      <w:pPr>
        <w:autoSpaceDE w:val="0"/>
        <w:autoSpaceDN w:val="0"/>
        <w:adjustRightInd w:val="0"/>
        <w:jc w:val="both"/>
        <w:rPr>
          <w:b/>
        </w:rPr>
      </w:pPr>
      <w:r w:rsidRPr="00A41F07">
        <w:rPr>
          <w:rFonts w:ascii="Calibri" w:hAnsi="Calibri" w:cs="Calibri"/>
          <w:color w:val="000000"/>
          <w:szCs w:val="20"/>
        </w:rPr>
        <w:t xml:space="preserve">In a recent </w:t>
      </w:r>
      <w:r w:rsidR="009468E9" w:rsidRPr="00A41F07">
        <w:rPr>
          <w:rFonts w:ascii="Calibri" w:hAnsi="Calibri" w:cs="Calibri"/>
          <w:color w:val="000000"/>
          <w:szCs w:val="20"/>
        </w:rPr>
        <w:t>multicentre</w:t>
      </w:r>
      <w:r w:rsidRPr="00A41F07">
        <w:rPr>
          <w:rFonts w:ascii="Calibri" w:hAnsi="Calibri" w:cs="Calibri"/>
          <w:color w:val="000000"/>
          <w:szCs w:val="20"/>
        </w:rPr>
        <w:t xml:space="preserve"> prospective cohort study of French CD patients, a long diagnostic delay (&gt;13 months) increased the risk of early surgery (Nahon 2016).</w:t>
      </w:r>
      <w:r w:rsidR="009468E9" w:rsidRPr="00A41F07">
        <w:rPr>
          <w:rFonts w:ascii="Calibri" w:hAnsi="Calibri" w:cs="Calibri"/>
          <w:color w:val="000000"/>
          <w:szCs w:val="20"/>
        </w:rPr>
        <w:t xml:space="preserve"> </w:t>
      </w:r>
      <w:r w:rsidR="00CB1A75" w:rsidRPr="00A41F07">
        <w:t>A Swiss IBD cohort study reported that a long diagnostic delay was associated with the further development of bowel stenosis and intestinal surgery</w:t>
      </w:r>
      <w:r w:rsidR="006D191C" w:rsidRPr="00A41F07">
        <w:t xml:space="preserve"> </w:t>
      </w:r>
      <w:r w:rsidR="00CB1A75" w:rsidRPr="00A41F07">
        <w:t>(Schoepfer</w:t>
      </w:r>
      <w:r w:rsidR="006D191C" w:rsidRPr="00A41F07">
        <w:t xml:space="preserve"> </w:t>
      </w:r>
      <w:r w:rsidR="00CB1A75" w:rsidRPr="00A41F07">
        <w:t>2013)</w:t>
      </w:r>
      <w:r w:rsidR="006D191C" w:rsidRPr="00A41F07">
        <w:t>. A Korean study d</w:t>
      </w:r>
      <w:r w:rsidR="00CB1A75" w:rsidRPr="00A41F07">
        <w:t xml:space="preserve">emonstrated that a long diagnostic delay is significantly associated with an increased risk of CD-related complications such as intestinal stenosis, internal fistulas, and perianal fistulas. Moreover, older age at diagnosis (≥40 years), concomitant </w:t>
      </w:r>
      <w:r w:rsidR="009468E9" w:rsidRPr="00A41F07">
        <w:t>upper gastrointestinal</w:t>
      </w:r>
      <w:r w:rsidR="00CB1A75" w:rsidRPr="00A41F07">
        <w:t xml:space="preserve"> involvement, and penetrating disease </w:t>
      </w:r>
      <w:r w:rsidR="006D191C" w:rsidRPr="00A41F07">
        <w:t>behaviour</w:t>
      </w:r>
      <w:r w:rsidR="00CB1A75" w:rsidRPr="00A41F07">
        <w:t xml:space="preserve"> are closely associated with diagnostic delay in CD patients</w:t>
      </w:r>
      <w:r w:rsidR="006D191C" w:rsidRPr="00A41F07">
        <w:t xml:space="preserve"> (Moon 2015)</w:t>
      </w:r>
      <w:r w:rsidR="0068460B" w:rsidRPr="00A41F07">
        <w:t>. A retrospective study in Chinese patients also demonstrated that diagnostic delay of Crohn's disease was significantly associated with increa</w:t>
      </w:r>
      <w:r w:rsidR="004D4415" w:rsidRPr="00A41F07">
        <w:t>sed rates of intestinal surgery</w:t>
      </w:r>
      <w:r w:rsidR="0068460B" w:rsidRPr="00A41F07">
        <w:t xml:space="preserve"> (Yi 2015)</w:t>
      </w:r>
      <w:r w:rsidR="004D4415" w:rsidRPr="00A41F07">
        <w:t>.</w:t>
      </w:r>
      <w:r w:rsidR="001B6167" w:rsidRPr="00A41F07">
        <w:rPr>
          <w:rFonts w:ascii="Calibri" w:hAnsi="Calibri" w:cs="Calibri"/>
          <w:color w:val="000000"/>
          <w:szCs w:val="20"/>
        </w:rPr>
        <w:t xml:space="preserve"> </w:t>
      </w:r>
      <w:r w:rsidR="00CB1A75" w:rsidRPr="00A41F07">
        <w:t>Delayed diagnosis of Crohn’s Disease especially in adolescents has p</w:t>
      </w:r>
      <w:r w:rsidR="00891470" w:rsidRPr="00A41F07">
        <w:t xml:space="preserve">sychiatric implications as well </w:t>
      </w:r>
      <w:r w:rsidR="001B6167" w:rsidRPr="00A41F07">
        <w:t>(Gabel 2010).  On the basis of these results, reducing the diagnostic delay of CD may reduce the occurrence of many disabling complications associated with CD. Hence healthcare expenditures associated with delayed diagnosis will be prevented as Capsule Endoscopy is included in the diagnostic algorithm.</w:t>
      </w:r>
    </w:p>
    <w:p w14:paraId="58271929" w14:textId="77777777" w:rsidR="005C69E9" w:rsidRPr="00A41F07" w:rsidRDefault="005C69E9" w:rsidP="00F46093">
      <w:pPr>
        <w:spacing w:before="100" w:beforeAutospacing="1" w:after="100" w:afterAutospacing="1"/>
        <w:jc w:val="both"/>
        <w:rPr>
          <w:rFonts w:cstheme="minorHAnsi"/>
          <w:b/>
          <w:szCs w:val="20"/>
        </w:rPr>
      </w:pPr>
      <w:r w:rsidRPr="00A41F07">
        <w:rPr>
          <w:rFonts w:cstheme="minorHAnsi"/>
          <w:b/>
          <w:szCs w:val="20"/>
        </w:rPr>
        <w:t xml:space="preserve">Assessment of Known </w:t>
      </w:r>
      <w:r w:rsidR="00417858" w:rsidRPr="00A41F07">
        <w:rPr>
          <w:rFonts w:cstheme="minorHAnsi"/>
          <w:b/>
          <w:szCs w:val="20"/>
        </w:rPr>
        <w:t xml:space="preserve">Small Bowel </w:t>
      </w:r>
      <w:r w:rsidRPr="00A41F07">
        <w:rPr>
          <w:rFonts w:cstheme="minorHAnsi"/>
          <w:b/>
          <w:szCs w:val="20"/>
        </w:rPr>
        <w:t>Crohn’s</w:t>
      </w:r>
      <w:r w:rsidR="00B20F99" w:rsidRPr="00A41F07">
        <w:rPr>
          <w:rFonts w:cstheme="minorHAnsi"/>
          <w:b/>
          <w:szCs w:val="20"/>
        </w:rPr>
        <w:t xml:space="preserve"> Disease</w:t>
      </w:r>
    </w:p>
    <w:p w14:paraId="5827192A" w14:textId="77777777" w:rsidR="0034088C" w:rsidRPr="00A41F07" w:rsidRDefault="0034088C" w:rsidP="00F46093">
      <w:pPr>
        <w:spacing w:before="100" w:beforeAutospacing="1" w:after="100" w:afterAutospacing="1"/>
        <w:jc w:val="both"/>
      </w:pPr>
      <w:r w:rsidRPr="00A41F07">
        <w:t>In the current clinical management there can be uncertainties in th</w:t>
      </w:r>
      <w:r w:rsidR="00417858" w:rsidRPr="00A41F07">
        <w:t>e assessment of patients who have</w:t>
      </w:r>
      <w:r w:rsidRPr="00A41F07">
        <w:t xml:space="preserve"> a suspected post-operative recurrence of disease or known disease where assessment </w:t>
      </w:r>
      <w:r w:rsidR="00417858" w:rsidRPr="00A41F07">
        <w:t xml:space="preserve">is required to evaluate response to therapy or a potential exacerbation. Current investigations with ileocolonoscopy, and/or MRE may not provide diagnostic information or can be </w:t>
      </w:r>
      <w:r w:rsidRPr="00A41F07">
        <w:t xml:space="preserve">contraindicated. </w:t>
      </w:r>
    </w:p>
    <w:p w14:paraId="5827192B" w14:textId="77777777" w:rsidR="00FC4D57" w:rsidRPr="00A41F07" w:rsidRDefault="00246AE7" w:rsidP="0021676C">
      <w:pPr>
        <w:spacing w:before="100" w:beforeAutospacing="1" w:after="100" w:afterAutospacing="1"/>
        <w:jc w:val="both"/>
        <w:rPr>
          <w:rFonts w:cstheme="minorHAnsi"/>
          <w:szCs w:val="20"/>
        </w:rPr>
      </w:pPr>
      <w:r w:rsidRPr="00A41F07">
        <w:rPr>
          <w:rFonts w:cstheme="minorHAnsi"/>
          <w:szCs w:val="20"/>
        </w:rPr>
        <w:t xml:space="preserve">In this case, </w:t>
      </w:r>
      <w:r w:rsidR="00F46093" w:rsidRPr="00A41F07">
        <w:rPr>
          <w:rFonts w:cstheme="minorHAnsi"/>
          <w:szCs w:val="20"/>
        </w:rPr>
        <w:t>capsule endoscopy</w:t>
      </w:r>
      <w:r w:rsidRPr="00A41F07">
        <w:rPr>
          <w:rFonts w:cstheme="minorHAnsi"/>
          <w:szCs w:val="20"/>
        </w:rPr>
        <w:t xml:space="preserve"> can</w:t>
      </w:r>
      <w:r w:rsidR="00F46093" w:rsidRPr="00A41F07">
        <w:rPr>
          <w:rFonts w:cstheme="minorHAnsi"/>
          <w:szCs w:val="20"/>
        </w:rPr>
        <w:t xml:space="preserve"> remove </w:t>
      </w:r>
      <w:r w:rsidR="0096179C" w:rsidRPr="00A41F07">
        <w:rPr>
          <w:rFonts w:cstheme="minorHAnsi"/>
          <w:szCs w:val="20"/>
        </w:rPr>
        <w:t>uncertain</w:t>
      </w:r>
      <w:r w:rsidR="00417858" w:rsidRPr="00A41F07">
        <w:rPr>
          <w:rFonts w:cstheme="minorHAnsi"/>
          <w:szCs w:val="20"/>
        </w:rPr>
        <w:t>ty</w:t>
      </w:r>
      <w:r w:rsidR="00F46093" w:rsidRPr="00A41F07">
        <w:rPr>
          <w:rFonts w:cstheme="minorHAnsi"/>
          <w:szCs w:val="20"/>
        </w:rPr>
        <w:t xml:space="preserve"> and repeat</w:t>
      </w:r>
      <w:r w:rsidR="0034088C" w:rsidRPr="00A41F07">
        <w:rPr>
          <w:rFonts w:cstheme="minorHAnsi"/>
          <w:szCs w:val="20"/>
        </w:rPr>
        <w:t xml:space="preserve"> investigations</w:t>
      </w:r>
      <w:r w:rsidR="00F46093" w:rsidRPr="00A41F07">
        <w:rPr>
          <w:rFonts w:cstheme="minorHAnsi"/>
          <w:szCs w:val="20"/>
        </w:rPr>
        <w:t xml:space="preserve"> in the face of a mismatch between </w:t>
      </w:r>
      <w:r w:rsidRPr="00A41F07">
        <w:rPr>
          <w:rFonts w:cstheme="minorHAnsi"/>
          <w:szCs w:val="20"/>
        </w:rPr>
        <w:t xml:space="preserve">objective inflammation evidence and symptoms due its higher diagnostic yield and ability to visualise </w:t>
      </w:r>
      <w:r w:rsidR="00417858" w:rsidRPr="00A41F07">
        <w:rPr>
          <w:rFonts w:cstheme="minorHAnsi"/>
          <w:szCs w:val="20"/>
        </w:rPr>
        <w:t xml:space="preserve">subtle </w:t>
      </w:r>
      <w:r w:rsidRPr="00A41F07">
        <w:rPr>
          <w:rFonts w:cstheme="minorHAnsi"/>
          <w:szCs w:val="20"/>
        </w:rPr>
        <w:t>mucosal</w:t>
      </w:r>
      <w:r w:rsidR="00417858" w:rsidRPr="00A41F07">
        <w:rPr>
          <w:rFonts w:cstheme="minorHAnsi"/>
          <w:szCs w:val="20"/>
        </w:rPr>
        <w:t xml:space="preserve"> lesions</w:t>
      </w:r>
      <w:r w:rsidRPr="00A41F07">
        <w:rPr>
          <w:rFonts w:cstheme="minorHAnsi"/>
          <w:szCs w:val="20"/>
        </w:rPr>
        <w:t xml:space="preserve"> in the isolated small bowel Crohn’s disease. </w:t>
      </w:r>
      <w:r w:rsidR="00F46093" w:rsidRPr="00A41F07">
        <w:rPr>
          <w:rFonts w:cstheme="minorHAnsi"/>
          <w:szCs w:val="20"/>
        </w:rPr>
        <w:t>Capsule Endoscopy can assess the inflammatory state of mucosa</w:t>
      </w:r>
      <w:r w:rsidR="00F46093" w:rsidRPr="00A41F07">
        <w:rPr>
          <w:rFonts w:cstheme="minorHAnsi"/>
          <w:color w:val="FF0000"/>
          <w:szCs w:val="20"/>
        </w:rPr>
        <w:t xml:space="preserve"> </w:t>
      </w:r>
      <w:r w:rsidR="00F46093" w:rsidRPr="00A41F07">
        <w:rPr>
          <w:rFonts w:cstheme="minorHAnsi"/>
          <w:szCs w:val="20"/>
        </w:rPr>
        <w:t xml:space="preserve">after various treatments, or as a prognostic tool, </w:t>
      </w:r>
      <w:r w:rsidR="00417858" w:rsidRPr="00A41F07">
        <w:rPr>
          <w:rFonts w:cstheme="minorHAnsi"/>
          <w:szCs w:val="20"/>
        </w:rPr>
        <w:t>guide</w:t>
      </w:r>
      <w:r w:rsidR="00F46093" w:rsidRPr="00A41F07">
        <w:rPr>
          <w:rFonts w:cstheme="minorHAnsi"/>
          <w:szCs w:val="20"/>
        </w:rPr>
        <w:t xml:space="preserve"> treatment (escalation or de-escalation of treatment) thus will reduce any clinical and economic inefficiencies during the course of therapy.</w:t>
      </w:r>
      <w:r w:rsidR="0021676C" w:rsidRPr="00A41F07">
        <w:rPr>
          <w:rFonts w:cstheme="minorHAnsi"/>
          <w:szCs w:val="20"/>
        </w:rPr>
        <w:t xml:space="preserve"> </w:t>
      </w:r>
      <w:r w:rsidR="006D0EEB" w:rsidRPr="00A41F07">
        <w:rPr>
          <w:color w:val="000000"/>
          <w:shd w:val="clear" w:color="auto" w:fill="FFFFFF"/>
        </w:rPr>
        <w:t xml:space="preserve">CE offers a non-invasive approach to evaluate areas of the small bowel that are difficult to reach with traditional endoscopy. </w:t>
      </w:r>
      <w:r w:rsidRPr="00A41F07">
        <w:rPr>
          <w:color w:val="000000"/>
          <w:shd w:val="clear" w:color="auto" w:fill="FFFFFF"/>
        </w:rPr>
        <w:t>It can guide patient management where symptoms or objective evidence of inflammation escalate or de-escalate and prior investigations remain negative or non-diagnostic.</w:t>
      </w:r>
    </w:p>
    <w:p w14:paraId="5827192C" w14:textId="77777777" w:rsidR="00DF0D47" w:rsidRPr="00A41F07" w:rsidRDefault="005C3AE7" w:rsidP="005C3AE7">
      <w:pPr>
        <w:pStyle w:val="Subtitle"/>
      </w:pPr>
      <w:r w:rsidRPr="00A41F07">
        <w:lastRenderedPageBreak/>
        <w:t xml:space="preserve">PART 6d – </w:t>
      </w:r>
      <w:r w:rsidR="00DF0D47" w:rsidRPr="00A41F07">
        <w:t xml:space="preserve">INFORMATION ABOUT THE </w:t>
      </w:r>
      <w:r w:rsidR="00CF5AD8" w:rsidRPr="00A41F07">
        <w:t xml:space="preserve">CLINICAL </w:t>
      </w:r>
      <w:r w:rsidR="00DF0D47" w:rsidRPr="00A41F07">
        <w:t>OUTCOME</w:t>
      </w:r>
    </w:p>
    <w:p w14:paraId="5827192D" w14:textId="77777777" w:rsidR="004E3CC7" w:rsidRPr="00A41F07" w:rsidRDefault="004E3CC7" w:rsidP="00530204">
      <w:pPr>
        <w:pStyle w:val="Heading2"/>
      </w:pPr>
      <w:r w:rsidRPr="00A41F07">
        <w:t>Summarise the clinical claims for the proposed medical service against the appropriate comparator(s), in terms of consequences for health outcomes</w:t>
      </w:r>
      <w:r w:rsidR="00CF5AD8" w:rsidRPr="00A41F07">
        <w:t xml:space="preserve"> (</w:t>
      </w:r>
      <w:r w:rsidR="009F0C02" w:rsidRPr="00A41F07">
        <w:t>comparative benefits and harms)</w:t>
      </w:r>
      <w:r w:rsidR="00AE1188" w:rsidRPr="00A41F07">
        <w:t>:</w:t>
      </w:r>
    </w:p>
    <w:p w14:paraId="5827192E" w14:textId="77777777" w:rsidR="008806FF" w:rsidRPr="00A41F07" w:rsidRDefault="008806FF" w:rsidP="008806FF">
      <w:pPr>
        <w:spacing w:before="100" w:beforeAutospacing="1" w:after="100" w:afterAutospacing="1"/>
        <w:ind w:firstLine="360"/>
        <w:rPr>
          <w:rFonts w:cstheme="minorHAnsi"/>
          <w:b/>
          <w:szCs w:val="20"/>
        </w:rPr>
      </w:pPr>
      <w:r w:rsidRPr="00A41F07">
        <w:rPr>
          <w:rFonts w:cstheme="minorHAnsi"/>
          <w:b/>
          <w:szCs w:val="20"/>
        </w:rPr>
        <w:t xml:space="preserve"> Diagnosis of Patients with Suspected Crohn’s Disease</w:t>
      </w:r>
    </w:p>
    <w:p w14:paraId="5827192F" w14:textId="77777777" w:rsidR="008806FF" w:rsidRPr="00A41F07" w:rsidRDefault="008806FF" w:rsidP="008806FF">
      <w:pPr>
        <w:pStyle w:val="CommentText"/>
        <w:ind w:left="360"/>
        <w:jc w:val="both"/>
      </w:pPr>
      <w:r w:rsidRPr="00A41F07">
        <w:t>Capsule endoscopy relative to repeat endoscopic radiologic imaging will provide: Improved quality of life (QALY) in those patients who receive a confirmed diagnosis of CD, and are able to receive appropriate treatment. Patients in whom CD is excluded will also have QALY gains due to cessation of diagnostic investigations and the commencement of appropriate care (e.g. for IBD).</w:t>
      </w:r>
    </w:p>
    <w:p w14:paraId="58271930" w14:textId="77777777" w:rsidR="008806FF" w:rsidRPr="00A41F07" w:rsidRDefault="008806FF" w:rsidP="008806FF">
      <w:pPr>
        <w:spacing w:before="100" w:beforeAutospacing="1" w:after="100" w:afterAutospacing="1"/>
        <w:ind w:firstLine="360"/>
        <w:jc w:val="both"/>
        <w:rPr>
          <w:rFonts w:cstheme="minorHAnsi"/>
          <w:b/>
          <w:szCs w:val="20"/>
        </w:rPr>
      </w:pPr>
      <w:r w:rsidRPr="00A41F07">
        <w:rPr>
          <w:rFonts w:cstheme="minorHAnsi"/>
          <w:b/>
          <w:szCs w:val="20"/>
        </w:rPr>
        <w:t>Assessment of Known Crohn’s Disease</w:t>
      </w:r>
    </w:p>
    <w:p w14:paraId="58271931" w14:textId="77777777" w:rsidR="008806FF" w:rsidRPr="00A41F07" w:rsidRDefault="008806FF" w:rsidP="00DB4541">
      <w:pPr>
        <w:spacing w:before="100" w:beforeAutospacing="1" w:after="100" w:afterAutospacing="1"/>
        <w:ind w:left="360"/>
        <w:jc w:val="both"/>
        <w:rPr>
          <w:rFonts w:cstheme="minorHAnsi"/>
          <w:szCs w:val="24"/>
        </w:rPr>
      </w:pPr>
      <w:r w:rsidRPr="00A41F07">
        <w:t>Capsule endoscopy relative to “watch and wait” will provide improved quality of life in those patients who receive a confirmed diagnosis of recurrent or continuing sm</w:t>
      </w:r>
      <w:r w:rsidR="00417858" w:rsidRPr="00A41F07">
        <w:t>all bowel Crohn’s disease, and enable</w:t>
      </w:r>
      <w:r w:rsidRPr="00A41F07">
        <w:t xml:space="preserve"> access </w:t>
      </w:r>
      <w:r w:rsidR="00417858" w:rsidRPr="00A41F07">
        <w:t>to appropriate therapies.</w:t>
      </w:r>
    </w:p>
    <w:p w14:paraId="58271932" w14:textId="77777777" w:rsidR="004E3CC7" w:rsidRPr="00A41F07" w:rsidRDefault="004E3CC7" w:rsidP="00530204">
      <w:pPr>
        <w:pStyle w:val="Heading2"/>
      </w:pPr>
      <w:r w:rsidRPr="00A41F07">
        <w:t xml:space="preserve">Please advise if the </w:t>
      </w:r>
      <w:r w:rsidR="00CF5AD8" w:rsidRPr="00A41F07">
        <w:t xml:space="preserve">overall </w:t>
      </w:r>
      <w:r w:rsidRPr="00A41F07">
        <w:t>clinical claim is for:</w:t>
      </w:r>
    </w:p>
    <w:p w14:paraId="58271933" w14:textId="77777777" w:rsidR="001B29A1" w:rsidRPr="00A41F07" w:rsidRDefault="006031F1" w:rsidP="001B29A1">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1B29A1" w:rsidRPr="00A41F07">
        <w:rPr>
          <w:szCs w:val="20"/>
        </w:rPr>
        <w:t xml:space="preserve"> Superiority</w:t>
      </w:r>
      <w:r w:rsidR="001B29A1" w:rsidRPr="00A41F07">
        <w:rPr>
          <w:szCs w:val="20"/>
        </w:rPr>
        <w:tab/>
      </w:r>
    </w:p>
    <w:p w14:paraId="58271934" w14:textId="77777777" w:rsidR="004E3CC7" w:rsidRPr="00A41F07" w:rsidRDefault="001B29A1" w:rsidP="001B29A1">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Non-inferiority</w:t>
      </w:r>
      <w:r w:rsidRPr="00A41F07">
        <w:rPr>
          <w:szCs w:val="20"/>
        </w:rPr>
        <w:tab/>
      </w:r>
    </w:p>
    <w:p w14:paraId="58271935" w14:textId="77777777" w:rsidR="00B25D20" w:rsidRPr="00A41F07" w:rsidRDefault="001B29A1" w:rsidP="00530204">
      <w:pPr>
        <w:pStyle w:val="Heading2"/>
      </w:pPr>
      <w:r w:rsidRPr="00A41F07">
        <w:t>Below, l</w:t>
      </w:r>
      <w:r w:rsidR="00B25D20" w:rsidRPr="00A41F07">
        <w:t xml:space="preserve">ist the key health outcomes </w:t>
      </w:r>
      <w:r w:rsidR="00707D4D" w:rsidRPr="00A41F07">
        <w:t xml:space="preserve">(major and minor – prioritising major key health outcomes first) </w:t>
      </w:r>
      <w:r w:rsidR="00B25D20" w:rsidRPr="00A41F07">
        <w:t>that will ne</w:t>
      </w:r>
      <w:r w:rsidR="00AD37D4" w:rsidRPr="00A41F07">
        <w:t xml:space="preserve">ed to be specifically measured </w:t>
      </w:r>
      <w:r w:rsidR="00B25D20" w:rsidRPr="00A41F07">
        <w:t>in assessing the clinical claim of the proposed medica</w:t>
      </w:r>
      <w:r w:rsidRPr="00A41F07">
        <w:t>l service versus the comparator</w:t>
      </w:r>
      <w:r w:rsidR="00AD37D4" w:rsidRPr="00A41F07">
        <w:t>:</w:t>
      </w:r>
    </w:p>
    <w:p w14:paraId="58271936" w14:textId="77777777" w:rsidR="001B29A1" w:rsidRPr="00A41F07" w:rsidRDefault="001B29A1" w:rsidP="001B29A1">
      <w:pPr>
        <w:pBdr>
          <w:top w:val="single" w:sz="4" w:space="1" w:color="auto"/>
          <w:left w:val="single" w:sz="4" w:space="4" w:color="auto"/>
          <w:bottom w:val="single" w:sz="4" w:space="1" w:color="auto"/>
          <w:right w:val="single" w:sz="4" w:space="4" w:color="auto"/>
        </w:pBdr>
      </w:pPr>
      <w:r w:rsidRPr="00A41F07">
        <w:rPr>
          <w:b/>
          <w:szCs w:val="20"/>
        </w:rPr>
        <w:t xml:space="preserve">Safety Outcomes: </w:t>
      </w:r>
    </w:p>
    <w:p w14:paraId="58271937" w14:textId="77777777" w:rsidR="001B29A1" w:rsidRPr="00A41F07" w:rsidRDefault="00EF5477"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T</w:t>
      </w:r>
      <w:r w:rsidR="002028C4" w:rsidRPr="00A41F07">
        <w:rPr>
          <w:rFonts w:cstheme="minorHAnsi"/>
          <w:szCs w:val="20"/>
        </w:rPr>
        <w:t>reatment related Adverse Events</w:t>
      </w:r>
    </w:p>
    <w:p w14:paraId="58271938" w14:textId="77777777" w:rsidR="002028C4" w:rsidRPr="00A41F07" w:rsidRDefault="002028C4" w:rsidP="001B29A1">
      <w:pPr>
        <w:pBdr>
          <w:top w:val="single" w:sz="4" w:space="1" w:color="auto"/>
          <w:left w:val="single" w:sz="4" w:space="4" w:color="auto"/>
          <w:bottom w:val="single" w:sz="4" w:space="1" w:color="auto"/>
          <w:right w:val="single" w:sz="4" w:space="4" w:color="auto"/>
        </w:pBdr>
        <w:rPr>
          <w:rFonts w:cstheme="minorHAnsi"/>
          <w:szCs w:val="20"/>
        </w:rPr>
      </w:pPr>
    </w:p>
    <w:p w14:paraId="58271939" w14:textId="77777777" w:rsidR="00B25D20" w:rsidRPr="00A41F07" w:rsidRDefault="001B29A1" w:rsidP="001B29A1">
      <w:pPr>
        <w:pBdr>
          <w:top w:val="single" w:sz="4" w:space="1" w:color="auto"/>
          <w:left w:val="single" w:sz="4" w:space="4" w:color="auto"/>
          <w:bottom w:val="single" w:sz="4" w:space="1" w:color="auto"/>
          <w:right w:val="single" w:sz="4" w:space="4" w:color="auto"/>
        </w:pBdr>
        <w:rPr>
          <w:b/>
          <w:szCs w:val="20"/>
        </w:rPr>
      </w:pPr>
      <w:r w:rsidRPr="00A41F07">
        <w:rPr>
          <w:b/>
          <w:szCs w:val="20"/>
        </w:rPr>
        <w:t xml:space="preserve">Clinical Effectiveness Outcomes: </w:t>
      </w:r>
    </w:p>
    <w:p w14:paraId="5827193A" w14:textId="77777777" w:rsidR="008806FF" w:rsidRPr="00A41F07" w:rsidRDefault="008806FF" w:rsidP="008806FF">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Sustained clinical remission</w:t>
      </w:r>
    </w:p>
    <w:p w14:paraId="5827193B" w14:textId="77777777" w:rsidR="00331F55" w:rsidRPr="00A41F07" w:rsidRDefault="00EF5477" w:rsidP="001B29A1">
      <w:pPr>
        <w:pBdr>
          <w:top w:val="single" w:sz="4" w:space="1" w:color="auto"/>
          <w:left w:val="single" w:sz="4" w:space="4" w:color="auto"/>
          <w:bottom w:val="single" w:sz="4" w:space="1" w:color="auto"/>
          <w:right w:val="single" w:sz="4" w:space="4" w:color="auto"/>
        </w:pBdr>
        <w:rPr>
          <w:szCs w:val="20"/>
        </w:rPr>
      </w:pPr>
      <w:r w:rsidRPr="00A41F07">
        <w:rPr>
          <w:szCs w:val="20"/>
        </w:rPr>
        <w:t>Symptom Relief</w:t>
      </w:r>
    </w:p>
    <w:p w14:paraId="5827193C" w14:textId="77777777" w:rsidR="006031F1" w:rsidRPr="00A41F07" w:rsidRDefault="006031F1" w:rsidP="001B29A1">
      <w:pPr>
        <w:pBdr>
          <w:top w:val="single" w:sz="4" w:space="1" w:color="auto"/>
          <w:left w:val="single" w:sz="4" w:space="4" w:color="auto"/>
          <w:bottom w:val="single" w:sz="4" w:space="1" w:color="auto"/>
          <w:right w:val="single" w:sz="4" w:space="4" w:color="auto"/>
        </w:pBdr>
      </w:pPr>
      <w:r w:rsidRPr="00A41F07">
        <w:t>Time to a definite diagnosis</w:t>
      </w:r>
    </w:p>
    <w:p w14:paraId="5827193D" w14:textId="77777777" w:rsidR="006031F1" w:rsidRPr="00A41F07" w:rsidRDefault="006031F1"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Diagnostic performance</w:t>
      </w:r>
    </w:p>
    <w:p w14:paraId="5827193E" w14:textId="77777777" w:rsidR="006031F1" w:rsidRPr="00A41F07" w:rsidRDefault="006031F1"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Diagnostic yield</w:t>
      </w:r>
    </w:p>
    <w:p w14:paraId="5827193F" w14:textId="77777777" w:rsidR="006031F1" w:rsidRPr="00A41F07" w:rsidRDefault="006031F1"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Impact on patient management i.e. % change in management plans (for example from medical to surgery)</w:t>
      </w:r>
    </w:p>
    <w:p w14:paraId="58271940" w14:textId="77777777" w:rsidR="00A6233C" w:rsidRPr="00A41F07" w:rsidRDefault="00EF5477"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 xml:space="preserve">Health Related </w:t>
      </w:r>
      <w:r w:rsidR="00A6233C" w:rsidRPr="00A41F07">
        <w:rPr>
          <w:rFonts w:cstheme="minorHAnsi"/>
          <w:szCs w:val="20"/>
        </w:rPr>
        <w:t>Quality of Life</w:t>
      </w:r>
    </w:p>
    <w:p w14:paraId="58271941" w14:textId="77777777" w:rsidR="00A6233C" w:rsidRPr="00A41F07" w:rsidRDefault="00A6233C"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 xml:space="preserve">Decreased need for surgery </w:t>
      </w:r>
    </w:p>
    <w:p w14:paraId="58271942" w14:textId="77777777" w:rsidR="00A6233C" w:rsidRPr="00A41F07" w:rsidRDefault="00A6233C"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 xml:space="preserve">Decreased need for corticosteroids </w:t>
      </w:r>
    </w:p>
    <w:p w14:paraId="58271943" w14:textId="77777777" w:rsidR="00A6233C" w:rsidRPr="00A41F07" w:rsidRDefault="00A6233C" w:rsidP="001B29A1">
      <w:pPr>
        <w:pBdr>
          <w:top w:val="single" w:sz="4" w:space="1" w:color="auto"/>
          <w:left w:val="single" w:sz="4" w:space="4" w:color="auto"/>
          <w:bottom w:val="single" w:sz="4" w:space="1" w:color="auto"/>
          <w:right w:val="single" w:sz="4" w:space="4" w:color="auto"/>
        </w:pBdr>
        <w:rPr>
          <w:rFonts w:cstheme="minorHAnsi"/>
          <w:szCs w:val="20"/>
        </w:rPr>
      </w:pPr>
      <w:r w:rsidRPr="00A41F07">
        <w:rPr>
          <w:rFonts w:cstheme="minorHAnsi"/>
          <w:szCs w:val="20"/>
        </w:rPr>
        <w:t>Decreased hospitalisation</w:t>
      </w:r>
    </w:p>
    <w:p w14:paraId="58271944" w14:textId="77777777" w:rsidR="00C776B1" w:rsidRPr="00A41F07" w:rsidRDefault="003433D1" w:rsidP="00092580">
      <w:pPr>
        <w:pStyle w:val="Heading1"/>
      </w:pPr>
      <w:r w:rsidRPr="00A41F07">
        <w:rPr>
          <w:b/>
          <w:sz w:val="32"/>
        </w:rPr>
        <w:br w:type="page"/>
      </w:r>
      <w:r w:rsidR="005C3AE7" w:rsidRPr="00A41F07">
        <w:lastRenderedPageBreak/>
        <w:t>PART 7</w:t>
      </w:r>
      <w:r w:rsidR="00F93784" w:rsidRPr="00A41F07">
        <w:t xml:space="preserve"> – </w:t>
      </w:r>
      <w:r w:rsidR="006C74B1" w:rsidRPr="00A41F07">
        <w:t xml:space="preserve">INFORMATION ABOUT </w:t>
      </w:r>
      <w:r w:rsidR="0018630F" w:rsidRPr="00A41F07">
        <w:t xml:space="preserve">ESTIMATED </w:t>
      </w:r>
      <w:r w:rsidR="00974D50" w:rsidRPr="00A41F07">
        <w:t>UTILISATION</w:t>
      </w:r>
    </w:p>
    <w:p w14:paraId="58271945" w14:textId="77777777" w:rsidR="006C74B1" w:rsidRPr="00A41F07" w:rsidRDefault="00BE0FDE" w:rsidP="001B5169">
      <w:pPr>
        <w:pStyle w:val="Heading2"/>
      </w:pPr>
      <w:r w:rsidRPr="00A41F07">
        <w:t>Estimate</w:t>
      </w:r>
      <w:r w:rsidR="00974D50" w:rsidRPr="00A41F07">
        <w:t xml:space="preserve"> the prevalence</w:t>
      </w:r>
      <w:r w:rsidR="00B771AD" w:rsidRPr="00A41F07">
        <w:t xml:space="preserve"> and/or incidence</w:t>
      </w:r>
      <w:r w:rsidR="00974D50" w:rsidRPr="00A41F07">
        <w:t xml:space="preserve"> of </w:t>
      </w:r>
      <w:r w:rsidR="00AE1188" w:rsidRPr="00A41F07">
        <w:t>the proposed population:</w:t>
      </w:r>
    </w:p>
    <w:p w14:paraId="58271946" w14:textId="77777777" w:rsidR="007C2ED5" w:rsidRPr="00A41F07" w:rsidRDefault="00B20F99" w:rsidP="007B2289">
      <w:pPr>
        <w:autoSpaceDE w:val="0"/>
        <w:autoSpaceDN w:val="0"/>
        <w:adjustRightInd w:val="0"/>
        <w:ind w:left="360"/>
        <w:jc w:val="both"/>
        <w:rPr>
          <w:rFonts w:cstheme="minorHAnsi"/>
          <w:szCs w:val="20"/>
        </w:rPr>
      </w:pPr>
      <w:r w:rsidRPr="00A41F07">
        <w:rPr>
          <w:rFonts w:cstheme="minorHAnsi"/>
          <w:szCs w:val="20"/>
        </w:rPr>
        <w:t>An Australian</w:t>
      </w:r>
      <w:r w:rsidR="007C2ED5" w:rsidRPr="00A41F07">
        <w:rPr>
          <w:rFonts w:cstheme="minorHAnsi"/>
          <w:szCs w:val="20"/>
        </w:rPr>
        <w:t xml:space="preserve"> study in the regional Victorian city of Geelong found a crude annual incidence of 17.4 (95% CI =13 to 23) per 100,000 in 2008 (Wilson et al 2010).</w:t>
      </w:r>
      <w:r w:rsidRPr="00A41F07">
        <w:rPr>
          <w:rFonts w:cstheme="minorHAnsi"/>
          <w:szCs w:val="20"/>
        </w:rPr>
        <w:t xml:space="preserve"> In a recent prospective, population-based study of inflammatory bowel disease incidence, the Asia- Pacific Crohn’s and Colitis Epidemiology Study, the crude annual overall incidence of Crohn’s disease in Australia during 2011-2012 was 14.00 (95%CI: 10.09-18.92) per 100,000 persons (n=49) (Ng et al., 2013).</w:t>
      </w:r>
    </w:p>
    <w:p w14:paraId="58271947" w14:textId="77777777" w:rsidR="00382407" w:rsidRPr="00A41F07" w:rsidRDefault="00382407" w:rsidP="00530204">
      <w:pPr>
        <w:pStyle w:val="Heading2"/>
      </w:pPr>
      <w:r w:rsidRPr="00A41F07">
        <w:t>Estimate the number of times the proposed medical service</w:t>
      </w:r>
      <w:r w:rsidR="005A58BA" w:rsidRPr="00A41F07">
        <w:t>(s)</w:t>
      </w:r>
      <w:r w:rsidRPr="00A41F07">
        <w:t xml:space="preserve"> would be </w:t>
      </w:r>
      <w:r w:rsidR="00AE1188" w:rsidRPr="00A41F07">
        <w:t>delivered to a patient per year:</w:t>
      </w:r>
    </w:p>
    <w:p w14:paraId="58271948" w14:textId="77777777" w:rsidR="004506F5" w:rsidRPr="00A41F07" w:rsidRDefault="00E14866" w:rsidP="00E14866">
      <w:pPr>
        <w:spacing w:before="100" w:beforeAutospacing="1" w:after="100" w:afterAutospacing="1"/>
        <w:ind w:left="360"/>
        <w:rPr>
          <w:rFonts w:cstheme="minorHAnsi"/>
          <w:szCs w:val="20"/>
        </w:rPr>
      </w:pPr>
      <w:r w:rsidRPr="00A41F07">
        <w:rPr>
          <w:rFonts w:cstheme="minorHAnsi"/>
          <w:szCs w:val="20"/>
        </w:rPr>
        <w:t xml:space="preserve">Estimated number of times the proposed medical service would be delivered to patient per year for </w:t>
      </w:r>
      <w:r w:rsidR="004506F5" w:rsidRPr="00A41F07">
        <w:rPr>
          <w:rFonts w:cstheme="minorHAnsi"/>
          <w:szCs w:val="20"/>
        </w:rPr>
        <w:t>Diagnosis o</w:t>
      </w:r>
      <w:r w:rsidRPr="00A41F07">
        <w:rPr>
          <w:rFonts w:cstheme="minorHAnsi"/>
          <w:szCs w:val="20"/>
        </w:rPr>
        <w:t>f small bowel Suspected Crohn’s should not be</w:t>
      </w:r>
      <w:r w:rsidR="004506F5" w:rsidRPr="00A41F07">
        <w:rPr>
          <w:rFonts w:cstheme="minorHAnsi"/>
          <w:szCs w:val="20"/>
        </w:rPr>
        <w:t xml:space="preserve"> more than </w:t>
      </w:r>
      <w:r w:rsidRPr="00A41F07">
        <w:rPr>
          <w:rFonts w:cstheme="minorHAnsi"/>
          <w:szCs w:val="20"/>
        </w:rPr>
        <w:t>once a year.</w:t>
      </w:r>
    </w:p>
    <w:p w14:paraId="58271949" w14:textId="77777777" w:rsidR="00E14866" w:rsidRPr="00A41F07" w:rsidRDefault="00E14866" w:rsidP="00BB4507">
      <w:pPr>
        <w:spacing w:before="100" w:beforeAutospacing="1" w:after="100" w:afterAutospacing="1"/>
        <w:ind w:left="360"/>
        <w:rPr>
          <w:rFonts w:cstheme="minorHAnsi"/>
          <w:szCs w:val="20"/>
        </w:rPr>
      </w:pPr>
      <w:r w:rsidRPr="00A41F07">
        <w:rPr>
          <w:rFonts w:cstheme="minorHAnsi"/>
          <w:szCs w:val="20"/>
        </w:rPr>
        <w:t xml:space="preserve">Estimated number of </w:t>
      </w:r>
      <w:r w:rsidR="00BB4507" w:rsidRPr="00A41F07">
        <w:rPr>
          <w:rFonts w:cstheme="minorHAnsi"/>
          <w:szCs w:val="20"/>
        </w:rPr>
        <w:t>times the proposed</w:t>
      </w:r>
      <w:r w:rsidRPr="00A41F07">
        <w:rPr>
          <w:rFonts w:cstheme="minorHAnsi"/>
          <w:szCs w:val="20"/>
        </w:rPr>
        <w:t xml:space="preserve"> medical service would be delivered to patient per year for Assessment of Known Crohn’s</w:t>
      </w:r>
      <w:r w:rsidR="00BB4507" w:rsidRPr="00A41F07">
        <w:rPr>
          <w:rFonts w:cstheme="minorHAnsi"/>
          <w:szCs w:val="20"/>
        </w:rPr>
        <w:t xml:space="preserve"> should not be more than once a year.</w:t>
      </w:r>
    </w:p>
    <w:p w14:paraId="5827194A" w14:textId="77777777" w:rsidR="00382407" w:rsidRPr="00A41F07" w:rsidRDefault="00382407" w:rsidP="00530204">
      <w:pPr>
        <w:pStyle w:val="Heading2"/>
      </w:pPr>
      <w:r w:rsidRPr="00A41F07">
        <w:t>How many years would the proposed medical service</w:t>
      </w:r>
      <w:r w:rsidR="005A58BA" w:rsidRPr="00A41F07">
        <w:t>(s)</w:t>
      </w:r>
      <w:r w:rsidRPr="00A41F07">
        <w:t xml:space="preserve"> be required for the patient?</w:t>
      </w:r>
    </w:p>
    <w:p w14:paraId="5827194B" w14:textId="77777777" w:rsidR="00A35D71" w:rsidRPr="00A41F07" w:rsidRDefault="00A35D71" w:rsidP="00A35D71">
      <w:pPr>
        <w:spacing w:before="100" w:beforeAutospacing="1" w:after="100" w:afterAutospacing="1"/>
        <w:ind w:left="360"/>
        <w:jc w:val="both"/>
        <w:rPr>
          <w:rFonts w:cstheme="minorHAnsi"/>
          <w:szCs w:val="20"/>
        </w:rPr>
      </w:pPr>
      <w:r w:rsidRPr="00A41F07">
        <w:rPr>
          <w:rFonts w:cstheme="minorHAnsi"/>
          <w:szCs w:val="20"/>
        </w:rPr>
        <w:t xml:space="preserve">Diagnosis of small bowel Suspected Crohn’s:  Once after indeterminate </w:t>
      </w:r>
      <w:r w:rsidR="008867FA" w:rsidRPr="00A41F07">
        <w:rPr>
          <w:rFonts w:cstheme="minorHAnsi"/>
          <w:szCs w:val="20"/>
        </w:rPr>
        <w:t xml:space="preserve">colonoscopy with </w:t>
      </w:r>
      <w:r w:rsidRPr="00A41F07">
        <w:rPr>
          <w:rFonts w:cstheme="minorHAnsi"/>
          <w:szCs w:val="20"/>
        </w:rPr>
        <w:t xml:space="preserve">ileoscopy and </w:t>
      </w:r>
      <w:r w:rsidR="008867FA" w:rsidRPr="00A41F07">
        <w:rPr>
          <w:rFonts w:cstheme="minorHAnsi"/>
          <w:szCs w:val="20"/>
        </w:rPr>
        <w:t>non-diagnostic negative/non diagnostic result from CTE/MRE.</w:t>
      </w:r>
    </w:p>
    <w:p w14:paraId="5827194C" w14:textId="77777777" w:rsidR="00A35D71" w:rsidRPr="00A41F07" w:rsidRDefault="00A35D71" w:rsidP="00A35D71">
      <w:pPr>
        <w:ind w:left="360"/>
        <w:jc w:val="both"/>
      </w:pPr>
      <w:r w:rsidRPr="00A41F07">
        <w:rPr>
          <w:rFonts w:cstheme="minorHAnsi"/>
          <w:szCs w:val="20"/>
        </w:rPr>
        <w:t>Assessment of small bowel Crohn’s:  Since it is not a curable disease and a long term chronic condition, ongoing assessment might be required.  Due to heterogeneous disease course</w:t>
      </w:r>
      <w:r w:rsidR="00E03D1C" w:rsidRPr="00A41F07">
        <w:rPr>
          <w:rFonts w:cstheme="minorHAnsi"/>
          <w:szCs w:val="20"/>
        </w:rPr>
        <w:t>,</w:t>
      </w:r>
      <w:r w:rsidRPr="00A41F07">
        <w:rPr>
          <w:rFonts w:cstheme="minorHAnsi"/>
          <w:szCs w:val="20"/>
        </w:rPr>
        <w:t xml:space="preserve"> </w:t>
      </w:r>
      <w:r w:rsidR="00E03D1C" w:rsidRPr="00A41F07">
        <w:rPr>
          <w:rFonts w:cstheme="minorHAnsi"/>
          <w:szCs w:val="20"/>
        </w:rPr>
        <w:t>total number of years required for the proposed service may</w:t>
      </w:r>
      <w:r w:rsidR="00BB4507" w:rsidRPr="00A41F07">
        <w:rPr>
          <w:rFonts w:cstheme="minorHAnsi"/>
          <w:szCs w:val="20"/>
        </w:rPr>
        <w:t xml:space="preserve"> differ from patient to patient</w:t>
      </w:r>
      <w:r w:rsidR="00E03D1C" w:rsidRPr="00A41F07">
        <w:rPr>
          <w:rFonts w:cstheme="minorHAnsi"/>
          <w:szCs w:val="20"/>
        </w:rPr>
        <w:t>.</w:t>
      </w:r>
    </w:p>
    <w:p w14:paraId="5827194D" w14:textId="77777777" w:rsidR="00A35D71" w:rsidRPr="00A41F07" w:rsidRDefault="00A35D71" w:rsidP="00A35D71"/>
    <w:p w14:paraId="5827194E" w14:textId="77777777" w:rsidR="002A6753" w:rsidRPr="00A41F07" w:rsidRDefault="000E47E7" w:rsidP="00530204">
      <w:pPr>
        <w:pStyle w:val="Heading2"/>
      </w:pPr>
      <w:r w:rsidRPr="00A41F07">
        <w:t xml:space="preserve">Estimate </w:t>
      </w:r>
      <w:r w:rsidR="002A6753" w:rsidRPr="00A41F07">
        <w:t xml:space="preserve">the projected number of patients who will utilise the proposed </w:t>
      </w:r>
      <w:r w:rsidRPr="00A41F07">
        <w:t xml:space="preserve">medical </w:t>
      </w:r>
      <w:r w:rsidR="002A6753" w:rsidRPr="00A41F07">
        <w:t>ser</w:t>
      </w:r>
      <w:r w:rsidR="00AE1188" w:rsidRPr="00A41F07">
        <w:t>vice(s) for the first full year:</w:t>
      </w:r>
    </w:p>
    <w:p w14:paraId="5827194F" w14:textId="77777777" w:rsidR="00BD548F" w:rsidRPr="00A41F07" w:rsidRDefault="00BD548F" w:rsidP="00BD548F">
      <w:pPr>
        <w:autoSpaceDE w:val="0"/>
        <w:autoSpaceDN w:val="0"/>
        <w:adjustRightInd w:val="0"/>
        <w:ind w:firstLine="360"/>
        <w:jc w:val="both"/>
        <w:rPr>
          <w:rFonts w:cstheme="minorHAnsi"/>
          <w:b/>
        </w:rPr>
      </w:pPr>
      <w:r w:rsidRPr="00A41F07">
        <w:rPr>
          <w:rFonts w:cstheme="minorHAnsi"/>
          <w:b/>
        </w:rPr>
        <w:t xml:space="preserve">Diagnosis of </w:t>
      </w:r>
      <w:r w:rsidR="008F661D" w:rsidRPr="00A41F07">
        <w:rPr>
          <w:rFonts w:cstheme="minorHAnsi"/>
          <w:b/>
        </w:rPr>
        <w:t xml:space="preserve">Patients with </w:t>
      </w:r>
      <w:r w:rsidRPr="00A41F07">
        <w:rPr>
          <w:rFonts w:cstheme="minorHAnsi"/>
          <w:b/>
        </w:rPr>
        <w:t xml:space="preserve">Suspected </w:t>
      </w:r>
      <w:r w:rsidR="00E530BC" w:rsidRPr="00A41F07">
        <w:rPr>
          <w:rFonts w:cstheme="minorHAnsi"/>
          <w:b/>
        </w:rPr>
        <w:t xml:space="preserve">Small Bowel </w:t>
      </w:r>
      <w:r w:rsidRPr="00A41F07">
        <w:rPr>
          <w:rFonts w:cstheme="minorHAnsi"/>
          <w:b/>
        </w:rPr>
        <w:t>Crohn’s</w:t>
      </w:r>
      <w:r w:rsidR="00E4482D" w:rsidRPr="00A41F07">
        <w:rPr>
          <w:rFonts w:cstheme="minorHAnsi"/>
          <w:b/>
        </w:rPr>
        <w:t xml:space="preserve"> Disease</w:t>
      </w:r>
    </w:p>
    <w:p w14:paraId="58271950" w14:textId="77777777" w:rsidR="00D168FC" w:rsidRPr="00A41F07" w:rsidRDefault="00D168FC" w:rsidP="00D168FC">
      <w:pPr>
        <w:pStyle w:val="Heading4"/>
        <w:ind w:firstLine="360"/>
        <w:rPr>
          <w:color w:val="auto"/>
        </w:rPr>
      </w:pPr>
      <w:r w:rsidRPr="00A41F07">
        <w:rPr>
          <w:color w:val="auto"/>
        </w:rPr>
        <w:t>Estimates presented in the July 2011 Assessment Report</w:t>
      </w:r>
    </w:p>
    <w:p w14:paraId="58271951" w14:textId="77777777" w:rsidR="00D168FC" w:rsidRPr="00A41F07" w:rsidRDefault="00D168FC" w:rsidP="00D168FC">
      <w:pPr>
        <w:ind w:left="360"/>
      </w:pPr>
      <w:r w:rsidRPr="00A41F07">
        <w:t>The July 2011 Assessment Report (Gilbert et al 2011) suggested that the estimated utilisation of capsule endoscopy for the diagnosis of small bowel Crohn’s disease unconfirmed on prior tests lies between 664 and 1,431 per year, as summarised in</w:t>
      </w:r>
      <w:r w:rsidR="006B4A7B" w:rsidRPr="00A41F07">
        <w:t xml:space="preserve"> Table below</w:t>
      </w:r>
      <w:r w:rsidRPr="00A41F07">
        <w:t xml:space="preserve">. </w:t>
      </w:r>
    </w:p>
    <w:p w14:paraId="58271952" w14:textId="77777777" w:rsidR="00D168FC" w:rsidRPr="00A41F07" w:rsidRDefault="00D168FC" w:rsidP="00D168FC">
      <w:pPr>
        <w:ind w:left="360"/>
      </w:pPr>
      <w:r w:rsidRPr="00A41F07">
        <w:t>These estimates were based on the incidence of Crohn’s disease reported in Australia (Wilson et al 2010) and the test’s estimated diagnostic yield as reported by Selby et al (2008) and Tukey et al (2009). Wilson et al (2010) was the only Australian population-based incidence study for Crohn’s disease. In addition, the Advisory Panel estimated that approximately 95% of cases would be diagnosed by prior tests, leaving 5% of incident cases diagnosed by capsule endoscopy.</w:t>
      </w:r>
    </w:p>
    <w:p w14:paraId="58271953" w14:textId="77777777" w:rsidR="006B4A7B" w:rsidRPr="00A41F07" w:rsidRDefault="00D168FC" w:rsidP="00D168FC">
      <w:pPr>
        <w:pStyle w:val="Caption"/>
      </w:pPr>
      <w:bookmarkStart w:id="5" w:name="_Ref355357108"/>
      <w:bookmarkStart w:id="6" w:name="_Toc358719167"/>
      <w:r w:rsidRPr="00A41F07">
        <w:lastRenderedPageBreak/>
        <w:t xml:space="preserve">Usage estimates for capsule endoscopy included in </w:t>
      </w:r>
      <w:r w:rsidR="006B4A7B" w:rsidRPr="00A41F07">
        <w:t>the July 2011 Assessment Report</w:t>
      </w:r>
    </w:p>
    <w:p w14:paraId="58271954" w14:textId="77777777" w:rsidR="00D168FC" w:rsidRPr="00A41F07" w:rsidRDefault="00D168FC" w:rsidP="00D168FC">
      <w:pPr>
        <w:pStyle w:val="Caption"/>
      </w:pPr>
      <w:r w:rsidRPr="00A41F07">
        <w:t>(</w:t>
      </w:r>
      <w:bookmarkEnd w:id="5"/>
      <w:r w:rsidRPr="00A41F07">
        <w:t xml:space="preserve">Gilbert et al 2011, </w:t>
      </w:r>
      <w:proofErr w:type="spellStart"/>
      <w:r w:rsidRPr="00A41F07">
        <w:t>pg</w:t>
      </w:r>
      <w:proofErr w:type="spellEnd"/>
      <w:r w:rsidRPr="00A41F07">
        <w:t xml:space="preserve"> 23)</w:t>
      </w:r>
      <w:bookmarkEnd w:id="6"/>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3236"/>
        <w:gridCol w:w="1203"/>
        <w:gridCol w:w="3838"/>
      </w:tblGrid>
      <w:tr w:rsidR="00D168FC" w:rsidRPr="00A41F07" w14:paraId="58271959" w14:textId="77777777" w:rsidTr="008F472B">
        <w:trPr>
          <w:trHeight w:val="300"/>
          <w:jc w:val="center"/>
        </w:trPr>
        <w:tc>
          <w:tcPr>
            <w:tcW w:w="348" w:type="pct"/>
            <w:vAlign w:val="bottom"/>
          </w:tcPr>
          <w:p w14:paraId="58271955" w14:textId="77777777" w:rsidR="00D168FC" w:rsidRPr="00A41F07" w:rsidRDefault="00D168FC" w:rsidP="009375C6">
            <w:pPr>
              <w:pStyle w:val="Tabletext0"/>
              <w:rPr>
                <w:lang w:eastAsia="ja-JP"/>
              </w:rPr>
            </w:pPr>
            <w:r w:rsidRPr="00A41F07">
              <w:rPr>
                <w:lang w:eastAsia="ja-JP"/>
              </w:rPr>
              <w:t>Row</w:t>
            </w:r>
          </w:p>
        </w:tc>
        <w:tc>
          <w:tcPr>
            <w:tcW w:w="1819" w:type="pct"/>
            <w:shd w:val="clear" w:color="auto" w:fill="auto"/>
            <w:noWrap/>
            <w:vAlign w:val="bottom"/>
            <w:hideMark/>
          </w:tcPr>
          <w:p w14:paraId="58271956" w14:textId="77777777" w:rsidR="00D168FC" w:rsidRPr="00A41F07" w:rsidRDefault="00D168FC" w:rsidP="009375C6">
            <w:pPr>
              <w:pStyle w:val="Tabletext0"/>
              <w:rPr>
                <w:lang w:eastAsia="ja-JP"/>
              </w:rPr>
            </w:pPr>
            <w:r w:rsidRPr="00A41F07">
              <w:rPr>
                <w:lang w:eastAsia="ja-JP"/>
              </w:rPr>
              <w:t>Variable</w:t>
            </w:r>
          </w:p>
        </w:tc>
        <w:tc>
          <w:tcPr>
            <w:tcW w:w="676" w:type="pct"/>
            <w:shd w:val="clear" w:color="auto" w:fill="auto"/>
            <w:noWrap/>
            <w:vAlign w:val="bottom"/>
            <w:hideMark/>
          </w:tcPr>
          <w:p w14:paraId="58271957" w14:textId="77777777" w:rsidR="00D168FC" w:rsidRPr="00A41F07" w:rsidRDefault="00D168FC" w:rsidP="009375C6">
            <w:pPr>
              <w:pStyle w:val="Tabletext0"/>
              <w:rPr>
                <w:lang w:eastAsia="ja-JP"/>
              </w:rPr>
            </w:pPr>
            <w:r w:rsidRPr="00A41F07">
              <w:rPr>
                <w:lang w:eastAsia="ja-JP"/>
              </w:rPr>
              <w:t>Estimates</w:t>
            </w:r>
          </w:p>
        </w:tc>
        <w:tc>
          <w:tcPr>
            <w:tcW w:w="2157" w:type="pct"/>
            <w:shd w:val="clear" w:color="auto" w:fill="auto"/>
            <w:noWrap/>
            <w:vAlign w:val="bottom"/>
            <w:hideMark/>
          </w:tcPr>
          <w:p w14:paraId="58271958" w14:textId="77777777" w:rsidR="00D168FC" w:rsidRPr="00A41F07" w:rsidRDefault="00D168FC" w:rsidP="009375C6">
            <w:pPr>
              <w:pStyle w:val="Tabletext0"/>
              <w:rPr>
                <w:lang w:eastAsia="ja-JP"/>
              </w:rPr>
            </w:pPr>
            <w:r w:rsidRPr="00A41F07">
              <w:rPr>
                <w:lang w:eastAsia="ja-JP"/>
              </w:rPr>
              <w:t>Source</w:t>
            </w:r>
          </w:p>
        </w:tc>
      </w:tr>
      <w:tr w:rsidR="00D168FC" w:rsidRPr="00A41F07" w14:paraId="5827195E" w14:textId="77777777" w:rsidTr="008F472B">
        <w:trPr>
          <w:trHeight w:val="300"/>
          <w:jc w:val="center"/>
        </w:trPr>
        <w:tc>
          <w:tcPr>
            <w:tcW w:w="348" w:type="pct"/>
            <w:vAlign w:val="bottom"/>
          </w:tcPr>
          <w:p w14:paraId="5827195A" w14:textId="77777777" w:rsidR="00D168FC" w:rsidRPr="00A41F07" w:rsidRDefault="00D168FC" w:rsidP="009375C6">
            <w:pPr>
              <w:pStyle w:val="Tabletext0"/>
              <w:rPr>
                <w:lang w:eastAsia="ja-JP"/>
              </w:rPr>
            </w:pPr>
            <w:r w:rsidRPr="00A41F07">
              <w:rPr>
                <w:lang w:eastAsia="ja-JP"/>
              </w:rPr>
              <w:t>A</w:t>
            </w:r>
          </w:p>
        </w:tc>
        <w:tc>
          <w:tcPr>
            <w:tcW w:w="1819" w:type="pct"/>
            <w:shd w:val="clear" w:color="auto" w:fill="auto"/>
            <w:noWrap/>
            <w:vAlign w:val="bottom"/>
            <w:hideMark/>
          </w:tcPr>
          <w:p w14:paraId="5827195B" w14:textId="77777777" w:rsidR="00D168FC" w:rsidRPr="00A41F07" w:rsidRDefault="00D168FC" w:rsidP="009375C6">
            <w:pPr>
              <w:pStyle w:val="Tabletext0"/>
              <w:rPr>
                <w:lang w:eastAsia="ja-JP"/>
              </w:rPr>
            </w:pPr>
            <w:r w:rsidRPr="00A41F07">
              <w:rPr>
                <w:lang w:eastAsia="ja-JP"/>
              </w:rPr>
              <w:t>Estimated incidence of Crohn's disease</w:t>
            </w:r>
          </w:p>
        </w:tc>
        <w:tc>
          <w:tcPr>
            <w:tcW w:w="676" w:type="pct"/>
            <w:shd w:val="clear" w:color="auto" w:fill="auto"/>
            <w:noWrap/>
            <w:vAlign w:val="bottom"/>
            <w:hideMark/>
          </w:tcPr>
          <w:p w14:paraId="5827195C" w14:textId="77777777" w:rsidR="00D168FC" w:rsidRPr="00A41F07" w:rsidRDefault="00D168FC" w:rsidP="009375C6">
            <w:pPr>
              <w:pStyle w:val="Tabletext0"/>
              <w:rPr>
                <w:lang w:eastAsia="ja-JP"/>
              </w:rPr>
            </w:pPr>
            <w:r w:rsidRPr="00A41F07">
              <w:rPr>
                <w:lang w:eastAsia="ja-JP"/>
              </w:rPr>
              <w:t xml:space="preserve">3,719 </w:t>
            </w:r>
          </w:p>
        </w:tc>
        <w:tc>
          <w:tcPr>
            <w:tcW w:w="2157" w:type="pct"/>
            <w:shd w:val="clear" w:color="auto" w:fill="auto"/>
            <w:noWrap/>
            <w:hideMark/>
          </w:tcPr>
          <w:p w14:paraId="5827195D" w14:textId="77777777" w:rsidR="00D168FC" w:rsidRPr="00A41F07" w:rsidRDefault="00D168FC" w:rsidP="009375C6">
            <w:pPr>
              <w:pStyle w:val="Tabletext0"/>
            </w:pPr>
            <w:r w:rsidRPr="00A41F07">
              <w:t xml:space="preserve">Gilbert et al 2011, </w:t>
            </w:r>
            <w:proofErr w:type="spellStart"/>
            <w:r w:rsidRPr="00A41F07">
              <w:t>pg</w:t>
            </w:r>
            <w:proofErr w:type="spellEnd"/>
            <w:r w:rsidRPr="00A41F07">
              <w:t xml:space="preserve"> 23</w:t>
            </w:r>
          </w:p>
        </w:tc>
      </w:tr>
      <w:tr w:rsidR="00D168FC" w:rsidRPr="00A41F07" w14:paraId="58271963" w14:textId="77777777" w:rsidTr="008F472B">
        <w:trPr>
          <w:trHeight w:val="300"/>
          <w:jc w:val="center"/>
        </w:trPr>
        <w:tc>
          <w:tcPr>
            <w:tcW w:w="348" w:type="pct"/>
            <w:vAlign w:val="bottom"/>
          </w:tcPr>
          <w:p w14:paraId="5827195F" w14:textId="77777777" w:rsidR="00D168FC" w:rsidRPr="00A41F07" w:rsidRDefault="00D168FC" w:rsidP="009375C6">
            <w:pPr>
              <w:pStyle w:val="Tabletext0"/>
              <w:rPr>
                <w:lang w:eastAsia="ja-JP"/>
              </w:rPr>
            </w:pPr>
          </w:p>
        </w:tc>
        <w:tc>
          <w:tcPr>
            <w:tcW w:w="1819" w:type="pct"/>
            <w:shd w:val="clear" w:color="auto" w:fill="auto"/>
            <w:noWrap/>
            <w:vAlign w:val="bottom"/>
            <w:hideMark/>
          </w:tcPr>
          <w:p w14:paraId="58271960" w14:textId="77777777" w:rsidR="00D168FC" w:rsidRPr="00A41F07" w:rsidRDefault="00D168FC" w:rsidP="009375C6">
            <w:pPr>
              <w:pStyle w:val="Tabletext0"/>
              <w:rPr>
                <w:lang w:eastAsia="ja-JP"/>
              </w:rPr>
            </w:pPr>
            <w:r w:rsidRPr="00A41F07">
              <w:rPr>
                <w:lang w:eastAsia="ja-JP"/>
              </w:rPr>
              <w:t>Cases diagnosed using prior tests</w:t>
            </w:r>
          </w:p>
        </w:tc>
        <w:tc>
          <w:tcPr>
            <w:tcW w:w="676" w:type="pct"/>
            <w:shd w:val="clear" w:color="auto" w:fill="auto"/>
            <w:noWrap/>
            <w:vAlign w:val="bottom"/>
            <w:hideMark/>
          </w:tcPr>
          <w:p w14:paraId="58271961" w14:textId="77777777" w:rsidR="00D168FC" w:rsidRPr="00A41F07" w:rsidRDefault="00D168FC" w:rsidP="009375C6">
            <w:pPr>
              <w:pStyle w:val="Tabletext0"/>
              <w:rPr>
                <w:lang w:eastAsia="ja-JP"/>
              </w:rPr>
            </w:pPr>
          </w:p>
        </w:tc>
        <w:tc>
          <w:tcPr>
            <w:tcW w:w="2157" w:type="pct"/>
            <w:shd w:val="clear" w:color="auto" w:fill="auto"/>
            <w:noWrap/>
            <w:hideMark/>
          </w:tcPr>
          <w:p w14:paraId="58271962" w14:textId="77777777" w:rsidR="00D168FC" w:rsidRPr="00A41F07" w:rsidRDefault="00D168FC" w:rsidP="009375C6">
            <w:pPr>
              <w:pStyle w:val="Tabletext0"/>
            </w:pPr>
          </w:p>
        </w:tc>
      </w:tr>
      <w:tr w:rsidR="00D168FC" w:rsidRPr="00A41F07" w14:paraId="58271968" w14:textId="77777777" w:rsidTr="008F472B">
        <w:trPr>
          <w:trHeight w:val="300"/>
          <w:jc w:val="center"/>
        </w:trPr>
        <w:tc>
          <w:tcPr>
            <w:tcW w:w="348" w:type="pct"/>
            <w:vAlign w:val="bottom"/>
          </w:tcPr>
          <w:p w14:paraId="58271964" w14:textId="77777777" w:rsidR="00D168FC" w:rsidRPr="00A41F07" w:rsidRDefault="00D168FC" w:rsidP="009375C6">
            <w:pPr>
              <w:pStyle w:val="Tabletext0"/>
              <w:rPr>
                <w:lang w:eastAsia="ja-JP"/>
              </w:rPr>
            </w:pPr>
            <w:r w:rsidRPr="00A41F07">
              <w:rPr>
                <w:lang w:eastAsia="ja-JP"/>
              </w:rPr>
              <w:t>B</w:t>
            </w:r>
          </w:p>
        </w:tc>
        <w:tc>
          <w:tcPr>
            <w:tcW w:w="1819" w:type="pct"/>
            <w:shd w:val="clear" w:color="auto" w:fill="auto"/>
            <w:noWrap/>
            <w:vAlign w:val="bottom"/>
            <w:hideMark/>
          </w:tcPr>
          <w:p w14:paraId="58271965" w14:textId="77777777" w:rsidR="00D168FC" w:rsidRPr="00A41F07" w:rsidRDefault="00D168FC" w:rsidP="009375C6">
            <w:pPr>
              <w:pStyle w:val="Tabletext0"/>
              <w:rPr>
                <w:lang w:eastAsia="ja-JP"/>
              </w:rPr>
            </w:pPr>
            <w:r w:rsidRPr="00A41F07">
              <w:rPr>
                <w:lang w:eastAsia="ja-JP"/>
              </w:rPr>
              <w:t xml:space="preserve">   - % diagnosed using other tests</w:t>
            </w:r>
          </w:p>
        </w:tc>
        <w:tc>
          <w:tcPr>
            <w:tcW w:w="676" w:type="pct"/>
            <w:shd w:val="clear" w:color="auto" w:fill="auto"/>
            <w:noWrap/>
            <w:vAlign w:val="bottom"/>
            <w:hideMark/>
          </w:tcPr>
          <w:p w14:paraId="58271966" w14:textId="77777777" w:rsidR="00D168FC" w:rsidRPr="00A41F07" w:rsidRDefault="00D168FC" w:rsidP="009375C6">
            <w:pPr>
              <w:pStyle w:val="Tabletext0"/>
              <w:rPr>
                <w:lang w:eastAsia="ja-JP"/>
              </w:rPr>
            </w:pPr>
            <w:r w:rsidRPr="00A41F07">
              <w:rPr>
                <w:lang w:eastAsia="ja-JP"/>
              </w:rPr>
              <w:t>95%</w:t>
            </w:r>
          </w:p>
        </w:tc>
        <w:tc>
          <w:tcPr>
            <w:tcW w:w="2157" w:type="pct"/>
            <w:shd w:val="clear" w:color="auto" w:fill="auto"/>
            <w:noWrap/>
            <w:hideMark/>
          </w:tcPr>
          <w:p w14:paraId="58271967" w14:textId="77777777" w:rsidR="00D168FC" w:rsidRPr="00A41F07" w:rsidRDefault="00D168FC" w:rsidP="009375C6">
            <w:pPr>
              <w:pStyle w:val="Tabletext0"/>
            </w:pPr>
            <w:r w:rsidRPr="00A41F07">
              <w:t>Advisory Panel (July 2011 Assessment Report)</w:t>
            </w:r>
          </w:p>
        </w:tc>
      </w:tr>
      <w:tr w:rsidR="00D168FC" w:rsidRPr="00A41F07" w14:paraId="5827196D" w14:textId="77777777" w:rsidTr="008F472B">
        <w:trPr>
          <w:trHeight w:val="300"/>
          <w:jc w:val="center"/>
        </w:trPr>
        <w:tc>
          <w:tcPr>
            <w:tcW w:w="348" w:type="pct"/>
            <w:vAlign w:val="bottom"/>
          </w:tcPr>
          <w:p w14:paraId="58271969" w14:textId="77777777" w:rsidR="00D168FC" w:rsidRPr="00A41F07" w:rsidRDefault="00D168FC" w:rsidP="009375C6">
            <w:pPr>
              <w:pStyle w:val="Tabletext0"/>
              <w:rPr>
                <w:lang w:eastAsia="ja-JP"/>
              </w:rPr>
            </w:pPr>
            <w:r w:rsidRPr="00A41F07">
              <w:rPr>
                <w:lang w:eastAsia="ja-JP"/>
              </w:rPr>
              <w:t>C</w:t>
            </w:r>
          </w:p>
        </w:tc>
        <w:tc>
          <w:tcPr>
            <w:tcW w:w="1819" w:type="pct"/>
            <w:shd w:val="clear" w:color="auto" w:fill="auto"/>
            <w:noWrap/>
            <w:vAlign w:val="bottom"/>
            <w:hideMark/>
          </w:tcPr>
          <w:p w14:paraId="5827196A" w14:textId="77777777" w:rsidR="00D168FC" w:rsidRPr="00A41F07" w:rsidRDefault="00D168FC" w:rsidP="009375C6">
            <w:pPr>
              <w:pStyle w:val="Tabletext0"/>
              <w:rPr>
                <w:lang w:eastAsia="ja-JP"/>
              </w:rPr>
            </w:pPr>
            <w:r w:rsidRPr="00A41F07">
              <w:rPr>
                <w:lang w:eastAsia="ja-JP"/>
              </w:rPr>
              <w:t xml:space="preserve">   - Diagnosed cases</w:t>
            </w:r>
          </w:p>
        </w:tc>
        <w:tc>
          <w:tcPr>
            <w:tcW w:w="676" w:type="pct"/>
            <w:shd w:val="clear" w:color="auto" w:fill="auto"/>
            <w:noWrap/>
            <w:vAlign w:val="bottom"/>
            <w:hideMark/>
          </w:tcPr>
          <w:p w14:paraId="5827196B" w14:textId="77777777" w:rsidR="00D168FC" w:rsidRPr="00A41F07" w:rsidRDefault="00D168FC" w:rsidP="009375C6">
            <w:pPr>
              <w:pStyle w:val="Tabletext0"/>
              <w:rPr>
                <w:lang w:eastAsia="ja-JP"/>
              </w:rPr>
            </w:pPr>
            <w:r w:rsidRPr="00A41F07">
              <w:rPr>
                <w:lang w:eastAsia="ja-JP"/>
              </w:rPr>
              <w:t xml:space="preserve">3,533 </w:t>
            </w:r>
          </w:p>
        </w:tc>
        <w:tc>
          <w:tcPr>
            <w:tcW w:w="2157" w:type="pct"/>
            <w:shd w:val="clear" w:color="auto" w:fill="auto"/>
            <w:noWrap/>
            <w:hideMark/>
          </w:tcPr>
          <w:p w14:paraId="5827196C" w14:textId="77777777" w:rsidR="00D168FC" w:rsidRPr="00A41F07" w:rsidRDefault="00D168FC" w:rsidP="009375C6">
            <w:pPr>
              <w:pStyle w:val="Tabletext0"/>
            </w:pPr>
            <w:r w:rsidRPr="00A41F07">
              <w:t>A x B</w:t>
            </w:r>
          </w:p>
        </w:tc>
      </w:tr>
      <w:tr w:rsidR="00D168FC" w:rsidRPr="00A41F07" w14:paraId="58271972" w14:textId="77777777" w:rsidTr="008F472B">
        <w:trPr>
          <w:trHeight w:val="300"/>
          <w:jc w:val="center"/>
        </w:trPr>
        <w:tc>
          <w:tcPr>
            <w:tcW w:w="348" w:type="pct"/>
            <w:vAlign w:val="bottom"/>
          </w:tcPr>
          <w:p w14:paraId="5827196E" w14:textId="77777777" w:rsidR="00D168FC" w:rsidRPr="00A41F07" w:rsidRDefault="00D168FC" w:rsidP="009375C6">
            <w:pPr>
              <w:pStyle w:val="Tabletext0"/>
              <w:rPr>
                <w:lang w:eastAsia="ja-JP"/>
              </w:rPr>
            </w:pPr>
          </w:p>
        </w:tc>
        <w:tc>
          <w:tcPr>
            <w:tcW w:w="1819" w:type="pct"/>
            <w:shd w:val="clear" w:color="auto" w:fill="auto"/>
            <w:noWrap/>
            <w:vAlign w:val="bottom"/>
            <w:hideMark/>
          </w:tcPr>
          <w:p w14:paraId="5827196F" w14:textId="77777777" w:rsidR="00D168FC" w:rsidRPr="00A41F07" w:rsidRDefault="00D168FC" w:rsidP="009375C6">
            <w:pPr>
              <w:pStyle w:val="Tabletext0"/>
              <w:rPr>
                <w:lang w:eastAsia="ja-JP"/>
              </w:rPr>
            </w:pPr>
            <w:r w:rsidRPr="00A41F07">
              <w:rPr>
                <w:lang w:eastAsia="ja-JP"/>
              </w:rPr>
              <w:t>Cases diagnosed by capsule endoscopy</w:t>
            </w:r>
          </w:p>
        </w:tc>
        <w:tc>
          <w:tcPr>
            <w:tcW w:w="676" w:type="pct"/>
            <w:shd w:val="clear" w:color="auto" w:fill="auto"/>
            <w:noWrap/>
            <w:vAlign w:val="bottom"/>
            <w:hideMark/>
          </w:tcPr>
          <w:p w14:paraId="58271970" w14:textId="77777777" w:rsidR="00D168FC" w:rsidRPr="00A41F07" w:rsidRDefault="00D168FC" w:rsidP="009375C6">
            <w:pPr>
              <w:pStyle w:val="Tabletext0"/>
              <w:rPr>
                <w:lang w:eastAsia="ja-JP"/>
              </w:rPr>
            </w:pPr>
          </w:p>
        </w:tc>
        <w:tc>
          <w:tcPr>
            <w:tcW w:w="2157" w:type="pct"/>
            <w:shd w:val="clear" w:color="auto" w:fill="auto"/>
            <w:noWrap/>
            <w:hideMark/>
          </w:tcPr>
          <w:p w14:paraId="58271971" w14:textId="77777777" w:rsidR="00D168FC" w:rsidRPr="00A41F07" w:rsidRDefault="00D168FC" w:rsidP="009375C6">
            <w:pPr>
              <w:pStyle w:val="Tabletext0"/>
            </w:pPr>
          </w:p>
        </w:tc>
      </w:tr>
      <w:tr w:rsidR="00D168FC" w:rsidRPr="00A41F07" w14:paraId="58271977" w14:textId="77777777" w:rsidTr="008F472B">
        <w:trPr>
          <w:trHeight w:val="300"/>
          <w:jc w:val="center"/>
        </w:trPr>
        <w:tc>
          <w:tcPr>
            <w:tcW w:w="348" w:type="pct"/>
            <w:vAlign w:val="bottom"/>
          </w:tcPr>
          <w:p w14:paraId="58271973" w14:textId="77777777" w:rsidR="00D168FC" w:rsidRPr="00A41F07" w:rsidRDefault="00D168FC" w:rsidP="009375C6">
            <w:pPr>
              <w:pStyle w:val="Tabletext0"/>
              <w:rPr>
                <w:lang w:eastAsia="ja-JP"/>
              </w:rPr>
            </w:pPr>
            <w:r w:rsidRPr="00A41F07">
              <w:rPr>
                <w:lang w:eastAsia="ja-JP"/>
              </w:rPr>
              <w:t>D</w:t>
            </w:r>
          </w:p>
        </w:tc>
        <w:tc>
          <w:tcPr>
            <w:tcW w:w="1819" w:type="pct"/>
            <w:shd w:val="clear" w:color="auto" w:fill="auto"/>
            <w:noWrap/>
            <w:vAlign w:val="bottom"/>
            <w:hideMark/>
          </w:tcPr>
          <w:p w14:paraId="58271974" w14:textId="77777777" w:rsidR="00D168FC" w:rsidRPr="00A41F07" w:rsidRDefault="00D168FC" w:rsidP="009375C6">
            <w:pPr>
              <w:pStyle w:val="Tabletext0"/>
              <w:rPr>
                <w:lang w:eastAsia="ja-JP"/>
              </w:rPr>
            </w:pPr>
            <w:r w:rsidRPr="00A41F07">
              <w:rPr>
                <w:lang w:eastAsia="ja-JP"/>
              </w:rPr>
              <w:t xml:space="preserve">   - % diagnosed using CE</w:t>
            </w:r>
          </w:p>
        </w:tc>
        <w:tc>
          <w:tcPr>
            <w:tcW w:w="676" w:type="pct"/>
            <w:shd w:val="clear" w:color="auto" w:fill="auto"/>
            <w:noWrap/>
            <w:vAlign w:val="bottom"/>
            <w:hideMark/>
          </w:tcPr>
          <w:p w14:paraId="58271975" w14:textId="77777777" w:rsidR="00D168FC" w:rsidRPr="00A41F07" w:rsidRDefault="00D168FC" w:rsidP="009375C6">
            <w:pPr>
              <w:pStyle w:val="Tabletext0"/>
              <w:rPr>
                <w:lang w:eastAsia="ja-JP"/>
              </w:rPr>
            </w:pPr>
            <w:r w:rsidRPr="00A41F07">
              <w:rPr>
                <w:lang w:eastAsia="ja-JP"/>
              </w:rPr>
              <w:t xml:space="preserve">186 </w:t>
            </w:r>
          </w:p>
        </w:tc>
        <w:tc>
          <w:tcPr>
            <w:tcW w:w="2157" w:type="pct"/>
            <w:shd w:val="clear" w:color="auto" w:fill="auto"/>
            <w:noWrap/>
            <w:hideMark/>
          </w:tcPr>
          <w:p w14:paraId="58271976" w14:textId="77777777" w:rsidR="00D168FC" w:rsidRPr="00A41F07" w:rsidRDefault="00D168FC" w:rsidP="009375C6">
            <w:pPr>
              <w:pStyle w:val="Tabletext0"/>
            </w:pPr>
            <w:r w:rsidRPr="00A41F07">
              <w:t>A - C</w:t>
            </w:r>
          </w:p>
        </w:tc>
      </w:tr>
      <w:tr w:rsidR="00D168FC" w:rsidRPr="00A41F07" w14:paraId="5827197C" w14:textId="77777777" w:rsidTr="008F472B">
        <w:trPr>
          <w:trHeight w:val="300"/>
          <w:jc w:val="center"/>
        </w:trPr>
        <w:tc>
          <w:tcPr>
            <w:tcW w:w="348" w:type="pct"/>
            <w:vAlign w:val="bottom"/>
          </w:tcPr>
          <w:p w14:paraId="58271978" w14:textId="77777777" w:rsidR="00D168FC" w:rsidRPr="00A41F07" w:rsidRDefault="00D168FC" w:rsidP="009375C6">
            <w:pPr>
              <w:pStyle w:val="Tabletext0"/>
              <w:rPr>
                <w:lang w:eastAsia="ja-JP"/>
              </w:rPr>
            </w:pPr>
          </w:p>
        </w:tc>
        <w:tc>
          <w:tcPr>
            <w:tcW w:w="1819" w:type="pct"/>
            <w:shd w:val="clear" w:color="auto" w:fill="auto"/>
            <w:noWrap/>
            <w:vAlign w:val="bottom"/>
            <w:hideMark/>
          </w:tcPr>
          <w:p w14:paraId="58271979" w14:textId="77777777" w:rsidR="00D168FC" w:rsidRPr="00A41F07" w:rsidRDefault="00D168FC" w:rsidP="009375C6">
            <w:pPr>
              <w:pStyle w:val="Tabletext0"/>
              <w:rPr>
                <w:lang w:eastAsia="ja-JP"/>
              </w:rPr>
            </w:pPr>
            <w:r w:rsidRPr="00A41F07">
              <w:rPr>
                <w:lang w:eastAsia="ja-JP"/>
              </w:rPr>
              <w:t>Diagnostic yield</w:t>
            </w:r>
          </w:p>
        </w:tc>
        <w:tc>
          <w:tcPr>
            <w:tcW w:w="676" w:type="pct"/>
            <w:shd w:val="clear" w:color="auto" w:fill="auto"/>
            <w:noWrap/>
            <w:vAlign w:val="bottom"/>
            <w:hideMark/>
          </w:tcPr>
          <w:p w14:paraId="5827197A" w14:textId="77777777" w:rsidR="00D168FC" w:rsidRPr="00A41F07" w:rsidRDefault="00D168FC" w:rsidP="009375C6">
            <w:pPr>
              <w:pStyle w:val="Tabletext0"/>
              <w:rPr>
                <w:lang w:eastAsia="ja-JP"/>
              </w:rPr>
            </w:pPr>
          </w:p>
        </w:tc>
        <w:tc>
          <w:tcPr>
            <w:tcW w:w="2157" w:type="pct"/>
            <w:shd w:val="clear" w:color="auto" w:fill="auto"/>
            <w:noWrap/>
            <w:hideMark/>
          </w:tcPr>
          <w:p w14:paraId="5827197B" w14:textId="77777777" w:rsidR="00D168FC" w:rsidRPr="00A41F07" w:rsidRDefault="00D168FC" w:rsidP="009375C6">
            <w:pPr>
              <w:pStyle w:val="Tabletext0"/>
            </w:pPr>
          </w:p>
        </w:tc>
      </w:tr>
      <w:tr w:rsidR="00D168FC" w:rsidRPr="00A41F07" w14:paraId="58271981" w14:textId="77777777" w:rsidTr="008F472B">
        <w:trPr>
          <w:trHeight w:val="300"/>
          <w:jc w:val="center"/>
        </w:trPr>
        <w:tc>
          <w:tcPr>
            <w:tcW w:w="348" w:type="pct"/>
            <w:vAlign w:val="bottom"/>
          </w:tcPr>
          <w:p w14:paraId="5827197D" w14:textId="77777777" w:rsidR="00D168FC" w:rsidRPr="00A41F07" w:rsidRDefault="00D168FC" w:rsidP="009375C6">
            <w:pPr>
              <w:pStyle w:val="Tabletext0"/>
              <w:rPr>
                <w:lang w:eastAsia="ja-JP"/>
              </w:rPr>
            </w:pPr>
            <w:r w:rsidRPr="00A41F07">
              <w:rPr>
                <w:lang w:eastAsia="ja-JP"/>
              </w:rPr>
              <w:t>E</w:t>
            </w:r>
          </w:p>
        </w:tc>
        <w:tc>
          <w:tcPr>
            <w:tcW w:w="1819" w:type="pct"/>
            <w:shd w:val="clear" w:color="auto" w:fill="auto"/>
            <w:noWrap/>
            <w:vAlign w:val="bottom"/>
            <w:hideMark/>
          </w:tcPr>
          <w:p w14:paraId="5827197E" w14:textId="77777777" w:rsidR="00D168FC" w:rsidRPr="00A41F07" w:rsidRDefault="00D168FC" w:rsidP="009375C6">
            <w:pPr>
              <w:pStyle w:val="Tabletext0"/>
              <w:rPr>
                <w:lang w:eastAsia="ja-JP"/>
              </w:rPr>
            </w:pPr>
            <w:r w:rsidRPr="00A41F07">
              <w:rPr>
                <w:lang w:eastAsia="ja-JP"/>
              </w:rPr>
              <w:t xml:space="preserve">   - High</w:t>
            </w:r>
          </w:p>
        </w:tc>
        <w:tc>
          <w:tcPr>
            <w:tcW w:w="676" w:type="pct"/>
            <w:shd w:val="clear" w:color="auto" w:fill="auto"/>
            <w:noWrap/>
            <w:vAlign w:val="bottom"/>
            <w:hideMark/>
          </w:tcPr>
          <w:p w14:paraId="5827197F" w14:textId="77777777" w:rsidR="00D168FC" w:rsidRPr="00A41F07" w:rsidRDefault="00D168FC" w:rsidP="009375C6">
            <w:pPr>
              <w:pStyle w:val="Tabletext0"/>
              <w:rPr>
                <w:lang w:eastAsia="ja-JP"/>
              </w:rPr>
            </w:pPr>
            <w:r w:rsidRPr="00A41F07">
              <w:rPr>
                <w:lang w:eastAsia="ja-JP"/>
              </w:rPr>
              <w:t>28%</w:t>
            </w:r>
          </w:p>
        </w:tc>
        <w:tc>
          <w:tcPr>
            <w:tcW w:w="2157" w:type="pct"/>
            <w:shd w:val="clear" w:color="auto" w:fill="auto"/>
            <w:noWrap/>
            <w:hideMark/>
          </w:tcPr>
          <w:p w14:paraId="58271980" w14:textId="77777777" w:rsidR="00D168FC" w:rsidRPr="00A41F07" w:rsidRDefault="00D168FC" w:rsidP="009375C6">
            <w:pPr>
              <w:pStyle w:val="Tabletext0"/>
            </w:pPr>
            <w:r w:rsidRPr="00A41F07">
              <w:t>Selby et al 2008, Tukey et al 2009</w:t>
            </w:r>
          </w:p>
        </w:tc>
      </w:tr>
      <w:tr w:rsidR="00D168FC" w:rsidRPr="00A41F07" w14:paraId="58271986" w14:textId="77777777" w:rsidTr="008F472B">
        <w:trPr>
          <w:trHeight w:val="300"/>
          <w:jc w:val="center"/>
        </w:trPr>
        <w:tc>
          <w:tcPr>
            <w:tcW w:w="348" w:type="pct"/>
            <w:vAlign w:val="bottom"/>
          </w:tcPr>
          <w:p w14:paraId="58271982" w14:textId="77777777" w:rsidR="00D168FC" w:rsidRPr="00A41F07" w:rsidRDefault="00D168FC" w:rsidP="009375C6">
            <w:pPr>
              <w:pStyle w:val="Tabletext0"/>
              <w:rPr>
                <w:lang w:eastAsia="ja-JP"/>
              </w:rPr>
            </w:pPr>
            <w:r w:rsidRPr="00A41F07">
              <w:rPr>
                <w:lang w:eastAsia="ja-JP"/>
              </w:rPr>
              <w:t>F</w:t>
            </w:r>
          </w:p>
        </w:tc>
        <w:tc>
          <w:tcPr>
            <w:tcW w:w="1819" w:type="pct"/>
            <w:shd w:val="clear" w:color="auto" w:fill="auto"/>
            <w:noWrap/>
            <w:vAlign w:val="bottom"/>
            <w:hideMark/>
          </w:tcPr>
          <w:p w14:paraId="58271983" w14:textId="77777777" w:rsidR="00D168FC" w:rsidRPr="00A41F07" w:rsidRDefault="00D168FC" w:rsidP="009375C6">
            <w:pPr>
              <w:pStyle w:val="Tabletext0"/>
              <w:rPr>
                <w:lang w:eastAsia="ja-JP"/>
              </w:rPr>
            </w:pPr>
            <w:r w:rsidRPr="00A41F07">
              <w:rPr>
                <w:lang w:eastAsia="ja-JP"/>
              </w:rPr>
              <w:t xml:space="preserve">   - Low</w:t>
            </w:r>
          </w:p>
        </w:tc>
        <w:tc>
          <w:tcPr>
            <w:tcW w:w="676" w:type="pct"/>
            <w:shd w:val="clear" w:color="auto" w:fill="auto"/>
            <w:noWrap/>
            <w:vAlign w:val="bottom"/>
            <w:hideMark/>
          </w:tcPr>
          <w:p w14:paraId="58271984" w14:textId="77777777" w:rsidR="00D168FC" w:rsidRPr="00A41F07" w:rsidRDefault="00D168FC" w:rsidP="009375C6">
            <w:pPr>
              <w:pStyle w:val="Tabletext0"/>
              <w:rPr>
                <w:lang w:eastAsia="ja-JP"/>
              </w:rPr>
            </w:pPr>
            <w:r w:rsidRPr="00A41F07">
              <w:rPr>
                <w:lang w:eastAsia="ja-JP"/>
              </w:rPr>
              <w:t>13%</w:t>
            </w:r>
          </w:p>
        </w:tc>
        <w:tc>
          <w:tcPr>
            <w:tcW w:w="2157" w:type="pct"/>
            <w:shd w:val="clear" w:color="auto" w:fill="auto"/>
            <w:noWrap/>
            <w:hideMark/>
          </w:tcPr>
          <w:p w14:paraId="58271985" w14:textId="77777777" w:rsidR="00D168FC" w:rsidRPr="00A41F07" w:rsidRDefault="00D168FC" w:rsidP="009375C6">
            <w:pPr>
              <w:pStyle w:val="Tabletext0"/>
            </w:pPr>
            <w:r w:rsidRPr="00A41F07">
              <w:t>Selby et al 2008, Tukey et al 2009</w:t>
            </w:r>
          </w:p>
        </w:tc>
      </w:tr>
      <w:tr w:rsidR="00D168FC" w:rsidRPr="00A41F07" w14:paraId="5827198B" w14:textId="77777777" w:rsidTr="008F472B">
        <w:trPr>
          <w:trHeight w:val="300"/>
          <w:jc w:val="center"/>
        </w:trPr>
        <w:tc>
          <w:tcPr>
            <w:tcW w:w="348" w:type="pct"/>
            <w:vAlign w:val="bottom"/>
          </w:tcPr>
          <w:p w14:paraId="58271987" w14:textId="77777777" w:rsidR="00D168FC" w:rsidRPr="00A41F07" w:rsidRDefault="00D168FC" w:rsidP="009375C6">
            <w:pPr>
              <w:pStyle w:val="Tabletext0"/>
              <w:rPr>
                <w:lang w:eastAsia="ja-JP"/>
              </w:rPr>
            </w:pPr>
          </w:p>
        </w:tc>
        <w:tc>
          <w:tcPr>
            <w:tcW w:w="1819" w:type="pct"/>
            <w:shd w:val="clear" w:color="auto" w:fill="auto"/>
            <w:noWrap/>
            <w:vAlign w:val="bottom"/>
            <w:hideMark/>
          </w:tcPr>
          <w:p w14:paraId="58271988" w14:textId="77777777" w:rsidR="00D168FC" w:rsidRPr="00A41F07" w:rsidRDefault="00D168FC" w:rsidP="009375C6">
            <w:pPr>
              <w:pStyle w:val="Tabletext0"/>
              <w:rPr>
                <w:lang w:eastAsia="ja-JP"/>
              </w:rPr>
            </w:pPr>
            <w:r w:rsidRPr="00A41F07">
              <w:rPr>
                <w:lang w:eastAsia="ja-JP"/>
              </w:rPr>
              <w:t>Total capsule endoscopy procedures</w:t>
            </w:r>
          </w:p>
        </w:tc>
        <w:tc>
          <w:tcPr>
            <w:tcW w:w="676" w:type="pct"/>
            <w:shd w:val="clear" w:color="auto" w:fill="auto"/>
            <w:noWrap/>
            <w:vAlign w:val="bottom"/>
            <w:hideMark/>
          </w:tcPr>
          <w:p w14:paraId="58271989" w14:textId="77777777" w:rsidR="00D168FC" w:rsidRPr="00A41F07" w:rsidRDefault="00D168FC" w:rsidP="009375C6">
            <w:pPr>
              <w:pStyle w:val="Tabletext0"/>
              <w:rPr>
                <w:lang w:eastAsia="ja-JP"/>
              </w:rPr>
            </w:pPr>
          </w:p>
        </w:tc>
        <w:tc>
          <w:tcPr>
            <w:tcW w:w="2157" w:type="pct"/>
            <w:shd w:val="clear" w:color="auto" w:fill="auto"/>
            <w:noWrap/>
            <w:hideMark/>
          </w:tcPr>
          <w:p w14:paraId="5827198A" w14:textId="77777777" w:rsidR="00D168FC" w:rsidRPr="00A41F07" w:rsidRDefault="00D168FC" w:rsidP="009375C6">
            <w:pPr>
              <w:pStyle w:val="Tabletext0"/>
            </w:pPr>
          </w:p>
        </w:tc>
      </w:tr>
      <w:tr w:rsidR="00D168FC" w:rsidRPr="00A41F07" w14:paraId="58271990" w14:textId="77777777" w:rsidTr="008F472B">
        <w:trPr>
          <w:trHeight w:val="300"/>
          <w:jc w:val="center"/>
        </w:trPr>
        <w:tc>
          <w:tcPr>
            <w:tcW w:w="348" w:type="pct"/>
            <w:vAlign w:val="bottom"/>
          </w:tcPr>
          <w:p w14:paraId="5827198C" w14:textId="77777777" w:rsidR="00D168FC" w:rsidRPr="00A41F07" w:rsidRDefault="00D168FC" w:rsidP="009375C6">
            <w:pPr>
              <w:pStyle w:val="Tabletext0"/>
              <w:rPr>
                <w:lang w:eastAsia="ja-JP"/>
              </w:rPr>
            </w:pPr>
            <w:r w:rsidRPr="00A41F07">
              <w:rPr>
                <w:lang w:eastAsia="ja-JP"/>
              </w:rPr>
              <w:t>G</w:t>
            </w:r>
          </w:p>
        </w:tc>
        <w:tc>
          <w:tcPr>
            <w:tcW w:w="1819" w:type="pct"/>
            <w:shd w:val="clear" w:color="auto" w:fill="auto"/>
            <w:noWrap/>
            <w:vAlign w:val="bottom"/>
            <w:hideMark/>
          </w:tcPr>
          <w:p w14:paraId="5827198D" w14:textId="77777777" w:rsidR="00D168FC" w:rsidRPr="00A41F07" w:rsidRDefault="00D168FC" w:rsidP="009375C6">
            <w:pPr>
              <w:pStyle w:val="Tabletext0"/>
              <w:rPr>
                <w:lang w:eastAsia="ja-JP"/>
              </w:rPr>
            </w:pPr>
            <w:r w:rsidRPr="00A41F07">
              <w:rPr>
                <w:lang w:eastAsia="ja-JP"/>
              </w:rPr>
              <w:t xml:space="preserve">   - Based on high yield rate</w:t>
            </w:r>
          </w:p>
        </w:tc>
        <w:tc>
          <w:tcPr>
            <w:tcW w:w="676" w:type="pct"/>
            <w:shd w:val="clear" w:color="auto" w:fill="auto"/>
            <w:noWrap/>
            <w:hideMark/>
          </w:tcPr>
          <w:p w14:paraId="5827198E" w14:textId="77777777" w:rsidR="00D168FC" w:rsidRPr="00A41F07" w:rsidRDefault="00D168FC" w:rsidP="009375C6">
            <w:pPr>
              <w:pStyle w:val="Tabletext0"/>
            </w:pPr>
            <w:r w:rsidRPr="00A41F07">
              <w:t xml:space="preserve"> 664 </w:t>
            </w:r>
          </w:p>
        </w:tc>
        <w:tc>
          <w:tcPr>
            <w:tcW w:w="2157" w:type="pct"/>
            <w:shd w:val="clear" w:color="auto" w:fill="auto"/>
            <w:noWrap/>
            <w:vAlign w:val="bottom"/>
            <w:hideMark/>
          </w:tcPr>
          <w:p w14:paraId="5827198F" w14:textId="77777777" w:rsidR="00D168FC" w:rsidRPr="00A41F07" w:rsidRDefault="00D168FC" w:rsidP="009375C6">
            <w:pPr>
              <w:pStyle w:val="Tabletext0"/>
              <w:rPr>
                <w:lang w:eastAsia="ja-JP"/>
              </w:rPr>
            </w:pPr>
            <w:r w:rsidRPr="00A41F07">
              <w:rPr>
                <w:lang w:eastAsia="ja-JP"/>
              </w:rPr>
              <w:t>Calculated, D / E</w:t>
            </w:r>
          </w:p>
        </w:tc>
      </w:tr>
      <w:tr w:rsidR="00D168FC" w:rsidRPr="00A41F07" w14:paraId="58271995" w14:textId="77777777" w:rsidTr="008F472B">
        <w:trPr>
          <w:trHeight w:val="300"/>
          <w:jc w:val="center"/>
        </w:trPr>
        <w:tc>
          <w:tcPr>
            <w:tcW w:w="348" w:type="pct"/>
            <w:vAlign w:val="bottom"/>
          </w:tcPr>
          <w:p w14:paraId="58271991" w14:textId="77777777" w:rsidR="00D168FC" w:rsidRPr="00A41F07" w:rsidRDefault="00D168FC" w:rsidP="009375C6">
            <w:pPr>
              <w:pStyle w:val="Tabletext0"/>
              <w:rPr>
                <w:lang w:eastAsia="ja-JP"/>
              </w:rPr>
            </w:pPr>
            <w:r w:rsidRPr="00A41F07">
              <w:rPr>
                <w:lang w:eastAsia="ja-JP"/>
              </w:rPr>
              <w:t>H</w:t>
            </w:r>
          </w:p>
        </w:tc>
        <w:tc>
          <w:tcPr>
            <w:tcW w:w="1819" w:type="pct"/>
            <w:shd w:val="clear" w:color="auto" w:fill="auto"/>
            <w:noWrap/>
            <w:vAlign w:val="bottom"/>
            <w:hideMark/>
          </w:tcPr>
          <w:p w14:paraId="58271992" w14:textId="77777777" w:rsidR="00D168FC" w:rsidRPr="00A41F07" w:rsidRDefault="00D168FC" w:rsidP="009375C6">
            <w:pPr>
              <w:pStyle w:val="Tabletext0"/>
              <w:rPr>
                <w:lang w:eastAsia="ja-JP"/>
              </w:rPr>
            </w:pPr>
            <w:r w:rsidRPr="00A41F07">
              <w:rPr>
                <w:lang w:eastAsia="ja-JP"/>
              </w:rPr>
              <w:t xml:space="preserve">   - Based on low yield rate</w:t>
            </w:r>
          </w:p>
        </w:tc>
        <w:tc>
          <w:tcPr>
            <w:tcW w:w="676" w:type="pct"/>
            <w:shd w:val="clear" w:color="auto" w:fill="auto"/>
            <w:noWrap/>
            <w:hideMark/>
          </w:tcPr>
          <w:p w14:paraId="58271993" w14:textId="77777777" w:rsidR="00D168FC" w:rsidRPr="00A41F07" w:rsidRDefault="00D168FC" w:rsidP="009375C6">
            <w:pPr>
              <w:pStyle w:val="Tabletext0"/>
            </w:pPr>
            <w:r w:rsidRPr="00A41F07">
              <w:t xml:space="preserve"> 1,431 </w:t>
            </w:r>
          </w:p>
        </w:tc>
        <w:tc>
          <w:tcPr>
            <w:tcW w:w="2157" w:type="pct"/>
            <w:shd w:val="clear" w:color="auto" w:fill="auto"/>
            <w:noWrap/>
            <w:vAlign w:val="bottom"/>
            <w:hideMark/>
          </w:tcPr>
          <w:p w14:paraId="58271994" w14:textId="77777777" w:rsidR="00D168FC" w:rsidRPr="00A41F07" w:rsidRDefault="00D168FC" w:rsidP="009375C6">
            <w:pPr>
              <w:pStyle w:val="Tabletext0"/>
              <w:rPr>
                <w:lang w:eastAsia="ja-JP"/>
              </w:rPr>
            </w:pPr>
            <w:r w:rsidRPr="00A41F07">
              <w:rPr>
                <w:lang w:eastAsia="ja-JP"/>
              </w:rPr>
              <w:t>Calculated, D / F</w:t>
            </w:r>
          </w:p>
        </w:tc>
      </w:tr>
    </w:tbl>
    <w:p w14:paraId="58271996" w14:textId="77777777" w:rsidR="00D168FC" w:rsidRPr="00A41F07" w:rsidRDefault="00D168FC" w:rsidP="00D168FC">
      <w:pPr>
        <w:pStyle w:val="Tablenotes"/>
      </w:pPr>
      <w:r w:rsidRPr="00A41F07">
        <w:t>Source: Gilbert et al 2011</w:t>
      </w:r>
      <w:r w:rsidRPr="00A41F07">
        <w:br/>
        <w:t>Note: Wilson et al (2010) remains to be the only population-based epidemiological data for Crohn’s disease in Australia; confirmed by a PubMed search ((Crohn OR Inflammatory bowel disease) AND Epidemiology) AND Australia, performed on the 15</w:t>
      </w:r>
      <w:r w:rsidRPr="00A41F07">
        <w:rPr>
          <w:vertAlign w:val="superscript"/>
        </w:rPr>
        <w:t>th</w:t>
      </w:r>
      <w:r w:rsidRPr="00A41F07">
        <w:t xml:space="preserve"> May 2013. </w:t>
      </w:r>
    </w:p>
    <w:p w14:paraId="58271997" w14:textId="77777777" w:rsidR="00D168FC" w:rsidRPr="00A41F07" w:rsidRDefault="00D168FC" w:rsidP="008F472B">
      <w:pPr>
        <w:jc w:val="both"/>
      </w:pPr>
      <w:r w:rsidRPr="00A41F07">
        <w:t>The Assessment Report estimated that, if the number of Australian cases of Crohn’s disease is approximately 3,719 per year, and 5% (expert opinion of the Advisory Panel) of these are diagnosed by capsule endoscopy for the indication of small bowel Crohn’s disease, then the estimated number of patients diagnosed with Crohn’s disease by capsule endoscopy is approximately 186 per year. When the diagnostic yield of capsule endoscopy in taken into account (i.e., a positive diagnosis between 13% and 28%; Selby et al 2008, Tukey et al 2009), the estimated number of capsule endoscopy procedures performed – including those with a positive and negative result – can be estimated by dividing the anticipated number of patients diagnosed with Crohn’s disease by capsule endoscopy (approximately 186 per year) by the estimated yield of the test (between 13% and 28%) and lies between 664 and 1,431 per year.</w:t>
      </w:r>
    </w:p>
    <w:p w14:paraId="58271998" w14:textId="77777777" w:rsidR="00BD548F" w:rsidRPr="00A41F07" w:rsidRDefault="00D168FC" w:rsidP="008F472B">
      <w:pPr>
        <w:jc w:val="both"/>
      </w:pPr>
      <w:r w:rsidRPr="00A41F07">
        <w:t xml:space="preserve">The Assessment Report noted the possible presence of overlap between the proposed Crohn’s disease indication and the existing OGIB indication. The extent of this is uncertain. According to Wilson et al (2010), 5 out of 45 cases were diagnosed by capsule endoscopy to investigate iron deficiency or GI bleeding where the colonoscopy was indeterminate or negative; suggesting there are some diagnoses of Crohn’s disease being made under the current OGIB listing. </w:t>
      </w:r>
    </w:p>
    <w:p w14:paraId="58271999" w14:textId="77777777" w:rsidR="0016486C" w:rsidRPr="00A41F07" w:rsidRDefault="0016486C" w:rsidP="00BD548F">
      <w:pPr>
        <w:rPr>
          <w:rFonts w:cstheme="minorHAnsi"/>
          <w:u w:val="single"/>
        </w:rPr>
      </w:pPr>
    </w:p>
    <w:p w14:paraId="5827199A" w14:textId="77777777" w:rsidR="00BD548F" w:rsidRPr="00A41F07" w:rsidRDefault="00BD548F" w:rsidP="00D168FC">
      <w:pPr>
        <w:rPr>
          <w:rFonts w:cstheme="minorHAnsi"/>
          <w:b/>
        </w:rPr>
      </w:pPr>
      <w:r w:rsidRPr="00A41F07">
        <w:rPr>
          <w:rFonts w:cstheme="minorHAnsi"/>
          <w:b/>
        </w:rPr>
        <w:t xml:space="preserve">Assessment </w:t>
      </w:r>
      <w:r w:rsidR="00E4482D" w:rsidRPr="00A41F07">
        <w:rPr>
          <w:rFonts w:cstheme="minorHAnsi"/>
          <w:b/>
        </w:rPr>
        <w:t>of Patients</w:t>
      </w:r>
      <w:r w:rsidRPr="00A41F07">
        <w:rPr>
          <w:rFonts w:cstheme="minorHAnsi"/>
          <w:b/>
        </w:rPr>
        <w:t xml:space="preserve"> with Known Crohn’s</w:t>
      </w:r>
      <w:r w:rsidR="00E4482D" w:rsidRPr="00A41F07">
        <w:rPr>
          <w:rFonts w:cstheme="minorHAnsi"/>
          <w:b/>
        </w:rPr>
        <w:t xml:space="preserve"> Disease</w:t>
      </w:r>
    </w:p>
    <w:p w14:paraId="5827199B" w14:textId="77777777" w:rsidR="00D168FC" w:rsidRPr="00A41F07" w:rsidRDefault="00D168FC" w:rsidP="00786524">
      <w:pPr>
        <w:autoSpaceDE w:val="0"/>
        <w:autoSpaceDN w:val="0"/>
        <w:adjustRightInd w:val="0"/>
        <w:spacing w:before="0" w:after="0"/>
        <w:jc w:val="both"/>
        <w:rPr>
          <w:rFonts w:ascii="Arial" w:hAnsi="Arial" w:cs="Arial"/>
          <w:sz w:val="12"/>
          <w:szCs w:val="12"/>
        </w:rPr>
      </w:pPr>
      <w:r w:rsidRPr="00A41F07">
        <w:t xml:space="preserve">According to Medicare data, there were 6171 services for item number </w:t>
      </w:r>
      <w:hyperlink r:id="rId54" w:history="1">
        <w:r w:rsidRPr="00A41F07">
          <w:t>63740</w:t>
        </w:r>
      </w:hyperlink>
      <w:r w:rsidR="00B27CA1" w:rsidRPr="00A41F07">
        <w:t xml:space="preserve">: Magnetic Resonance Imaging, MRI to evaluate small bowel Crohn’s disease for in </w:t>
      </w:r>
      <w:r w:rsidRPr="00A41F07">
        <w:t xml:space="preserve">September 2015 – September 2016.  According to </w:t>
      </w:r>
      <w:r w:rsidR="00BB4507" w:rsidRPr="00A41F07">
        <w:t>this</w:t>
      </w:r>
      <w:r w:rsidRPr="00A41F07">
        <w:t xml:space="preserve"> data, we expect Capsule Endoscopy will be a subset of this population. Detailed analysis will be presented in the evaluation phase.</w:t>
      </w:r>
    </w:p>
    <w:p w14:paraId="5827199C" w14:textId="77777777" w:rsidR="003923C6" w:rsidRPr="00A41F07" w:rsidRDefault="003923C6" w:rsidP="008F472B">
      <w:pPr>
        <w:jc w:val="both"/>
      </w:pPr>
      <w:r w:rsidRPr="00A41F07">
        <w:rPr>
          <w:noProof/>
          <w:lang w:eastAsia="en-AU"/>
        </w:rPr>
        <w:drawing>
          <wp:inline distT="0" distB="0" distL="0" distR="0" wp14:anchorId="58271A78" wp14:editId="58271A79">
            <wp:extent cx="5705010" cy="148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731510" cy="1495472"/>
                    </a:xfrm>
                    <a:prstGeom prst="rect">
                      <a:avLst/>
                    </a:prstGeom>
                  </pic:spPr>
                </pic:pic>
              </a:graphicData>
            </a:graphic>
          </wp:inline>
        </w:drawing>
      </w:r>
    </w:p>
    <w:p w14:paraId="5827199D" w14:textId="77777777" w:rsidR="00D168FC" w:rsidRPr="00A41F07" w:rsidRDefault="00D168FC" w:rsidP="00D168FC">
      <w:pPr>
        <w:autoSpaceDE w:val="0"/>
        <w:autoSpaceDN w:val="0"/>
        <w:adjustRightInd w:val="0"/>
        <w:jc w:val="both"/>
      </w:pPr>
    </w:p>
    <w:p w14:paraId="5827199E" w14:textId="77777777" w:rsidR="00974D50" w:rsidRPr="00A41F07" w:rsidRDefault="005A58BA" w:rsidP="00530204">
      <w:pPr>
        <w:pStyle w:val="Heading2"/>
        <w:rPr>
          <w:b w:val="0"/>
        </w:rPr>
      </w:pPr>
      <w:r w:rsidRPr="00A41F07">
        <w:t>Estimate the anticipated upt</w:t>
      </w:r>
      <w:r w:rsidR="000E47E7" w:rsidRPr="00A41F07">
        <w:t>a</w:t>
      </w:r>
      <w:r w:rsidR="001B171D" w:rsidRPr="00A41F07">
        <w:t>k</w:t>
      </w:r>
      <w:r w:rsidR="000E47E7" w:rsidRPr="00A41F07">
        <w:t>e of the proposed medical service over the next three years</w:t>
      </w:r>
      <w:r w:rsidR="001B171D" w:rsidRPr="00A41F07">
        <w:t xml:space="preserve"> factoring in any constraints in the health system in meeting the needs of the proposed population (suc</w:t>
      </w:r>
      <w:r w:rsidRPr="00A41F07">
        <w:t>h as supply and demand factors)</w:t>
      </w:r>
      <w:r w:rsidR="001B171D" w:rsidRPr="00A41F07">
        <w:t xml:space="preserve"> as well as </w:t>
      </w:r>
      <w:r w:rsidR="009C03FB" w:rsidRPr="00A41F07">
        <w:t>provide commentary on</w:t>
      </w:r>
      <w:r w:rsidR="001B171D" w:rsidRPr="00A41F07">
        <w:t xml:space="preserve"> risk of ‘leakage’ to populations not targeted by the service</w:t>
      </w:r>
      <w:r w:rsidR="00AE1188" w:rsidRPr="00A41F07">
        <w:t>:</w:t>
      </w:r>
    </w:p>
    <w:p w14:paraId="5827199F" w14:textId="77777777" w:rsidR="007C2ED5" w:rsidRPr="00A41F07" w:rsidRDefault="007C2ED5" w:rsidP="00F832AC">
      <w:pPr>
        <w:spacing w:before="100" w:beforeAutospacing="1" w:after="100" w:afterAutospacing="1"/>
        <w:ind w:left="360"/>
        <w:rPr>
          <w:rFonts w:cstheme="minorHAnsi"/>
          <w:szCs w:val="20"/>
        </w:rPr>
      </w:pPr>
      <w:r w:rsidRPr="00A41F07">
        <w:rPr>
          <w:rFonts w:cstheme="minorHAnsi"/>
          <w:szCs w:val="20"/>
        </w:rPr>
        <w:t>The applicant considers criteria used to define the eligible patient population in this application will minimize the risk of leakage. The uptake will be determined during the evaluation phase.</w:t>
      </w:r>
    </w:p>
    <w:p w14:paraId="582719A0" w14:textId="77777777" w:rsidR="00951933" w:rsidRPr="00A41F07" w:rsidRDefault="003433D1" w:rsidP="00555FFD">
      <w:pPr>
        <w:pStyle w:val="Heading1"/>
        <w:rPr>
          <w:b/>
          <w:sz w:val="32"/>
        </w:rPr>
      </w:pPr>
      <w:r w:rsidRPr="00A41F07">
        <w:rPr>
          <w:b/>
          <w:sz w:val="32"/>
        </w:rPr>
        <w:br w:type="page"/>
      </w:r>
      <w:r w:rsidR="001B5169" w:rsidRPr="00A41F07">
        <w:lastRenderedPageBreak/>
        <w:t>PART 8</w:t>
      </w:r>
      <w:r w:rsidR="00F93784" w:rsidRPr="00A41F07">
        <w:t xml:space="preserve"> – </w:t>
      </w:r>
      <w:r w:rsidR="005A58BA" w:rsidRPr="00A41F07">
        <w:t>COST</w:t>
      </w:r>
      <w:r w:rsidR="00951933" w:rsidRPr="00A41F07">
        <w:t xml:space="preserve"> INFORMATION</w:t>
      </w:r>
    </w:p>
    <w:p w14:paraId="582719A1" w14:textId="77777777" w:rsidR="006A649A" w:rsidRPr="00A41F07" w:rsidRDefault="006A649A" w:rsidP="001B5169">
      <w:pPr>
        <w:pStyle w:val="Heading2"/>
      </w:pPr>
      <w:r w:rsidRPr="00A41F07">
        <w:t>Indicate the likely</w:t>
      </w:r>
      <w:r w:rsidR="005A58BA" w:rsidRPr="00A41F07">
        <w:t xml:space="preserve"> </w:t>
      </w:r>
      <w:r w:rsidRPr="00A41F07">
        <w:t xml:space="preserve">cost of </w:t>
      </w:r>
      <w:r w:rsidR="005A58BA" w:rsidRPr="00A41F07">
        <w:t xml:space="preserve">providing the </w:t>
      </w:r>
      <w:r w:rsidRPr="00A41F07">
        <w:t>proposed medical service.</w:t>
      </w:r>
      <w:r w:rsidR="005A5D30" w:rsidRPr="00A41F07">
        <w:t xml:space="preserve"> Where possible</w:t>
      </w:r>
      <w:r w:rsidR="00802553" w:rsidRPr="00A41F07">
        <w:t>,</w:t>
      </w:r>
      <w:r w:rsidR="005A5D30" w:rsidRPr="00A41F07">
        <w:t xml:space="preserve"> please pro</w:t>
      </w:r>
      <w:r w:rsidR="00AE1188" w:rsidRPr="00A41F07">
        <w:t>vide overall cost and breakdown:</w:t>
      </w:r>
    </w:p>
    <w:p w14:paraId="582719A2" w14:textId="77777777" w:rsidR="00BD548F" w:rsidRPr="00A41F07" w:rsidRDefault="00BD548F" w:rsidP="00BD548F">
      <w:pPr>
        <w:ind w:left="360"/>
        <w:jc w:val="both"/>
      </w:pPr>
      <w:r w:rsidRPr="00A41F07">
        <w:rPr>
          <w:rFonts w:cstheme="minorHAnsi"/>
          <w:szCs w:val="20"/>
        </w:rPr>
        <w:t>The current MBS fee for capsule endoscopy (performed for MBS items 11820 and 11823) is $1,961.95. This includes the cost of capsule endoscopy technology required to deliver the service.  The Applicant proposes the same MBS fee for the proposed services in this application form.</w:t>
      </w:r>
    </w:p>
    <w:p w14:paraId="582719A3" w14:textId="77777777" w:rsidR="00951933" w:rsidRPr="00A41F07" w:rsidRDefault="00951933" w:rsidP="00530204">
      <w:pPr>
        <w:pStyle w:val="Heading2"/>
      </w:pPr>
      <w:r w:rsidRPr="00A41F07">
        <w:t>Specify how long the proposed medical ser</w:t>
      </w:r>
      <w:r w:rsidR="00AE1188" w:rsidRPr="00A41F07">
        <w:t>vice typically takes to perform:</w:t>
      </w:r>
    </w:p>
    <w:p w14:paraId="582719A4" w14:textId="77777777" w:rsidR="00BD548F" w:rsidRPr="00A41F07" w:rsidRDefault="00BD548F" w:rsidP="00BD548F">
      <w:pPr>
        <w:spacing w:before="100" w:beforeAutospacing="1" w:after="100" w:afterAutospacing="1"/>
        <w:ind w:left="360"/>
        <w:rPr>
          <w:rFonts w:cstheme="minorHAnsi"/>
          <w:szCs w:val="20"/>
        </w:rPr>
      </w:pPr>
      <w:r w:rsidRPr="00A41F07">
        <w:rPr>
          <w:rFonts w:cstheme="minorHAnsi"/>
          <w:szCs w:val="20"/>
        </w:rPr>
        <w:t xml:space="preserve">Initial consultation time takes approximately 30-45 minutes. The procedure takes 1.5 hr for diagnosis of suspected Crohn’s. </w:t>
      </w:r>
    </w:p>
    <w:p w14:paraId="582719A5" w14:textId="77777777" w:rsidR="00BD548F" w:rsidRPr="00A41F07" w:rsidRDefault="00BD548F" w:rsidP="000F6515">
      <w:pPr>
        <w:spacing w:before="100" w:beforeAutospacing="1" w:after="100" w:afterAutospacing="1"/>
        <w:ind w:left="360"/>
        <w:rPr>
          <w:rFonts w:cstheme="minorHAnsi"/>
          <w:szCs w:val="20"/>
        </w:rPr>
      </w:pPr>
      <w:r w:rsidRPr="00A41F07">
        <w:rPr>
          <w:rFonts w:cstheme="minorHAnsi"/>
          <w:szCs w:val="20"/>
        </w:rPr>
        <w:t>Initial consultation time takes approximately 30-45 minutes. The procedure takes 1.5 hr for assessment of patients with known Crohn’s.</w:t>
      </w:r>
    </w:p>
    <w:p w14:paraId="582719A6" w14:textId="77777777" w:rsidR="00707D4D" w:rsidRPr="00A41F07" w:rsidRDefault="0054192F" w:rsidP="00530204">
      <w:pPr>
        <w:pStyle w:val="Heading2"/>
      </w:pPr>
      <w:r w:rsidRPr="00A41F07">
        <w:t>If public funding is sought through the MBS, please draft a proposed MBS item descriptor to define the population and medical service usage characteristics that would define eligibility for MBS funding.</w:t>
      </w:r>
    </w:p>
    <w:p w14:paraId="582719A7" w14:textId="77777777" w:rsidR="00781159" w:rsidRPr="00A41F07" w:rsidRDefault="00781159" w:rsidP="00202B22">
      <w:pPr>
        <w:widowControl w:val="0"/>
        <w:jc w:val="both"/>
        <w:rPr>
          <w:szCs w:val="20"/>
        </w:rPr>
      </w:pPr>
    </w:p>
    <w:p w14:paraId="582719A8" w14:textId="77777777" w:rsidR="00781159" w:rsidRPr="00A41F07" w:rsidRDefault="00781159" w:rsidP="00781159">
      <w:pPr>
        <w:rPr>
          <w:rFonts w:ascii="Arial Narrow" w:eastAsia="Times New Roman" w:hAnsi="Arial Narrow" w:cs="Times New Roman"/>
          <w:b/>
          <w:szCs w:val="20"/>
          <w:lang w:eastAsia="en-AU"/>
        </w:rPr>
      </w:pPr>
      <w:r w:rsidRPr="00A41F07">
        <w:rPr>
          <w:rFonts w:ascii="Arial Narrow" w:eastAsia="Times New Roman" w:hAnsi="Arial Narrow" w:cs="Times New Roman"/>
          <w:b/>
          <w:szCs w:val="20"/>
          <w:lang w:eastAsia="en-AU"/>
        </w:rPr>
        <w:t>Diagnosis of Suspected Small Bowel Crohn’s Disease</w:t>
      </w:r>
    </w:p>
    <w:p w14:paraId="582719A9" w14:textId="77777777" w:rsidR="00781159" w:rsidRPr="00A41F07" w:rsidRDefault="00781159" w:rsidP="00781159">
      <w:pPr>
        <w:rPr>
          <w:rFonts w:ascii="Arial Narrow" w:eastAsia="Times New Roman" w:hAnsi="Arial Narrow" w:cs="Times New Roman"/>
          <w:b/>
          <w:szCs w:val="20"/>
          <w:lang w:eastAsia="en-AU"/>
        </w:rPr>
      </w:pPr>
      <w:r w:rsidRPr="00A41F07">
        <w:rPr>
          <w:rFonts w:ascii="Arial Narrow" w:eastAsia="Times New Roman" w:hAnsi="Arial Narrow" w:cs="Times New Roman"/>
          <w:b/>
          <w:szCs w:val="20"/>
          <w:lang w:eastAsia="en-AU"/>
        </w:rPr>
        <w:t>Table 1:  Proposed MBS item descriptor for capsule endoscopy for small bowel Crohn’s disease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781159" w:rsidRPr="00A41F07" w14:paraId="582719AB" w14:textId="77777777" w:rsidTr="009375C6">
        <w:trPr>
          <w:trHeight w:val="136"/>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82719AA" w14:textId="77777777" w:rsidR="00781159" w:rsidRPr="00A41F07" w:rsidRDefault="00781159" w:rsidP="009375C6">
            <w:pPr>
              <w:spacing w:line="276" w:lineRule="auto"/>
              <w:jc w:val="right"/>
              <w:rPr>
                <w:rFonts w:ascii="Arial Narrow" w:hAnsi="Arial Narrow"/>
                <w:lang w:eastAsia="ja-JP"/>
              </w:rPr>
            </w:pPr>
            <w:r w:rsidRPr="00A41F07">
              <w:rPr>
                <w:rFonts w:ascii="Arial Narrow" w:hAnsi="Arial Narrow"/>
                <w:lang w:eastAsia="ja-JP"/>
              </w:rPr>
              <w:t>Category 5 – Diagnostic Imaging Services</w:t>
            </w:r>
          </w:p>
        </w:tc>
      </w:tr>
      <w:tr w:rsidR="00781159" w:rsidRPr="00A41F07" w14:paraId="582719BA" w14:textId="77777777" w:rsidTr="009375C6">
        <w:tc>
          <w:tcPr>
            <w:tcW w:w="5000" w:type="pct"/>
            <w:tcBorders>
              <w:top w:val="single" w:sz="4" w:space="0" w:color="000000"/>
              <w:left w:val="single" w:sz="4" w:space="0" w:color="000000"/>
              <w:bottom w:val="single" w:sz="4" w:space="0" w:color="000000"/>
              <w:right w:val="single" w:sz="4" w:space="0" w:color="000000"/>
            </w:tcBorders>
          </w:tcPr>
          <w:p w14:paraId="582719AC"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1) to diagnose suspected small bowel Crohn disease, using a capsule endoscopy device (including administration of the capsule, imaging, image reading and interpretation, and all attendances for providing the service on the day the capsule is administered), if:</w:t>
            </w:r>
          </w:p>
          <w:p w14:paraId="582719AD"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(a) The patient to whom the service is provided :</w:t>
            </w:r>
          </w:p>
          <w:p w14:paraId="582719AE"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ii. has not been previously diagnosed with Crohn’s disease</w:t>
            </w:r>
          </w:p>
          <w:p w14:paraId="582719AF"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iii. has suspected Crohn’s disease on the basis of objective evidence of inflammation (ESR,CRP, Faecal Calprotectin) and gastrointestinal symptoms; and</w:t>
            </w:r>
          </w:p>
          <w:p w14:paraId="582719B0"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(b) The service is performed by a specialist or consultant physician with endoscopic training that is recognized by The Conjoint Committee for the Recognition of Training in Gastrointestinal Endoscopy; and</w:t>
            </w:r>
          </w:p>
          <w:p w14:paraId="582719B1"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(c) Prior negative colonoscopy with attempted ileoscopy has been performed on the patient, and has not produced a diagnostic finding of Crohn’s disease; and</w:t>
            </w:r>
          </w:p>
          <w:p w14:paraId="582719B2"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(d) Prior radiographic imaging has been performed on the patient, and has not produced a diagnostic finding of Crohn’s disease or evidence of strictures. Radiographic diagnostic procedures previously used by the patient may include:</w:t>
            </w:r>
          </w:p>
          <w:p w14:paraId="582719B3"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iv. magnetic resonance enterography (MRE), or</w:t>
            </w:r>
          </w:p>
          <w:p w14:paraId="582719B4"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v. computed tomography enterography (CTE), or</w:t>
            </w:r>
          </w:p>
          <w:p w14:paraId="582719B5" w14:textId="77777777" w:rsidR="0026394E" w:rsidRPr="00A41F07" w:rsidRDefault="0026394E" w:rsidP="0026394E">
            <w:pPr>
              <w:widowControl w:val="0"/>
              <w:jc w:val="both"/>
              <w:rPr>
                <w:rFonts w:ascii="Arial Narrow" w:hAnsi="Arial Narrow"/>
                <w:sz w:val="18"/>
                <w:szCs w:val="18"/>
              </w:rPr>
            </w:pPr>
          </w:p>
          <w:p w14:paraId="582719B6" w14:textId="77777777" w:rsidR="0026394E"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Conjoint committee</w:t>
            </w:r>
          </w:p>
          <w:p w14:paraId="582719B7" w14:textId="77777777" w:rsidR="00781159" w:rsidRPr="00A41F07" w:rsidRDefault="0026394E" w:rsidP="0026394E">
            <w:pPr>
              <w:widowControl w:val="0"/>
              <w:jc w:val="both"/>
              <w:rPr>
                <w:rFonts w:ascii="Arial Narrow" w:hAnsi="Arial Narrow"/>
                <w:sz w:val="18"/>
                <w:szCs w:val="18"/>
              </w:rPr>
            </w:pPr>
            <w:r w:rsidRPr="00A41F07">
              <w:rPr>
                <w:rFonts w:ascii="Arial Narrow" w:hAnsi="Arial Narrow"/>
                <w:sz w:val="18"/>
                <w:szCs w:val="18"/>
              </w:rPr>
              <w:t>The Conjoint Committee comprises representatives from the Gastroenterological Society of Australia (GESA), the Royal Australasian College of Physicians (RACP) and the Royal Australasian College of Surgeons (RACS). For the purposes of Item TBD, specialists or consultant physicians performing this procedure must have endoscopic training recognised by The Conjoint Committee for the Recognition of Training in Gastrointestinal Endoscopy, and Medicare Australia notified of that recognition.</w:t>
            </w:r>
          </w:p>
          <w:p w14:paraId="582719B8" w14:textId="77777777" w:rsidR="00781159" w:rsidRPr="00A41F07" w:rsidRDefault="00781159" w:rsidP="009375C6">
            <w:pPr>
              <w:pStyle w:val="NormalWeb"/>
              <w:shd w:val="clear" w:color="auto" w:fill="FFFFFF"/>
              <w:tabs>
                <w:tab w:val="left" w:pos="2835"/>
              </w:tabs>
              <w:spacing w:before="0" w:beforeAutospacing="0" w:after="0" w:afterAutospacing="0" w:line="276" w:lineRule="auto"/>
              <w:textAlignment w:val="top"/>
              <w:rPr>
                <w:rFonts w:ascii="Arial Narrow" w:eastAsia="SimSun" w:hAnsi="Arial Narrow" w:cs="Tahoma"/>
                <w:sz w:val="20"/>
                <w:szCs w:val="20"/>
                <w:lang w:val="en-US" w:eastAsia="ja-JP"/>
              </w:rPr>
            </w:pPr>
          </w:p>
          <w:p w14:paraId="582719B9" w14:textId="77777777" w:rsidR="00781159" w:rsidRPr="00A41F07" w:rsidRDefault="00781159" w:rsidP="009375C6">
            <w:pPr>
              <w:pStyle w:val="NormalWeb"/>
              <w:shd w:val="clear" w:color="auto" w:fill="FFFFFF"/>
              <w:tabs>
                <w:tab w:val="left" w:pos="2835"/>
              </w:tabs>
              <w:spacing w:before="0" w:beforeAutospacing="0" w:after="0" w:afterAutospacing="0" w:line="276" w:lineRule="auto"/>
              <w:textAlignment w:val="top"/>
              <w:rPr>
                <w:rFonts w:ascii="Arial Narrow" w:eastAsia="SimSun" w:hAnsi="Arial Narrow" w:cs="Tahoma"/>
                <w:sz w:val="18"/>
                <w:szCs w:val="18"/>
                <w:lang w:eastAsia="zh-CN"/>
              </w:rPr>
            </w:pPr>
            <w:r w:rsidRPr="00A41F07">
              <w:rPr>
                <w:rFonts w:ascii="Arial Narrow" w:eastAsia="SimSun" w:hAnsi="Arial Narrow" w:cs="Tahoma"/>
                <w:sz w:val="18"/>
                <w:szCs w:val="18"/>
                <w:lang w:eastAsia="zh-CN"/>
              </w:rPr>
              <w:t>Fee:$2,039.20  Benefit: 75% = $1,529.40 85% = $1,964.70</w:t>
            </w:r>
          </w:p>
        </w:tc>
      </w:tr>
    </w:tbl>
    <w:p w14:paraId="582719BB" w14:textId="77777777" w:rsidR="00781159" w:rsidRPr="00A41F07" w:rsidRDefault="00781159" w:rsidP="00781159">
      <w:pPr>
        <w:rPr>
          <w:b/>
        </w:rPr>
      </w:pPr>
    </w:p>
    <w:p w14:paraId="582719BC" w14:textId="77777777" w:rsidR="000F6515" w:rsidRPr="00A41F07" w:rsidRDefault="000F6515" w:rsidP="00781159">
      <w:pPr>
        <w:rPr>
          <w:b/>
        </w:rPr>
      </w:pPr>
    </w:p>
    <w:p w14:paraId="582719BD" w14:textId="77777777" w:rsidR="00781159" w:rsidRPr="00A41F07" w:rsidRDefault="00781159" w:rsidP="00781159">
      <w:pPr>
        <w:rPr>
          <w:rFonts w:ascii="Arial Narrow" w:eastAsia="Times New Roman" w:hAnsi="Arial Narrow" w:cs="Times New Roman"/>
          <w:b/>
          <w:szCs w:val="20"/>
          <w:lang w:eastAsia="en-AU"/>
        </w:rPr>
      </w:pPr>
    </w:p>
    <w:p w14:paraId="582719BE" w14:textId="77777777" w:rsidR="00781159" w:rsidRPr="00A41F07" w:rsidRDefault="00781159" w:rsidP="00781159">
      <w:pPr>
        <w:rPr>
          <w:rFonts w:ascii="Arial Narrow" w:eastAsia="Times New Roman" w:hAnsi="Arial Narrow" w:cs="Times New Roman"/>
          <w:b/>
          <w:szCs w:val="20"/>
          <w:lang w:eastAsia="en-AU"/>
        </w:rPr>
      </w:pPr>
      <w:r w:rsidRPr="00A41F07">
        <w:rPr>
          <w:rFonts w:ascii="Arial Narrow" w:eastAsia="Times New Roman" w:hAnsi="Arial Narrow" w:cs="Times New Roman"/>
          <w:b/>
          <w:szCs w:val="20"/>
          <w:lang w:eastAsia="en-AU"/>
        </w:rPr>
        <w:lastRenderedPageBreak/>
        <w:t xml:space="preserve">Assessment </w:t>
      </w:r>
      <w:r w:rsidR="00F832AC" w:rsidRPr="00A41F07">
        <w:rPr>
          <w:rFonts w:ascii="Arial Narrow" w:eastAsia="Times New Roman" w:hAnsi="Arial Narrow" w:cs="Times New Roman"/>
          <w:b/>
          <w:szCs w:val="20"/>
          <w:lang w:eastAsia="en-AU"/>
        </w:rPr>
        <w:t>of Known</w:t>
      </w:r>
      <w:r w:rsidRPr="00A41F07">
        <w:rPr>
          <w:rFonts w:ascii="Arial Narrow" w:eastAsia="Times New Roman" w:hAnsi="Arial Narrow" w:cs="Times New Roman"/>
          <w:b/>
          <w:szCs w:val="20"/>
          <w:lang w:eastAsia="en-AU"/>
        </w:rPr>
        <w:t xml:space="preserve"> Small Bowel </w:t>
      </w:r>
      <w:r w:rsidR="000F6515" w:rsidRPr="00A41F07">
        <w:rPr>
          <w:rFonts w:ascii="Arial Narrow" w:eastAsia="Times New Roman" w:hAnsi="Arial Narrow" w:cs="Times New Roman"/>
          <w:b/>
          <w:szCs w:val="20"/>
          <w:lang w:eastAsia="en-AU"/>
        </w:rPr>
        <w:t>Crohn’s Disease</w:t>
      </w:r>
    </w:p>
    <w:p w14:paraId="582719BF" w14:textId="77777777" w:rsidR="00781159" w:rsidRPr="00A41F07" w:rsidRDefault="00781159" w:rsidP="00781159">
      <w:pPr>
        <w:pStyle w:val="TableName"/>
      </w:pPr>
      <w:bookmarkStart w:id="7" w:name="_Toc374456108"/>
      <w:bookmarkStart w:id="8" w:name="_Toc374345331"/>
      <w:r w:rsidRPr="00A41F07">
        <w:t>Table 2</w:t>
      </w:r>
      <w:r w:rsidRPr="00A41F07">
        <w:rPr>
          <w:noProof/>
        </w:rPr>
        <w:t xml:space="preserve">: </w:t>
      </w:r>
      <w:r w:rsidRPr="00A41F07">
        <w:t xml:space="preserve">Proposed MBS item descriptor for capsule endoscopy for isolated small bowel Crohn’s disease </w:t>
      </w:r>
      <w:bookmarkEnd w:id="7"/>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781159" w:rsidRPr="00A41F07" w14:paraId="582719C1" w14:textId="77777777" w:rsidTr="00781159">
        <w:trPr>
          <w:trHeight w:val="136"/>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582719C0" w14:textId="77777777" w:rsidR="00781159" w:rsidRPr="00A41F07" w:rsidRDefault="00781159">
            <w:pPr>
              <w:spacing w:line="276" w:lineRule="auto"/>
              <w:jc w:val="right"/>
              <w:rPr>
                <w:rFonts w:ascii="Arial Narrow" w:hAnsi="Arial Narrow"/>
                <w:lang w:eastAsia="ja-JP"/>
              </w:rPr>
            </w:pPr>
            <w:r w:rsidRPr="00A41F07">
              <w:rPr>
                <w:rFonts w:ascii="Arial Narrow" w:hAnsi="Arial Narrow"/>
                <w:lang w:eastAsia="ja-JP"/>
              </w:rPr>
              <w:t>Category 5 – Diagnostic Imaging Services</w:t>
            </w:r>
          </w:p>
        </w:tc>
      </w:tr>
      <w:tr w:rsidR="00781159" w:rsidRPr="00A41F07" w14:paraId="582719D2" w14:textId="77777777" w:rsidTr="00781159">
        <w:tc>
          <w:tcPr>
            <w:tcW w:w="5000" w:type="pct"/>
            <w:tcBorders>
              <w:top w:val="single" w:sz="4" w:space="0" w:color="000000"/>
              <w:left w:val="single" w:sz="4" w:space="0" w:color="000000"/>
              <w:bottom w:val="single" w:sz="4" w:space="0" w:color="000000"/>
              <w:right w:val="single" w:sz="4" w:space="0" w:color="000000"/>
            </w:tcBorders>
          </w:tcPr>
          <w:p w14:paraId="582719C2" w14:textId="77777777" w:rsidR="00781159" w:rsidRPr="00A41F07" w:rsidRDefault="00F832AC">
            <w:pPr>
              <w:rPr>
                <w:rFonts w:ascii="Arial Narrow" w:hAnsi="Arial Narrow"/>
                <w:sz w:val="18"/>
                <w:szCs w:val="18"/>
              </w:rPr>
            </w:pPr>
            <w:r w:rsidRPr="00A41F07">
              <w:rPr>
                <w:rFonts w:ascii="Arial Narrow" w:hAnsi="Arial Narrow"/>
                <w:sz w:val="18"/>
                <w:szCs w:val="18"/>
              </w:rPr>
              <w:t>Capsule Endoscopy</w:t>
            </w:r>
            <w:r w:rsidR="00781159" w:rsidRPr="00A41F07">
              <w:rPr>
                <w:rFonts w:ascii="Arial Narrow" w:hAnsi="Arial Narrow"/>
                <w:sz w:val="18"/>
                <w:szCs w:val="18"/>
              </w:rPr>
              <w:t xml:space="preserve"> to evaluate</w:t>
            </w:r>
            <w:r w:rsidR="00E02020" w:rsidRPr="00A41F07">
              <w:rPr>
                <w:rFonts w:ascii="Arial Narrow" w:hAnsi="Arial Narrow"/>
                <w:sz w:val="18"/>
                <w:szCs w:val="18"/>
              </w:rPr>
              <w:t xml:space="preserve"> isolated</w:t>
            </w:r>
            <w:r w:rsidR="00781159" w:rsidRPr="00A41F07">
              <w:rPr>
                <w:rFonts w:ascii="Arial Narrow" w:hAnsi="Arial Narrow"/>
                <w:sz w:val="18"/>
                <w:szCs w:val="18"/>
              </w:rPr>
              <w:t xml:space="preserve"> small bowel Crohn’s disease. Medicare benefits are only payable for this item if the service is provided </w:t>
            </w:r>
            <w:r w:rsidRPr="00A41F07">
              <w:rPr>
                <w:rFonts w:ascii="Arial Narrow" w:hAnsi="Arial Narrow"/>
                <w:sz w:val="18"/>
                <w:szCs w:val="18"/>
              </w:rPr>
              <w:t>to patients for</w:t>
            </w:r>
            <w:r w:rsidR="00781159" w:rsidRPr="00A41F07">
              <w:rPr>
                <w:rFonts w:ascii="Arial Narrow" w:hAnsi="Arial Narrow"/>
                <w:sz w:val="18"/>
                <w:szCs w:val="18"/>
              </w:rPr>
              <w:t xml:space="preserve">: </w:t>
            </w:r>
          </w:p>
          <w:p w14:paraId="582719C3" w14:textId="77777777" w:rsidR="00781159" w:rsidRPr="00A41F07" w:rsidRDefault="00781159" w:rsidP="00781159">
            <w:pPr>
              <w:numPr>
                <w:ilvl w:val="0"/>
                <w:numId w:val="40"/>
              </w:numPr>
              <w:spacing w:before="0" w:after="0" w:line="312" w:lineRule="auto"/>
              <w:jc w:val="both"/>
              <w:rPr>
                <w:rFonts w:ascii="Arial Narrow" w:hAnsi="Arial Narrow"/>
                <w:sz w:val="18"/>
                <w:szCs w:val="18"/>
              </w:rPr>
            </w:pPr>
            <w:r w:rsidRPr="00A41F07">
              <w:rPr>
                <w:rFonts w:ascii="Arial Narrow" w:hAnsi="Arial Narrow"/>
                <w:sz w:val="18"/>
                <w:szCs w:val="18"/>
              </w:rPr>
              <w:t>Evaluation of exacerbation/suspected complications of known Crohn’s disease</w:t>
            </w:r>
          </w:p>
          <w:p w14:paraId="582719C4" w14:textId="77777777" w:rsidR="00781159" w:rsidRPr="00A41F07" w:rsidRDefault="00781159" w:rsidP="00781159">
            <w:pPr>
              <w:numPr>
                <w:ilvl w:val="0"/>
                <w:numId w:val="40"/>
              </w:numPr>
              <w:spacing w:before="0" w:after="0" w:line="312" w:lineRule="auto"/>
              <w:jc w:val="both"/>
              <w:rPr>
                <w:rFonts w:ascii="Arial Narrow" w:hAnsi="Arial Narrow"/>
                <w:sz w:val="18"/>
                <w:szCs w:val="18"/>
              </w:rPr>
            </w:pPr>
            <w:r w:rsidRPr="00A41F07">
              <w:rPr>
                <w:rFonts w:ascii="Arial Narrow" w:hAnsi="Arial Narrow"/>
                <w:sz w:val="18"/>
                <w:szCs w:val="18"/>
              </w:rPr>
              <w:t>Assessment of change to therapy in patients with small bowel Crohn’s disease</w:t>
            </w:r>
          </w:p>
          <w:p w14:paraId="582719C5" w14:textId="77777777" w:rsidR="00781159" w:rsidRPr="00A41F07" w:rsidRDefault="00781159">
            <w:pPr>
              <w:spacing w:after="0" w:line="312" w:lineRule="auto"/>
              <w:jc w:val="both"/>
              <w:rPr>
                <w:rFonts w:ascii="Arial Narrow" w:hAnsi="Arial Narrow"/>
                <w:sz w:val="18"/>
                <w:szCs w:val="18"/>
              </w:rPr>
            </w:pPr>
          </w:p>
          <w:p w14:paraId="582719C6" w14:textId="77777777" w:rsidR="00781159" w:rsidRPr="00A41F07" w:rsidRDefault="00781159">
            <w:pPr>
              <w:spacing w:after="0" w:line="312" w:lineRule="auto"/>
              <w:jc w:val="both"/>
              <w:rPr>
                <w:rFonts w:ascii="Arial Narrow" w:hAnsi="Arial Narrow"/>
                <w:sz w:val="18"/>
                <w:szCs w:val="18"/>
              </w:rPr>
            </w:pPr>
            <w:r w:rsidRPr="00A41F07">
              <w:rPr>
                <w:rFonts w:ascii="Arial Narrow" w:hAnsi="Arial Narrow"/>
                <w:sz w:val="18"/>
                <w:szCs w:val="18"/>
              </w:rPr>
              <w:t>To be eligible for the service patients must have had:</w:t>
            </w:r>
          </w:p>
          <w:p w14:paraId="582719C7" w14:textId="77777777" w:rsidR="00781159" w:rsidRPr="00A41F07" w:rsidRDefault="00781159" w:rsidP="00781159">
            <w:pPr>
              <w:pStyle w:val="ListParagraph"/>
              <w:numPr>
                <w:ilvl w:val="0"/>
                <w:numId w:val="41"/>
              </w:numPr>
              <w:spacing w:before="0" w:after="0" w:line="312" w:lineRule="auto"/>
              <w:jc w:val="both"/>
              <w:rPr>
                <w:rFonts w:ascii="Arial Narrow" w:hAnsi="Arial Narrow"/>
                <w:sz w:val="18"/>
                <w:szCs w:val="18"/>
              </w:rPr>
            </w:pPr>
            <w:r w:rsidRPr="00A41F07">
              <w:rPr>
                <w:rFonts w:ascii="Arial Narrow" w:hAnsi="Arial Narrow"/>
                <w:sz w:val="18"/>
                <w:szCs w:val="18"/>
              </w:rPr>
              <w:t>Non-diagnostic findings on prior MRI, OR</w:t>
            </w:r>
          </w:p>
          <w:p w14:paraId="582719C8" w14:textId="77777777" w:rsidR="00781159" w:rsidRPr="00A41F07" w:rsidRDefault="00781159" w:rsidP="00781159">
            <w:pPr>
              <w:pStyle w:val="ListParagraph"/>
              <w:numPr>
                <w:ilvl w:val="0"/>
                <w:numId w:val="41"/>
              </w:numPr>
              <w:spacing w:before="0" w:after="0" w:line="312" w:lineRule="auto"/>
              <w:jc w:val="both"/>
              <w:rPr>
                <w:rFonts w:ascii="Arial Narrow" w:hAnsi="Arial Narrow"/>
                <w:sz w:val="18"/>
                <w:szCs w:val="18"/>
              </w:rPr>
            </w:pPr>
            <w:r w:rsidRPr="00A41F07">
              <w:rPr>
                <w:rFonts w:ascii="Arial Narrow" w:hAnsi="Arial Narrow"/>
                <w:sz w:val="18"/>
                <w:szCs w:val="18"/>
              </w:rPr>
              <w:t>Non-stricturing disease</w:t>
            </w:r>
          </w:p>
          <w:p w14:paraId="582719C9" w14:textId="77777777" w:rsidR="00781159" w:rsidRPr="00A41F07" w:rsidRDefault="00781159">
            <w:pPr>
              <w:spacing w:after="0"/>
              <w:rPr>
                <w:rFonts w:ascii="Arial Narrow" w:hAnsi="Arial Narrow"/>
                <w:sz w:val="18"/>
                <w:szCs w:val="18"/>
              </w:rPr>
            </w:pPr>
          </w:p>
          <w:p w14:paraId="582719CA" w14:textId="77777777" w:rsidR="00781159" w:rsidRPr="00A41F07" w:rsidRDefault="00781159">
            <w:pPr>
              <w:spacing w:after="0"/>
              <w:rPr>
                <w:rFonts w:ascii="Arial Narrow" w:hAnsi="Arial Narrow"/>
                <w:sz w:val="18"/>
                <w:szCs w:val="18"/>
              </w:rPr>
            </w:pPr>
            <w:r w:rsidRPr="00A41F07">
              <w:rPr>
                <w:rFonts w:ascii="Arial Narrow" w:hAnsi="Arial Narrow"/>
                <w:sz w:val="18"/>
                <w:szCs w:val="18"/>
              </w:rPr>
              <w:t>The service is performed by a specialist or consultant physician with endoscopic training that is recognized by The Conjoint Committee for the Recognition of Training in Gastrointestinal Endoscopy.</w:t>
            </w:r>
          </w:p>
          <w:p w14:paraId="582719CB" w14:textId="77777777" w:rsidR="00781159" w:rsidRPr="00A41F07" w:rsidRDefault="00781159" w:rsidP="00781159">
            <w:pPr>
              <w:widowControl w:val="0"/>
              <w:jc w:val="both"/>
              <w:rPr>
                <w:rFonts w:ascii="Arial Narrow" w:hAnsi="Arial Narrow"/>
                <w:sz w:val="18"/>
                <w:szCs w:val="18"/>
              </w:rPr>
            </w:pPr>
            <w:r w:rsidRPr="00A41F07">
              <w:rPr>
                <w:rFonts w:ascii="Arial Narrow" w:hAnsi="Arial Narrow"/>
                <w:sz w:val="18"/>
                <w:szCs w:val="18"/>
              </w:rPr>
              <w:t>Conjoint committee</w:t>
            </w:r>
          </w:p>
          <w:p w14:paraId="582719CC" w14:textId="77777777" w:rsidR="00781159" w:rsidRPr="00A41F07" w:rsidRDefault="00781159" w:rsidP="00781159">
            <w:pPr>
              <w:spacing w:after="0"/>
              <w:jc w:val="both"/>
              <w:rPr>
                <w:rFonts w:ascii="Arial Narrow" w:hAnsi="Arial Narrow"/>
                <w:sz w:val="18"/>
                <w:szCs w:val="18"/>
              </w:rPr>
            </w:pPr>
            <w:r w:rsidRPr="00A41F07">
              <w:rPr>
                <w:rFonts w:ascii="Arial Narrow" w:hAnsi="Arial Narrow"/>
                <w:sz w:val="18"/>
                <w:szCs w:val="18"/>
              </w:rPr>
              <w:t>The Conjoint Committee comprises representatives from the Gastroenterological Society of Australia (GESA), the Royal Australasian College of Physicians (RACP) and the Royal Australasian College of Surgeons (RACS). For the purposes of Item TBD, specialists or consultant physicians performing this procedure must have endoscopic training recognised by The Conjoint Committee for the Recognition of Training in Gastrointestinal Endoscopy, and Medicare Australia notified of that recognition</w:t>
            </w:r>
          </w:p>
          <w:p w14:paraId="582719CD" w14:textId="77777777" w:rsidR="00781159" w:rsidRPr="00A41F07" w:rsidRDefault="00781159">
            <w:pPr>
              <w:spacing w:after="0"/>
              <w:rPr>
                <w:rFonts w:ascii="Arial Narrow" w:hAnsi="Arial Narrow"/>
                <w:sz w:val="18"/>
                <w:szCs w:val="18"/>
              </w:rPr>
            </w:pPr>
          </w:p>
          <w:p w14:paraId="582719CE" w14:textId="77777777" w:rsidR="00781159" w:rsidRPr="00A41F07" w:rsidRDefault="00781159">
            <w:pPr>
              <w:spacing w:after="0"/>
              <w:rPr>
                <w:rFonts w:ascii="Arial Narrow" w:hAnsi="Arial Narrow"/>
                <w:sz w:val="18"/>
                <w:szCs w:val="18"/>
              </w:rPr>
            </w:pPr>
            <w:r w:rsidRPr="00A41F07">
              <w:rPr>
                <w:rFonts w:ascii="Arial Narrow" w:hAnsi="Arial Narrow"/>
                <w:sz w:val="18"/>
                <w:szCs w:val="18"/>
              </w:rPr>
              <w:t>NOTE 1: Assessment of change to therapy can only be claimed once in a 12 month period.</w:t>
            </w:r>
          </w:p>
          <w:p w14:paraId="582719CF" w14:textId="77777777" w:rsidR="00781159" w:rsidRPr="00A41F07" w:rsidRDefault="00781159">
            <w:pPr>
              <w:pStyle w:val="NormalWeb"/>
              <w:shd w:val="clear" w:color="auto" w:fill="FFFFFF"/>
              <w:tabs>
                <w:tab w:val="left" w:pos="2835"/>
              </w:tabs>
              <w:spacing w:before="0" w:beforeAutospacing="0" w:after="0" w:afterAutospacing="0" w:line="276" w:lineRule="auto"/>
              <w:textAlignment w:val="top"/>
              <w:rPr>
                <w:rFonts w:ascii="Arial Narrow" w:eastAsia="SimSun" w:hAnsi="Arial Narrow" w:cs="Tahoma"/>
                <w:sz w:val="20"/>
                <w:szCs w:val="20"/>
                <w:lang w:val="en-US" w:eastAsia="ja-JP"/>
              </w:rPr>
            </w:pPr>
          </w:p>
          <w:p w14:paraId="582719D0" w14:textId="77777777" w:rsidR="00781159" w:rsidRPr="00A41F07" w:rsidRDefault="00781159">
            <w:pPr>
              <w:pStyle w:val="NormalWeb"/>
              <w:shd w:val="clear" w:color="auto" w:fill="FFFFFF"/>
              <w:tabs>
                <w:tab w:val="left" w:pos="2835"/>
              </w:tabs>
              <w:spacing w:before="0" w:beforeAutospacing="0" w:after="0" w:afterAutospacing="0" w:line="276" w:lineRule="auto"/>
              <w:textAlignment w:val="top"/>
              <w:rPr>
                <w:rFonts w:ascii="Arial Narrow" w:eastAsia="SimSun" w:hAnsi="Arial Narrow" w:cs="Tahoma"/>
                <w:sz w:val="18"/>
                <w:szCs w:val="18"/>
                <w:lang w:eastAsia="zh-CN"/>
              </w:rPr>
            </w:pPr>
            <w:r w:rsidRPr="00A41F07">
              <w:rPr>
                <w:rFonts w:ascii="Arial Narrow" w:eastAsia="SimSun" w:hAnsi="Arial Narrow" w:cs="Tahoma"/>
                <w:sz w:val="18"/>
                <w:szCs w:val="18"/>
                <w:lang w:eastAsia="zh-CN"/>
              </w:rPr>
              <w:t>Fee:$2,039.20  Benefit: 75% = $1,529.40 85% = $1,964.70</w:t>
            </w:r>
          </w:p>
          <w:p w14:paraId="582719D1" w14:textId="77777777" w:rsidR="00781159" w:rsidRPr="00A41F07" w:rsidRDefault="00781159">
            <w:pPr>
              <w:pStyle w:val="NormalWeb"/>
              <w:shd w:val="clear" w:color="auto" w:fill="FFFFFF"/>
              <w:tabs>
                <w:tab w:val="left" w:pos="2835"/>
              </w:tabs>
              <w:spacing w:before="0" w:beforeAutospacing="0" w:after="0" w:afterAutospacing="0" w:line="276" w:lineRule="auto"/>
              <w:textAlignment w:val="top"/>
              <w:rPr>
                <w:rFonts w:ascii="Arial Narrow" w:hAnsi="Arial Narrow"/>
                <w:lang w:val="en-US" w:eastAsia="ja-JP"/>
              </w:rPr>
            </w:pPr>
          </w:p>
        </w:tc>
      </w:tr>
    </w:tbl>
    <w:p w14:paraId="582719D3" w14:textId="77777777" w:rsidR="00781159" w:rsidRPr="00A41F07" w:rsidRDefault="00781159" w:rsidP="00AE1188">
      <w:pPr>
        <w:pStyle w:val="Heading1"/>
      </w:pPr>
    </w:p>
    <w:p w14:paraId="582719D4" w14:textId="77777777" w:rsidR="00781159" w:rsidRPr="00A41F07" w:rsidRDefault="00781159" w:rsidP="00781159"/>
    <w:p w14:paraId="582719D5" w14:textId="77777777" w:rsidR="00781159" w:rsidRPr="00A41F07" w:rsidRDefault="00781159" w:rsidP="00781159"/>
    <w:p w14:paraId="582719D6" w14:textId="77777777" w:rsidR="00781159" w:rsidRPr="00A41F07" w:rsidRDefault="00781159" w:rsidP="00781159"/>
    <w:p w14:paraId="582719D7" w14:textId="77777777" w:rsidR="00781159" w:rsidRPr="00A41F07" w:rsidRDefault="00781159" w:rsidP="00781159"/>
    <w:p w14:paraId="582719D8" w14:textId="77777777" w:rsidR="00781159" w:rsidRPr="00A41F07" w:rsidRDefault="00781159" w:rsidP="00781159"/>
    <w:p w14:paraId="582719D9" w14:textId="77777777" w:rsidR="00781159" w:rsidRPr="00A41F07" w:rsidRDefault="00781159" w:rsidP="00781159"/>
    <w:p w14:paraId="582719DA" w14:textId="77777777" w:rsidR="00781159" w:rsidRPr="00A41F07" w:rsidRDefault="00781159" w:rsidP="00781159"/>
    <w:p w14:paraId="582719DB" w14:textId="77777777" w:rsidR="00781159" w:rsidRPr="00A41F07" w:rsidRDefault="00781159" w:rsidP="00781159"/>
    <w:p w14:paraId="582719DC" w14:textId="77777777" w:rsidR="00781159" w:rsidRPr="00A41F07" w:rsidRDefault="00781159" w:rsidP="00781159"/>
    <w:p w14:paraId="582719DD" w14:textId="77777777" w:rsidR="00781159" w:rsidRPr="00A41F07" w:rsidRDefault="00781159" w:rsidP="00781159"/>
    <w:p w14:paraId="582719DE" w14:textId="77777777" w:rsidR="0026394E" w:rsidRPr="00A41F07" w:rsidRDefault="0026394E" w:rsidP="00781159"/>
    <w:p w14:paraId="582719DF" w14:textId="77777777" w:rsidR="0026394E" w:rsidRPr="00A41F07" w:rsidRDefault="0026394E" w:rsidP="00781159"/>
    <w:p w14:paraId="582719E0" w14:textId="77777777" w:rsidR="0026394E" w:rsidRPr="00A41F07" w:rsidRDefault="0026394E" w:rsidP="00781159"/>
    <w:p w14:paraId="582719E1" w14:textId="77777777" w:rsidR="0026394E" w:rsidRPr="00A41F07" w:rsidRDefault="0026394E" w:rsidP="00781159"/>
    <w:p w14:paraId="582719E2" w14:textId="77777777" w:rsidR="0026394E" w:rsidRPr="00A41F07" w:rsidRDefault="0026394E" w:rsidP="00781159"/>
    <w:p w14:paraId="582719E3" w14:textId="77777777" w:rsidR="0026394E" w:rsidRPr="00A41F07" w:rsidRDefault="0026394E" w:rsidP="00781159"/>
    <w:p w14:paraId="582719E4" w14:textId="77777777" w:rsidR="00781159" w:rsidRPr="00A41F07" w:rsidRDefault="00781159" w:rsidP="00781159"/>
    <w:p w14:paraId="582719E5" w14:textId="77777777" w:rsidR="00E058F2" w:rsidRPr="00A41F07" w:rsidRDefault="001B5169" w:rsidP="00AE1188">
      <w:pPr>
        <w:pStyle w:val="Heading1"/>
      </w:pPr>
      <w:r w:rsidRPr="00A41F07">
        <w:t>PART 9</w:t>
      </w:r>
      <w:r w:rsidR="00F93784" w:rsidRPr="00A41F07">
        <w:t xml:space="preserve"> – </w:t>
      </w:r>
      <w:r w:rsidR="00E058F2" w:rsidRPr="00A41F07">
        <w:t>FEEDBACK</w:t>
      </w:r>
    </w:p>
    <w:p w14:paraId="582719E6" w14:textId="77777777" w:rsidR="00E058F2" w:rsidRPr="00A41F07" w:rsidRDefault="00E058F2" w:rsidP="00E058F2">
      <w:pPr>
        <w:rPr>
          <w:szCs w:val="20"/>
        </w:rPr>
      </w:pPr>
      <w:r w:rsidRPr="00A41F07">
        <w:rPr>
          <w:szCs w:val="20"/>
        </w:rPr>
        <w:t>The Department</w:t>
      </w:r>
      <w:r w:rsidR="005A58BA" w:rsidRPr="00A41F07">
        <w:rPr>
          <w:szCs w:val="20"/>
        </w:rPr>
        <w:t xml:space="preserve"> is interested in your feedback.</w:t>
      </w:r>
    </w:p>
    <w:p w14:paraId="582719E7" w14:textId="77777777" w:rsidR="00E058F2" w:rsidRPr="00A41F07" w:rsidRDefault="00E058F2" w:rsidP="001B5169">
      <w:pPr>
        <w:pStyle w:val="Heading2"/>
      </w:pPr>
      <w:r w:rsidRPr="00A41F07">
        <w:t>How long did it take to complete the Application Form?</w:t>
      </w:r>
    </w:p>
    <w:p w14:paraId="582719E8" w14:textId="77777777" w:rsidR="00E058F2" w:rsidRPr="00A41F07" w:rsidRDefault="008841AB" w:rsidP="00603D04">
      <w:pPr>
        <w:ind w:left="426"/>
        <w:rPr>
          <w:szCs w:val="20"/>
        </w:rPr>
      </w:pPr>
      <w:r w:rsidRPr="00A41F07">
        <w:fldChar w:fldCharType="begin">
          <w:ffData>
            <w:name w:val=""/>
            <w:enabled/>
            <w:calcOnExit w:val="0"/>
            <w:textInput>
              <w:default w:val="1 month"/>
            </w:textInput>
          </w:ffData>
        </w:fldChar>
      </w:r>
      <w:r w:rsidRPr="00A41F07">
        <w:instrText xml:space="preserve"> FORMTEXT </w:instrText>
      </w:r>
      <w:r w:rsidRPr="00A41F07">
        <w:fldChar w:fldCharType="separate"/>
      </w:r>
      <w:r w:rsidRPr="00A41F07">
        <w:rPr>
          <w:noProof/>
        </w:rPr>
        <w:t>1 month</w:t>
      </w:r>
      <w:r w:rsidRPr="00A41F07">
        <w:fldChar w:fldCharType="end"/>
      </w:r>
    </w:p>
    <w:p w14:paraId="582719E9" w14:textId="77777777" w:rsidR="001845D9" w:rsidRPr="00A41F07" w:rsidRDefault="001B5169" w:rsidP="00530204">
      <w:pPr>
        <w:pStyle w:val="Heading2"/>
      </w:pPr>
      <w:r w:rsidRPr="00A41F07">
        <w:t xml:space="preserve">(a) </w:t>
      </w:r>
      <w:r w:rsidR="001845D9" w:rsidRPr="00A41F07">
        <w:t xml:space="preserve">Was the Application Form </w:t>
      </w:r>
      <w:r w:rsidR="0081650F" w:rsidRPr="00A41F07">
        <w:t>clear and easy to complete?</w:t>
      </w:r>
    </w:p>
    <w:p w14:paraId="582719EA" w14:textId="77777777" w:rsidR="00603D04" w:rsidRPr="00A41F07" w:rsidRDefault="00430A4E" w:rsidP="00603D04">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3D04" w:rsidRPr="00A41F07">
        <w:rPr>
          <w:szCs w:val="20"/>
        </w:rPr>
        <w:t xml:space="preserve"> Yes</w:t>
      </w:r>
      <w:r w:rsidR="00603D04" w:rsidRPr="00A41F07">
        <w:rPr>
          <w:szCs w:val="20"/>
        </w:rPr>
        <w:tab/>
      </w:r>
    </w:p>
    <w:p w14:paraId="582719EB" w14:textId="77777777" w:rsidR="00603D04" w:rsidRPr="00A41F07" w:rsidRDefault="00430A4E" w:rsidP="00603D04">
      <w:pPr>
        <w:spacing w:before="0" w:after="0"/>
        <w:ind w:left="426"/>
        <w:rPr>
          <w:szCs w:val="20"/>
        </w:rPr>
      </w:pPr>
      <w:r w:rsidRPr="00A41F07">
        <w:rPr>
          <w:szCs w:val="20"/>
        </w:rPr>
        <w:fldChar w:fldCharType="begin">
          <w:ffData>
            <w:name w:val=""/>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3D04" w:rsidRPr="00A41F07">
        <w:rPr>
          <w:szCs w:val="20"/>
        </w:rPr>
        <w:t xml:space="preserve"> No</w:t>
      </w:r>
    </w:p>
    <w:p w14:paraId="582719EC" w14:textId="77777777" w:rsidR="003D6DE1" w:rsidRPr="00A41F07" w:rsidRDefault="00603D04" w:rsidP="001B5169">
      <w:pPr>
        <w:pStyle w:val="Heading2"/>
        <w:numPr>
          <w:ilvl w:val="0"/>
          <w:numId w:val="31"/>
        </w:numPr>
      </w:pPr>
      <w:r w:rsidRPr="00A41F07">
        <w:t>If no, provide areas of concern:</w:t>
      </w:r>
    </w:p>
    <w:p w14:paraId="582719ED" w14:textId="77777777" w:rsidR="00D75D10" w:rsidRPr="00A41F07" w:rsidRDefault="00430A4E" w:rsidP="00786524">
      <w:pPr>
        <w:ind w:left="360"/>
        <w:jc w:val="both"/>
      </w:pPr>
      <w:r w:rsidRPr="00A41F07">
        <w:t>Although the form is reasonably straight forward to complete,</w:t>
      </w:r>
      <w:r w:rsidR="00786524" w:rsidRPr="00A41F07">
        <w:t xml:space="preserve"> </w:t>
      </w:r>
      <w:r w:rsidR="00D75D10" w:rsidRPr="00A41F07">
        <w:t xml:space="preserve">it is somewhat repetitive, particularly </w:t>
      </w:r>
      <w:r w:rsidR="00786524" w:rsidRPr="00A41F07">
        <w:t xml:space="preserve">questions related to the clinical algorithms (Q.26, Q, 27, Q41, Q43). </w:t>
      </w:r>
      <w:r w:rsidR="00D75D10" w:rsidRPr="00A41F07">
        <w:br/>
      </w:r>
    </w:p>
    <w:p w14:paraId="582719EE" w14:textId="77777777" w:rsidR="003D6DE1" w:rsidRPr="00A41F07" w:rsidRDefault="00786524" w:rsidP="00786524">
      <w:pPr>
        <w:ind w:left="360"/>
        <w:jc w:val="both"/>
      </w:pPr>
      <w:r w:rsidRPr="00A41F07">
        <w:t>Question 42 is somewhat ambiguous with reference to “in addition to, or instead”. It is difficult to answer with “Yes” or “No” to this Question. Question 43 refers to Question 39 as baseline. This should probably refer to Question 41.</w:t>
      </w:r>
    </w:p>
    <w:p w14:paraId="582719EF" w14:textId="77777777" w:rsidR="00E058F2" w:rsidRPr="00A41F07" w:rsidRDefault="001B5169" w:rsidP="00530204">
      <w:pPr>
        <w:pStyle w:val="Heading2"/>
      </w:pPr>
      <w:r w:rsidRPr="00A41F07">
        <w:t xml:space="preserve">(a) </w:t>
      </w:r>
      <w:r w:rsidR="00E058F2" w:rsidRPr="00A41F07">
        <w:t>Are the associated Guidelines to the Application Form useful?</w:t>
      </w:r>
    </w:p>
    <w:p w14:paraId="582719F0" w14:textId="77777777" w:rsidR="00603D04" w:rsidRPr="00A41F07" w:rsidRDefault="008841AB" w:rsidP="00603D04">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3D04" w:rsidRPr="00A41F07">
        <w:rPr>
          <w:szCs w:val="20"/>
        </w:rPr>
        <w:t xml:space="preserve"> Yes</w:t>
      </w:r>
      <w:r w:rsidR="00603D04" w:rsidRPr="00A41F07">
        <w:rPr>
          <w:szCs w:val="20"/>
        </w:rPr>
        <w:tab/>
      </w:r>
    </w:p>
    <w:p w14:paraId="582719F1" w14:textId="77777777" w:rsidR="00603D04" w:rsidRPr="00A41F07" w:rsidRDefault="00603D04" w:rsidP="00603D04">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p>
    <w:p w14:paraId="582719F2" w14:textId="77777777" w:rsidR="003D6DE1" w:rsidRDefault="003D6DE1" w:rsidP="001B5169">
      <w:pPr>
        <w:pStyle w:val="Heading2"/>
        <w:numPr>
          <w:ilvl w:val="0"/>
          <w:numId w:val="32"/>
        </w:numPr>
      </w:pPr>
      <w:r w:rsidRPr="00A41F07">
        <w:t>If no, what areas did you find not to be useful?</w:t>
      </w:r>
    </w:p>
    <w:p w14:paraId="582719F3" w14:textId="77777777" w:rsidR="00497D3F" w:rsidRPr="00497D3F" w:rsidRDefault="00497D3F" w:rsidP="00497D3F"/>
    <w:p w14:paraId="582719F4" w14:textId="77777777" w:rsidR="00E058F2" w:rsidRPr="00A41F07" w:rsidRDefault="00497D3F" w:rsidP="00530204">
      <w:pPr>
        <w:pStyle w:val="Heading2"/>
      </w:pPr>
      <w:r w:rsidRPr="00A41F07">
        <w:t xml:space="preserve"> </w:t>
      </w:r>
      <w:r w:rsidR="001B5169" w:rsidRPr="00A41F07">
        <w:t xml:space="preserve">(a) </w:t>
      </w:r>
      <w:r w:rsidR="00E058F2" w:rsidRPr="00A41F07">
        <w:t>Is there any information that the Department should consider in the future</w:t>
      </w:r>
      <w:r w:rsidR="00CF2DFA" w:rsidRPr="00A41F07">
        <w:t xml:space="preserve"> relating to the questions within the Application Form</w:t>
      </w:r>
      <w:r w:rsidR="00E058F2" w:rsidRPr="00A41F07">
        <w:t xml:space="preserve"> that is not contained in the Application Form?</w:t>
      </w:r>
    </w:p>
    <w:p w14:paraId="582719F5" w14:textId="77777777" w:rsidR="00603D04" w:rsidRPr="00A41F07" w:rsidRDefault="008841AB" w:rsidP="00603D04">
      <w:pPr>
        <w:spacing w:before="0" w:after="0"/>
        <w:ind w:left="426"/>
        <w:rPr>
          <w:szCs w:val="20"/>
        </w:rPr>
      </w:pPr>
      <w:r w:rsidRPr="00A41F07">
        <w:rPr>
          <w:szCs w:val="20"/>
        </w:rPr>
        <w:fldChar w:fldCharType="begin">
          <w:ffData>
            <w:name w:val=""/>
            <w:enabled/>
            <w:calcOnExit w:val="0"/>
            <w:checkBox>
              <w:sizeAuto/>
              <w:default w:val="1"/>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00603D04" w:rsidRPr="00A41F07">
        <w:rPr>
          <w:szCs w:val="20"/>
        </w:rPr>
        <w:t xml:space="preserve"> Yes</w:t>
      </w:r>
      <w:r w:rsidR="00603D04" w:rsidRPr="00A41F07">
        <w:rPr>
          <w:szCs w:val="20"/>
        </w:rPr>
        <w:tab/>
      </w:r>
    </w:p>
    <w:p w14:paraId="582719F6" w14:textId="77777777" w:rsidR="00603D04" w:rsidRPr="00A41F07" w:rsidRDefault="00603D04" w:rsidP="00603D04">
      <w:pPr>
        <w:spacing w:before="0" w:after="0"/>
        <w:ind w:left="426"/>
        <w:rPr>
          <w:szCs w:val="20"/>
        </w:rPr>
      </w:pPr>
      <w:r w:rsidRPr="00A41F07">
        <w:rPr>
          <w:szCs w:val="20"/>
        </w:rPr>
        <w:fldChar w:fldCharType="begin">
          <w:ffData>
            <w:name w:val="Check1"/>
            <w:enabled/>
            <w:calcOnExit w:val="0"/>
            <w:checkBox>
              <w:sizeAuto/>
              <w:default w:val="0"/>
            </w:checkBox>
          </w:ffData>
        </w:fldChar>
      </w:r>
      <w:r w:rsidRPr="00A41F07">
        <w:rPr>
          <w:szCs w:val="20"/>
        </w:rPr>
        <w:instrText xml:space="preserve"> FORMCHECKBOX </w:instrText>
      </w:r>
      <w:r w:rsidR="00742C65">
        <w:rPr>
          <w:szCs w:val="20"/>
        </w:rPr>
      </w:r>
      <w:r w:rsidR="00742C65">
        <w:rPr>
          <w:szCs w:val="20"/>
        </w:rPr>
        <w:fldChar w:fldCharType="separate"/>
      </w:r>
      <w:r w:rsidRPr="00A41F07">
        <w:rPr>
          <w:szCs w:val="20"/>
        </w:rPr>
        <w:fldChar w:fldCharType="end"/>
      </w:r>
      <w:r w:rsidRPr="00A41F07">
        <w:rPr>
          <w:szCs w:val="20"/>
        </w:rPr>
        <w:t xml:space="preserve"> No</w:t>
      </w:r>
    </w:p>
    <w:p w14:paraId="582719F7" w14:textId="77777777" w:rsidR="001845D9" w:rsidRPr="00A41F07" w:rsidRDefault="001845D9" w:rsidP="001B5169">
      <w:pPr>
        <w:pStyle w:val="Heading2"/>
        <w:numPr>
          <w:ilvl w:val="0"/>
          <w:numId w:val="33"/>
        </w:numPr>
      </w:pPr>
      <w:r w:rsidRPr="00A41F07">
        <w:t xml:space="preserve">If yes, please </w:t>
      </w:r>
      <w:proofErr w:type="gramStart"/>
      <w:r w:rsidRPr="00A41F07">
        <w:t>advise</w:t>
      </w:r>
      <w:proofErr w:type="gramEnd"/>
      <w:r w:rsidRPr="00A41F07">
        <w:t>:</w:t>
      </w:r>
    </w:p>
    <w:p w14:paraId="582719F8" w14:textId="77777777" w:rsidR="008841AB" w:rsidRDefault="00781159" w:rsidP="00781159">
      <w:pPr>
        <w:ind w:left="426"/>
        <w:jc w:val="both"/>
      </w:pPr>
      <w:r w:rsidRPr="00A41F07">
        <w:t>Eligible population</w:t>
      </w:r>
      <w:r w:rsidR="008841AB" w:rsidRPr="00A41F07">
        <w:t xml:space="preserve">s and utilization estimates early in the process </w:t>
      </w:r>
      <w:r w:rsidR="00786524" w:rsidRPr="00A41F07">
        <w:t xml:space="preserve">of the application </w:t>
      </w:r>
      <w:r w:rsidR="008841AB" w:rsidRPr="00A41F07">
        <w:t>can be challenging especially for conditions where publicly available data is scarce.</w:t>
      </w:r>
      <w:r w:rsidR="00B1370D" w:rsidRPr="00A41F07">
        <w:t xml:space="preserve"> Hence data might be needed from Department of Health to facilitate economic </w:t>
      </w:r>
      <w:r w:rsidR="00A41F07" w:rsidRPr="00A41F07">
        <w:t>evaluation for</w:t>
      </w:r>
      <w:r w:rsidR="004A5AAF" w:rsidRPr="00A41F07">
        <w:t xml:space="preserve"> </w:t>
      </w:r>
      <w:r w:rsidR="00786524" w:rsidRPr="00A41F07">
        <w:t>instance</w:t>
      </w:r>
      <w:r w:rsidR="004A5AAF" w:rsidRPr="00A41F07">
        <w:t xml:space="preserve">, </w:t>
      </w:r>
      <w:r w:rsidR="00786524" w:rsidRPr="00A41F07">
        <w:t>the data regarding the indication</w:t>
      </w:r>
      <w:r w:rsidR="004A5AAF" w:rsidRPr="00A41F07">
        <w:t xml:space="preserve"> of Capsule </w:t>
      </w:r>
      <w:r w:rsidR="00786524" w:rsidRPr="00A41F07">
        <w:t xml:space="preserve">Endoscopy </w:t>
      </w:r>
      <w:r w:rsidR="004A5AAF" w:rsidRPr="00A41F07">
        <w:t>for Diagnosis</w:t>
      </w:r>
      <w:r w:rsidR="00786524" w:rsidRPr="00A41F07">
        <w:t xml:space="preserve"> of Suspected Small Bowel Crohn’s Disease,</w:t>
      </w:r>
      <w:r w:rsidR="004A5AAF" w:rsidRPr="00A41F07">
        <w:t xml:space="preserve"> MBS utilisation data on patients</w:t>
      </w:r>
      <w:r w:rsidR="00786524" w:rsidRPr="00A41F07">
        <w:t xml:space="preserve"> who</w:t>
      </w:r>
      <w:r w:rsidR="004A5AAF" w:rsidRPr="00A41F07">
        <w:t xml:space="preserve"> undergo repeat investigations.</w:t>
      </w:r>
      <w:r w:rsidR="004A5AAF">
        <w:t xml:space="preserve"> </w:t>
      </w:r>
    </w:p>
    <w:p w14:paraId="582719F9" w14:textId="77777777" w:rsidR="000C639E" w:rsidRDefault="000C639E" w:rsidP="008841AB">
      <w:pPr>
        <w:ind w:left="426"/>
      </w:pPr>
    </w:p>
    <w:p w14:paraId="582719FA" w14:textId="77777777" w:rsidR="000C639E" w:rsidRDefault="000C639E" w:rsidP="008841AB">
      <w:pPr>
        <w:ind w:left="426"/>
      </w:pPr>
    </w:p>
    <w:p w14:paraId="582719FB" w14:textId="77777777" w:rsidR="000C639E" w:rsidRDefault="000C639E" w:rsidP="008841AB">
      <w:pPr>
        <w:ind w:left="426"/>
      </w:pPr>
    </w:p>
    <w:p w14:paraId="582719FC" w14:textId="77777777" w:rsidR="003044C0" w:rsidRDefault="003044C0" w:rsidP="008841AB">
      <w:pPr>
        <w:ind w:left="426"/>
      </w:pPr>
    </w:p>
    <w:p w14:paraId="582719FD" w14:textId="77777777" w:rsidR="008841AB" w:rsidRDefault="008841AB" w:rsidP="00603D04">
      <w:pPr>
        <w:ind w:left="426"/>
        <w:rPr>
          <w:szCs w:val="20"/>
        </w:rPr>
      </w:pPr>
    </w:p>
    <w:p w14:paraId="582719FE" w14:textId="77777777" w:rsidR="00C1671C" w:rsidRDefault="00C1671C" w:rsidP="00526385">
      <w:pPr>
        <w:rPr>
          <w:bCs/>
          <w:color w:val="4F81BD" w:themeColor="accent1"/>
          <w:sz w:val="40"/>
          <w:szCs w:val="32"/>
        </w:rPr>
      </w:pPr>
    </w:p>
    <w:p w14:paraId="582719FF" w14:textId="77777777" w:rsidR="00C1671C" w:rsidRDefault="00C1671C" w:rsidP="00526385">
      <w:pPr>
        <w:rPr>
          <w:bCs/>
          <w:color w:val="4F81BD" w:themeColor="accent1"/>
          <w:sz w:val="40"/>
          <w:szCs w:val="32"/>
        </w:rPr>
      </w:pPr>
    </w:p>
    <w:p w14:paraId="58271A00" w14:textId="77777777" w:rsidR="00C1671C" w:rsidRDefault="00C1671C" w:rsidP="00526385">
      <w:pPr>
        <w:rPr>
          <w:bCs/>
          <w:color w:val="4F81BD" w:themeColor="accent1"/>
          <w:sz w:val="40"/>
          <w:szCs w:val="32"/>
        </w:rPr>
      </w:pPr>
    </w:p>
    <w:p w14:paraId="58271A01" w14:textId="77777777" w:rsidR="000F6515" w:rsidRDefault="00664DA6" w:rsidP="00A36A00">
      <w:pPr>
        <w:jc w:val="center"/>
        <w:rPr>
          <w:b/>
          <w:bCs/>
          <w:color w:val="4F81BD" w:themeColor="accent1"/>
          <w:sz w:val="40"/>
          <w:szCs w:val="32"/>
        </w:rPr>
      </w:pPr>
      <w:r w:rsidRPr="006A7F8E">
        <w:rPr>
          <w:b/>
          <w:bCs/>
          <w:color w:val="4F81BD" w:themeColor="accent1"/>
          <w:sz w:val="40"/>
          <w:szCs w:val="32"/>
        </w:rPr>
        <w:lastRenderedPageBreak/>
        <w:t>APPENDIX</w:t>
      </w:r>
    </w:p>
    <w:p w14:paraId="58271A02" w14:textId="77777777" w:rsidR="003376F7" w:rsidRPr="004C797B" w:rsidRDefault="003376F7" w:rsidP="003376F7">
      <w:pPr>
        <w:rPr>
          <w:b/>
          <w:bCs/>
          <w:color w:val="4F81BD" w:themeColor="accent1"/>
          <w:sz w:val="32"/>
          <w:szCs w:val="32"/>
        </w:rPr>
      </w:pPr>
      <w:r w:rsidRPr="004C797B">
        <w:rPr>
          <w:b/>
          <w:bCs/>
          <w:color w:val="4F81BD" w:themeColor="accent1"/>
          <w:sz w:val="32"/>
          <w:szCs w:val="32"/>
        </w:rPr>
        <w:t>Figure 1</w:t>
      </w:r>
      <w:r w:rsidR="004C797B" w:rsidRPr="004C797B">
        <w:rPr>
          <w:b/>
          <w:bCs/>
          <w:color w:val="4F81BD" w:themeColor="accent1"/>
          <w:sz w:val="32"/>
          <w:szCs w:val="32"/>
        </w:rPr>
        <w:t xml:space="preserve"> Current and Proposed Clinical Pathway before and after patient would be eligible for the current and proposed service</w:t>
      </w:r>
    </w:p>
    <w:p w14:paraId="58271A03" w14:textId="77777777" w:rsidR="00526385" w:rsidRPr="00664DA6" w:rsidRDefault="004C797B" w:rsidP="00526385">
      <w:pPr>
        <w:rPr>
          <w:bCs/>
          <w:color w:val="4F81BD" w:themeColor="accent1"/>
          <w:sz w:val="40"/>
          <w:szCs w:val="32"/>
        </w:rPr>
      </w:pPr>
      <w:r w:rsidRPr="004C797B">
        <w:rPr>
          <w:noProof/>
          <w:sz w:val="16"/>
          <w:lang w:eastAsia="en-AU"/>
        </w:rPr>
        <w:drawing>
          <wp:anchor distT="0" distB="0" distL="114300" distR="114300" simplePos="0" relativeHeight="251658240" behindDoc="0" locked="0" layoutInCell="1" allowOverlap="1" wp14:anchorId="58271A7A" wp14:editId="58271A7B">
            <wp:simplePos x="0" y="0"/>
            <wp:positionH relativeFrom="column">
              <wp:posOffset>-267335</wp:posOffset>
            </wp:positionH>
            <wp:positionV relativeFrom="paragraph">
              <wp:posOffset>230505</wp:posOffset>
            </wp:positionV>
            <wp:extent cx="6762750" cy="5092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extLst>
                        <a:ext uri="{28A0092B-C50C-407E-A947-70E740481C1C}">
                          <a14:useLocalDpi xmlns:a14="http://schemas.microsoft.com/office/drawing/2010/main" val="0"/>
                        </a:ext>
                      </a:extLst>
                    </a:blip>
                    <a:stretch>
                      <a:fillRect/>
                    </a:stretch>
                  </pic:blipFill>
                  <pic:spPr>
                    <a:xfrm>
                      <a:off x="0" y="0"/>
                      <a:ext cx="6762750" cy="5092700"/>
                    </a:xfrm>
                    <a:prstGeom prst="rect">
                      <a:avLst/>
                    </a:prstGeom>
                  </pic:spPr>
                </pic:pic>
              </a:graphicData>
            </a:graphic>
            <wp14:sizeRelH relativeFrom="page">
              <wp14:pctWidth>0</wp14:pctWidth>
            </wp14:sizeRelH>
            <wp14:sizeRelV relativeFrom="page">
              <wp14:pctHeight>0</wp14:pctHeight>
            </wp14:sizeRelV>
          </wp:anchor>
        </w:drawing>
      </w:r>
    </w:p>
    <w:p w14:paraId="58271A04" w14:textId="77777777" w:rsidR="000F6515" w:rsidRDefault="000F6515" w:rsidP="00603D04">
      <w:pPr>
        <w:ind w:left="426"/>
        <w:rPr>
          <w:szCs w:val="20"/>
        </w:rPr>
      </w:pPr>
    </w:p>
    <w:p w14:paraId="58271A05" w14:textId="77777777" w:rsidR="00E539D7" w:rsidRDefault="00E539D7" w:rsidP="00603D04">
      <w:pPr>
        <w:ind w:left="426"/>
        <w:rPr>
          <w:szCs w:val="20"/>
        </w:rPr>
      </w:pPr>
    </w:p>
    <w:p w14:paraId="58271A06" w14:textId="77777777" w:rsidR="00E539D7" w:rsidRDefault="00E539D7" w:rsidP="00603D04">
      <w:pPr>
        <w:ind w:left="426"/>
        <w:rPr>
          <w:szCs w:val="20"/>
        </w:rPr>
      </w:pPr>
    </w:p>
    <w:p w14:paraId="58271A07" w14:textId="77777777" w:rsidR="00E539D7" w:rsidRDefault="00E539D7" w:rsidP="00603D04">
      <w:pPr>
        <w:ind w:left="426"/>
        <w:rPr>
          <w:szCs w:val="20"/>
        </w:rPr>
      </w:pPr>
    </w:p>
    <w:p w14:paraId="58271A08" w14:textId="77777777" w:rsidR="00E539D7" w:rsidRDefault="00E539D7" w:rsidP="00CA7B3F">
      <w:pPr>
        <w:rPr>
          <w:noProof/>
          <w:szCs w:val="20"/>
          <w:lang w:eastAsia="en-AU"/>
        </w:rPr>
      </w:pPr>
    </w:p>
    <w:p w14:paraId="58271A09" w14:textId="77777777" w:rsidR="00526385" w:rsidRDefault="00526385" w:rsidP="00CA7B3F">
      <w:pPr>
        <w:rPr>
          <w:noProof/>
          <w:szCs w:val="20"/>
          <w:lang w:eastAsia="en-AU"/>
        </w:rPr>
      </w:pPr>
    </w:p>
    <w:p w14:paraId="58271A0A" w14:textId="77777777" w:rsidR="00526385" w:rsidRDefault="00526385" w:rsidP="00CA7B3F">
      <w:pPr>
        <w:rPr>
          <w:noProof/>
          <w:szCs w:val="20"/>
          <w:lang w:eastAsia="en-AU"/>
        </w:rPr>
      </w:pPr>
    </w:p>
    <w:p w14:paraId="58271A0B" w14:textId="77777777" w:rsidR="00526385" w:rsidRDefault="00526385" w:rsidP="00CA7B3F">
      <w:pPr>
        <w:rPr>
          <w:noProof/>
          <w:szCs w:val="20"/>
          <w:lang w:eastAsia="en-AU"/>
        </w:rPr>
      </w:pPr>
    </w:p>
    <w:p w14:paraId="58271A0C" w14:textId="77777777" w:rsidR="00526385" w:rsidRDefault="00526385" w:rsidP="00CA7B3F">
      <w:pPr>
        <w:rPr>
          <w:noProof/>
          <w:szCs w:val="20"/>
          <w:lang w:eastAsia="en-AU"/>
        </w:rPr>
      </w:pPr>
    </w:p>
    <w:p w14:paraId="58271A0D" w14:textId="77777777" w:rsidR="00747D80" w:rsidRDefault="00747D80" w:rsidP="00747D80">
      <w:pPr>
        <w:rPr>
          <w:szCs w:val="20"/>
        </w:rPr>
      </w:pPr>
    </w:p>
    <w:p w14:paraId="58271A0E" w14:textId="77777777" w:rsidR="004C797B" w:rsidRDefault="004C797B" w:rsidP="004C797B">
      <w:pPr>
        <w:rPr>
          <w:b/>
          <w:bCs/>
          <w:color w:val="4F81BD" w:themeColor="accent1"/>
          <w:sz w:val="32"/>
          <w:szCs w:val="32"/>
        </w:rPr>
      </w:pPr>
      <w:r>
        <w:rPr>
          <w:noProof/>
          <w:lang w:eastAsia="en-AU"/>
        </w:rPr>
        <w:drawing>
          <wp:anchor distT="0" distB="0" distL="114300" distR="114300" simplePos="0" relativeHeight="251659264" behindDoc="0" locked="0" layoutInCell="1" allowOverlap="1" wp14:anchorId="58271A7C" wp14:editId="58271A7D">
            <wp:simplePos x="0" y="0"/>
            <wp:positionH relativeFrom="column">
              <wp:posOffset>-173355</wp:posOffset>
            </wp:positionH>
            <wp:positionV relativeFrom="paragraph">
              <wp:posOffset>937260</wp:posOffset>
            </wp:positionV>
            <wp:extent cx="6587490" cy="4890770"/>
            <wp:effectExtent l="0" t="0" r="381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extLst>
                        <a:ext uri="{28A0092B-C50C-407E-A947-70E740481C1C}">
                          <a14:useLocalDpi xmlns:a14="http://schemas.microsoft.com/office/drawing/2010/main" val="0"/>
                        </a:ext>
                      </a:extLst>
                    </a:blip>
                    <a:stretch>
                      <a:fillRect/>
                    </a:stretch>
                  </pic:blipFill>
                  <pic:spPr>
                    <a:xfrm>
                      <a:off x="0" y="0"/>
                      <a:ext cx="6587490" cy="4890770"/>
                    </a:xfrm>
                    <a:prstGeom prst="rect">
                      <a:avLst/>
                    </a:prstGeom>
                  </pic:spPr>
                </pic:pic>
              </a:graphicData>
            </a:graphic>
            <wp14:sizeRelH relativeFrom="page">
              <wp14:pctWidth>0</wp14:pctWidth>
            </wp14:sizeRelH>
            <wp14:sizeRelV relativeFrom="page">
              <wp14:pctHeight>0</wp14:pctHeight>
            </wp14:sizeRelV>
          </wp:anchor>
        </w:drawing>
      </w:r>
      <w:r w:rsidRPr="004C797B">
        <w:rPr>
          <w:b/>
          <w:bCs/>
          <w:color w:val="4F81BD" w:themeColor="accent1"/>
          <w:sz w:val="32"/>
          <w:szCs w:val="32"/>
        </w:rPr>
        <w:t xml:space="preserve"> Figure </w:t>
      </w:r>
      <w:r>
        <w:rPr>
          <w:b/>
          <w:bCs/>
          <w:color w:val="4F81BD" w:themeColor="accent1"/>
          <w:sz w:val="32"/>
          <w:szCs w:val="32"/>
        </w:rPr>
        <w:t>2</w:t>
      </w:r>
      <w:r w:rsidRPr="004C797B">
        <w:rPr>
          <w:b/>
          <w:bCs/>
          <w:color w:val="4F81BD" w:themeColor="accent1"/>
          <w:sz w:val="32"/>
          <w:szCs w:val="32"/>
        </w:rPr>
        <w:t xml:space="preserve"> Current and Proposed Clinical Pathway before and after </w:t>
      </w:r>
      <w:r>
        <w:rPr>
          <w:b/>
          <w:bCs/>
          <w:color w:val="4F81BD" w:themeColor="accent1"/>
          <w:sz w:val="32"/>
          <w:szCs w:val="32"/>
        </w:rPr>
        <w:t xml:space="preserve">  </w:t>
      </w:r>
    </w:p>
    <w:p w14:paraId="58271A0F" w14:textId="77777777" w:rsidR="004C797B" w:rsidRPr="004C797B" w:rsidRDefault="004C797B" w:rsidP="004C797B">
      <w:pPr>
        <w:rPr>
          <w:b/>
          <w:bCs/>
          <w:color w:val="4F81BD" w:themeColor="accent1"/>
          <w:sz w:val="32"/>
          <w:szCs w:val="32"/>
        </w:rPr>
      </w:pPr>
      <w:r>
        <w:rPr>
          <w:b/>
          <w:bCs/>
          <w:color w:val="4F81BD" w:themeColor="accent1"/>
          <w:sz w:val="32"/>
          <w:szCs w:val="32"/>
        </w:rPr>
        <w:t xml:space="preserve"> </w:t>
      </w:r>
      <w:proofErr w:type="gramStart"/>
      <w:r w:rsidRPr="004C797B">
        <w:rPr>
          <w:b/>
          <w:bCs/>
          <w:color w:val="4F81BD" w:themeColor="accent1"/>
          <w:sz w:val="32"/>
          <w:szCs w:val="32"/>
        </w:rPr>
        <w:t>patient</w:t>
      </w:r>
      <w:proofErr w:type="gramEnd"/>
      <w:r w:rsidRPr="004C797B">
        <w:rPr>
          <w:b/>
          <w:bCs/>
          <w:color w:val="4F81BD" w:themeColor="accent1"/>
          <w:sz w:val="32"/>
          <w:szCs w:val="32"/>
        </w:rPr>
        <w:t xml:space="preserve"> would be eligible for the current and proposed service</w:t>
      </w:r>
    </w:p>
    <w:p w14:paraId="58271A10" w14:textId="77777777" w:rsidR="004C797B" w:rsidRPr="006A7F8E" w:rsidRDefault="004C797B" w:rsidP="004C797B">
      <w:pPr>
        <w:rPr>
          <w:b/>
          <w:bCs/>
          <w:color w:val="4F81BD" w:themeColor="accent1"/>
          <w:sz w:val="40"/>
          <w:szCs w:val="32"/>
        </w:rPr>
      </w:pPr>
    </w:p>
    <w:p w14:paraId="58271A11" w14:textId="77777777" w:rsidR="00526385" w:rsidRDefault="00526385" w:rsidP="00747D80">
      <w:pPr>
        <w:rPr>
          <w:szCs w:val="20"/>
        </w:rPr>
      </w:pPr>
    </w:p>
    <w:p w14:paraId="58271A12" w14:textId="77777777" w:rsidR="00747D80" w:rsidRDefault="00747D80" w:rsidP="00747D80">
      <w:pPr>
        <w:ind w:firstLine="720"/>
        <w:rPr>
          <w:szCs w:val="20"/>
        </w:rPr>
      </w:pPr>
    </w:p>
    <w:p w14:paraId="58271A13" w14:textId="77777777" w:rsidR="00423E9C" w:rsidRDefault="00423E9C" w:rsidP="00747D80">
      <w:pPr>
        <w:ind w:firstLine="720"/>
        <w:jc w:val="center"/>
        <w:rPr>
          <w:szCs w:val="20"/>
        </w:rPr>
      </w:pPr>
    </w:p>
    <w:p w14:paraId="58271A14" w14:textId="77777777" w:rsidR="00423E9C" w:rsidRPr="00423E9C" w:rsidRDefault="00423E9C" w:rsidP="00423E9C">
      <w:pPr>
        <w:rPr>
          <w:szCs w:val="20"/>
        </w:rPr>
      </w:pPr>
    </w:p>
    <w:p w14:paraId="58271A15" w14:textId="77777777" w:rsidR="00423E9C" w:rsidRPr="00423E9C" w:rsidRDefault="00423E9C" w:rsidP="00423E9C">
      <w:pPr>
        <w:rPr>
          <w:szCs w:val="20"/>
        </w:rPr>
      </w:pPr>
    </w:p>
    <w:p w14:paraId="58271A16" w14:textId="77777777" w:rsidR="00423E9C" w:rsidRPr="00423E9C" w:rsidRDefault="00423E9C" w:rsidP="00423E9C">
      <w:pPr>
        <w:rPr>
          <w:szCs w:val="20"/>
        </w:rPr>
      </w:pPr>
    </w:p>
    <w:p w14:paraId="58271A17" w14:textId="77777777" w:rsidR="00423E9C" w:rsidRPr="00423E9C" w:rsidRDefault="00423E9C" w:rsidP="00423E9C">
      <w:pPr>
        <w:rPr>
          <w:szCs w:val="20"/>
        </w:rPr>
      </w:pPr>
    </w:p>
    <w:p w14:paraId="58271A18" w14:textId="77777777" w:rsidR="00423E9C" w:rsidRPr="00423E9C" w:rsidRDefault="00423E9C" w:rsidP="00423E9C">
      <w:pPr>
        <w:rPr>
          <w:szCs w:val="20"/>
        </w:rPr>
      </w:pPr>
    </w:p>
    <w:p w14:paraId="58271A19" w14:textId="77777777" w:rsidR="004C797B" w:rsidRDefault="004C797B" w:rsidP="004C797B">
      <w:pPr>
        <w:rPr>
          <w:b/>
          <w:bCs/>
          <w:color w:val="4F81BD" w:themeColor="accent1"/>
          <w:sz w:val="32"/>
          <w:szCs w:val="32"/>
        </w:rPr>
      </w:pPr>
    </w:p>
    <w:p w14:paraId="58271A1A" w14:textId="77777777" w:rsidR="00570CB1" w:rsidRPr="00570CB1" w:rsidRDefault="004C797B" w:rsidP="00570CB1">
      <w:pPr>
        <w:rPr>
          <w:b/>
          <w:bCs/>
          <w:color w:val="4F81BD" w:themeColor="accent1"/>
          <w:sz w:val="32"/>
          <w:szCs w:val="32"/>
        </w:rPr>
      </w:pPr>
      <w:r w:rsidRPr="004C797B">
        <w:rPr>
          <w:b/>
          <w:bCs/>
          <w:color w:val="4F81BD" w:themeColor="accent1"/>
          <w:sz w:val="32"/>
          <w:szCs w:val="32"/>
        </w:rPr>
        <w:lastRenderedPageBreak/>
        <w:t>Figure 3 Treatment Pathways for Diagnosed and Assessed Disease</w:t>
      </w:r>
    </w:p>
    <w:p w14:paraId="58271A1B" w14:textId="77777777" w:rsidR="00570CB1" w:rsidRDefault="00570CB1" w:rsidP="00423E9C">
      <w:pPr>
        <w:ind w:firstLine="720"/>
        <w:rPr>
          <w:rFonts w:asciiTheme="majorHAnsi" w:hAnsiTheme="majorHAnsi"/>
          <w:i/>
          <w:color w:val="0D0D0D" w:themeColor="text1" w:themeTint="F2"/>
          <w:szCs w:val="20"/>
        </w:rPr>
      </w:pPr>
      <w:r w:rsidRPr="00570CB1">
        <w:rPr>
          <w:rFonts w:asciiTheme="majorHAnsi" w:hAnsiTheme="majorHAnsi"/>
          <w:noProof/>
          <w:color w:val="0D0D0D" w:themeColor="text1" w:themeTint="F2"/>
          <w:szCs w:val="20"/>
          <w:lang w:eastAsia="en-AU"/>
        </w:rPr>
        <w:drawing>
          <wp:anchor distT="0" distB="0" distL="114300" distR="114300" simplePos="0" relativeHeight="251661312" behindDoc="0" locked="0" layoutInCell="1" allowOverlap="1" wp14:anchorId="58271A7E" wp14:editId="58271A7F">
            <wp:simplePos x="0" y="0"/>
            <wp:positionH relativeFrom="column">
              <wp:posOffset>-170180</wp:posOffset>
            </wp:positionH>
            <wp:positionV relativeFrom="paragraph">
              <wp:posOffset>377190</wp:posOffset>
            </wp:positionV>
            <wp:extent cx="6482715" cy="55708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82715" cy="557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71A1C" w14:textId="77777777" w:rsidR="00570CB1" w:rsidRDefault="00570CB1" w:rsidP="00423E9C">
      <w:pPr>
        <w:ind w:firstLine="720"/>
        <w:rPr>
          <w:rFonts w:asciiTheme="majorHAnsi" w:hAnsiTheme="majorHAnsi"/>
          <w:i/>
          <w:color w:val="0D0D0D" w:themeColor="text1" w:themeTint="F2"/>
          <w:szCs w:val="20"/>
        </w:rPr>
      </w:pPr>
    </w:p>
    <w:p w14:paraId="58271A1D" w14:textId="77777777" w:rsidR="00423E9C" w:rsidRDefault="006D3094" w:rsidP="006D3094">
      <w:pPr>
        <w:jc w:val="center"/>
        <w:rPr>
          <w:rFonts w:asciiTheme="majorHAnsi" w:hAnsiTheme="majorHAnsi"/>
          <w:b/>
          <w:i/>
          <w:color w:val="595959" w:themeColor="text1" w:themeTint="A6"/>
          <w:szCs w:val="20"/>
        </w:rPr>
      </w:pPr>
      <w:proofErr w:type="spellStart"/>
      <w:r>
        <w:rPr>
          <w:rFonts w:asciiTheme="majorHAnsi" w:hAnsiTheme="majorHAnsi"/>
          <w:b/>
          <w:i/>
          <w:color w:val="595959" w:themeColor="text1" w:themeTint="A6"/>
          <w:szCs w:val="20"/>
        </w:rPr>
        <w:t>Gastroenterologic</w:t>
      </w:r>
      <w:proofErr w:type="spellEnd"/>
      <w:r>
        <w:rPr>
          <w:rFonts w:asciiTheme="majorHAnsi" w:hAnsiTheme="majorHAnsi"/>
          <w:b/>
          <w:i/>
          <w:color w:val="595959" w:themeColor="text1" w:themeTint="A6"/>
          <w:szCs w:val="20"/>
        </w:rPr>
        <w:t xml:space="preserve"> </w:t>
      </w:r>
      <w:r w:rsidRPr="006D3094">
        <w:rPr>
          <w:rFonts w:asciiTheme="majorHAnsi" w:hAnsiTheme="majorHAnsi"/>
          <w:b/>
          <w:i/>
          <w:color w:val="595959" w:themeColor="text1" w:themeTint="A6"/>
          <w:szCs w:val="20"/>
        </w:rPr>
        <w:t>consultation</w:t>
      </w:r>
      <w:r w:rsidR="00570CB1" w:rsidRPr="006D3094">
        <w:rPr>
          <w:rFonts w:asciiTheme="majorHAnsi" w:hAnsiTheme="majorHAnsi"/>
          <w:b/>
          <w:i/>
          <w:color w:val="595959" w:themeColor="text1" w:themeTint="A6"/>
          <w:szCs w:val="20"/>
        </w:rPr>
        <w:t xml:space="preserve"> include introduction </w:t>
      </w:r>
      <w:r w:rsidRPr="006D3094">
        <w:rPr>
          <w:rFonts w:asciiTheme="majorHAnsi" w:hAnsiTheme="majorHAnsi"/>
          <w:b/>
          <w:i/>
          <w:color w:val="595959" w:themeColor="text1" w:themeTint="A6"/>
          <w:szCs w:val="20"/>
        </w:rPr>
        <w:t>of biological</w:t>
      </w:r>
      <w:r w:rsidR="00570CB1" w:rsidRPr="006D3094">
        <w:rPr>
          <w:rFonts w:asciiTheme="majorHAnsi" w:hAnsiTheme="majorHAnsi"/>
          <w:b/>
          <w:i/>
          <w:color w:val="595959" w:themeColor="text1" w:themeTint="A6"/>
          <w:szCs w:val="20"/>
        </w:rPr>
        <w:t xml:space="preserve"> therapy as well</w:t>
      </w:r>
      <w:r w:rsidR="0059419C">
        <w:rPr>
          <w:rFonts w:asciiTheme="majorHAnsi" w:hAnsiTheme="majorHAnsi"/>
          <w:b/>
          <w:i/>
          <w:color w:val="595959" w:themeColor="text1" w:themeTint="A6"/>
          <w:szCs w:val="20"/>
        </w:rPr>
        <w:t>,</w:t>
      </w:r>
      <w:r w:rsidR="00570CB1" w:rsidRPr="006D3094">
        <w:rPr>
          <w:rFonts w:asciiTheme="majorHAnsi" w:hAnsiTheme="majorHAnsi"/>
          <w:b/>
          <w:i/>
          <w:color w:val="595959" w:themeColor="text1" w:themeTint="A6"/>
          <w:szCs w:val="20"/>
        </w:rPr>
        <w:t xml:space="preserve"> </w:t>
      </w:r>
      <w:r w:rsidR="0059419C">
        <w:rPr>
          <w:rFonts w:asciiTheme="majorHAnsi" w:hAnsiTheme="majorHAnsi"/>
          <w:b/>
          <w:i/>
          <w:color w:val="595959" w:themeColor="text1" w:themeTint="A6"/>
          <w:szCs w:val="20"/>
        </w:rPr>
        <w:t xml:space="preserve">if </w:t>
      </w:r>
      <w:r w:rsidR="00570CB1" w:rsidRPr="006D3094">
        <w:rPr>
          <w:rFonts w:asciiTheme="majorHAnsi" w:hAnsiTheme="majorHAnsi"/>
          <w:b/>
          <w:i/>
          <w:color w:val="595959" w:themeColor="text1" w:themeTint="A6"/>
          <w:szCs w:val="20"/>
        </w:rPr>
        <w:t>no improvement achieved with above-mentioned medications.</w:t>
      </w:r>
    </w:p>
    <w:p w14:paraId="58271A1E" w14:textId="77777777" w:rsidR="00D60CEB" w:rsidRDefault="00D60CEB" w:rsidP="006D3094">
      <w:pPr>
        <w:jc w:val="center"/>
        <w:rPr>
          <w:rFonts w:asciiTheme="majorHAnsi" w:hAnsiTheme="majorHAnsi"/>
          <w:b/>
          <w:i/>
          <w:color w:val="595959" w:themeColor="text1" w:themeTint="A6"/>
          <w:szCs w:val="20"/>
        </w:rPr>
      </w:pPr>
    </w:p>
    <w:p w14:paraId="58271A1F" w14:textId="77777777" w:rsidR="00D60CEB" w:rsidRDefault="00D60CEB" w:rsidP="006D3094">
      <w:pPr>
        <w:jc w:val="center"/>
        <w:rPr>
          <w:rFonts w:asciiTheme="majorHAnsi" w:hAnsiTheme="majorHAnsi"/>
          <w:b/>
          <w:i/>
          <w:color w:val="595959" w:themeColor="text1" w:themeTint="A6"/>
          <w:szCs w:val="20"/>
        </w:rPr>
      </w:pPr>
    </w:p>
    <w:p w14:paraId="58271A20" w14:textId="77777777" w:rsidR="00D60CEB" w:rsidRDefault="00D60CEB" w:rsidP="006D3094">
      <w:pPr>
        <w:jc w:val="center"/>
        <w:rPr>
          <w:rFonts w:asciiTheme="majorHAnsi" w:hAnsiTheme="majorHAnsi"/>
          <w:b/>
          <w:i/>
          <w:color w:val="595959" w:themeColor="text1" w:themeTint="A6"/>
          <w:szCs w:val="20"/>
        </w:rPr>
      </w:pPr>
    </w:p>
    <w:p w14:paraId="58271A21" w14:textId="77777777" w:rsidR="00D60CEB" w:rsidRDefault="00D60CEB" w:rsidP="006D3094">
      <w:pPr>
        <w:jc w:val="center"/>
        <w:rPr>
          <w:rFonts w:asciiTheme="majorHAnsi" w:hAnsiTheme="majorHAnsi"/>
          <w:b/>
          <w:i/>
          <w:color w:val="595959" w:themeColor="text1" w:themeTint="A6"/>
          <w:szCs w:val="20"/>
        </w:rPr>
      </w:pPr>
    </w:p>
    <w:p w14:paraId="58271A22" w14:textId="77777777" w:rsidR="00D60CEB" w:rsidRDefault="00D60CEB" w:rsidP="006D3094">
      <w:pPr>
        <w:jc w:val="center"/>
        <w:rPr>
          <w:rFonts w:asciiTheme="majorHAnsi" w:hAnsiTheme="majorHAnsi"/>
          <w:b/>
          <w:i/>
          <w:color w:val="595959" w:themeColor="text1" w:themeTint="A6"/>
          <w:szCs w:val="20"/>
        </w:rPr>
      </w:pPr>
    </w:p>
    <w:p w14:paraId="58271A23" w14:textId="77777777" w:rsidR="00D60CEB" w:rsidRDefault="00D60CEB" w:rsidP="006D3094">
      <w:pPr>
        <w:jc w:val="center"/>
        <w:rPr>
          <w:rFonts w:asciiTheme="majorHAnsi" w:hAnsiTheme="majorHAnsi"/>
          <w:b/>
          <w:i/>
          <w:color w:val="595959" w:themeColor="text1" w:themeTint="A6"/>
          <w:szCs w:val="20"/>
        </w:rPr>
      </w:pPr>
    </w:p>
    <w:p w14:paraId="58271A24" w14:textId="77777777" w:rsidR="00D60CEB" w:rsidRDefault="00D60CEB" w:rsidP="006D3094">
      <w:pPr>
        <w:jc w:val="center"/>
        <w:rPr>
          <w:rFonts w:asciiTheme="majorHAnsi" w:hAnsiTheme="majorHAnsi"/>
          <w:b/>
          <w:i/>
          <w:color w:val="595959" w:themeColor="text1" w:themeTint="A6"/>
          <w:szCs w:val="20"/>
        </w:rPr>
      </w:pPr>
    </w:p>
    <w:p w14:paraId="58271A25" w14:textId="77777777" w:rsidR="00D60CEB" w:rsidRDefault="00D60CEB" w:rsidP="006D3094">
      <w:pPr>
        <w:jc w:val="center"/>
        <w:rPr>
          <w:rFonts w:asciiTheme="majorHAnsi" w:hAnsiTheme="majorHAnsi"/>
          <w:b/>
          <w:i/>
          <w:color w:val="595959" w:themeColor="text1" w:themeTint="A6"/>
          <w:szCs w:val="20"/>
        </w:rPr>
      </w:pPr>
    </w:p>
    <w:p w14:paraId="58271A26" w14:textId="77777777" w:rsidR="00D60CEB" w:rsidRDefault="00D60CEB" w:rsidP="006D3094">
      <w:pPr>
        <w:jc w:val="center"/>
        <w:rPr>
          <w:rFonts w:asciiTheme="majorHAnsi" w:hAnsiTheme="majorHAnsi"/>
          <w:b/>
          <w:i/>
          <w:color w:val="595959" w:themeColor="text1" w:themeTint="A6"/>
          <w:szCs w:val="20"/>
        </w:rPr>
      </w:pPr>
    </w:p>
    <w:p w14:paraId="58271A27" w14:textId="77777777" w:rsidR="002F2D11" w:rsidRDefault="00D60CEB" w:rsidP="00D60CEB">
      <w:pPr>
        <w:ind w:left="2880" w:firstLine="720"/>
        <w:rPr>
          <w:b/>
          <w:bCs/>
          <w:color w:val="4F81BD" w:themeColor="accent1"/>
          <w:sz w:val="40"/>
          <w:szCs w:val="32"/>
        </w:rPr>
      </w:pPr>
      <w:r w:rsidRPr="00D60CEB">
        <w:rPr>
          <w:b/>
          <w:bCs/>
          <w:color w:val="4F81BD" w:themeColor="accent1"/>
          <w:sz w:val="40"/>
          <w:szCs w:val="32"/>
        </w:rPr>
        <w:lastRenderedPageBreak/>
        <w:t>REFERENCES</w:t>
      </w:r>
    </w:p>
    <w:p w14:paraId="58271A28" w14:textId="77777777" w:rsidR="00BA2E4A" w:rsidRPr="00126DD4" w:rsidRDefault="00BA2E4A" w:rsidP="008472B1">
      <w:pPr>
        <w:jc w:val="both"/>
        <w:rPr>
          <w:rFonts w:cstheme="minorHAnsi"/>
          <w:sz w:val="24"/>
          <w:szCs w:val="24"/>
        </w:rPr>
      </w:pPr>
      <w:r w:rsidRPr="00126DD4">
        <w:rPr>
          <w:rFonts w:cstheme="minorHAnsi"/>
          <w:sz w:val="24"/>
          <w:szCs w:val="24"/>
        </w:rPr>
        <w:t>Access Economics, ‘The Economic Costs of Crohn’s Disease and Ulcerative Colitis’, 2007</w:t>
      </w:r>
      <w:r w:rsidR="00E323ED" w:rsidRPr="00126DD4">
        <w:rPr>
          <w:rFonts w:cstheme="minorHAnsi"/>
          <w:sz w:val="24"/>
          <w:szCs w:val="24"/>
        </w:rPr>
        <w:t>.</w:t>
      </w:r>
    </w:p>
    <w:p w14:paraId="58271A29"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 xml:space="preserve">Albert, JG, </w:t>
      </w:r>
      <w:proofErr w:type="spellStart"/>
      <w:r w:rsidRPr="00126DD4">
        <w:rPr>
          <w:rFonts w:cstheme="minorHAnsi"/>
          <w:sz w:val="24"/>
          <w:szCs w:val="24"/>
        </w:rPr>
        <w:t>Martiny</w:t>
      </w:r>
      <w:proofErr w:type="spellEnd"/>
      <w:r w:rsidRPr="00126DD4">
        <w:rPr>
          <w:rFonts w:cstheme="minorHAnsi"/>
          <w:sz w:val="24"/>
          <w:szCs w:val="24"/>
        </w:rPr>
        <w:t xml:space="preserve">, F et al 2005. Diagnosis of small bowel Crohn's disease: A prospective comparison of capsule endoscopy with magnetic resonance imaging and fluoroscopic enteroclysis, </w:t>
      </w:r>
      <w:r w:rsidRPr="00126DD4">
        <w:rPr>
          <w:rFonts w:cstheme="minorHAnsi"/>
          <w:i/>
          <w:iCs/>
          <w:sz w:val="24"/>
          <w:szCs w:val="24"/>
        </w:rPr>
        <w:t>Gut</w:t>
      </w:r>
      <w:r w:rsidRPr="00126DD4">
        <w:rPr>
          <w:rFonts w:cstheme="minorHAnsi"/>
          <w:sz w:val="24"/>
          <w:szCs w:val="24"/>
        </w:rPr>
        <w:t>, 54 (12), 1721-1727.</w:t>
      </w:r>
    </w:p>
    <w:p w14:paraId="58271A2A" w14:textId="77777777" w:rsidR="00BA2E4A" w:rsidRPr="00126DD4" w:rsidRDefault="00BA2E4A" w:rsidP="008472B1">
      <w:pPr>
        <w:jc w:val="both"/>
        <w:rPr>
          <w:rFonts w:cstheme="minorHAnsi"/>
          <w:sz w:val="24"/>
          <w:szCs w:val="24"/>
        </w:rPr>
      </w:pPr>
      <w:proofErr w:type="spellStart"/>
      <w:r w:rsidRPr="00126DD4">
        <w:rPr>
          <w:rFonts w:cstheme="minorHAnsi"/>
          <w:sz w:val="24"/>
          <w:szCs w:val="24"/>
        </w:rPr>
        <w:t>Botoman</w:t>
      </w:r>
      <w:proofErr w:type="spellEnd"/>
      <w:r w:rsidRPr="00126DD4">
        <w:rPr>
          <w:rFonts w:cstheme="minorHAnsi"/>
          <w:sz w:val="24"/>
          <w:szCs w:val="24"/>
        </w:rPr>
        <w:t xml:space="preserve"> VA, Bonner GF, </w:t>
      </w:r>
      <w:proofErr w:type="spellStart"/>
      <w:r w:rsidRPr="00126DD4">
        <w:rPr>
          <w:rFonts w:cstheme="minorHAnsi"/>
          <w:sz w:val="24"/>
          <w:szCs w:val="24"/>
        </w:rPr>
        <w:t>Botoman</w:t>
      </w:r>
      <w:proofErr w:type="spellEnd"/>
      <w:r w:rsidRPr="00126DD4">
        <w:rPr>
          <w:rFonts w:cstheme="minorHAnsi"/>
          <w:sz w:val="24"/>
          <w:szCs w:val="24"/>
        </w:rPr>
        <w:t xml:space="preserve"> DA. Management of inflammatory bowel disease.1998</w:t>
      </w:r>
      <w:proofErr w:type="gramStart"/>
      <w:r w:rsidRPr="00126DD4">
        <w:rPr>
          <w:rFonts w:cstheme="minorHAnsi"/>
          <w:sz w:val="24"/>
          <w:szCs w:val="24"/>
        </w:rPr>
        <w:t>;57</w:t>
      </w:r>
      <w:proofErr w:type="gramEnd"/>
      <w:r w:rsidRPr="00126DD4">
        <w:rPr>
          <w:rFonts w:cstheme="minorHAnsi"/>
          <w:sz w:val="24"/>
          <w:szCs w:val="24"/>
        </w:rPr>
        <w:t xml:space="preserve">(1). </w:t>
      </w:r>
      <w:proofErr w:type="gramStart"/>
      <w:r w:rsidRPr="00126DD4">
        <w:rPr>
          <w:rFonts w:cstheme="minorHAnsi"/>
          <w:sz w:val="24"/>
          <w:szCs w:val="24"/>
        </w:rPr>
        <w:t>American Family Physician website.</w:t>
      </w:r>
      <w:proofErr w:type="gramEnd"/>
      <w:r w:rsidRPr="00126DD4">
        <w:rPr>
          <w:rFonts w:cstheme="minorHAnsi"/>
          <w:sz w:val="24"/>
          <w:szCs w:val="24"/>
        </w:rPr>
        <w:t xml:space="preserve"> Available at: </w:t>
      </w:r>
      <w:hyperlink r:id="rId59" w:tgtFrame="_blank" w:history="1">
        <w:r w:rsidRPr="00126DD4">
          <w:rPr>
            <w:rStyle w:val="Hyperlink"/>
            <w:rFonts w:cstheme="minorHAnsi"/>
            <w:color w:val="auto"/>
            <w:sz w:val="24"/>
            <w:szCs w:val="24"/>
          </w:rPr>
          <w:t>http://www.aafp.org/afp/980101ap/botoman.html</w:t>
        </w:r>
      </w:hyperlink>
      <w:r w:rsidRPr="00126DD4">
        <w:rPr>
          <w:rStyle w:val="Hyperlink"/>
          <w:rFonts w:cstheme="minorHAnsi"/>
          <w:color w:val="auto"/>
          <w:sz w:val="24"/>
          <w:szCs w:val="24"/>
        </w:rPr>
        <w:t> </w:t>
      </w:r>
      <w:r w:rsidRPr="00126DD4">
        <w:rPr>
          <w:rFonts w:cstheme="minorHAnsi"/>
          <w:sz w:val="24"/>
          <w:szCs w:val="24"/>
        </w:rPr>
        <w:t>[Accessed July 2016]</w:t>
      </w:r>
    </w:p>
    <w:p w14:paraId="58271A2B" w14:textId="77777777" w:rsidR="008472B1" w:rsidRPr="00126DD4" w:rsidRDefault="008472B1" w:rsidP="008472B1">
      <w:pPr>
        <w:jc w:val="both"/>
        <w:rPr>
          <w:rFonts w:cstheme="minorHAnsi"/>
          <w:sz w:val="24"/>
          <w:szCs w:val="24"/>
        </w:rPr>
      </w:pPr>
      <w:proofErr w:type="spellStart"/>
      <w:r w:rsidRPr="00126DD4">
        <w:rPr>
          <w:rFonts w:cstheme="minorHAnsi"/>
          <w:sz w:val="24"/>
          <w:szCs w:val="24"/>
        </w:rPr>
        <w:t>Carvalho</w:t>
      </w:r>
      <w:proofErr w:type="spellEnd"/>
      <w:r w:rsidRPr="00126DD4">
        <w:rPr>
          <w:rFonts w:cstheme="minorHAnsi"/>
          <w:sz w:val="24"/>
          <w:szCs w:val="24"/>
        </w:rPr>
        <w:t xml:space="preserve"> PB, Rosa B, de Castro FD, Moreira MJ and Cotter J. </w:t>
      </w:r>
      <w:proofErr w:type="spellStart"/>
      <w:r w:rsidRPr="00126DD4">
        <w:rPr>
          <w:rFonts w:cstheme="minorHAnsi"/>
          <w:sz w:val="24"/>
          <w:szCs w:val="24"/>
        </w:rPr>
        <w:t>PillCam</w:t>
      </w:r>
      <w:proofErr w:type="spellEnd"/>
      <w:r w:rsidRPr="00126DD4">
        <w:rPr>
          <w:rFonts w:cstheme="minorHAnsi"/>
          <w:sz w:val="24"/>
          <w:szCs w:val="24"/>
        </w:rPr>
        <w:t xml:space="preserve"> COLON 2© in Crohn’s disease: A new concept of pan-enteric mucosal healing assessment</w:t>
      </w:r>
      <w:r w:rsidRPr="00126DD4">
        <w:rPr>
          <w:rFonts w:cstheme="minorHAnsi"/>
        </w:rPr>
        <w:t xml:space="preserve">. World J </w:t>
      </w:r>
      <w:proofErr w:type="spellStart"/>
      <w:r w:rsidRPr="00126DD4">
        <w:rPr>
          <w:rFonts w:cstheme="minorHAnsi"/>
        </w:rPr>
        <w:t>Gastroenterol</w:t>
      </w:r>
      <w:proofErr w:type="spellEnd"/>
      <w:r w:rsidRPr="00126DD4">
        <w:rPr>
          <w:rFonts w:cstheme="minorHAnsi"/>
        </w:rPr>
        <w:t xml:space="preserve"> 2015;</w:t>
      </w:r>
      <w:r w:rsidRPr="00126DD4">
        <w:rPr>
          <w:rFonts w:cstheme="minorHAnsi" w:hint="eastAsia"/>
        </w:rPr>
        <w:t xml:space="preserve"> </w:t>
      </w:r>
      <w:r w:rsidRPr="00126DD4">
        <w:rPr>
          <w:rFonts w:cstheme="minorHAnsi"/>
        </w:rPr>
        <w:t>21:</w:t>
      </w:r>
      <w:r w:rsidRPr="00126DD4">
        <w:rPr>
          <w:rFonts w:cstheme="minorHAnsi" w:hint="eastAsia"/>
        </w:rPr>
        <w:t xml:space="preserve"> </w:t>
      </w:r>
      <w:r w:rsidRPr="00126DD4">
        <w:rPr>
          <w:rFonts w:cstheme="minorHAnsi"/>
        </w:rPr>
        <w:t>7233-7241</w:t>
      </w:r>
    </w:p>
    <w:p w14:paraId="58271A2C"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Casciani</w:t>
      </w:r>
      <w:proofErr w:type="spellEnd"/>
      <w:r w:rsidRPr="00126DD4">
        <w:rPr>
          <w:rFonts w:cstheme="minorHAnsi"/>
          <w:sz w:val="24"/>
          <w:szCs w:val="24"/>
        </w:rPr>
        <w:t xml:space="preserve">, E, </w:t>
      </w:r>
      <w:proofErr w:type="spellStart"/>
      <w:r w:rsidRPr="00126DD4">
        <w:rPr>
          <w:rFonts w:cstheme="minorHAnsi"/>
          <w:sz w:val="24"/>
          <w:szCs w:val="24"/>
        </w:rPr>
        <w:t>Masselli</w:t>
      </w:r>
      <w:proofErr w:type="spellEnd"/>
      <w:r w:rsidRPr="00126DD4">
        <w:rPr>
          <w:rFonts w:cstheme="minorHAnsi"/>
          <w:sz w:val="24"/>
          <w:szCs w:val="24"/>
        </w:rPr>
        <w:t xml:space="preserve">, G et al 2011. MR </w:t>
      </w:r>
      <w:proofErr w:type="gramStart"/>
      <w:r w:rsidRPr="00126DD4">
        <w:rPr>
          <w:rFonts w:cstheme="minorHAnsi"/>
          <w:sz w:val="24"/>
          <w:szCs w:val="24"/>
        </w:rPr>
        <w:t>enterography</w:t>
      </w:r>
      <w:proofErr w:type="gramEnd"/>
      <w:r w:rsidRPr="00126DD4">
        <w:rPr>
          <w:rFonts w:cstheme="minorHAnsi"/>
          <w:sz w:val="24"/>
          <w:szCs w:val="24"/>
        </w:rPr>
        <w:t xml:space="preserve"> versus capsule endoscopy in</w:t>
      </w:r>
    </w:p>
    <w:p w14:paraId="58271A2D"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paediatric</w:t>
      </w:r>
      <w:proofErr w:type="gramEnd"/>
      <w:r w:rsidRPr="00126DD4">
        <w:rPr>
          <w:rFonts w:cstheme="minorHAnsi"/>
          <w:sz w:val="24"/>
          <w:szCs w:val="24"/>
        </w:rPr>
        <w:t xml:space="preserve"> patients with suspected Crohn's disease, </w:t>
      </w:r>
      <w:r w:rsidRPr="00126DD4">
        <w:rPr>
          <w:rFonts w:cstheme="minorHAnsi"/>
          <w:i/>
          <w:iCs/>
          <w:sz w:val="24"/>
          <w:szCs w:val="24"/>
        </w:rPr>
        <w:t>European Radiology</w:t>
      </w:r>
      <w:r w:rsidRPr="00126DD4">
        <w:rPr>
          <w:rFonts w:cstheme="minorHAnsi"/>
          <w:sz w:val="24"/>
          <w:szCs w:val="24"/>
        </w:rPr>
        <w:t>, 21 (4), 823-831.</w:t>
      </w:r>
    </w:p>
    <w:p w14:paraId="58271A2E" w14:textId="77777777" w:rsidR="00E323ED" w:rsidRPr="00126DD4" w:rsidRDefault="00E323ED" w:rsidP="008472B1">
      <w:pPr>
        <w:jc w:val="both"/>
        <w:rPr>
          <w:rFonts w:cstheme="minorHAnsi"/>
          <w:sz w:val="24"/>
          <w:szCs w:val="24"/>
        </w:rPr>
      </w:pPr>
      <w:proofErr w:type="spellStart"/>
      <w:r w:rsidRPr="00126DD4">
        <w:rPr>
          <w:rFonts w:cstheme="minorHAnsi"/>
          <w:sz w:val="24"/>
          <w:szCs w:val="24"/>
        </w:rPr>
        <w:t>Chami</w:t>
      </w:r>
      <w:proofErr w:type="spellEnd"/>
      <w:r w:rsidRPr="00126DD4">
        <w:rPr>
          <w:rFonts w:cstheme="minorHAnsi"/>
          <w:sz w:val="24"/>
          <w:szCs w:val="24"/>
        </w:rPr>
        <w:t xml:space="preserve"> G, </w:t>
      </w:r>
      <w:proofErr w:type="spellStart"/>
      <w:r w:rsidRPr="00126DD4">
        <w:rPr>
          <w:rFonts w:cstheme="minorHAnsi"/>
          <w:sz w:val="24"/>
          <w:szCs w:val="24"/>
        </w:rPr>
        <w:t>Raza</w:t>
      </w:r>
      <w:proofErr w:type="spellEnd"/>
      <w:r w:rsidRPr="00126DD4">
        <w:rPr>
          <w:rFonts w:cstheme="minorHAnsi"/>
          <w:sz w:val="24"/>
          <w:szCs w:val="24"/>
        </w:rPr>
        <w:t xml:space="preserve"> M, Bernstein CN. </w:t>
      </w:r>
      <w:proofErr w:type="gramStart"/>
      <w:r w:rsidRPr="00126DD4">
        <w:rPr>
          <w:rFonts w:cstheme="minorHAnsi"/>
          <w:sz w:val="24"/>
          <w:szCs w:val="24"/>
        </w:rPr>
        <w:t>Usefulness and impact on management of positive and negative capsule endoscopy.</w:t>
      </w:r>
      <w:proofErr w:type="gramEnd"/>
      <w:r w:rsidRPr="00126DD4">
        <w:rPr>
          <w:rFonts w:cstheme="minorHAnsi"/>
          <w:sz w:val="24"/>
          <w:szCs w:val="24"/>
        </w:rPr>
        <w:t xml:space="preserve"> Can J </w:t>
      </w:r>
      <w:proofErr w:type="spellStart"/>
      <w:r w:rsidRPr="00126DD4">
        <w:rPr>
          <w:rFonts w:cstheme="minorHAnsi"/>
          <w:sz w:val="24"/>
          <w:szCs w:val="24"/>
        </w:rPr>
        <w:t>Gastroenterol</w:t>
      </w:r>
      <w:proofErr w:type="spellEnd"/>
      <w:r w:rsidRPr="00126DD4">
        <w:rPr>
          <w:rFonts w:cstheme="minorHAnsi"/>
          <w:sz w:val="24"/>
          <w:szCs w:val="24"/>
        </w:rPr>
        <w:t xml:space="preserve"> 2007</w:t>
      </w:r>
      <w:proofErr w:type="gramStart"/>
      <w:r w:rsidRPr="00126DD4">
        <w:rPr>
          <w:rFonts w:cstheme="minorHAnsi"/>
          <w:sz w:val="24"/>
          <w:szCs w:val="24"/>
        </w:rPr>
        <w:t>;21:577</w:t>
      </w:r>
      <w:proofErr w:type="gramEnd"/>
      <w:r w:rsidRPr="00126DD4">
        <w:rPr>
          <w:rFonts w:cstheme="minorHAnsi"/>
          <w:sz w:val="24"/>
          <w:szCs w:val="24"/>
        </w:rPr>
        <w:t>-81</w:t>
      </w:r>
    </w:p>
    <w:p w14:paraId="58271A2F"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proofErr w:type="gramStart"/>
      <w:r w:rsidRPr="00126DD4">
        <w:rPr>
          <w:rFonts w:cstheme="minorHAnsi"/>
          <w:sz w:val="24"/>
          <w:szCs w:val="24"/>
        </w:rPr>
        <w:t>Cheifetz</w:t>
      </w:r>
      <w:proofErr w:type="spellEnd"/>
      <w:r w:rsidRPr="00126DD4">
        <w:rPr>
          <w:rFonts w:cstheme="minorHAnsi"/>
          <w:sz w:val="24"/>
          <w:szCs w:val="24"/>
        </w:rPr>
        <w:t xml:space="preserve">, AS, </w:t>
      </w:r>
      <w:proofErr w:type="spellStart"/>
      <w:r w:rsidRPr="00126DD4">
        <w:rPr>
          <w:rFonts w:cstheme="minorHAnsi"/>
          <w:sz w:val="24"/>
          <w:szCs w:val="24"/>
        </w:rPr>
        <w:t>Kornbluth</w:t>
      </w:r>
      <w:proofErr w:type="spellEnd"/>
      <w:r w:rsidRPr="00126DD4">
        <w:rPr>
          <w:rFonts w:cstheme="minorHAnsi"/>
          <w:sz w:val="24"/>
          <w:szCs w:val="24"/>
        </w:rPr>
        <w:t>, AA et al 2006.</w:t>
      </w:r>
      <w:proofErr w:type="gramEnd"/>
      <w:r w:rsidRPr="00126DD4">
        <w:rPr>
          <w:rFonts w:cstheme="minorHAnsi"/>
          <w:sz w:val="24"/>
          <w:szCs w:val="24"/>
        </w:rPr>
        <w:t xml:space="preserve"> The risk of retention of the capsule endoscope</w:t>
      </w:r>
    </w:p>
    <w:p w14:paraId="58271A30"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in</w:t>
      </w:r>
      <w:proofErr w:type="gramEnd"/>
      <w:r w:rsidRPr="00126DD4">
        <w:rPr>
          <w:rFonts w:cstheme="minorHAnsi"/>
          <w:sz w:val="24"/>
          <w:szCs w:val="24"/>
        </w:rPr>
        <w:t xml:space="preserve"> patients with known or suspected Crohn's disease, </w:t>
      </w:r>
      <w:r w:rsidRPr="00126DD4">
        <w:rPr>
          <w:rFonts w:cstheme="minorHAnsi"/>
          <w:i/>
          <w:iCs/>
          <w:sz w:val="24"/>
          <w:szCs w:val="24"/>
        </w:rPr>
        <w:t>American Journal of Gastroenterology</w:t>
      </w:r>
      <w:r w:rsidRPr="00126DD4">
        <w:rPr>
          <w:rFonts w:cstheme="minorHAnsi"/>
          <w:sz w:val="24"/>
          <w:szCs w:val="24"/>
        </w:rPr>
        <w:t>,</w:t>
      </w:r>
    </w:p>
    <w:p w14:paraId="58271A31"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101 (10), 2218-2222.</w:t>
      </w:r>
    </w:p>
    <w:p w14:paraId="58271A32" w14:textId="77777777" w:rsidR="00126DD4" w:rsidRPr="00126DD4" w:rsidRDefault="00126DD4" w:rsidP="008472B1">
      <w:pPr>
        <w:autoSpaceDE w:val="0"/>
        <w:autoSpaceDN w:val="0"/>
        <w:adjustRightInd w:val="0"/>
        <w:spacing w:before="0" w:after="0"/>
        <w:jc w:val="both"/>
        <w:rPr>
          <w:rFonts w:cstheme="minorHAnsi"/>
          <w:sz w:val="24"/>
          <w:szCs w:val="24"/>
        </w:rPr>
      </w:pPr>
    </w:p>
    <w:p w14:paraId="58271A33"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Chong, AKH, Taylor, A et al 2005. Capsule endoscopy vs. push enteroscopy and</w:t>
      </w:r>
    </w:p>
    <w:p w14:paraId="58271A34"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enteroclysis</w:t>
      </w:r>
      <w:proofErr w:type="gramEnd"/>
      <w:r w:rsidRPr="00126DD4">
        <w:rPr>
          <w:rFonts w:cstheme="minorHAnsi"/>
          <w:sz w:val="24"/>
          <w:szCs w:val="24"/>
        </w:rPr>
        <w:t xml:space="preserve"> in suspected small-bowel Crohn's disease, </w:t>
      </w:r>
      <w:r w:rsidRPr="00126DD4">
        <w:rPr>
          <w:rFonts w:cstheme="minorHAnsi"/>
          <w:i/>
          <w:iCs/>
          <w:sz w:val="24"/>
          <w:szCs w:val="24"/>
        </w:rPr>
        <w:t>Gastrointestinal Endoscopy</w:t>
      </w:r>
      <w:r w:rsidRPr="00126DD4">
        <w:rPr>
          <w:rFonts w:cstheme="minorHAnsi"/>
          <w:sz w:val="24"/>
          <w:szCs w:val="24"/>
        </w:rPr>
        <w:t>, 61 (2),</w:t>
      </w:r>
    </w:p>
    <w:p w14:paraId="58271A35"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255-261.</w:t>
      </w:r>
      <w:proofErr w:type="gramEnd"/>
    </w:p>
    <w:p w14:paraId="58271A36" w14:textId="77777777" w:rsidR="00E323ED" w:rsidRPr="00126DD4" w:rsidRDefault="00E323ED" w:rsidP="008472B1">
      <w:pPr>
        <w:jc w:val="both"/>
        <w:rPr>
          <w:rFonts w:cstheme="minorHAnsi"/>
          <w:sz w:val="24"/>
          <w:szCs w:val="24"/>
        </w:rPr>
      </w:pPr>
      <w:r w:rsidRPr="00126DD4">
        <w:rPr>
          <w:rFonts w:cstheme="minorHAnsi"/>
          <w:sz w:val="24"/>
          <w:szCs w:val="24"/>
        </w:rPr>
        <w:t>Cotter J, Dias de Castro F, Moreira MJ, Rosa B. Tailoring Crohn’s disease treatment: the impact of small bowel capsule endoscopy. </w:t>
      </w:r>
      <w:proofErr w:type="gramStart"/>
      <w:r w:rsidRPr="00126DD4">
        <w:rPr>
          <w:rFonts w:cstheme="minorHAnsi"/>
          <w:sz w:val="24"/>
          <w:szCs w:val="24"/>
        </w:rPr>
        <w:t xml:space="preserve">J </w:t>
      </w:r>
      <w:proofErr w:type="spellStart"/>
      <w:r w:rsidRPr="00126DD4">
        <w:rPr>
          <w:rFonts w:cstheme="minorHAnsi"/>
          <w:sz w:val="24"/>
          <w:szCs w:val="24"/>
        </w:rPr>
        <w:t>Crohns</w:t>
      </w:r>
      <w:proofErr w:type="spellEnd"/>
      <w:r w:rsidRPr="00126DD4">
        <w:rPr>
          <w:rFonts w:cstheme="minorHAnsi"/>
          <w:sz w:val="24"/>
          <w:szCs w:val="24"/>
        </w:rPr>
        <w:t xml:space="preserve"> Colitis.</w:t>
      </w:r>
      <w:proofErr w:type="gramEnd"/>
      <w:r w:rsidRPr="00126DD4">
        <w:rPr>
          <w:rFonts w:cstheme="minorHAnsi"/>
          <w:sz w:val="24"/>
          <w:szCs w:val="24"/>
        </w:rPr>
        <w:t> 2014</w:t>
      </w:r>
      <w:proofErr w:type="gramStart"/>
      <w:r w:rsidRPr="00126DD4">
        <w:rPr>
          <w:rFonts w:cstheme="minorHAnsi"/>
          <w:sz w:val="24"/>
          <w:szCs w:val="24"/>
        </w:rPr>
        <w:t>;8:1610</w:t>
      </w:r>
      <w:proofErr w:type="gramEnd"/>
      <w:r w:rsidRPr="00126DD4">
        <w:rPr>
          <w:rFonts w:cstheme="minorHAnsi"/>
          <w:sz w:val="24"/>
          <w:szCs w:val="24"/>
        </w:rPr>
        <w:t>–1615.</w:t>
      </w:r>
    </w:p>
    <w:p w14:paraId="58271A37"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 xml:space="preserve">De Bona, M, </w:t>
      </w:r>
      <w:proofErr w:type="spellStart"/>
      <w:r w:rsidRPr="00126DD4">
        <w:rPr>
          <w:rFonts w:cstheme="minorHAnsi"/>
          <w:sz w:val="24"/>
          <w:szCs w:val="24"/>
        </w:rPr>
        <w:t>Bellumat</w:t>
      </w:r>
      <w:proofErr w:type="spellEnd"/>
      <w:r w:rsidRPr="00126DD4">
        <w:rPr>
          <w:rFonts w:cstheme="minorHAnsi"/>
          <w:sz w:val="24"/>
          <w:szCs w:val="24"/>
        </w:rPr>
        <w:t>, A et al 2006. Capsule endoscopy findings in patients with</w:t>
      </w:r>
    </w:p>
    <w:p w14:paraId="58271A38" w14:textId="77777777" w:rsidR="00E323ED" w:rsidRPr="00126DD4" w:rsidRDefault="00E323ED" w:rsidP="008472B1">
      <w:pPr>
        <w:autoSpaceDE w:val="0"/>
        <w:autoSpaceDN w:val="0"/>
        <w:adjustRightInd w:val="0"/>
        <w:spacing w:before="0" w:after="0"/>
        <w:jc w:val="both"/>
        <w:rPr>
          <w:rFonts w:cstheme="minorHAnsi"/>
          <w:i/>
          <w:iCs/>
          <w:sz w:val="24"/>
          <w:szCs w:val="24"/>
        </w:rPr>
      </w:pPr>
      <w:proofErr w:type="gramStart"/>
      <w:r w:rsidRPr="00126DD4">
        <w:rPr>
          <w:rFonts w:cstheme="minorHAnsi"/>
          <w:sz w:val="24"/>
          <w:szCs w:val="24"/>
        </w:rPr>
        <w:t>suspected</w:t>
      </w:r>
      <w:proofErr w:type="gramEnd"/>
      <w:r w:rsidRPr="00126DD4">
        <w:rPr>
          <w:rFonts w:cstheme="minorHAnsi"/>
          <w:sz w:val="24"/>
          <w:szCs w:val="24"/>
        </w:rPr>
        <w:t xml:space="preserve"> Crohn's disease and biochemical markers of inflammation, </w:t>
      </w:r>
      <w:r w:rsidRPr="00126DD4">
        <w:rPr>
          <w:rFonts w:cstheme="minorHAnsi"/>
          <w:i/>
          <w:iCs/>
          <w:sz w:val="24"/>
          <w:szCs w:val="24"/>
        </w:rPr>
        <w:t>Digestive and Liver</w:t>
      </w:r>
    </w:p>
    <w:p w14:paraId="58271A39"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i/>
          <w:iCs/>
          <w:sz w:val="24"/>
          <w:szCs w:val="24"/>
        </w:rPr>
        <w:t>Disease</w:t>
      </w:r>
      <w:r w:rsidRPr="00126DD4">
        <w:rPr>
          <w:rFonts w:cstheme="minorHAnsi"/>
          <w:sz w:val="24"/>
          <w:szCs w:val="24"/>
        </w:rPr>
        <w:t>, 38 (5), 331-335.</w:t>
      </w:r>
    </w:p>
    <w:p w14:paraId="58271A3A" w14:textId="77777777" w:rsidR="00E323ED" w:rsidRPr="00126DD4" w:rsidRDefault="00E323ED" w:rsidP="008472B1">
      <w:pPr>
        <w:jc w:val="both"/>
        <w:rPr>
          <w:rFonts w:cstheme="minorHAnsi"/>
          <w:sz w:val="24"/>
          <w:szCs w:val="24"/>
        </w:rPr>
      </w:pPr>
      <w:r w:rsidRPr="00126DD4">
        <w:rPr>
          <w:rFonts w:cstheme="minorHAnsi"/>
          <w:sz w:val="24"/>
          <w:szCs w:val="24"/>
        </w:rPr>
        <w:t xml:space="preserve">De Palma GD, </w:t>
      </w:r>
      <w:proofErr w:type="spellStart"/>
      <w:r w:rsidRPr="00126DD4">
        <w:rPr>
          <w:rFonts w:cstheme="minorHAnsi"/>
          <w:sz w:val="24"/>
          <w:szCs w:val="24"/>
        </w:rPr>
        <w:t>Rega</w:t>
      </w:r>
      <w:proofErr w:type="spellEnd"/>
      <w:r w:rsidRPr="00126DD4">
        <w:rPr>
          <w:rFonts w:cstheme="minorHAnsi"/>
          <w:sz w:val="24"/>
          <w:szCs w:val="24"/>
        </w:rPr>
        <w:t xml:space="preserve"> M, </w:t>
      </w:r>
      <w:proofErr w:type="spellStart"/>
      <w:r w:rsidRPr="00126DD4">
        <w:rPr>
          <w:rFonts w:cstheme="minorHAnsi"/>
          <w:sz w:val="24"/>
          <w:szCs w:val="24"/>
        </w:rPr>
        <w:t>Puzziello</w:t>
      </w:r>
      <w:proofErr w:type="spellEnd"/>
      <w:r w:rsidRPr="00126DD4">
        <w:rPr>
          <w:rFonts w:cstheme="minorHAnsi"/>
          <w:sz w:val="24"/>
          <w:szCs w:val="24"/>
        </w:rPr>
        <w:t xml:space="preserve"> A, et al. Capsule endoscopy is safe and effective after small-bowel resection. </w:t>
      </w:r>
      <w:proofErr w:type="spellStart"/>
      <w:r w:rsidRPr="00126DD4">
        <w:rPr>
          <w:rFonts w:cstheme="minorHAnsi"/>
          <w:sz w:val="24"/>
          <w:szCs w:val="24"/>
        </w:rPr>
        <w:t>Gastrointest</w:t>
      </w:r>
      <w:proofErr w:type="spellEnd"/>
      <w:r w:rsidRPr="00126DD4">
        <w:rPr>
          <w:rFonts w:cstheme="minorHAnsi"/>
          <w:sz w:val="24"/>
          <w:szCs w:val="24"/>
        </w:rPr>
        <w:t xml:space="preserve"> </w:t>
      </w:r>
      <w:proofErr w:type="spellStart"/>
      <w:r w:rsidRPr="00126DD4">
        <w:rPr>
          <w:rFonts w:cstheme="minorHAnsi"/>
          <w:sz w:val="24"/>
          <w:szCs w:val="24"/>
        </w:rPr>
        <w:t>Endosc</w:t>
      </w:r>
      <w:proofErr w:type="spellEnd"/>
      <w:r w:rsidRPr="00126DD4">
        <w:rPr>
          <w:rFonts w:cstheme="minorHAnsi"/>
          <w:sz w:val="24"/>
          <w:szCs w:val="24"/>
        </w:rPr>
        <w:t xml:space="preserve"> 2004</w:t>
      </w:r>
      <w:proofErr w:type="gramStart"/>
      <w:r w:rsidRPr="00126DD4">
        <w:rPr>
          <w:rFonts w:cstheme="minorHAnsi"/>
          <w:sz w:val="24"/>
          <w:szCs w:val="24"/>
        </w:rPr>
        <w:t>;60:135</w:t>
      </w:r>
      <w:proofErr w:type="gramEnd"/>
      <w:r w:rsidRPr="00126DD4">
        <w:rPr>
          <w:rFonts w:cstheme="minorHAnsi"/>
          <w:sz w:val="24"/>
          <w:szCs w:val="24"/>
        </w:rPr>
        <w:t>–8.</w:t>
      </w:r>
    </w:p>
    <w:p w14:paraId="58271A3B" w14:textId="77777777" w:rsidR="00E323ED" w:rsidRPr="00126DD4" w:rsidRDefault="00E323ED" w:rsidP="008472B1">
      <w:pPr>
        <w:jc w:val="both"/>
        <w:rPr>
          <w:rFonts w:cstheme="minorHAnsi"/>
          <w:sz w:val="24"/>
          <w:szCs w:val="24"/>
        </w:rPr>
      </w:pPr>
      <w:r w:rsidRPr="00126DD4">
        <w:rPr>
          <w:rFonts w:cstheme="minorHAnsi"/>
          <w:sz w:val="24"/>
          <w:szCs w:val="24"/>
        </w:rPr>
        <w:t xml:space="preserve">Di </w:t>
      </w:r>
      <w:proofErr w:type="spellStart"/>
      <w:r w:rsidRPr="00126DD4">
        <w:rPr>
          <w:rFonts w:cstheme="minorHAnsi"/>
          <w:sz w:val="24"/>
          <w:szCs w:val="24"/>
        </w:rPr>
        <w:t>Nardo</w:t>
      </w:r>
      <w:proofErr w:type="spellEnd"/>
      <w:r w:rsidRPr="00126DD4">
        <w:rPr>
          <w:rFonts w:cstheme="minorHAnsi"/>
          <w:sz w:val="24"/>
          <w:szCs w:val="24"/>
        </w:rPr>
        <w:t xml:space="preserve"> G, </w:t>
      </w:r>
      <w:proofErr w:type="spellStart"/>
      <w:r w:rsidRPr="00126DD4">
        <w:rPr>
          <w:rFonts w:cstheme="minorHAnsi"/>
          <w:sz w:val="24"/>
          <w:szCs w:val="24"/>
        </w:rPr>
        <w:t>Oliva</w:t>
      </w:r>
      <w:proofErr w:type="spellEnd"/>
      <w:r w:rsidRPr="00126DD4">
        <w:rPr>
          <w:rFonts w:cstheme="minorHAnsi"/>
          <w:sz w:val="24"/>
          <w:szCs w:val="24"/>
        </w:rPr>
        <w:t xml:space="preserve"> S, Ferrari F, </w:t>
      </w:r>
      <w:proofErr w:type="spellStart"/>
      <w:r w:rsidRPr="00126DD4">
        <w:rPr>
          <w:rFonts w:cstheme="minorHAnsi"/>
          <w:sz w:val="24"/>
          <w:szCs w:val="24"/>
        </w:rPr>
        <w:t>Riccioni</w:t>
      </w:r>
      <w:proofErr w:type="spellEnd"/>
      <w:r w:rsidRPr="00126DD4">
        <w:rPr>
          <w:rFonts w:cstheme="minorHAnsi"/>
          <w:sz w:val="24"/>
          <w:szCs w:val="24"/>
        </w:rPr>
        <w:t xml:space="preserve"> ME, </w:t>
      </w:r>
      <w:proofErr w:type="spellStart"/>
      <w:r w:rsidRPr="00126DD4">
        <w:rPr>
          <w:rFonts w:cstheme="minorHAnsi"/>
          <w:sz w:val="24"/>
          <w:szCs w:val="24"/>
        </w:rPr>
        <w:t>Staiano</w:t>
      </w:r>
      <w:proofErr w:type="spellEnd"/>
      <w:r w:rsidRPr="00126DD4">
        <w:rPr>
          <w:rFonts w:cstheme="minorHAnsi"/>
          <w:sz w:val="24"/>
          <w:szCs w:val="24"/>
        </w:rPr>
        <w:t xml:space="preserve"> A, Lombardi G, </w:t>
      </w:r>
      <w:proofErr w:type="spellStart"/>
      <w:r w:rsidRPr="00126DD4">
        <w:rPr>
          <w:rFonts w:cstheme="minorHAnsi"/>
          <w:sz w:val="24"/>
          <w:szCs w:val="24"/>
        </w:rPr>
        <w:t>Costamagna</w:t>
      </w:r>
      <w:proofErr w:type="spellEnd"/>
      <w:r w:rsidRPr="00126DD4">
        <w:rPr>
          <w:rFonts w:cstheme="minorHAnsi"/>
          <w:sz w:val="24"/>
          <w:szCs w:val="24"/>
        </w:rPr>
        <w:t xml:space="preserve"> G, </w:t>
      </w:r>
      <w:proofErr w:type="spellStart"/>
      <w:r w:rsidRPr="00126DD4">
        <w:rPr>
          <w:rFonts w:cstheme="minorHAnsi"/>
          <w:sz w:val="24"/>
          <w:szCs w:val="24"/>
        </w:rPr>
        <w:t>Cucchiara</w:t>
      </w:r>
      <w:proofErr w:type="spellEnd"/>
      <w:r w:rsidRPr="00126DD4">
        <w:rPr>
          <w:rFonts w:cstheme="minorHAnsi"/>
          <w:sz w:val="24"/>
          <w:szCs w:val="24"/>
        </w:rPr>
        <w:t xml:space="preserve"> S, </w:t>
      </w:r>
      <w:proofErr w:type="spellStart"/>
      <w:r w:rsidRPr="00126DD4">
        <w:rPr>
          <w:rFonts w:cstheme="minorHAnsi"/>
          <w:sz w:val="24"/>
          <w:szCs w:val="24"/>
        </w:rPr>
        <w:t>Stronati</w:t>
      </w:r>
      <w:proofErr w:type="spellEnd"/>
      <w:r w:rsidRPr="00126DD4">
        <w:rPr>
          <w:rFonts w:cstheme="minorHAnsi"/>
          <w:sz w:val="24"/>
          <w:szCs w:val="24"/>
        </w:rPr>
        <w:t xml:space="preserve"> L. Usefulness of wireless capsule endoscopy in paediatric inflammatory bowel </w:t>
      </w:r>
      <w:proofErr w:type="spellStart"/>
      <w:r w:rsidRPr="00126DD4">
        <w:rPr>
          <w:rFonts w:cstheme="minorHAnsi"/>
          <w:sz w:val="24"/>
          <w:szCs w:val="24"/>
        </w:rPr>
        <w:t>disease.</w:t>
      </w:r>
      <w:r w:rsidRPr="00126DD4">
        <w:rPr>
          <w:rFonts w:cstheme="minorHAnsi"/>
          <w:i/>
          <w:iCs/>
          <w:sz w:val="24"/>
          <w:szCs w:val="24"/>
        </w:rPr>
        <w:t>Dig</w:t>
      </w:r>
      <w:proofErr w:type="spellEnd"/>
      <w:r w:rsidRPr="00126DD4">
        <w:rPr>
          <w:rFonts w:cstheme="minorHAnsi"/>
          <w:i/>
          <w:iCs/>
          <w:sz w:val="24"/>
          <w:szCs w:val="24"/>
        </w:rPr>
        <w:t xml:space="preserve"> Liver Dis</w:t>
      </w:r>
      <w:r w:rsidRPr="00126DD4">
        <w:rPr>
          <w:rFonts w:cstheme="minorHAnsi"/>
          <w:sz w:val="24"/>
          <w:szCs w:val="24"/>
        </w:rPr>
        <w:t>. 2011;43:220-224.</w:t>
      </w:r>
    </w:p>
    <w:p w14:paraId="58271A3C" w14:textId="77777777" w:rsidR="00BA2E4A" w:rsidRPr="00126DD4" w:rsidRDefault="00E323ED" w:rsidP="008472B1">
      <w:pPr>
        <w:jc w:val="both"/>
        <w:rPr>
          <w:rFonts w:cstheme="minorHAnsi"/>
          <w:sz w:val="24"/>
          <w:szCs w:val="24"/>
        </w:rPr>
      </w:pPr>
      <w:proofErr w:type="spellStart"/>
      <w:r w:rsidRPr="00126DD4">
        <w:rPr>
          <w:rFonts w:cstheme="minorHAnsi"/>
          <w:sz w:val="24"/>
          <w:szCs w:val="24"/>
        </w:rPr>
        <w:t>Dussault</w:t>
      </w:r>
      <w:proofErr w:type="spellEnd"/>
      <w:r w:rsidRPr="00126DD4">
        <w:rPr>
          <w:rFonts w:cstheme="minorHAnsi"/>
          <w:sz w:val="24"/>
          <w:szCs w:val="24"/>
        </w:rPr>
        <w:t xml:space="preserve"> C, Gower-Rousseau C, </w:t>
      </w:r>
      <w:proofErr w:type="spellStart"/>
      <w:r w:rsidRPr="00126DD4">
        <w:rPr>
          <w:rFonts w:cstheme="minorHAnsi"/>
          <w:sz w:val="24"/>
          <w:szCs w:val="24"/>
        </w:rPr>
        <w:t>Salleron</w:t>
      </w:r>
      <w:proofErr w:type="spellEnd"/>
      <w:r w:rsidRPr="00126DD4">
        <w:rPr>
          <w:rFonts w:cstheme="minorHAnsi"/>
          <w:sz w:val="24"/>
          <w:szCs w:val="24"/>
        </w:rPr>
        <w:t xml:space="preserve"> J et al. </w:t>
      </w:r>
      <w:hyperlink r:id="rId60" w:history="1">
        <w:r w:rsidRPr="00126DD4">
          <w:rPr>
            <w:rFonts w:cstheme="minorHAnsi"/>
            <w:sz w:val="24"/>
            <w:szCs w:val="24"/>
          </w:rPr>
          <w:t>Small bowel capsule endoscopy for management of Crohn’s disease: a retrospective tertiary care centre experience</w:t>
        </w:r>
      </w:hyperlink>
      <w:r w:rsidRPr="00126DD4">
        <w:rPr>
          <w:rFonts w:cstheme="minorHAnsi"/>
          <w:sz w:val="24"/>
          <w:szCs w:val="24"/>
        </w:rPr>
        <w:t>. Dig Liver Dis 2013; 45: 558-561</w:t>
      </w:r>
    </w:p>
    <w:p w14:paraId="58271A3D"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proofErr w:type="gramStart"/>
      <w:r w:rsidRPr="00126DD4">
        <w:rPr>
          <w:rFonts w:cstheme="minorHAnsi"/>
          <w:sz w:val="24"/>
          <w:szCs w:val="24"/>
        </w:rPr>
        <w:t>Efthymiou</w:t>
      </w:r>
      <w:proofErr w:type="spellEnd"/>
      <w:r w:rsidRPr="00126DD4">
        <w:rPr>
          <w:rFonts w:cstheme="minorHAnsi"/>
          <w:sz w:val="24"/>
          <w:szCs w:val="24"/>
        </w:rPr>
        <w:t xml:space="preserve">, A, </w:t>
      </w:r>
      <w:proofErr w:type="spellStart"/>
      <w:r w:rsidRPr="00126DD4">
        <w:rPr>
          <w:rFonts w:cstheme="minorHAnsi"/>
          <w:sz w:val="24"/>
          <w:szCs w:val="24"/>
        </w:rPr>
        <w:t>Viazis</w:t>
      </w:r>
      <w:proofErr w:type="spellEnd"/>
      <w:r w:rsidRPr="00126DD4">
        <w:rPr>
          <w:rFonts w:cstheme="minorHAnsi"/>
          <w:sz w:val="24"/>
          <w:szCs w:val="24"/>
        </w:rPr>
        <w:t>, N et al 2009.</w:t>
      </w:r>
      <w:proofErr w:type="gramEnd"/>
      <w:r w:rsidRPr="00126DD4">
        <w:rPr>
          <w:rFonts w:cstheme="minorHAnsi"/>
          <w:sz w:val="24"/>
          <w:szCs w:val="24"/>
        </w:rPr>
        <w:t xml:space="preserve"> Wireless capsule endoscopy versus enteroclysis in the</w:t>
      </w:r>
    </w:p>
    <w:p w14:paraId="58271A3E"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diagnosis</w:t>
      </w:r>
      <w:proofErr w:type="gramEnd"/>
      <w:r w:rsidRPr="00126DD4">
        <w:rPr>
          <w:rFonts w:cstheme="minorHAnsi"/>
          <w:sz w:val="24"/>
          <w:szCs w:val="24"/>
        </w:rPr>
        <w:t xml:space="preserve"> of small-bowel Crohn's disease, </w:t>
      </w:r>
      <w:r w:rsidRPr="00126DD4">
        <w:rPr>
          <w:rFonts w:cstheme="minorHAnsi"/>
          <w:i/>
          <w:iCs/>
          <w:sz w:val="24"/>
          <w:szCs w:val="24"/>
        </w:rPr>
        <w:t>European Journal of Gastroenterology and Hepatology</w:t>
      </w:r>
      <w:r w:rsidRPr="00126DD4">
        <w:rPr>
          <w:rFonts w:cstheme="minorHAnsi"/>
          <w:sz w:val="24"/>
          <w:szCs w:val="24"/>
        </w:rPr>
        <w:t>, 21 (8), 866-871.</w:t>
      </w:r>
    </w:p>
    <w:p w14:paraId="58271A3F"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Ersoy</w:t>
      </w:r>
      <w:proofErr w:type="spellEnd"/>
      <w:r w:rsidRPr="00126DD4">
        <w:rPr>
          <w:rFonts w:cstheme="minorHAnsi"/>
          <w:sz w:val="24"/>
          <w:szCs w:val="24"/>
        </w:rPr>
        <w:t xml:space="preserve">, O, </w:t>
      </w:r>
      <w:proofErr w:type="spellStart"/>
      <w:r w:rsidRPr="00126DD4">
        <w:rPr>
          <w:rFonts w:cstheme="minorHAnsi"/>
          <w:sz w:val="24"/>
          <w:szCs w:val="24"/>
        </w:rPr>
        <w:t>Harmanci</w:t>
      </w:r>
      <w:proofErr w:type="spellEnd"/>
      <w:r w:rsidRPr="00126DD4">
        <w:rPr>
          <w:rFonts w:cstheme="minorHAnsi"/>
          <w:sz w:val="24"/>
          <w:szCs w:val="24"/>
        </w:rPr>
        <w:t xml:space="preserve">, O et al 2009. </w:t>
      </w:r>
      <w:proofErr w:type="gramStart"/>
      <w:r w:rsidRPr="00126DD4">
        <w:rPr>
          <w:rFonts w:cstheme="minorHAnsi"/>
          <w:sz w:val="24"/>
          <w:szCs w:val="24"/>
        </w:rPr>
        <w:t xml:space="preserve">Capability of capsule endoscopy in detecting small bowel ulcers, </w:t>
      </w:r>
      <w:r w:rsidRPr="00126DD4">
        <w:rPr>
          <w:rFonts w:cstheme="minorHAnsi"/>
          <w:i/>
          <w:iCs/>
          <w:sz w:val="24"/>
          <w:szCs w:val="24"/>
        </w:rPr>
        <w:t>Digestive Diseases and Sciences</w:t>
      </w:r>
      <w:r w:rsidRPr="00126DD4">
        <w:rPr>
          <w:rFonts w:cstheme="minorHAnsi"/>
          <w:sz w:val="24"/>
          <w:szCs w:val="24"/>
        </w:rPr>
        <w:t>, 54 (1), 136-141.</w:t>
      </w:r>
      <w:proofErr w:type="gramEnd"/>
    </w:p>
    <w:p w14:paraId="58271A40" w14:textId="77777777" w:rsidR="00E323ED" w:rsidRPr="00126DD4" w:rsidRDefault="00E323ED" w:rsidP="008472B1">
      <w:pPr>
        <w:autoSpaceDE w:val="0"/>
        <w:autoSpaceDN w:val="0"/>
        <w:adjustRightInd w:val="0"/>
        <w:spacing w:before="0" w:after="0"/>
        <w:jc w:val="both"/>
        <w:rPr>
          <w:rFonts w:cstheme="minorHAnsi"/>
          <w:sz w:val="24"/>
          <w:szCs w:val="24"/>
        </w:rPr>
      </w:pPr>
    </w:p>
    <w:p w14:paraId="58271A41"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lastRenderedPageBreak/>
        <w:t>Eliakim</w:t>
      </w:r>
      <w:proofErr w:type="spellEnd"/>
      <w:r w:rsidRPr="00126DD4">
        <w:rPr>
          <w:rFonts w:cstheme="minorHAnsi"/>
          <w:sz w:val="24"/>
          <w:szCs w:val="24"/>
        </w:rPr>
        <w:t xml:space="preserve">, R, </w:t>
      </w:r>
      <w:proofErr w:type="spellStart"/>
      <w:r w:rsidRPr="00126DD4">
        <w:rPr>
          <w:rFonts w:cstheme="minorHAnsi"/>
          <w:sz w:val="24"/>
          <w:szCs w:val="24"/>
        </w:rPr>
        <w:t>Suissa</w:t>
      </w:r>
      <w:proofErr w:type="spellEnd"/>
      <w:r w:rsidRPr="00126DD4">
        <w:rPr>
          <w:rFonts w:cstheme="minorHAnsi"/>
          <w:sz w:val="24"/>
          <w:szCs w:val="24"/>
        </w:rPr>
        <w:t>, A et al 2004. Wireless capsule video endoscopy compared to barium</w:t>
      </w:r>
    </w:p>
    <w:p w14:paraId="58271A42"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follow-through</w:t>
      </w:r>
      <w:proofErr w:type="gramEnd"/>
      <w:r w:rsidRPr="00126DD4">
        <w:rPr>
          <w:rFonts w:cstheme="minorHAnsi"/>
          <w:sz w:val="24"/>
          <w:szCs w:val="24"/>
        </w:rPr>
        <w:t xml:space="preserve"> and computerised tomography in patients with suspected Crohn's disease</w:t>
      </w:r>
    </w:p>
    <w:p w14:paraId="58271A43"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 xml:space="preserve">- Final report, </w:t>
      </w:r>
      <w:r w:rsidRPr="00126DD4">
        <w:rPr>
          <w:rFonts w:cstheme="minorHAnsi"/>
          <w:i/>
          <w:iCs/>
          <w:sz w:val="24"/>
          <w:szCs w:val="24"/>
        </w:rPr>
        <w:t>Digestive and Liver Disease</w:t>
      </w:r>
      <w:r w:rsidRPr="00126DD4">
        <w:rPr>
          <w:rFonts w:cstheme="minorHAnsi"/>
          <w:sz w:val="24"/>
          <w:szCs w:val="24"/>
        </w:rPr>
        <w:t>, 36 (8), 519-522.</w:t>
      </w:r>
    </w:p>
    <w:p w14:paraId="58271A44" w14:textId="77777777" w:rsidR="00126DD4" w:rsidRDefault="00126DD4" w:rsidP="008472B1">
      <w:pPr>
        <w:autoSpaceDE w:val="0"/>
        <w:autoSpaceDN w:val="0"/>
        <w:adjustRightInd w:val="0"/>
        <w:spacing w:before="0" w:after="0"/>
        <w:jc w:val="both"/>
        <w:rPr>
          <w:rFonts w:cstheme="minorHAnsi"/>
          <w:sz w:val="24"/>
          <w:szCs w:val="24"/>
        </w:rPr>
      </w:pPr>
    </w:p>
    <w:p w14:paraId="58271A45"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Figueiredo</w:t>
      </w:r>
      <w:proofErr w:type="spellEnd"/>
      <w:r w:rsidRPr="00126DD4">
        <w:rPr>
          <w:rFonts w:cstheme="minorHAnsi"/>
          <w:sz w:val="24"/>
          <w:szCs w:val="24"/>
        </w:rPr>
        <w:t xml:space="preserve">, P, Almeida, N et al 2010. </w:t>
      </w:r>
      <w:proofErr w:type="gramStart"/>
      <w:r w:rsidRPr="00126DD4">
        <w:rPr>
          <w:rFonts w:cstheme="minorHAnsi"/>
          <w:sz w:val="24"/>
          <w:szCs w:val="24"/>
        </w:rPr>
        <w:t xml:space="preserve">Small-bowel capsule endoscopy in patients with suspected Crohn's disease-diagnostic value and complications, </w:t>
      </w:r>
      <w:r w:rsidRPr="00126DD4">
        <w:rPr>
          <w:rFonts w:cstheme="minorHAnsi"/>
          <w:i/>
          <w:iCs/>
          <w:sz w:val="24"/>
          <w:szCs w:val="24"/>
        </w:rPr>
        <w:t>Diagnostic &amp; Therapeutic Endoscopy</w:t>
      </w:r>
      <w:r w:rsidRPr="00126DD4">
        <w:rPr>
          <w:rFonts w:cstheme="minorHAnsi"/>
          <w:sz w:val="24"/>
          <w:szCs w:val="24"/>
        </w:rPr>
        <w:t xml:space="preserve">, 2010 (2010), </w:t>
      </w:r>
      <w:proofErr w:type="spellStart"/>
      <w:r w:rsidRPr="00126DD4">
        <w:rPr>
          <w:rFonts w:cstheme="minorHAnsi"/>
          <w:sz w:val="24"/>
          <w:szCs w:val="24"/>
        </w:rPr>
        <w:t>Epub</w:t>
      </w:r>
      <w:proofErr w:type="spellEnd"/>
      <w:r w:rsidRPr="00126DD4">
        <w:rPr>
          <w:rFonts w:cstheme="minorHAnsi"/>
          <w:sz w:val="24"/>
          <w:szCs w:val="24"/>
        </w:rPr>
        <w:t xml:space="preserve"> 101284.</w:t>
      </w:r>
      <w:proofErr w:type="gramEnd"/>
    </w:p>
    <w:p w14:paraId="58271A46" w14:textId="77777777" w:rsidR="00BA2E4A" w:rsidRPr="00126DD4" w:rsidRDefault="00BA2E4A" w:rsidP="008472B1">
      <w:pPr>
        <w:jc w:val="both"/>
        <w:rPr>
          <w:rFonts w:cstheme="minorHAnsi"/>
          <w:bCs/>
          <w:sz w:val="24"/>
          <w:szCs w:val="24"/>
        </w:rPr>
      </w:pPr>
      <w:r w:rsidRPr="00126DD4">
        <w:rPr>
          <w:rFonts w:cstheme="minorHAnsi"/>
          <w:bCs/>
          <w:sz w:val="24"/>
          <w:szCs w:val="24"/>
        </w:rPr>
        <w:t>Gabel K, Couturier J, Grant C, Johnson-</w:t>
      </w:r>
      <w:proofErr w:type="spellStart"/>
      <w:r w:rsidRPr="00126DD4">
        <w:rPr>
          <w:rFonts w:cstheme="minorHAnsi"/>
          <w:bCs/>
          <w:sz w:val="24"/>
          <w:szCs w:val="24"/>
        </w:rPr>
        <w:t>Ramgeet</w:t>
      </w:r>
      <w:proofErr w:type="spellEnd"/>
      <w:r w:rsidRPr="00126DD4">
        <w:rPr>
          <w:rFonts w:cstheme="minorHAnsi"/>
          <w:bCs/>
          <w:sz w:val="24"/>
          <w:szCs w:val="24"/>
        </w:rPr>
        <w:t xml:space="preserve"> N. Delayed Diagnosis of Crohn’s Disease in an Adolescent: Psychiatric Implications. </w:t>
      </w:r>
      <w:proofErr w:type="gramStart"/>
      <w:r w:rsidRPr="00126DD4">
        <w:rPr>
          <w:rFonts w:cstheme="minorHAnsi"/>
          <w:bCs/>
          <w:sz w:val="24"/>
          <w:szCs w:val="24"/>
        </w:rPr>
        <w:t>Journal of the Canadian Academy of Child and Adolescent Psychiatry.</w:t>
      </w:r>
      <w:proofErr w:type="gramEnd"/>
      <w:r w:rsidRPr="00126DD4">
        <w:rPr>
          <w:rFonts w:cstheme="minorHAnsi"/>
          <w:bCs/>
          <w:sz w:val="24"/>
          <w:szCs w:val="24"/>
        </w:rPr>
        <w:t xml:space="preserve"> 2010</w:t>
      </w:r>
      <w:proofErr w:type="gramStart"/>
      <w:r w:rsidRPr="00126DD4">
        <w:rPr>
          <w:rFonts w:cstheme="minorHAnsi"/>
          <w:bCs/>
          <w:sz w:val="24"/>
          <w:szCs w:val="24"/>
        </w:rPr>
        <w:t>;19</w:t>
      </w:r>
      <w:proofErr w:type="gramEnd"/>
      <w:r w:rsidRPr="00126DD4">
        <w:rPr>
          <w:rFonts w:cstheme="minorHAnsi"/>
          <w:bCs/>
          <w:sz w:val="24"/>
          <w:szCs w:val="24"/>
        </w:rPr>
        <w:t>(3):209-211.</w:t>
      </w:r>
    </w:p>
    <w:p w14:paraId="58271A47"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Ge, ZZ, Hu, YB et al 2004. Capsule endoscopy in diagnosis of small bowel Crohn's</w:t>
      </w:r>
    </w:p>
    <w:p w14:paraId="58271A48"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disease</w:t>
      </w:r>
      <w:proofErr w:type="gramEnd"/>
      <w:r w:rsidRPr="00126DD4">
        <w:rPr>
          <w:rFonts w:cstheme="minorHAnsi"/>
          <w:sz w:val="24"/>
          <w:szCs w:val="24"/>
        </w:rPr>
        <w:t xml:space="preserve">, </w:t>
      </w:r>
      <w:r w:rsidRPr="00126DD4">
        <w:rPr>
          <w:rFonts w:cstheme="minorHAnsi"/>
          <w:i/>
          <w:iCs/>
          <w:sz w:val="24"/>
          <w:szCs w:val="24"/>
        </w:rPr>
        <w:t>World Journal of Gastroenterology</w:t>
      </w:r>
      <w:r w:rsidRPr="00126DD4">
        <w:rPr>
          <w:rFonts w:cstheme="minorHAnsi"/>
          <w:sz w:val="24"/>
          <w:szCs w:val="24"/>
        </w:rPr>
        <w:t>, 10 (9), 1349-1352.</w:t>
      </w:r>
    </w:p>
    <w:p w14:paraId="58271A49" w14:textId="77777777" w:rsidR="00E323ED" w:rsidRPr="00126DD4" w:rsidRDefault="00E323ED" w:rsidP="008472B1">
      <w:pPr>
        <w:autoSpaceDE w:val="0"/>
        <w:autoSpaceDN w:val="0"/>
        <w:adjustRightInd w:val="0"/>
        <w:spacing w:before="0" w:after="0"/>
        <w:jc w:val="both"/>
        <w:rPr>
          <w:rFonts w:cstheme="minorHAnsi"/>
          <w:sz w:val="24"/>
          <w:szCs w:val="24"/>
        </w:rPr>
      </w:pPr>
    </w:p>
    <w:p w14:paraId="58271A4A"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Girelli</w:t>
      </w:r>
      <w:proofErr w:type="spellEnd"/>
      <w:r w:rsidRPr="00126DD4">
        <w:rPr>
          <w:rFonts w:cstheme="minorHAnsi"/>
          <w:sz w:val="24"/>
          <w:szCs w:val="24"/>
        </w:rPr>
        <w:t xml:space="preserve">, CM, </w:t>
      </w:r>
      <w:proofErr w:type="spellStart"/>
      <w:r w:rsidRPr="00126DD4">
        <w:rPr>
          <w:rFonts w:cstheme="minorHAnsi"/>
          <w:sz w:val="24"/>
          <w:szCs w:val="24"/>
        </w:rPr>
        <w:t>Porta</w:t>
      </w:r>
      <w:proofErr w:type="spellEnd"/>
      <w:r w:rsidRPr="00126DD4">
        <w:rPr>
          <w:rFonts w:cstheme="minorHAnsi"/>
          <w:sz w:val="24"/>
          <w:szCs w:val="24"/>
        </w:rPr>
        <w:t>, P et al 2007. Clinical outcome of patients examined by capsule</w:t>
      </w:r>
    </w:p>
    <w:p w14:paraId="58271A4B"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endoscopy</w:t>
      </w:r>
      <w:proofErr w:type="gramEnd"/>
      <w:r w:rsidRPr="00126DD4">
        <w:rPr>
          <w:rFonts w:cstheme="minorHAnsi"/>
          <w:sz w:val="24"/>
          <w:szCs w:val="24"/>
        </w:rPr>
        <w:t xml:space="preserve"> for suspected small bowel Crohn's disease, </w:t>
      </w:r>
      <w:r w:rsidRPr="00126DD4">
        <w:rPr>
          <w:rFonts w:cstheme="minorHAnsi"/>
          <w:i/>
          <w:iCs/>
          <w:sz w:val="24"/>
          <w:szCs w:val="24"/>
        </w:rPr>
        <w:t>Digestive and Liver Disease</w:t>
      </w:r>
      <w:r w:rsidRPr="00126DD4">
        <w:rPr>
          <w:rFonts w:cstheme="minorHAnsi"/>
          <w:sz w:val="24"/>
          <w:szCs w:val="24"/>
        </w:rPr>
        <w:t>, 39 (2),</w:t>
      </w:r>
    </w:p>
    <w:p w14:paraId="58271A4C" w14:textId="77777777" w:rsidR="00E323ED" w:rsidRPr="00126DD4" w:rsidRDefault="00E323ED" w:rsidP="008472B1">
      <w:pPr>
        <w:jc w:val="both"/>
        <w:rPr>
          <w:rFonts w:cstheme="minorHAnsi"/>
          <w:sz w:val="24"/>
          <w:szCs w:val="24"/>
        </w:rPr>
      </w:pPr>
      <w:proofErr w:type="gramStart"/>
      <w:r w:rsidRPr="00126DD4">
        <w:rPr>
          <w:rFonts w:cstheme="minorHAnsi"/>
          <w:sz w:val="24"/>
          <w:szCs w:val="24"/>
        </w:rPr>
        <w:t>148-154.</w:t>
      </w:r>
      <w:proofErr w:type="gramEnd"/>
    </w:p>
    <w:p w14:paraId="58271A4D"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Guilhon</w:t>
      </w:r>
      <w:proofErr w:type="spellEnd"/>
      <w:r w:rsidRPr="00126DD4">
        <w:rPr>
          <w:rFonts w:cstheme="minorHAnsi"/>
          <w:sz w:val="24"/>
          <w:szCs w:val="24"/>
        </w:rPr>
        <w:t xml:space="preserve"> de </w:t>
      </w:r>
      <w:proofErr w:type="spellStart"/>
      <w:r w:rsidRPr="00126DD4">
        <w:rPr>
          <w:rFonts w:cstheme="minorHAnsi"/>
          <w:sz w:val="24"/>
          <w:szCs w:val="24"/>
        </w:rPr>
        <w:t>Araujo</w:t>
      </w:r>
      <w:proofErr w:type="spellEnd"/>
      <w:r w:rsidRPr="00126DD4">
        <w:rPr>
          <w:rFonts w:cstheme="minorHAnsi"/>
          <w:sz w:val="24"/>
          <w:szCs w:val="24"/>
        </w:rPr>
        <w:t xml:space="preserve"> </w:t>
      </w:r>
      <w:proofErr w:type="spellStart"/>
      <w:r w:rsidRPr="00126DD4">
        <w:rPr>
          <w:rFonts w:cstheme="minorHAnsi"/>
          <w:sz w:val="24"/>
          <w:szCs w:val="24"/>
        </w:rPr>
        <w:t>Sant'Anna</w:t>
      </w:r>
      <w:proofErr w:type="spellEnd"/>
      <w:r w:rsidRPr="00126DD4">
        <w:rPr>
          <w:rFonts w:cstheme="minorHAnsi"/>
          <w:sz w:val="24"/>
          <w:szCs w:val="24"/>
        </w:rPr>
        <w:t xml:space="preserve"> AM, Dubois, J et al 2005. Wireless capsule endoscopy for</w:t>
      </w:r>
    </w:p>
    <w:p w14:paraId="58271A4E" w14:textId="77777777" w:rsidR="00E323ED" w:rsidRPr="00126DD4" w:rsidRDefault="00E323ED" w:rsidP="008472B1">
      <w:pPr>
        <w:autoSpaceDE w:val="0"/>
        <w:autoSpaceDN w:val="0"/>
        <w:adjustRightInd w:val="0"/>
        <w:spacing w:before="0" w:after="0"/>
        <w:jc w:val="both"/>
        <w:rPr>
          <w:rFonts w:cstheme="minorHAnsi"/>
          <w:i/>
          <w:iCs/>
          <w:sz w:val="24"/>
          <w:szCs w:val="24"/>
        </w:rPr>
      </w:pPr>
      <w:proofErr w:type="gramStart"/>
      <w:r w:rsidRPr="00126DD4">
        <w:rPr>
          <w:rFonts w:cstheme="minorHAnsi"/>
          <w:sz w:val="24"/>
          <w:szCs w:val="24"/>
        </w:rPr>
        <w:t>obscure</w:t>
      </w:r>
      <w:proofErr w:type="gramEnd"/>
      <w:r w:rsidRPr="00126DD4">
        <w:rPr>
          <w:rFonts w:cstheme="minorHAnsi"/>
          <w:sz w:val="24"/>
          <w:szCs w:val="24"/>
        </w:rPr>
        <w:t xml:space="preserve"> small-bowel disorders: final results of the first </w:t>
      </w:r>
      <w:proofErr w:type="spellStart"/>
      <w:r w:rsidRPr="00126DD4">
        <w:rPr>
          <w:rFonts w:cstheme="minorHAnsi"/>
          <w:sz w:val="24"/>
          <w:szCs w:val="24"/>
        </w:rPr>
        <w:t>pediatric</w:t>
      </w:r>
      <w:proofErr w:type="spellEnd"/>
      <w:r w:rsidRPr="00126DD4">
        <w:rPr>
          <w:rFonts w:cstheme="minorHAnsi"/>
          <w:sz w:val="24"/>
          <w:szCs w:val="24"/>
        </w:rPr>
        <w:t xml:space="preserve"> controlled trial, </w:t>
      </w:r>
      <w:r w:rsidRPr="00126DD4">
        <w:rPr>
          <w:rFonts w:cstheme="minorHAnsi"/>
          <w:i/>
          <w:iCs/>
          <w:sz w:val="24"/>
          <w:szCs w:val="24"/>
        </w:rPr>
        <w:t>Clinical</w:t>
      </w:r>
    </w:p>
    <w:p w14:paraId="58271A4F" w14:textId="77777777" w:rsidR="00E323ED" w:rsidRPr="00126DD4" w:rsidRDefault="00E323ED" w:rsidP="008472B1">
      <w:pPr>
        <w:autoSpaceDE w:val="0"/>
        <w:autoSpaceDN w:val="0"/>
        <w:adjustRightInd w:val="0"/>
        <w:spacing w:before="0" w:after="0"/>
        <w:jc w:val="both"/>
        <w:rPr>
          <w:rFonts w:cstheme="minorHAnsi"/>
          <w:i/>
          <w:iCs/>
          <w:sz w:val="24"/>
          <w:szCs w:val="24"/>
        </w:rPr>
      </w:pPr>
      <w:proofErr w:type="gramStart"/>
      <w:r w:rsidRPr="00126DD4">
        <w:rPr>
          <w:rFonts w:cstheme="minorHAnsi"/>
          <w:i/>
          <w:iCs/>
          <w:sz w:val="24"/>
          <w:szCs w:val="24"/>
        </w:rPr>
        <w:t>gastroenterology</w:t>
      </w:r>
      <w:proofErr w:type="gramEnd"/>
      <w:r w:rsidRPr="00126DD4">
        <w:rPr>
          <w:rFonts w:cstheme="minorHAnsi"/>
          <w:i/>
          <w:iCs/>
          <w:sz w:val="24"/>
          <w:szCs w:val="24"/>
        </w:rPr>
        <w:t xml:space="preserve"> and </w:t>
      </w:r>
      <w:proofErr w:type="spellStart"/>
      <w:r w:rsidRPr="00126DD4">
        <w:rPr>
          <w:rFonts w:cstheme="minorHAnsi"/>
          <w:i/>
          <w:iCs/>
          <w:sz w:val="24"/>
          <w:szCs w:val="24"/>
        </w:rPr>
        <w:t>hepatology</w:t>
      </w:r>
      <w:proofErr w:type="spellEnd"/>
      <w:r w:rsidRPr="00126DD4">
        <w:rPr>
          <w:rFonts w:cstheme="minorHAnsi"/>
          <w:i/>
          <w:iCs/>
          <w:sz w:val="24"/>
          <w:szCs w:val="24"/>
        </w:rPr>
        <w:t>: The official clinical practice journal of the American Gastroenterological Association</w:t>
      </w:r>
      <w:r w:rsidRPr="00126DD4">
        <w:rPr>
          <w:rFonts w:cstheme="minorHAnsi"/>
          <w:sz w:val="24"/>
          <w:szCs w:val="24"/>
        </w:rPr>
        <w:t>, 3 (3), 264-270.</w:t>
      </w:r>
    </w:p>
    <w:p w14:paraId="58271A50" w14:textId="77777777" w:rsidR="00E323ED" w:rsidRPr="00126DD4" w:rsidRDefault="00E323ED" w:rsidP="008472B1">
      <w:pPr>
        <w:jc w:val="both"/>
        <w:rPr>
          <w:rFonts w:cstheme="minorHAnsi"/>
          <w:sz w:val="24"/>
          <w:szCs w:val="24"/>
        </w:rPr>
      </w:pPr>
      <w:r w:rsidRPr="00126DD4">
        <w:rPr>
          <w:rFonts w:cstheme="minorHAnsi"/>
          <w:sz w:val="24"/>
          <w:szCs w:val="24"/>
        </w:rPr>
        <w:t xml:space="preserve">Hall B, </w:t>
      </w:r>
      <w:proofErr w:type="spellStart"/>
      <w:r w:rsidRPr="00126DD4">
        <w:rPr>
          <w:rFonts w:cstheme="minorHAnsi"/>
          <w:sz w:val="24"/>
          <w:szCs w:val="24"/>
        </w:rPr>
        <w:t>Holleran</w:t>
      </w:r>
      <w:proofErr w:type="spellEnd"/>
      <w:r w:rsidRPr="00126DD4">
        <w:rPr>
          <w:rFonts w:cstheme="minorHAnsi"/>
          <w:sz w:val="24"/>
          <w:szCs w:val="24"/>
        </w:rPr>
        <w:t xml:space="preserve"> G, Chin JL, Smith S, Ryan B, Mahmud N, McNamara D. </w:t>
      </w:r>
      <w:proofErr w:type="gramStart"/>
      <w:r w:rsidRPr="00126DD4">
        <w:rPr>
          <w:rFonts w:cstheme="minorHAnsi"/>
          <w:sz w:val="24"/>
          <w:szCs w:val="24"/>
        </w:rPr>
        <w:t>A prospective 52 week mucosal healing assessment of small bowel Crohn’s disease as detected by capsule endoscopy.</w:t>
      </w:r>
      <w:proofErr w:type="gramEnd"/>
      <w:r w:rsidRPr="00126DD4">
        <w:rPr>
          <w:rFonts w:cstheme="minorHAnsi"/>
          <w:sz w:val="24"/>
          <w:szCs w:val="24"/>
        </w:rPr>
        <w:t> </w:t>
      </w:r>
      <w:proofErr w:type="gramStart"/>
      <w:r w:rsidRPr="00126DD4">
        <w:rPr>
          <w:rFonts w:cstheme="minorHAnsi"/>
          <w:sz w:val="24"/>
          <w:szCs w:val="24"/>
        </w:rPr>
        <w:t xml:space="preserve">J </w:t>
      </w:r>
      <w:proofErr w:type="spellStart"/>
      <w:r w:rsidRPr="00126DD4">
        <w:rPr>
          <w:rFonts w:cstheme="minorHAnsi"/>
          <w:sz w:val="24"/>
          <w:szCs w:val="24"/>
        </w:rPr>
        <w:t>Crohns</w:t>
      </w:r>
      <w:proofErr w:type="spellEnd"/>
      <w:r w:rsidRPr="00126DD4">
        <w:rPr>
          <w:rFonts w:cstheme="minorHAnsi"/>
          <w:sz w:val="24"/>
          <w:szCs w:val="24"/>
        </w:rPr>
        <w:t xml:space="preserve"> Colitis.</w:t>
      </w:r>
      <w:proofErr w:type="gramEnd"/>
      <w:r w:rsidRPr="00126DD4">
        <w:rPr>
          <w:rFonts w:cstheme="minorHAnsi"/>
          <w:sz w:val="24"/>
          <w:szCs w:val="24"/>
        </w:rPr>
        <w:t> 2014</w:t>
      </w:r>
      <w:proofErr w:type="gramStart"/>
      <w:r w:rsidRPr="00126DD4">
        <w:rPr>
          <w:rFonts w:cstheme="minorHAnsi"/>
          <w:sz w:val="24"/>
          <w:szCs w:val="24"/>
        </w:rPr>
        <w:t>;8:1601</w:t>
      </w:r>
      <w:proofErr w:type="gramEnd"/>
      <w:r w:rsidRPr="00126DD4">
        <w:rPr>
          <w:rFonts w:cstheme="minorHAnsi"/>
          <w:sz w:val="24"/>
          <w:szCs w:val="24"/>
        </w:rPr>
        <w:t>–1609.</w:t>
      </w:r>
    </w:p>
    <w:p w14:paraId="58271A51"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Herrerias</w:t>
      </w:r>
      <w:proofErr w:type="spellEnd"/>
      <w:r w:rsidRPr="00126DD4">
        <w:rPr>
          <w:rFonts w:cstheme="minorHAnsi"/>
          <w:sz w:val="24"/>
          <w:szCs w:val="24"/>
        </w:rPr>
        <w:t xml:space="preserve">, JM, </w:t>
      </w:r>
      <w:proofErr w:type="spellStart"/>
      <w:r w:rsidRPr="00126DD4">
        <w:rPr>
          <w:rFonts w:cstheme="minorHAnsi"/>
          <w:sz w:val="24"/>
          <w:szCs w:val="24"/>
        </w:rPr>
        <w:t>Caunedo</w:t>
      </w:r>
      <w:proofErr w:type="spellEnd"/>
      <w:r w:rsidRPr="00126DD4">
        <w:rPr>
          <w:rFonts w:cstheme="minorHAnsi"/>
          <w:sz w:val="24"/>
          <w:szCs w:val="24"/>
        </w:rPr>
        <w:t>, A et al 2003. Capsule endoscopy in patients with suspected</w:t>
      </w:r>
    </w:p>
    <w:p w14:paraId="58271A52"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 xml:space="preserve">Crohn's disease and negative endoscopy, </w:t>
      </w:r>
      <w:r w:rsidRPr="00126DD4">
        <w:rPr>
          <w:rFonts w:cstheme="minorHAnsi"/>
          <w:i/>
          <w:iCs/>
          <w:sz w:val="24"/>
          <w:szCs w:val="24"/>
        </w:rPr>
        <w:t>Endoscopy</w:t>
      </w:r>
      <w:r w:rsidRPr="00126DD4">
        <w:rPr>
          <w:rFonts w:cstheme="minorHAnsi"/>
          <w:sz w:val="24"/>
          <w:szCs w:val="24"/>
        </w:rPr>
        <w:t>, 35 (7), 564-568.</w:t>
      </w:r>
      <w:proofErr w:type="gramEnd"/>
    </w:p>
    <w:p w14:paraId="58271A53"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br/>
        <w:t>Jensen, M, Nathan, T et al 2011. Diagnostic accuracy of capsule endoscopy for small</w:t>
      </w:r>
    </w:p>
    <w:p w14:paraId="58271A54"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bowel</w:t>
      </w:r>
      <w:proofErr w:type="gramEnd"/>
      <w:r w:rsidRPr="00126DD4">
        <w:rPr>
          <w:rFonts w:cstheme="minorHAnsi"/>
          <w:sz w:val="24"/>
          <w:szCs w:val="24"/>
        </w:rPr>
        <w:t xml:space="preserve"> Crohn's disease is superior to that of MR enterography or CT enterography,</w:t>
      </w:r>
    </w:p>
    <w:p w14:paraId="58271A55"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i/>
          <w:iCs/>
          <w:sz w:val="24"/>
          <w:szCs w:val="24"/>
        </w:rPr>
        <w:t>Clinical Gastroenterology &amp; Hepatology</w:t>
      </w:r>
      <w:r w:rsidRPr="00126DD4">
        <w:rPr>
          <w:rFonts w:cstheme="minorHAnsi"/>
          <w:sz w:val="24"/>
          <w:szCs w:val="24"/>
        </w:rPr>
        <w:t>, 9 (2), 124-129.</w:t>
      </w:r>
    </w:p>
    <w:p w14:paraId="58271A56" w14:textId="77777777" w:rsidR="00E323ED" w:rsidRPr="00126DD4" w:rsidRDefault="00E323ED" w:rsidP="008472B1">
      <w:pPr>
        <w:jc w:val="both"/>
        <w:rPr>
          <w:rFonts w:cstheme="minorHAnsi"/>
          <w:sz w:val="24"/>
          <w:szCs w:val="24"/>
        </w:rPr>
      </w:pPr>
      <w:proofErr w:type="spellStart"/>
      <w:proofErr w:type="gramStart"/>
      <w:r w:rsidRPr="00126DD4">
        <w:rPr>
          <w:rFonts w:cstheme="minorHAnsi"/>
          <w:sz w:val="24"/>
          <w:szCs w:val="24"/>
        </w:rPr>
        <w:t>Kalla</w:t>
      </w:r>
      <w:proofErr w:type="spellEnd"/>
      <w:r w:rsidRPr="00126DD4">
        <w:rPr>
          <w:rFonts w:cstheme="minorHAnsi"/>
          <w:sz w:val="24"/>
          <w:szCs w:val="24"/>
        </w:rPr>
        <w:t xml:space="preserve"> R, </w:t>
      </w:r>
      <w:proofErr w:type="spellStart"/>
      <w:r w:rsidRPr="00126DD4">
        <w:rPr>
          <w:rFonts w:cstheme="minorHAnsi"/>
          <w:sz w:val="24"/>
          <w:szCs w:val="24"/>
        </w:rPr>
        <w:t>McAlindon</w:t>
      </w:r>
      <w:proofErr w:type="spellEnd"/>
      <w:r w:rsidRPr="00126DD4">
        <w:rPr>
          <w:rFonts w:cstheme="minorHAnsi"/>
          <w:sz w:val="24"/>
          <w:szCs w:val="24"/>
        </w:rPr>
        <w:t xml:space="preserve"> ME, Drew K et al. </w:t>
      </w:r>
      <w:hyperlink r:id="rId61" w:history="1">
        <w:r w:rsidRPr="00126DD4">
          <w:rPr>
            <w:rFonts w:cstheme="minorHAnsi"/>
            <w:sz w:val="24"/>
            <w:szCs w:val="24"/>
          </w:rPr>
          <w:t>Clinical utility of capsule endoscopy in patients with Crohn’s disease and inflammatory bowel disease unclassified</w:t>
        </w:r>
      </w:hyperlink>
      <w:r w:rsidRPr="00126DD4">
        <w:rPr>
          <w:rFonts w:cstheme="minorHAnsi"/>
          <w:sz w:val="24"/>
          <w:szCs w:val="24"/>
        </w:rPr>
        <w:t>.</w:t>
      </w:r>
      <w:proofErr w:type="gramEnd"/>
      <w:r w:rsidRPr="00126DD4">
        <w:rPr>
          <w:rFonts w:cstheme="minorHAnsi"/>
          <w:sz w:val="24"/>
          <w:szCs w:val="24"/>
        </w:rPr>
        <w:t xml:space="preserve"> </w:t>
      </w:r>
      <w:proofErr w:type="spellStart"/>
      <w:r w:rsidRPr="00126DD4">
        <w:rPr>
          <w:rFonts w:cstheme="minorHAnsi"/>
          <w:sz w:val="24"/>
          <w:szCs w:val="24"/>
        </w:rPr>
        <w:t>Eur</w:t>
      </w:r>
      <w:proofErr w:type="spellEnd"/>
      <w:r w:rsidRPr="00126DD4">
        <w:rPr>
          <w:rFonts w:cstheme="minorHAnsi"/>
          <w:sz w:val="24"/>
          <w:szCs w:val="24"/>
        </w:rPr>
        <w:t xml:space="preserve"> J </w:t>
      </w:r>
      <w:proofErr w:type="spellStart"/>
      <w:r w:rsidRPr="00126DD4">
        <w:rPr>
          <w:rFonts w:cstheme="minorHAnsi"/>
          <w:sz w:val="24"/>
          <w:szCs w:val="24"/>
        </w:rPr>
        <w:t>Gastroenterol</w:t>
      </w:r>
      <w:proofErr w:type="spellEnd"/>
      <w:r w:rsidRPr="00126DD4">
        <w:rPr>
          <w:rFonts w:cstheme="minorHAnsi"/>
          <w:sz w:val="24"/>
          <w:szCs w:val="24"/>
        </w:rPr>
        <w:t xml:space="preserve"> </w:t>
      </w:r>
      <w:proofErr w:type="spellStart"/>
      <w:r w:rsidRPr="00126DD4">
        <w:rPr>
          <w:rFonts w:cstheme="minorHAnsi"/>
          <w:sz w:val="24"/>
          <w:szCs w:val="24"/>
        </w:rPr>
        <w:t>Hepatol</w:t>
      </w:r>
      <w:proofErr w:type="spellEnd"/>
      <w:r w:rsidRPr="00126DD4">
        <w:rPr>
          <w:rFonts w:cstheme="minorHAnsi"/>
          <w:sz w:val="24"/>
          <w:szCs w:val="24"/>
        </w:rPr>
        <w:t xml:space="preserve"> 2013; 25: 706-713.</w:t>
      </w:r>
    </w:p>
    <w:p w14:paraId="58271A57" w14:textId="77777777" w:rsidR="00E323ED" w:rsidRPr="00126DD4" w:rsidRDefault="00E323ED" w:rsidP="008472B1">
      <w:pPr>
        <w:jc w:val="both"/>
        <w:rPr>
          <w:rFonts w:cstheme="minorHAnsi"/>
          <w:sz w:val="24"/>
          <w:szCs w:val="24"/>
        </w:rPr>
      </w:pPr>
      <w:proofErr w:type="spellStart"/>
      <w:r w:rsidRPr="00126DD4">
        <w:rPr>
          <w:rFonts w:cstheme="minorHAnsi"/>
          <w:sz w:val="24"/>
          <w:szCs w:val="24"/>
        </w:rPr>
        <w:t>Kopylov</w:t>
      </w:r>
      <w:proofErr w:type="spellEnd"/>
      <w:r w:rsidRPr="00126DD4">
        <w:rPr>
          <w:rFonts w:cstheme="minorHAnsi"/>
          <w:sz w:val="24"/>
          <w:szCs w:val="24"/>
        </w:rPr>
        <w:t xml:space="preserve"> U, Nemeth A, </w:t>
      </w:r>
      <w:proofErr w:type="spellStart"/>
      <w:r w:rsidRPr="00126DD4">
        <w:rPr>
          <w:rFonts w:cstheme="minorHAnsi"/>
          <w:sz w:val="24"/>
          <w:szCs w:val="24"/>
        </w:rPr>
        <w:t>Koulaouzidis</w:t>
      </w:r>
      <w:proofErr w:type="spellEnd"/>
      <w:r w:rsidRPr="00126DD4">
        <w:rPr>
          <w:rFonts w:cstheme="minorHAnsi"/>
          <w:sz w:val="24"/>
          <w:szCs w:val="24"/>
        </w:rPr>
        <w:t xml:space="preserve"> A, et al. Small bowel capsule endoscopy in the management of established Crohn's disease: clinical impact, safety, and correlation with inflammatory biomarkers. </w:t>
      </w:r>
      <w:proofErr w:type="spellStart"/>
      <w:r w:rsidRPr="00126DD4">
        <w:rPr>
          <w:rFonts w:cstheme="minorHAnsi"/>
          <w:sz w:val="24"/>
          <w:szCs w:val="24"/>
        </w:rPr>
        <w:t>Inflamm</w:t>
      </w:r>
      <w:proofErr w:type="spellEnd"/>
      <w:r w:rsidRPr="00126DD4">
        <w:rPr>
          <w:rFonts w:cstheme="minorHAnsi"/>
          <w:sz w:val="24"/>
          <w:szCs w:val="24"/>
        </w:rPr>
        <w:t xml:space="preserve"> Bowel Dis. 2015</w:t>
      </w:r>
      <w:proofErr w:type="gramStart"/>
      <w:r w:rsidRPr="00126DD4">
        <w:rPr>
          <w:rFonts w:cstheme="minorHAnsi"/>
          <w:sz w:val="24"/>
          <w:szCs w:val="24"/>
        </w:rPr>
        <w:t>;21:93</w:t>
      </w:r>
      <w:proofErr w:type="gramEnd"/>
      <w:r w:rsidRPr="00126DD4">
        <w:rPr>
          <w:rFonts w:cstheme="minorHAnsi"/>
          <w:sz w:val="24"/>
          <w:szCs w:val="24"/>
        </w:rPr>
        <w:t>–100.</w:t>
      </w:r>
    </w:p>
    <w:p w14:paraId="58271A58" w14:textId="77777777" w:rsidR="00E323ED" w:rsidRPr="00126DD4" w:rsidRDefault="00E323ED" w:rsidP="008472B1">
      <w:pPr>
        <w:autoSpaceDE w:val="0"/>
        <w:autoSpaceDN w:val="0"/>
        <w:adjustRightInd w:val="0"/>
        <w:spacing w:before="0" w:after="0"/>
        <w:jc w:val="both"/>
        <w:rPr>
          <w:rFonts w:cstheme="minorHAnsi"/>
          <w:sz w:val="24"/>
          <w:szCs w:val="24"/>
        </w:rPr>
      </w:pPr>
      <w:r w:rsidRPr="00126DD4">
        <w:rPr>
          <w:rFonts w:cstheme="minorHAnsi"/>
          <w:sz w:val="24"/>
          <w:szCs w:val="24"/>
        </w:rPr>
        <w:t xml:space="preserve">Leighton JA, </w:t>
      </w:r>
      <w:proofErr w:type="spellStart"/>
      <w:r w:rsidRPr="00126DD4">
        <w:rPr>
          <w:rFonts w:cstheme="minorHAnsi"/>
          <w:sz w:val="24"/>
          <w:szCs w:val="24"/>
        </w:rPr>
        <w:t>Triester</w:t>
      </w:r>
      <w:proofErr w:type="spellEnd"/>
      <w:r w:rsidRPr="00126DD4">
        <w:rPr>
          <w:rFonts w:cstheme="minorHAnsi"/>
          <w:sz w:val="24"/>
          <w:szCs w:val="24"/>
        </w:rPr>
        <w:t xml:space="preserve"> SL, Sharma VK. </w:t>
      </w:r>
      <w:hyperlink r:id="rId62" w:history="1">
        <w:r w:rsidRPr="00126DD4">
          <w:rPr>
            <w:rFonts w:cstheme="minorHAnsi"/>
            <w:sz w:val="24"/>
            <w:szCs w:val="24"/>
          </w:rPr>
          <w:t>Capsule endoscopy: a meta-analysis for use with obscure gastrointestinal bleeding and Crohn’s disease</w:t>
        </w:r>
      </w:hyperlink>
      <w:r w:rsidRPr="00126DD4">
        <w:rPr>
          <w:rFonts w:cstheme="minorHAnsi"/>
          <w:sz w:val="24"/>
          <w:szCs w:val="24"/>
        </w:rPr>
        <w:t xml:space="preserve">. </w:t>
      </w:r>
      <w:proofErr w:type="spellStart"/>
      <w:r w:rsidRPr="00126DD4">
        <w:rPr>
          <w:rFonts w:cstheme="minorHAnsi"/>
          <w:sz w:val="24"/>
          <w:szCs w:val="24"/>
        </w:rPr>
        <w:t>Gastrointest</w:t>
      </w:r>
      <w:proofErr w:type="spellEnd"/>
      <w:r w:rsidRPr="00126DD4">
        <w:rPr>
          <w:rFonts w:cstheme="minorHAnsi"/>
          <w:sz w:val="24"/>
          <w:szCs w:val="24"/>
        </w:rPr>
        <w:t xml:space="preserve"> </w:t>
      </w:r>
      <w:proofErr w:type="spellStart"/>
      <w:r w:rsidRPr="00126DD4">
        <w:rPr>
          <w:rFonts w:cstheme="minorHAnsi"/>
          <w:sz w:val="24"/>
          <w:szCs w:val="24"/>
        </w:rPr>
        <w:t>Endosc</w:t>
      </w:r>
      <w:proofErr w:type="spellEnd"/>
      <w:r w:rsidRPr="00126DD4">
        <w:rPr>
          <w:rFonts w:cstheme="minorHAnsi"/>
          <w:sz w:val="24"/>
          <w:szCs w:val="24"/>
        </w:rPr>
        <w:t xml:space="preserve"> </w:t>
      </w:r>
      <w:proofErr w:type="spellStart"/>
      <w:r w:rsidRPr="00126DD4">
        <w:rPr>
          <w:rFonts w:cstheme="minorHAnsi"/>
          <w:sz w:val="24"/>
          <w:szCs w:val="24"/>
        </w:rPr>
        <w:t>Clin</w:t>
      </w:r>
      <w:proofErr w:type="spellEnd"/>
      <w:r w:rsidRPr="00126DD4">
        <w:rPr>
          <w:rFonts w:cstheme="minorHAnsi"/>
          <w:sz w:val="24"/>
          <w:szCs w:val="24"/>
        </w:rPr>
        <w:t xml:space="preserve"> N Am 2006; 16: 229-250</w:t>
      </w:r>
    </w:p>
    <w:p w14:paraId="58271A59" w14:textId="77777777" w:rsidR="005E44D4" w:rsidRPr="00126DD4" w:rsidRDefault="005E44D4" w:rsidP="008472B1">
      <w:pPr>
        <w:jc w:val="both"/>
        <w:rPr>
          <w:rFonts w:cstheme="minorHAnsi"/>
          <w:bCs/>
          <w:sz w:val="24"/>
          <w:szCs w:val="24"/>
        </w:rPr>
      </w:pPr>
      <w:r w:rsidRPr="00126DD4">
        <w:rPr>
          <w:rFonts w:cstheme="minorHAnsi"/>
          <w:bCs/>
          <w:sz w:val="24"/>
          <w:szCs w:val="24"/>
        </w:rPr>
        <w:t>Li Y, Ren J, Wang G, et al. Diagnostic delay in Crohn’s disease is associated with increased rate of abdominal surgery: a retrospective study in Chinese patients. </w:t>
      </w:r>
      <w:r w:rsidRPr="00126DD4">
        <w:rPr>
          <w:rFonts w:cstheme="minorHAnsi"/>
          <w:bCs/>
          <w:i/>
          <w:iCs/>
          <w:sz w:val="24"/>
          <w:szCs w:val="24"/>
        </w:rPr>
        <w:t>Dig Liver Dis</w:t>
      </w:r>
      <w:r w:rsidRPr="00126DD4">
        <w:rPr>
          <w:rFonts w:cstheme="minorHAnsi"/>
          <w:bCs/>
          <w:sz w:val="24"/>
          <w:szCs w:val="24"/>
        </w:rPr>
        <w:t>. 2015</w:t>
      </w:r>
      <w:proofErr w:type="gramStart"/>
      <w:r w:rsidRPr="00126DD4">
        <w:rPr>
          <w:rFonts w:cstheme="minorHAnsi"/>
          <w:bCs/>
          <w:sz w:val="24"/>
          <w:szCs w:val="24"/>
        </w:rPr>
        <w:t>;47:544</w:t>
      </w:r>
      <w:proofErr w:type="gramEnd"/>
      <w:r w:rsidRPr="00126DD4">
        <w:rPr>
          <w:rFonts w:cstheme="minorHAnsi"/>
          <w:bCs/>
          <w:sz w:val="24"/>
          <w:szCs w:val="24"/>
        </w:rPr>
        <w:t>–548.</w:t>
      </w:r>
    </w:p>
    <w:p w14:paraId="58271A5A" w14:textId="77777777" w:rsidR="00E323ED" w:rsidRPr="00126DD4" w:rsidRDefault="00E323ED" w:rsidP="008472B1">
      <w:pPr>
        <w:jc w:val="both"/>
        <w:rPr>
          <w:rFonts w:cstheme="minorHAnsi"/>
          <w:sz w:val="24"/>
          <w:szCs w:val="24"/>
        </w:rPr>
      </w:pPr>
      <w:r w:rsidRPr="00126DD4">
        <w:rPr>
          <w:rFonts w:cstheme="minorHAnsi"/>
          <w:sz w:val="24"/>
          <w:szCs w:val="24"/>
        </w:rPr>
        <w:lastRenderedPageBreak/>
        <w:t xml:space="preserve">Long MD, Barnes E, Isaacs K, Morgan D, </w:t>
      </w:r>
      <w:proofErr w:type="spellStart"/>
      <w:r w:rsidRPr="00126DD4">
        <w:rPr>
          <w:rFonts w:cstheme="minorHAnsi"/>
          <w:sz w:val="24"/>
          <w:szCs w:val="24"/>
        </w:rPr>
        <w:t>Herfarth</w:t>
      </w:r>
      <w:proofErr w:type="spellEnd"/>
      <w:r w:rsidRPr="00126DD4">
        <w:rPr>
          <w:rFonts w:cstheme="minorHAnsi"/>
          <w:sz w:val="24"/>
          <w:szCs w:val="24"/>
        </w:rPr>
        <w:t xml:space="preserve"> HH. Impact of capsule endoscopy on management of inflammatory bowel disease: a single tertiary care </w:t>
      </w:r>
      <w:proofErr w:type="spellStart"/>
      <w:r w:rsidRPr="00126DD4">
        <w:rPr>
          <w:rFonts w:cstheme="minorHAnsi"/>
          <w:sz w:val="24"/>
          <w:szCs w:val="24"/>
        </w:rPr>
        <w:t>center</w:t>
      </w:r>
      <w:proofErr w:type="spellEnd"/>
      <w:r w:rsidRPr="00126DD4">
        <w:rPr>
          <w:rFonts w:cstheme="minorHAnsi"/>
          <w:sz w:val="24"/>
          <w:szCs w:val="24"/>
        </w:rPr>
        <w:t xml:space="preserve"> experience. </w:t>
      </w:r>
      <w:proofErr w:type="spellStart"/>
      <w:r w:rsidRPr="00126DD4">
        <w:rPr>
          <w:rFonts w:cstheme="minorHAnsi"/>
          <w:sz w:val="24"/>
          <w:szCs w:val="24"/>
        </w:rPr>
        <w:t>Inflamm</w:t>
      </w:r>
      <w:proofErr w:type="spellEnd"/>
      <w:r w:rsidRPr="00126DD4">
        <w:rPr>
          <w:rFonts w:cstheme="minorHAnsi"/>
          <w:sz w:val="24"/>
          <w:szCs w:val="24"/>
        </w:rPr>
        <w:t xml:space="preserve"> Bowel Dis 2011; 17: 1855-1862.</w:t>
      </w:r>
    </w:p>
    <w:p w14:paraId="58271A5B" w14:textId="77777777" w:rsidR="00E323ED" w:rsidRPr="00126DD4" w:rsidRDefault="00E323ED" w:rsidP="008472B1">
      <w:pPr>
        <w:jc w:val="both"/>
        <w:rPr>
          <w:rFonts w:cstheme="minorHAnsi"/>
          <w:sz w:val="24"/>
          <w:szCs w:val="24"/>
        </w:rPr>
      </w:pPr>
      <w:r w:rsidRPr="00126DD4">
        <w:rPr>
          <w:rFonts w:cstheme="minorHAnsi"/>
          <w:sz w:val="24"/>
          <w:szCs w:val="24"/>
        </w:rPr>
        <w:t>Lorenzo-</w:t>
      </w:r>
      <w:proofErr w:type="spellStart"/>
      <w:r w:rsidRPr="00126DD4">
        <w:rPr>
          <w:rFonts w:cstheme="minorHAnsi"/>
          <w:sz w:val="24"/>
          <w:szCs w:val="24"/>
        </w:rPr>
        <w:t>Zúñiga</w:t>
      </w:r>
      <w:proofErr w:type="spellEnd"/>
      <w:r w:rsidRPr="00126DD4">
        <w:rPr>
          <w:rFonts w:cstheme="minorHAnsi"/>
          <w:sz w:val="24"/>
          <w:szCs w:val="24"/>
        </w:rPr>
        <w:t xml:space="preserve"> V, de Vega VM, </w:t>
      </w:r>
      <w:proofErr w:type="spellStart"/>
      <w:r w:rsidRPr="00126DD4">
        <w:rPr>
          <w:rFonts w:cstheme="minorHAnsi"/>
          <w:sz w:val="24"/>
          <w:szCs w:val="24"/>
        </w:rPr>
        <w:t>Domènech</w:t>
      </w:r>
      <w:proofErr w:type="spellEnd"/>
      <w:r w:rsidRPr="00126DD4">
        <w:rPr>
          <w:rFonts w:cstheme="minorHAnsi"/>
          <w:sz w:val="24"/>
          <w:szCs w:val="24"/>
        </w:rPr>
        <w:t xml:space="preserve"> E, </w:t>
      </w:r>
      <w:proofErr w:type="spellStart"/>
      <w:r w:rsidRPr="00126DD4">
        <w:rPr>
          <w:rFonts w:cstheme="minorHAnsi"/>
          <w:sz w:val="24"/>
          <w:szCs w:val="24"/>
        </w:rPr>
        <w:t>Cabré</w:t>
      </w:r>
      <w:proofErr w:type="spellEnd"/>
      <w:r w:rsidRPr="00126DD4">
        <w:rPr>
          <w:rFonts w:cstheme="minorHAnsi"/>
          <w:sz w:val="24"/>
          <w:szCs w:val="24"/>
        </w:rPr>
        <w:t xml:space="preserve"> E, </w:t>
      </w:r>
      <w:proofErr w:type="spellStart"/>
      <w:r w:rsidRPr="00126DD4">
        <w:rPr>
          <w:rFonts w:cstheme="minorHAnsi"/>
          <w:sz w:val="24"/>
          <w:szCs w:val="24"/>
        </w:rPr>
        <w:t>Mañosa</w:t>
      </w:r>
      <w:proofErr w:type="spellEnd"/>
      <w:r w:rsidRPr="00126DD4">
        <w:rPr>
          <w:rFonts w:cstheme="minorHAnsi"/>
          <w:sz w:val="24"/>
          <w:szCs w:val="24"/>
        </w:rPr>
        <w:t xml:space="preserve"> M, </w:t>
      </w:r>
      <w:proofErr w:type="spellStart"/>
      <w:r w:rsidRPr="00126DD4">
        <w:rPr>
          <w:rFonts w:cstheme="minorHAnsi"/>
          <w:sz w:val="24"/>
          <w:szCs w:val="24"/>
        </w:rPr>
        <w:t>Boix</w:t>
      </w:r>
      <w:proofErr w:type="spellEnd"/>
      <w:r w:rsidRPr="00126DD4">
        <w:rPr>
          <w:rFonts w:cstheme="minorHAnsi"/>
          <w:sz w:val="24"/>
          <w:szCs w:val="24"/>
        </w:rPr>
        <w:t xml:space="preserve"> J. Impact of capsule endoscopy findings in the management of Crohn’s disease. Dig Dis </w:t>
      </w:r>
      <w:proofErr w:type="spellStart"/>
      <w:r w:rsidRPr="00126DD4">
        <w:rPr>
          <w:rFonts w:cstheme="minorHAnsi"/>
          <w:sz w:val="24"/>
          <w:szCs w:val="24"/>
        </w:rPr>
        <w:t>Sci</w:t>
      </w:r>
      <w:proofErr w:type="spellEnd"/>
      <w:r w:rsidRPr="00126DD4">
        <w:rPr>
          <w:rFonts w:cstheme="minorHAnsi"/>
          <w:sz w:val="24"/>
          <w:szCs w:val="24"/>
        </w:rPr>
        <w:t xml:space="preserve"> 2010</w:t>
      </w:r>
      <w:proofErr w:type="gramStart"/>
      <w:r w:rsidRPr="00126DD4">
        <w:rPr>
          <w:rFonts w:cstheme="minorHAnsi"/>
          <w:sz w:val="24"/>
          <w:szCs w:val="24"/>
        </w:rPr>
        <w:t>;55:411</w:t>
      </w:r>
      <w:proofErr w:type="gramEnd"/>
      <w:r w:rsidRPr="00126DD4">
        <w:rPr>
          <w:rFonts w:cstheme="minorHAnsi"/>
          <w:sz w:val="24"/>
          <w:szCs w:val="24"/>
        </w:rPr>
        <w:t>-4.</w:t>
      </w:r>
    </w:p>
    <w:p w14:paraId="58271A5C" w14:textId="77777777" w:rsidR="00E323ED" w:rsidRPr="00126DD4" w:rsidRDefault="00E323ED" w:rsidP="008472B1">
      <w:pPr>
        <w:jc w:val="both"/>
        <w:rPr>
          <w:rFonts w:cstheme="minorHAnsi"/>
          <w:sz w:val="24"/>
          <w:szCs w:val="24"/>
        </w:rPr>
      </w:pPr>
      <w:r w:rsidRPr="00126DD4">
        <w:rPr>
          <w:rFonts w:cstheme="minorHAnsi"/>
          <w:sz w:val="24"/>
          <w:szCs w:val="24"/>
        </w:rPr>
        <w:t xml:space="preserve">Min SB, Le-Carlson M, Singh N, et al. Video capsule endoscopy impacts decision making in paediatric IBD: a single tertiary care centre experience. </w:t>
      </w:r>
      <w:proofErr w:type="spellStart"/>
      <w:r w:rsidRPr="00126DD4">
        <w:rPr>
          <w:rFonts w:cstheme="minorHAnsi"/>
          <w:sz w:val="24"/>
          <w:szCs w:val="24"/>
        </w:rPr>
        <w:t>Inflamm</w:t>
      </w:r>
      <w:proofErr w:type="spellEnd"/>
      <w:r w:rsidRPr="00126DD4">
        <w:rPr>
          <w:rFonts w:cstheme="minorHAnsi"/>
          <w:sz w:val="24"/>
          <w:szCs w:val="24"/>
        </w:rPr>
        <w:t xml:space="preserve"> Bowel Dis. 2013</w:t>
      </w:r>
      <w:proofErr w:type="gramStart"/>
      <w:r w:rsidRPr="00126DD4">
        <w:rPr>
          <w:rFonts w:cstheme="minorHAnsi"/>
          <w:sz w:val="24"/>
          <w:szCs w:val="24"/>
        </w:rPr>
        <w:t>;19:2139</w:t>
      </w:r>
      <w:proofErr w:type="gramEnd"/>
      <w:r w:rsidRPr="00126DD4">
        <w:rPr>
          <w:rFonts w:cstheme="minorHAnsi"/>
          <w:sz w:val="24"/>
          <w:szCs w:val="24"/>
        </w:rPr>
        <w:t>–2145</w:t>
      </w:r>
    </w:p>
    <w:p w14:paraId="58271A5D" w14:textId="77777777" w:rsidR="00BA2E4A" w:rsidRPr="00126DD4" w:rsidRDefault="00BA2E4A" w:rsidP="008472B1">
      <w:pPr>
        <w:jc w:val="both"/>
        <w:rPr>
          <w:rFonts w:cstheme="minorHAnsi"/>
          <w:bCs/>
          <w:sz w:val="24"/>
          <w:szCs w:val="24"/>
        </w:rPr>
      </w:pPr>
      <w:r w:rsidRPr="00126DD4">
        <w:rPr>
          <w:rFonts w:cstheme="minorHAnsi"/>
          <w:bCs/>
          <w:sz w:val="24"/>
          <w:szCs w:val="24"/>
        </w:rPr>
        <w:t xml:space="preserve">Moon CM, Jung S-A, Kim S-E, et al. Clinical Factors and Disease Course Related to Diagnostic Delay in Korean Crohn’s Disease Patients: Results from the CONNECT Study. </w:t>
      </w:r>
      <w:proofErr w:type="spellStart"/>
      <w:proofErr w:type="gramStart"/>
      <w:r w:rsidRPr="00126DD4">
        <w:rPr>
          <w:rFonts w:cstheme="minorHAnsi"/>
          <w:bCs/>
          <w:sz w:val="24"/>
          <w:szCs w:val="24"/>
        </w:rPr>
        <w:t>Chamaillard</w:t>
      </w:r>
      <w:proofErr w:type="spellEnd"/>
      <w:r w:rsidRPr="00126DD4">
        <w:rPr>
          <w:rFonts w:cstheme="minorHAnsi"/>
          <w:bCs/>
          <w:sz w:val="24"/>
          <w:szCs w:val="24"/>
        </w:rPr>
        <w:t xml:space="preserve"> M, ed. </w:t>
      </w:r>
      <w:proofErr w:type="spellStart"/>
      <w:r w:rsidRPr="00126DD4">
        <w:rPr>
          <w:rFonts w:cstheme="minorHAnsi"/>
          <w:bCs/>
          <w:sz w:val="24"/>
          <w:szCs w:val="24"/>
        </w:rPr>
        <w:t>PLoS</w:t>
      </w:r>
      <w:proofErr w:type="spellEnd"/>
      <w:r w:rsidRPr="00126DD4">
        <w:rPr>
          <w:rFonts w:cstheme="minorHAnsi"/>
          <w:bCs/>
          <w:sz w:val="24"/>
          <w:szCs w:val="24"/>
        </w:rPr>
        <w:t xml:space="preserve"> ONE.</w:t>
      </w:r>
      <w:proofErr w:type="gramEnd"/>
      <w:r w:rsidRPr="00126DD4">
        <w:rPr>
          <w:rFonts w:cstheme="minorHAnsi"/>
          <w:bCs/>
          <w:sz w:val="24"/>
          <w:szCs w:val="24"/>
        </w:rPr>
        <w:t xml:space="preserve"> 2015</w:t>
      </w:r>
      <w:proofErr w:type="gramStart"/>
      <w:r w:rsidRPr="00126DD4">
        <w:rPr>
          <w:rFonts w:cstheme="minorHAnsi"/>
          <w:bCs/>
          <w:sz w:val="24"/>
          <w:szCs w:val="24"/>
        </w:rPr>
        <w:t>;10</w:t>
      </w:r>
      <w:proofErr w:type="gramEnd"/>
      <w:r w:rsidRPr="00126DD4">
        <w:rPr>
          <w:rFonts w:cstheme="minorHAnsi"/>
          <w:bCs/>
          <w:sz w:val="24"/>
          <w:szCs w:val="24"/>
        </w:rPr>
        <w:t>(12):e0144390. doi:10.1371/journal.pone.0144390.</w:t>
      </w:r>
    </w:p>
    <w:p w14:paraId="58271A5E" w14:textId="77777777" w:rsidR="005E44D4" w:rsidRPr="00126DD4" w:rsidRDefault="00E323ED" w:rsidP="008472B1">
      <w:pPr>
        <w:jc w:val="both"/>
        <w:rPr>
          <w:rFonts w:cstheme="minorHAnsi"/>
          <w:sz w:val="24"/>
          <w:szCs w:val="24"/>
        </w:rPr>
      </w:pPr>
      <w:r w:rsidRPr="00126DD4">
        <w:rPr>
          <w:rFonts w:cstheme="minorHAnsi"/>
          <w:sz w:val="24"/>
          <w:szCs w:val="24"/>
        </w:rPr>
        <w:t xml:space="preserve">Mow WS, Lo SK, </w:t>
      </w:r>
      <w:proofErr w:type="spellStart"/>
      <w:r w:rsidRPr="00126DD4">
        <w:rPr>
          <w:rFonts w:cstheme="minorHAnsi"/>
          <w:sz w:val="24"/>
          <w:szCs w:val="24"/>
        </w:rPr>
        <w:t>Targan</w:t>
      </w:r>
      <w:proofErr w:type="spellEnd"/>
      <w:r w:rsidRPr="00126DD4">
        <w:rPr>
          <w:rFonts w:cstheme="minorHAnsi"/>
          <w:sz w:val="24"/>
          <w:szCs w:val="24"/>
        </w:rPr>
        <w:t xml:space="preserve"> SR, Dubinsky MC, </w:t>
      </w:r>
      <w:proofErr w:type="spellStart"/>
      <w:r w:rsidRPr="00126DD4">
        <w:rPr>
          <w:rFonts w:cstheme="minorHAnsi"/>
          <w:sz w:val="24"/>
          <w:szCs w:val="24"/>
        </w:rPr>
        <w:t>Treyzon</w:t>
      </w:r>
      <w:proofErr w:type="spellEnd"/>
      <w:r w:rsidRPr="00126DD4">
        <w:rPr>
          <w:rFonts w:cstheme="minorHAnsi"/>
          <w:sz w:val="24"/>
          <w:szCs w:val="24"/>
        </w:rPr>
        <w:t xml:space="preserve"> L, Abreu-Martin MT, </w:t>
      </w:r>
      <w:proofErr w:type="spellStart"/>
      <w:r w:rsidRPr="00126DD4">
        <w:rPr>
          <w:rFonts w:cstheme="minorHAnsi"/>
          <w:sz w:val="24"/>
          <w:szCs w:val="24"/>
        </w:rPr>
        <w:t>Papadakis</w:t>
      </w:r>
      <w:proofErr w:type="spellEnd"/>
      <w:r w:rsidRPr="00126DD4">
        <w:rPr>
          <w:rFonts w:cstheme="minorHAnsi"/>
          <w:sz w:val="24"/>
          <w:szCs w:val="24"/>
        </w:rPr>
        <w:t xml:space="preserve"> KA, </w:t>
      </w:r>
      <w:proofErr w:type="spellStart"/>
      <w:r w:rsidRPr="00126DD4">
        <w:rPr>
          <w:rFonts w:cstheme="minorHAnsi"/>
          <w:sz w:val="24"/>
          <w:szCs w:val="24"/>
        </w:rPr>
        <w:t>Vasiliauskas</w:t>
      </w:r>
      <w:proofErr w:type="spellEnd"/>
      <w:r w:rsidRPr="00126DD4">
        <w:rPr>
          <w:rFonts w:cstheme="minorHAnsi"/>
          <w:sz w:val="24"/>
          <w:szCs w:val="24"/>
        </w:rPr>
        <w:t xml:space="preserve"> EA. Initial experience with wireless capsule enteroscopy in the diagnosis and management of inflammatory bowel disease. </w:t>
      </w:r>
      <w:proofErr w:type="spellStart"/>
      <w:r w:rsidRPr="00126DD4">
        <w:rPr>
          <w:rFonts w:cstheme="minorHAnsi"/>
          <w:i/>
          <w:iCs/>
          <w:sz w:val="24"/>
          <w:szCs w:val="24"/>
        </w:rPr>
        <w:t>Clin</w:t>
      </w:r>
      <w:proofErr w:type="spellEnd"/>
      <w:r w:rsidRPr="00126DD4">
        <w:rPr>
          <w:rFonts w:cstheme="minorHAnsi"/>
          <w:i/>
          <w:iCs/>
          <w:sz w:val="24"/>
          <w:szCs w:val="24"/>
        </w:rPr>
        <w:t xml:space="preserve"> </w:t>
      </w:r>
      <w:proofErr w:type="spellStart"/>
      <w:r w:rsidRPr="00126DD4">
        <w:rPr>
          <w:rFonts w:cstheme="minorHAnsi"/>
          <w:i/>
          <w:iCs/>
          <w:sz w:val="24"/>
          <w:szCs w:val="24"/>
        </w:rPr>
        <w:t>Gastroenterol</w:t>
      </w:r>
      <w:proofErr w:type="spellEnd"/>
      <w:r w:rsidRPr="00126DD4">
        <w:rPr>
          <w:rFonts w:cstheme="minorHAnsi"/>
          <w:i/>
          <w:iCs/>
          <w:sz w:val="24"/>
          <w:szCs w:val="24"/>
        </w:rPr>
        <w:t xml:space="preserve"> </w:t>
      </w:r>
      <w:proofErr w:type="spellStart"/>
      <w:r w:rsidRPr="00126DD4">
        <w:rPr>
          <w:rFonts w:cstheme="minorHAnsi"/>
          <w:i/>
          <w:iCs/>
          <w:sz w:val="24"/>
          <w:szCs w:val="24"/>
        </w:rPr>
        <w:t>Hepatol</w:t>
      </w:r>
      <w:proofErr w:type="spellEnd"/>
      <w:r w:rsidRPr="00126DD4">
        <w:rPr>
          <w:rFonts w:cstheme="minorHAnsi"/>
          <w:sz w:val="24"/>
          <w:szCs w:val="24"/>
        </w:rPr>
        <w:t>. 2004</w:t>
      </w:r>
      <w:proofErr w:type="gramStart"/>
      <w:r w:rsidRPr="00126DD4">
        <w:rPr>
          <w:rFonts w:cstheme="minorHAnsi"/>
          <w:sz w:val="24"/>
          <w:szCs w:val="24"/>
        </w:rPr>
        <w:t>;2:31</w:t>
      </w:r>
      <w:proofErr w:type="gramEnd"/>
      <w:r w:rsidRPr="00126DD4">
        <w:rPr>
          <w:rFonts w:cstheme="minorHAnsi"/>
          <w:sz w:val="24"/>
          <w:szCs w:val="24"/>
        </w:rPr>
        <w:t>-40. </w:t>
      </w:r>
    </w:p>
    <w:p w14:paraId="58271A5F" w14:textId="77777777" w:rsidR="00BA2E4A" w:rsidRPr="00126DD4" w:rsidRDefault="00BA2E4A" w:rsidP="008472B1">
      <w:pPr>
        <w:jc w:val="both"/>
        <w:rPr>
          <w:rFonts w:cstheme="minorHAnsi"/>
          <w:bCs/>
          <w:i/>
          <w:iCs/>
          <w:sz w:val="24"/>
          <w:szCs w:val="24"/>
        </w:rPr>
      </w:pPr>
      <w:proofErr w:type="spellStart"/>
      <w:r w:rsidRPr="00126DD4">
        <w:rPr>
          <w:rFonts w:cstheme="minorHAnsi"/>
          <w:bCs/>
          <w:sz w:val="24"/>
          <w:szCs w:val="24"/>
        </w:rPr>
        <w:t>Nahon</w:t>
      </w:r>
      <w:proofErr w:type="spellEnd"/>
      <w:r w:rsidRPr="00126DD4">
        <w:rPr>
          <w:rFonts w:cstheme="minorHAnsi"/>
          <w:bCs/>
          <w:sz w:val="24"/>
          <w:szCs w:val="24"/>
        </w:rPr>
        <w:t xml:space="preserve">, S, </w:t>
      </w:r>
      <w:proofErr w:type="spellStart"/>
      <w:r w:rsidRPr="00126DD4">
        <w:rPr>
          <w:rFonts w:cstheme="minorHAnsi"/>
          <w:bCs/>
          <w:sz w:val="24"/>
          <w:szCs w:val="24"/>
        </w:rPr>
        <w:t>Lahmek</w:t>
      </w:r>
      <w:proofErr w:type="spellEnd"/>
      <w:r w:rsidRPr="00126DD4">
        <w:rPr>
          <w:rFonts w:cstheme="minorHAnsi"/>
          <w:bCs/>
          <w:sz w:val="24"/>
          <w:szCs w:val="24"/>
        </w:rPr>
        <w:t xml:space="preserve">, P, </w:t>
      </w:r>
      <w:proofErr w:type="spellStart"/>
      <w:r w:rsidRPr="00126DD4">
        <w:rPr>
          <w:rFonts w:cstheme="minorHAnsi"/>
          <w:bCs/>
          <w:sz w:val="24"/>
          <w:szCs w:val="24"/>
        </w:rPr>
        <w:t>Paupard</w:t>
      </w:r>
      <w:proofErr w:type="spellEnd"/>
      <w:r w:rsidRPr="00126DD4">
        <w:rPr>
          <w:rFonts w:cstheme="minorHAnsi"/>
          <w:bCs/>
          <w:sz w:val="24"/>
          <w:szCs w:val="24"/>
        </w:rPr>
        <w:t xml:space="preserve">, T, </w:t>
      </w:r>
      <w:proofErr w:type="spellStart"/>
      <w:r w:rsidRPr="00126DD4">
        <w:rPr>
          <w:rFonts w:cstheme="minorHAnsi"/>
          <w:bCs/>
          <w:sz w:val="24"/>
          <w:szCs w:val="24"/>
        </w:rPr>
        <w:t>Lesgourgues</w:t>
      </w:r>
      <w:proofErr w:type="spellEnd"/>
      <w:r w:rsidRPr="00126DD4">
        <w:rPr>
          <w:rFonts w:cstheme="minorHAnsi"/>
          <w:bCs/>
          <w:sz w:val="24"/>
          <w:szCs w:val="24"/>
        </w:rPr>
        <w:t xml:space="preserve">, B, </w:t>
      </w:r>
      <w:proofErr w:type="spellStart"/>
      <w:r w:rsidRPr="00126DD4">
        <w:rPr>
          <w:rFonts w:cstheme="minorHAnsi"/>
          <w:bCs/>
          <w:sz w:val="24"/>
          <w:szCs w:val="24"/>
        </w:rPr>
        <w:t>Chaussade</w:t>
      </w:r>
      <w:proofErr w:type="spellEnd"/>
      <w:r w:rsidRPr="00126DD4">
        <w:rPr>
          <w:rFonts w:cstheme="minorHAnsi"/>
          <w:bCs/>
          <w:sz w:val="24"/>
          <w:szCs w:val="24"/>
        </w:rPr>
        <w:t xml:space="preserve">, S, </w:t>
      </w:r>
      <w:proofErr w:type="spellStart"/>
      <w:r w:rsidRPr="00126DD4">
        <w:rPr>
          <w:rFonts w:cstheme="minorHAnsi"/>
          <w:bCs/>
          <w:sz w:val="24"/>
          <w:szCs w:val="24"/>
        </w:rPr>
        <w:t>Peyrin-Biroulet</w:t>
      </w:r>
      <w:proofErr w:type="spellEnd"/>
      <w:r w:rsidRPr="00126DD4">
        <w:rPr>
          <w:rFonts w:cstheme="minorHAnsi"/>
          <w:bCs/>
          <w:sz w:val="24"/>
          <w:szCs w:val="24"/>
        </w:rPr>
        <w:t xml:space="preserve">, L, </w:t>
      </w:r>
      <w:proofErr w:type="spellStart"/>
      <w:r w:rsidRPr="00126DD4">
        <w:rPr>
          <w:rFonts w:cstheme="minorHAnsi"/>
          <w:bCs/>
          <w:sz w:val="24"/>
          <w:szCs w:val="24"/>
        </w:rPr>
        <w:t>Abitbol</w:t>
      </w:r>
      <w:proofErr w:type="spellEnd"/>
      <w:r w:rsidRPr="00126DD4">
        <w:rPr>
          <w:rFonts w:cstheme="minorHAnsi"/>
          <w:bCs/>
          <w:sz w:val="24"/>
          <w:szCs w:val="24"/>
        </w:rPr>
        <w:t xml:space="preserve">, V. Diagnostic delay is associated with a greater risk of early surgery in a </w:t>
      </w:r>
      <w:proofErr w:type="spellStart"/>
      <w:r w:rsidRPr="00126DD4">
        <w:rPr>
          <w:rFonts w:cstheme="minorHAnsi"/>
          <w:bCs/>
          <w:sz w:val="24"/>
          <w:szCs w:val="24"/>
        </w:rPr>
        <w:t>french</w:t>
      </w:r>
      <w:proofErr w:type="spellEnd"/>
      <w:r w:rsidRPr="00126DD4">
        <w:rPr>
          <w:rFonts w:cstheme="minorHAnsi"/>
          <w:bCs/>
          <w:sz w:val="24"/>
          <w:szCs w:val="24"/>
        </w:rPr>
        <w:t xml:space="preserve"> cohort of </w:t>
      </w:r>
      <w:proofErr w:type="spellStart"/>
      <w:r w:rsidRPr="00126DD4">
        <w:rPr>
          <w:rFonts w:cstheme="minorHAnsi"/>
          <w:bCs/>
          <w:sz w:val="24"/>
          <w:szCs w:val="24"/>
        </w:rPr>
        <w:t>Crohn’s</w:t>
      </w:r>
      <w:proofErr w:type="spellEnd"/>
      <w:r w:rsidRPr="00126DD4">
        <w:rPr>
          <w:rFonts w:cstheme="minorHAnsi"/>
          <w:bCs/>
          <w:sz w:val="24"/>
          <w:szCs w:val="24"/>
        </w:rPr>
        <w:t xml:space="preserve"> disease patients. </w:t>
      </w:r>
      <w:r w:rsidRPr="00126DD4">
        <w:rPr>
          <w:rFonts w:cstheme="minorHAnsi"/>
          <w:bCs/>
          <w:i/>
          <w:iCs/>
          <w:sz w:val="24"/>
          <w:szCs w:val="24"/>
        </w:rPr>
        <w:t>Dig Dis Sci.</w:t>
      </w:r>
    </w:p>
    <w:p w14:paraId="58271A60" w14:textId="77777777" w:rsidR="00E323ED" w:rsidRPr="00126DD4" w:rsidRDefault="00E323ED" w:rsidP="008472B1">
      <w:pPr>
        <w:jc w:val="both"/>
        <w:rPr>
          <w:rFonts w:cstheme="minorHAnsi"/>
          <w:sz w:val="24"/>
          <w:szCs w:val="24"/>
        </w:rPr>
      </w:pPr>
      <w:r w:rsidRPr="00126DD4">
        <w:rPr>
          <w:rFonts w:cstheme="minorHAnsi"/>
          <w:sz w:val="24"/>
          <w:szCs w:val="24"/>
        </w:rPr>
        <w:t xml:space="preserve">Ng SC, Tang W, </w:t>
      </w:r>
      <w:proofErr w:type="spellStart"/>
      <w:r w:rsidRPr="00126DD4">
        <w:rPr>
          <w:rFonts w:cstheme="minorHAnsi"/>
          <w:sz w:val="24"/>
          <w:szCs w:val="24"/>
        </w:rPr>
        <w:t>Ching</w:t>
      </w:r>
      <w:proofErr w:type="spellEnd"/>
      <w:r w:rsidRPr="00126DD4">
        <w:rPr>
          <w:rFonts w:cstheme="minorHAnsi"/>
          <w:sz w:val="24"/>
          <w:szCs w:val="24"/>
        </w:rPr>
        <w:t xml:space="preserve"> JY, et al. Incidence and phenotype of inflammatory bowel disease based on results from the Asia-pacific Crohn’s and colitis epidemiology study. Gastroenterology 2013; 145:158–165 e2.</w:t>
      </w:r>
    </w:p>
    <w:p w14:paraId="58271A61" w14:textId="77777777" w:rsidR="00E323ED" w:rsidRPr="00126DD4" w:rsidRDefault="00E323ED" w:rsidP="008472B1">
      <w:pPr>
        <w:jc w:val="both"/>
        <w:rPr>
          <w:rFonts w:cstheme="minorHAnsi"/>
          <w:sz w:val="24"/>
          <w:szCs w:val="24"/>
        </w:rPr>
      </w:pPr>
      <w:r w:rsidRPr="00126DD4">
        <w:rPr>
          <w:rFonts w:cstheme="minorHAnsi"/>
          <w:sz w:val="24"/>
          <w:szCs w:val="24"/>
        </w:rPr>
        <w:t xml:space="preserve">Niv E, Fishman S, </w:t>
      </w:r>
      <w:proofErr w:type="spellStart"/>
      <w:r w:rsidRPr="00126DD4">
        <w:rPr>
          <w:rFonts w:cstheme="minorHAnsi"/>
          <w:sz w:val="24"/>
          <w:szCs w:val="24"/>
        </w:rPr>
        <w:t>Kachman</w:t>
      </w:r>
      <w:proofErr w:type="spellEnd"/>
      <w:r w:rsidRPr="00126DD4">
        <w:rPr>
          <w:rFonts w:cstheme="minorHAnsi"/>
          <w:sz w:val="24"/>
          <w:szCs w:val="24"/>
        </w:rPr>
        <w:t xml:space="preserve"> H, </w:t>
      </w:r>
      <w:proofErr w:type="spellStart"/>
      <w:r w:rsidRPr="00126DD4">
        <w:rPr>
          <w:rFonts w:cstheme="minorHAnsi"/>
          <w:sz w:val="24"/>
          <w:szCs w:val="24"/>
        </w:rPr>
        <w:t>Arnon</w:t>
      </w:r>
      <w:proofErr w:type="spellEnd"/>
      <w:r w:rsidRPr="00126DD4">
        <w:rPr>
          <w:rFonts w:cstheme="minorHAnsi"/>
          <w:sz w:val="24"/>
          <w:szCs w:val="24"/>
        </w:rPr>
        <w:t xml:space="preserve"> R, </w:t>
      </w:r>
      <w:proofErr w:type="spellStart"/>
      <w:r w:rsidRPr="00126DD4">
        <w:rPr>
          <w:rFonts w:cstheme="minorHAnsi"/>
          <w:sz w:val="24"/>
          <w:szCs w:val="24"/>
        </w:rPr>
        <w:t>Dotan</w:t>
      </w:r>
      <w:proofErr w:type="spellEnd"/>
      <w:r w:rsidRPr="00126DD4">
        <w:rPr>
          <w:rFonts w:cstheme="minorHAnsi"/>
          <w:sz w:val="24"/>
          <w:szCs w:val="24"/>
        </w:rPr>
        <w:t xml:space="preserve"> I. Sequential capsule endoscopy of the small bowel for follow-up of patients with known Crohn’s disease. </w:t>
      </w:r>
      <w:proofErr w:type="gramStart"/>
      <w:r w:rsidRPr="00126DD4">
        <w:rPr>
          <w:rFonts w:cstheme="minorHAnsi"/>
          <w:i/>
          <w:iCs/>
          <w:sz w:val="24"/>
          <w:szCs w:val="24"/>
        </w:rPr>
        <w:t xml:space="preserve">J </w:t>
      </w:r>
      <w:proofErr w:type="spellStart"/>
      <w:r w:rsidRPr="00126DD4">
        <w:rPr>
          <w:rFonts w:cstheme="minorHAnsi"/>
          <w:i/>
          <w:iCs/>
          <w:sz w:val="24"/>
          <w:szCs w:val="24"/>
        </w:rPr>
        <w:t>Crohns</w:t>
      </w:r>
      <w:proofErr w:type="spellEnd"/>
      <w:r w:rsidRPr="00126DD4">
        <w:rPr>
          <w:rFonts w:cstheme="minorHAnsi"/>
          <w:i/>
          <w:iCs/>
          <w:sz w:val="24"/>
          <w:szCs w:val="24"/>
        </w:rPr>
        <w:t xml:space="preserve"> Colitis</w:t>
      </w:r>
      <w:r w:rsidRPr="00126DD4">
        <w:rPr>
          <w:rFonts w:cstheme="minorHAnsi"/>
          <w:sz w:val="24"/>
          <w:szCs w:val="24"/>
        </w:rPr>
        <w:t>.</w:t>
      </w:r>
      <w:proofErr w:type="gramEnd"/>
      <w:r w:rsidRPr="00126DD4">
        <w:rPr>
          <w:rFonts w:cstheme="minorHAnsi"/>
          <w:sz w:val="24"/>
          <w:szCs w:val="24"/>
        </w:rPr>
        <w:t> 2014</w:t>
      </w:r>
      <w:proofErr w:type="gramStart"/>
      <w:r w:rsidRPr="00126DD4">
        <w:rPr>
          <w:rFonts w:cstheme="minorHAnsi"/>
          <w:sz w:val="24"/>
          <w:szCs w:val="24"/>
        </w:rPr>
        <w:t>;8:1616</w:t>
      </w:r>
      <w:proofErr w:type="gramEnd"/>
      <w:r w:rsidRPr="00126DD4">
        <w:rPr>
          <w:rFonts w:cstheme="minorHAnsi"/>
          <w:sz w:val="24"/>
          <w:szCs w:val="24"/>
        </w:rPr>
        <w:t>-1623.</w:t>
      </w:r>
    </w:p>
    <w:p w14:paraId="58271A62" w14:textId="77777777" w:rsidR="00BA2E4A" w:rsidRPr="00126DD4" w:rsidRDefault="00E323ED" w:rsidP="008472B1">
      <w:pPr>
        <w:jc w:val="both"/>
        <w:rPr>
          <w:rFonts w:cstheme="minorHAnsi"/>
          <w:sz w:val="24"/>
          <w:szCs w:val="24"/>
        </w:rPr>
      </w:pPr>
      <w:r w:rsidRPr="00126DD4">
        <w:rPr>
          <w:rFonts w:cstheme="minorHAnsi"/>
          <w:sz w:val="24"/>
          <w:szCs w:val="24"/>
        </w:rPr>
        <w:t>PricewaterhouseCoopers Australia (PwC) (2013) Improving Inflammatory Bowel Disease care across Australia</w:t>
      </w:r>
    </w:p>
    <w:p w14:paraId="58271A63" w14:textId="77777777" w:rsidR="00BA2E4A" w:rsidRPr="00126DD4" w:rsidRDefault="00BA2E4A" w:rsidP="008472B1">
      <w:pPr>
        <w:jc w:val="both"/>
        <w:rPr>
          <w:rFonts w:cstheme="minorHAnsi"/>
          <w:bCs/>
          <w:sz w:val="24"/>
          <w:szCs w:val="24"/>
        </w:rPr>
      </w:pPr>
      <w:proofErr w:type="spellStart"/>
      <w:r w:rsidRPr="00126DD4">
        <w:rPr>
          <w:rFonts w:cstheme="minorHAnsi"/>
          <w:bCs/>
          <w:sz w:val="24"/>
          <w:szCs w:val="24"/>
        </w:rPr>
        <w:t>Schoepfer</w:t>
      </w:r>
      <w:proofErr w:type="spellEnd"/>
      <w:r w:rsidRPr="00126DD4">
        <w:rPr>
          <w:rFonts w:cstheme="minorHAnsi"/>
          <w:bCs/>
          <w:sz w:val="24"/>
          <w:szCs w:val="24"/>
        </w:rPr>
        <w:t xml:space="preserve"> AM, </w:t>
      </w:r>
      <w:proofErr w:type="spellStart"/>
      <w:r w:rsidRPr="00126DD4">
        <w:rPr>
          <w:rFonts w:cstheme="minorHAnsi"/>
          <w:bCs/>
          <w:sz w:val="24"/>
          <w:szCs w:val="24"/>
        </w:rPr>
        <w:t>Dehlavi</w:t>
      </w:r>
      <w:proofErr w:type="spellEnd"/>
      <w:r w:rsidRPr="00126DD4">
        <w:rPr>
          <w:rFonts w:cstheme="minorHAnsi"/>
          <w:bCs/>
          <w:sz w:val="24"/>
          <w:szCs w:val="24"/>
        </w:rPr>
        <w:t xml:space="preserve"> MA, Fournier N, </w:t>
      </w:r>
      <w:proofErr w:type="spellStart"/>
      <w:r w:rsidRPr="00126DD4">
        <w:rPr>
          <w:rFonts w:cstheme="minorHAnsi"/>
          <w:bCs/>
          <w:sz w:val="24"/>
          <w:szCs w:val="24"/>
        </w:rPr>
        <w:t>Safroneeva</w:t>
      </w:r>
      <w:proofErr w:type="spellEnd"/>
      <w:r w:rsidRPr="00126DD4">
        <w:rPr>
          <w:rFonts w:cstheme="minorHAnsi"/>
          <w:bCs/>
          <w:sz w:val="24"/>
          <w:szCs w:val="24"/>
        </w:rPr>
        <w:t xml:space="preserve"> E, </w:t>
      </w:r>
      <w:proofErr w:type="spellStart"/>
      <w:r w:rsidRPr="00126DD4">
        <w:rPr>
          <w:rFonts w:cstheme="minorHAnsi"/>
          <w:bCs/>
          <w:sz w:val="24"/>
          <w:szCs w:val="24"/>
        </w:rPr>
        <w:t>Straumann</w:t>
      </w:r>
      <w:proofErr w:type="spellEnd"/>
      <w:r w:rsidRPr="00126DD4">
        <w:rPr>
          <w:rFonts w:cstheme="minorHAnsi"/>
          <w:bCs/>
          <w:sz w:val="24"/>
          <w:szCs w:val="24"/>
        </w:rPr>
        <w:t xml:space="preserve"> A, </w:t>
      </w:r>
      <w:proofErr w:type="spellStart"/>
      <w:r w:rsidRPr="00126DD4">
        <w:rPr>
          <w:rFonts w:cstheme="minorHAnsi"/>
          <w:bCs/>
          <w:sz w:val="24"/>
          <w:szCs w:val="24"/>
        </w:rPr>
        <w:t>Pittet</w:t>
      </w:r>
      <w:proofErr w:type="spellEnd"/>
      <w:r w:rsidRPr="00126DD4">
        <w:rPr>
          <w:rFonts w:cstheme="minorHAnsi"/>
          <w:bCs/>
          <w:sz w:val="24"/>
          <w:szCs w:val="24"/>
        </w:rPr>
        <w:t xml:space="preserve"> V, et al. Diagnostic delay in Crohn's disease is associated with a complicated disease course and increased operation rate. </w:t>
      </w:r>
      <w:proofErr w:type="gramStart"/>
      <w:r w:rsidRPr="00126DD4">
        <w:rPr>
          <w:rFonts w:cstheme="minorHAnsi"/>
          <w:bCs/>
          <w:sz w:val="24"/>
          <w:szCs w:val="24"/>
        </w:rPr>
        <w:t xml:space="preserve">Am J </w:t>
      </w:r>
      <w:proofErr w:type="spellStart"/>
      <w:r w:rsidRPr="00126DD4">
        <w:rPr>
          <w:rFonts w:cstheme="minorHAnsi"/>
          <w:bCs/>
          <w:sz w:val="24"/>
          <w:szCs w:val="24"/>
        </w:rPr>
        <w:t>Gastroenterol</w:t>
      </w:r>
      <w:proofErr w:type="spellEnd"/>
      <w:r w:rsidRPr="00126DD4">
        <w:rPr>
          <w:rFonts w:cstheme="minorHAnsi"/>
          <w:bCs/>
          <w:sz w:val="24"/>
          <w:szCs w:val="24"/>
        </w:rPr>
        <w:t>.</w:t>
      </w:r>
      <w:proofErr w:type="gramEnd"/>
      <w:r w:rsidRPr="00126DD4">
        <w:rPr>
          <w:rFonts w:cstheme="minorHAnsi"/>
          <w:bCs/>
          <w:sz w:val="24"/>
          <w:szCs w:val="24"/>
        </w:rPr>
        <w:t xml:space="preserve"> 2013</w:t>
      </w:r>
      <w:proofErr w:type="gramStart"/>
      <w:r w:rsidRPr="00126DD4">
        <w:rPr>
          <w:rFonts w:cstheme="minorHAnsi"/>
          <w:bCs/>
          <w:sz w:val="24"/>
          <w:szCs w:val="24"/>
        </w:rPr>
        <w:t>;108</w:t>
      </w:r>
      <w:proofErr w:type="gramEnd"/>
      <w:r w:rsidRPr="00126DD4">
        <w:rPr>
          <w:rFonts w:cstheme="minorHAnsi"/>
          <w:bCs/>
          <w:sz w:val="24"/>
          <w:szCs w:val="24"/>
        </w:rPr>
        <w:t>: 1744–1753; quiz 1754. </w:t>
      </w:r>
    </w:p>
    <w:p w14:paraId="58271A64" w14:textId="77777777" w:rsidR="00E323ED" w:rsidRPr="00126DD4" w:rsidRDefault="00E323ED" w:rsidP="008472B1">
      <w:pPr>
        <w:jc w:val="both"/>
        <w:rPr>
          <w:rFonts w:cstheme="minorHAnsi"/>
          <w:sz w:val="24"/>
          <w:szCs w:val="24"/>
        </w:rPr>
      </w:pPr>
      <w:proofErr w:type="gramStart"/>
      <w:r w:rsidRPr="00126DD4">
        <w:rPr>
          <w:rFonts w:cstheme="minorHAnsi"/>
          <w:sz w:val="24"/>
          <w:szCs w:val="24"/>
        </w:rPr>
        <w:t xml:space="preserve">Sidhu R, Sanders DS, </w:t>
      </w:r>
      <w:proofErr w:type="spellStart"/>
      <w:r w:rsidRPr="00126DD4">
        <w:rPr>
          <w:rFonts w:cstheme="minorHAnsi"/>
          <w:sz w:val="24"/>
          <w:szCs w:val="24"/>
        </w:rPr>
        <w:t>Kapur</w:t>
      </w:r>
      <w:proofErr w:type="spellEnd"/>
      <w:r w:rsidRPr="00126DD4">
        <w:rPr>
          <w:rFonts w:cstheme="minorHAnsi"/>
          <w:sz w:val="24"/>
          <w:szCs w:val="24"/>
        </w:rPr>
        <w:t xml:space="preserve"> K, Hurlstone DP, </w:t>
      </w:r>
      <w:proofErr w:type="spellStart"/>
      <w:r w:rsidRPr="00126DD4">
        <w:rPr>
          <w:rFonts w:cstheme="minorHAnsi"/>
          <w:sz w:val="24"/>
          <w:szCs w:val="24"/>
        </w:rPr>
        <w:t>McAlindon</w:t>
      </w:r>
      <w:proofErr w:type="spellEnd"/>
      <w:r w:rsidRPr="00126DD4">
        <w:rPr>
          <w:rFonts w:cstheme="minorHAnsi"/>
          <w:sz w:val="24"/>
          <w:szCs w:val="24"/>
        </w:rPr>
        <w:t xml:space="preserve"> ME.</w:t>
      </w:r>
      <w:proofErr w:type="gramEnd"/>
      <w:r w:rsidRPr="00126DD4">
        <w:rPr>
          <w:rFonts w:cstheme="minorHAnsi"/>
          <w:sz w:val="24"/>
          <w:szCs w:val="24"/>
        </w:rPr>
        <w:t xml:space="preserve"> Capsule endoscopy changes patient management in routine clinical practice. Dig Dis Sci. 2007; 52: 1382-1386.</w:t>
      </w:r>
    </w:p>
    <w:p w14:paraId="58271A65" w14:textId="77777777" w:rsidR="00E323ED" w:rsidRPr="00126DD4" w:rsidRDefault="00E323ED" w:rsidP="008472B1">
      <w:pPr>
        <w:jc w:val="both"/>
        <w:rPr>
          <w:rFonts w:cstheme="minorHAnsi"/>
          <w:sz w:val="24"/>
          <w:szCs w:val="24"/>
        </w:rPr>
      </w:pPr>
      <w:r w:rsidRPr="00126DD4">
        <w:rPr>
          <w:rFonts w:cstheme="minorHAnsi"/>
          <w:sz w:val="24"/>
          <w:szCs w:val="24"/>
        </w:rPr>
        <w:t xml:space="preserve">Toy E, </w:t>
      </w:r>
      <w:proofErr w:type="spellStart"/>
      <w:r w:rsidRPr="00126DD4">
        <w:rPr>
          <w:rFonts w:cstheme="minorHAnsi"/>
          <w:sz w:val="24"/>
          <w:szCs w:val="24"/>
        </w:rPr>
        <w:t>Rojany</w:t>
      </w:r>
      <w:proofErr w:type="spellEnd"/>
      <w:r w:rsidRPr="00126DD4">
        <w:rPr>
          <w:rFonts w:cstheme="minorHAnsi"/>
          <w:sz w:val="24"/>
          <w:szCs w:val="24"/>
        </w:rPr>
        <w:t xml:space="preserve"> M, Sheikh R, Mann S, </w:t>
      </w:r>
      <w:proofErr w:type="spellStart"/>
      <w:r w:rsidRPr="00126DD4">
        <w:rPr>
          <w:rFonts w:cstheme="minorHAnsi"/>
          <w:sz w:val="24"/>
          <w:szCs w:val="24"/>
        </w:rPr>
        <w:t>Prindiville</w:t>
      </w:r>
      <w:proofErr w:type="spellEnd"/>
      <w:r w:rsidRPr="00126DD4">
        <w:rPr>
          <w:rFonts w:cstheme="minorHAnsi"/>
          <w:sz w:val="24"/>
          <w:szCs w:val="24"/>
        </w:rPr>
        <w:t xml:space="preserve"> T. Capsule endoscopy’s impact on clinical management and outcomes: a single-</w:t>
      </w:r>
      <w:proofErr w:type="spellStart"/>
      <w:r w:rsidRPr="00126DD4">
        <w:rPr>
          <w:rFonts w:cstheme="minorHAnsi"/>
          <w:sz w:val="24"/>
          <w:szCs w:val="24"/>
        </w:rPr>
        <w:t>center</w:t>
      </w:r>
      <w:proofErr w:type="spellEnd"/>
      <w:r w:rsidRPr="00126DD4">
        <w:rPr>
          <w:rFonts w:cstheme="minorHAnsi"/>
          <w:sz w:val="24"/>
          <w:szCs w:val="24"/>
        </w:rPr>
        <w:t xml:space="preserve"> experience with 145 patients. Am J </w:t>
      </w:r>
      <w:proofErr w:type="spellStart"/>
      <w:r w:rsidRPr="00126DD4">
        <w:rPr>
          <w:rFonts w:cstheme="minorHAnsi"/>
          <w:sz w:val="24"/>
          <w:szCs w:val="24"/>
        </w:rPr>
        <w:t>Gastroenterol</w:t>
      </w:r>
      <w:proofErr w:type="spellEnd"/>
      <w:r w:rsidRPr="00126DD4">
        <w:rPr>
          <w:rFonts w:cstheme="minorHAnsi"/>
          <w:sz w:val="24"/>
          <w:szCs w:val="24"/>
        </w:rPr>
        <w:t xml:space="preserve"> 2008; 103: 3022-</w:t>
      </w:r>
      <w:proofErr w:type="gramStart"/>
      <w:r w:rsidRPr="00126DD4">
        <w:rPr>
          <w:rFonts w:cstheme="minorHAnsi"/>
          <w:sz w:val="24"/>
          <w:szCs w:val="24"/>
        </w:rPr>
        <w:t>3028.</w:t>
      </w:r>
      <w:proofErr w:type="gramEnd"/>
    </w:p>
    <w:p w14:paraId="58271A66" w14:textId="77777777" w:rsidR="00E323ED" w:rsidRPr="00126DD4" w:rsidRDefault="00E323ED" w:rsidP="008472B1">
      <w:pPr>
        <w:autoSpaceDE w:val="0"/>
        <w:autoSpaceDN w:val="0"/>
        <w:adjustRightInd w:val="0"/>
        <w:spacing w:before="0" w:after="0"/>
        <w:jc w:val="both"/>
        <w:rPr>
          <w:rFonts w:cstheme="minorHAnsi"/>
          <w:sz w:val="24"/>
          <w:szCs w:val="24"/>
        </w:rPr>
      </w:pPr>
      <w:proofErr w:type="spellStart"/>
      <w:r w:rsidRPr="00126DD4">
        <w:rPr>
          <w:rFonts w:cstheme="minorHAnsi"/>
          <w:sz w:val="24"/>
          <w:szCs w:val="24"/>
        </w:rPr>
        <w:t>Tukey</w:t>
      </w:r>
      <w:proofErr w:type="spellEnd"/>
      <w:r w:rsidRPr="00126DD4">
        <w:rPr>
          <w:rFonts w:cstheme="minorHAnsi"/>
          <w:sz w:val="24"/>
          <w:szCs w:val="24"/>
        </w:rPr>
        <w:t xml:space="preserve">, M, </w:t>
      </w:r>
      <w:proofErr w:type="spellStart"/>
      <w:r w:rsidRPr="00126DD4">
        <w:rPr>
          <w:rFonts w:cstheme="minorHAnsi"/>
          <w:sz w:val="24"/>
          <w:szCs w:val="24"/>
        </w:rPr>
        <w:t>Pleskow</w:t>
      </w:r>
      <w:proofErr w:type="spellEnd"/>
      <w:r w:rsidRPr="00126DD4">
        <w:rPr>
          <w:rFonts w:cstheme="minorHAnsi"/>
          <w:sz w:val="24"/>
          <w:szCs w:val="24"/>
        </w:rPr>
        <w:t>, D et al 2009. The utility of capsule endoscopy in patients with</w:t>
      </w:r>
    </w:p>
    <w:p w14:paraId="58271A67" w14:textId="77777777" w:rsidR="00E323ED" w:rsidRPr="00126DD4" w:rsidRDefault="00E323ED" w:rsidP="008472B1">
      <w:pPr>
        <w:autoSpaceDE w:val="0"/>
        <w:autoSpaceDN w:val="0"/>
        <w:adjustRightInd w:val="0"/>
        <w:spacing w:before="0" w:after="0"/>
        <w:jc w:val="both"/>
        <w:rPr>
          <w:rFonts w:cstheme="minorHAnsi"/>
          <w:sz w:val="24"/>
          <w:szCs w:val="24"/>
        </w:rPr>
      </w:pPr>
      <w:proofErr w:type="gramStart"/>
      <w:r w:rsidRPr="00126DD4">
        <w:rPr>
          <w:rFonts w:cstheme="minorHAnsi"/>
          <w:sz w:val="24"/>
          <w:szCs w:val="24"/>
        </w:rPr>
        <w:t>suspected</w:t>
      </w:r>
      <w:proofErr w:type="gramEnd"/>
      <w:r w:rsidRPr="00126DD4">
        <w:rPr>
          <w:rFonts w:cstheme="minorHAnsi"/>
          <w:sz w:val="24"/>
          <w:szCs w:val="24"/>
        </w:rPr>
        <w:t xml:space="preserve"> Crohn's disease, </w:t>
      </w:r>
      <w:r w:rsidRPr="00126DD4">
        <w:rPr>
          <w:rFonts w:cstheme="minorHAnsi"/>
          <w:i/>
          <w:iCs/>
          <w:sz w:val="24"/>
          <w:szCs w:val="24"/>
        </w:rPr>
        <w:t>American Journal of Gastroenterology</w:t>
      </w:r>
      <w:r w:rsidRPr="00126DD4">
        <w:rPr>
          <w:rFonts w:cstheme="minorHAnsi"/>
          <w:sz w:val="24"/>
          <w:szCs w:val="24"/>
        </w:rPr>
        <w:t>, 104 (11), 2734-2739.</w:t>
      </w:r>
    </w:p>
    <w:p w14:paraId="58271A68" w14:textId="77777777" w:rsidR="00497D3F" w:rsidRPr="00126DD4" w:rsidRDefault="005E44D4" w:rsidP="008472B1">
      <w:pPr>
        <w:jc w:val="both"/>
        <w:rPr>
          <w:rFonts w:cstheme="minorHAnsi"/>
          <w:sz w:val="24"/>
          <w:szCs w:val="24"/>
        </w:rPr>
      </w:pPr>
      <w:r w:rsidRPr="00126DD4">
        <w:rPr>
          <w:rFonts w:cstheme="minorHAnsi"/>
          <w:sz w:val="24"/>
          <w:szCs w:val="24"/>
        </w:rPr>
        <w:t xml:space="preserve">Wilson J, Hair C, Knight R, et al. High incidence of inflammatory bowel disease in Australia: a prospective population-based Australian incidence study. </w:t>
      </w:r>
      <w:proofErr w:type="spellStart"/>
      <w:r w:rsidRPr="00126DD4">
        <w:rPr>
          <w:rFonts w:cstheme="minorHAnsi"/>
          <w:sz w:val="24"/>
          <w:szCs w:val="24"/>
        </w:rPr>
        <w:t>Inflamm</w:t>
      </w:r>
      <w:proofErr w:type="spellEnd"/>
      <w:r w:rsidRPr="00126DD4">
        <w:rPr>
          <w:rFonts w:cstheme="minorHAnsi"/>
          <w:sz w:val="24"/>
          <w:szCs w:val="24"/>
        </w:rPr>
        <w:t xml:space="preserve"> Bowel Dis 2010</w:t>
      </w:r>
      <w:r w:rsidR="006F1E3D" w:rsidRPr="00126DD4">
        <w:rPr>
          <w:rFonts w:cstheme="minorHAnsi"/>
          <w:sz w:val="24"/>
          <w:szCs w:val="24"/>
        </w:rPr>
        <w:t>; 16:1550-</w:t>
      </w:r>
      <w:r w:rsidRPr="00126DD4">
        <w:rPr>
          <w:rFonts w:cstheme="minorHAnsi"/>
          <w:sz w:val="24"/>
          <w:szCs w:val="24"/>
        </w:rPr>
        <w:t>1556</w:t>
      </w:r>
    </w:p>
    <w:p w14:paraId="58271A69" w14:textId="77777777" w:rsidR="00BA2E4A" w:rsidRPr="00126DD4" w:rsidRDefault="00E323ED" w:rsidP="008472B1">
      <w:pPr>
        <w:jc w:val="both"/>
        <w:rPr>
          <w:rFonts w:cstheme="minorHAnsi"/>
          <w:sz w:val="24"/>
          <w:szCs w:val="24"/>
        </w:rPr>
      </w:pPr>
      <w:proofErr w:type="gramStart"/>
      <w:r w:rsidRPr="00126DD4">
        <w:rPr>
          <w:rFonts w:cstheme="minorHAnsi"/>
          <w:sz w:val="24"/>
          <w:szCs w:val="24"/>
        </w:rPr>
        <w:t>van</w:t>
      </w:r>
      <w:proofErr w:type="gramEnd"/>
      <w:r w:rsidRPr="00126DD4">
        <w:rPr>
          <w:rFonts w:cstheme="minorHAnsi"/>
          <w:sz w:val="24"/>
          <w:szCs w:val="24"/>
        </w:rPr>
        <w:t xml:space="preserve"> </w:t>
      </w:r>
      <w:proofErr w:type="spellStart"/>
      <w:r w:rsidRPr="00126DD4">
        <w:rPr>
          <w:rFonts w:cstheme="minorHAnsi"/>
          <w:sz w:val="24"/>
          <w:szCs w:val="24"/>
        </w:rPr>
        <w:t>Tuyl</w:t>
      </w:r>
      <w:proofErr w:type="spellEnd"/>
      <w:r w:rsidRPr="00126DD4">
        <w:rPr>
          <w:rFonts w:cstheme="minorHAnsi"/>
          <w:sz w:val="24"/>
          <w:szCs w:val="24"/>
        </w:rPr>
        <w:t xml:space="preserve"> SA, van </w:t>
      </w:r>
      <w:proofErr w:type="spellStart"/>
      <w:r w:rsidRPr="00126DD4">
        <w:rPr>
          <w:rFonts w:cstheme="minorHAnsi"/>
          <w:sz w:val="24"/>
          <w:szCs w:val="24"/>
        </w:rPr>
        <w:t>Noorden</w:t>
      </w:r>
      <w:proofErr w:type="spellEnd"/>
      <w:r w:rsidRPr="00126DD4">
        <w:rPr>
          <w:rFonts w:cstheme="minorHAnsi"/>
          <w:sz w:val="24"/>
          <w:szCs w:val="24"/>
        </w:rPr>
        <w:t xml:space="preserve"> JT, </w:t>
      </w:r>
      <w:proofErr w:type="spellStart"/>
      <w:r w:rsidRPr="00126DD4">
        <w:rPr>
          <w:rFonts w:cstheme="minorHAnsi"/>
          <w:sz w:val="24"/>
          <w:szCs w:val="24"/>
        </w:rPr>
        <w:t>Stolk</w:t>
      </w:r>
      <w:proofErr w:type="spellEnd"/>
      <w:r w:rsidRPr="00126DD4">
        <w:rPr>
          <w:rFonts w:cstheme="minorHAnsi"/>
          <w:sz w:val="24"/>
          <w:szCs w:val="24"/>
        </w:rPr>
        <w:t xml:space="preserve"> MF, </w:t>
      </w:r>
      <w:r w:rsidRPr="00126DD4">
        <w:rPr>
          <w:rFonts w:cstheme="minorHAnsi"/>
          <w:i/>
          <w:iCs/>
          <w:sz w:val="24"/>
          <w:szCs w:val="24"/>
        </w:rPr>
        <w:t>et al</w:t>
      </w:r>
      <w:r w:rsidRPr="00126DD4">
        <w:rPr>
          <w:rFonts w:cstheme="minorHAnsi"/>
          <w:sz w:val="24"/>
          <w:szCs w:val="24"/>
        </w:rPr>
        <w:t xml:space="preserve">. Clinical consequences of </w:t>
      </w:r>
      <w:proofErr w:type="spellStart"/>
      <w:r w:rsidRPr="00126DD4">
        <w:rPr>
          <w:rFonts w:cstheme="minorHAnsi"/>
          <w:sz w:val="24"/>
          <w:szCs w:val="24"/>
        </w:rPr>
        <w:t>videocapsule</w:t>
      </w:r>
      <w:proofErr w:type="spellEnd"/>
      <w:r w:rsidRPr="00126DD4">
        <w:rPr>
          <w:rFonts w:cstheme="minorHAnsi"/>
          <w:sz w:val="24"/>
          <w:szCs w:val="24"/>
        </w:rPr>
        <w:t xml:space="preserve"> endoscopy in GI bleeding and Crohn's disease. </w:t>
      </w:r>
      <w:proofErr w:type="spellStart"/>
      <w:r w:rsidRPr="00126DD4">
        <w:rPr>
          <w:rFonts w:cstheme="minorHAnsi"/>
          <w:sz w:val="24"/>
          <w:szCs w:val="24"/>
        </w:rPr>
        <w:t>Gastrointest</w:t>
      </w:r>
      <w:proofErr w:type="spellEnd"/>
      <w:r w:rsidRPr="00126DD4">
        <w:rPr>
          <w:rFonts w:cstheme="minorHAnsi"/>
          <w:sz w:val="24"/>
          <w:szCs w:val="24"/>
        </w:rPr>
        <w:t xml:space="preserve"> </w:t>
      </w:r>
      <w:proofErr w:type="spellStart"/>
      <w:r w:rsidRPr="00126DD4">
        <w:rPr>
          <w:rFonts w:cstheme="minorHAnsi"/>
          <w:sz w:val="24"/>
          <w:szCs w:val="24"/>
        </w:rPr>
        <w:t>Endosc</w:t>
      </w:r>
      <w:proofErr w:type="spellEnd"/>
      <w:r w:rsidRPr="00126DD4">
        <w:rPr>
          <w:rFonts w:cstheme="minorHAnsi"/>
          <w:sz w:val="24"/>
          <w:szCs w:val="24"/>
        </w:rPr>
        <w:t xml:space="preserve"> 2007; 66:1164–1170.</w:t>
      </w:r>
    </w:p>
    <w:p w14:paraId="58271A6A" w14:textId="77777777" w:rsidR="00047B0B" w:rsidRDefault="00047B0B" w:rsidP="008472B1">
      <w:pPr>
        <w:jc w:val="both"/>
        <w:rPr>
          <w:rFonts w:cstheme="minorHAnsi"/>
          <w:sz w:val="24"/>
          <w:szCs w:val="24"/>
        </w:rPr>
      </w:pPr>
    </w:p>
    <w:p w14:paraId="58271A6B" w14:textId="77777777" w:rsidR="00BA2E4A" w:rsidRPr="00BA2E4A" w:rsidRDefault="00BA2E4A" w:rsidP="008472B1">
      <w:pPr>
        <w:autoSpaceDE w:val="0"/>
        <w:autoSpaceDN w:val="0"/>
        <w:adjustRightInd w:val="0"/>
        <w:spacing w:before="0" w:after="0"/>
        <w:jc w:val="both"/>
        <w:rPr>
          <w:rFonts w:cstheme="minorHAnsi"/>
          <w:sz w:val="24"/>
          <w:szCs w:val="24"/>
        </w:rPr>
      </w:pPr>
      <w:proofErr w:type="gramStart"/>
      <w:r w:rsidRPr="00BA2E4A">
        <w:rPr>
          <w:rFonts w:cstheme="minorHAnsi"/>
          <w:sz w:val="24"/>
          <w:szCs w:val="24"/>
        </w:rPr>
        <w:lastRenderedPageBreak/>
        <w:t xml:space="preserve">Valle, J, </w:t>
      </w:r>
      <w:proofErr w:type="spellStart"/>
      <w:r w:rsidRPr="00BA2E4A">
        <w:rPr>
          <w:rFonts w:cstheme="minorHAnsi"/>
          <w:sz w:val="24"/>
          <w:szCs w:val="24"/>
        </w:rPr>
        <w:t>Alcantara</w:t>
      </w:r>
      <w:proofErr w:type="spellEnd"/>
      <w:r w:rsidRPr="00BA2E4A">
        <w:rPr>
          <w:rFonts w:cstheme="minorHAnsi"/>
          <w:sz w:val="24"/>
          <w:szCs w:val="24"/>
        </w:rPr>
        <w:t>, M et al 2006.</w:t>
      </w:r>
      <w:proofErr w:type="gramEnd"/>
      <w:r w:rsidRPr="00BA2E4A">
        <w:rPr>
          <w:rFonts w:cstheme="minorHAnsi"/>
          <w:sz w:val="24"/>
          <w:szCs w:val="24"/>
        </w:rPr>
        <w:t xml:space="preserve"> Clinical features of patients with negative results from</w:t>
      </w:r>
    </w:p>
    <w:p w14:paraId="58271A6C" w14:textId="77777777" w:rsidR="00BA2E4A" w:rsidRPr="00BA2E4A" w:rsidRDefault="00BA2E4A" w:rsidP="008472B1">
      <w:pPr>
        <w:autoSpaceDE w:val="0"/>
        <w:autoSpaceDN w:val="0"/>
        <w:adjustRightInd w:val="0"/>
        <w:spacing w:before="0" w:after="0"/>
        <w:jc w:val="both"/>
        <w:rPr>
          <w:rFonts w:cstheme="minorHAnsi"/>
          <w:sz w:val="24"/>
          <w:szCs w:val="24"/>
        </w:rPr>
      </w:pPr>
      <w:proofErr w:type="gramStart"/>
      <w:r w:rsidRPr="00BA2E4A">
        <w:rPr>
          <w:rFonts w:cstheme="minorHAnsi"/>
          <w:sz w:val="24"/>
          <w:szCs w:val="24"/>
        </w:rPr>
        <w:t>traditional</w:t>
      </w:r>
      <w:proofErr w:type="gramEnd"/>
      <w:r w:rsidRPr="00BA2E4A">
        <w:rPr>
          <w:rFonts w:cstheme="minorHAnsi"/>
          <w:sz w:val="24"/>
          <w:szCs w:val="24"/>
        </w:rPr>
        <w:t xml:space="preserve"> diagnostic work-up and Crohn's disease findings from capsule endoscopy,</w:t>
      </w:r>
    </w:p>
    <w:p w14:paraId="58271A6D" w14:textId="77777777" w:rsidR="00BA2E4A" w:rsidRPr="00BA2E4A" w:rsidRDefault="00BA2E4A" w:rsidP="008472B1">
      <w:pPr>
        <w:autoSpaceDE w:val="0"/>
        <w:autoSpaceDN w:val="0"/>
        <w:adjustRightInd w:val="0"/>
        <w:spacing w:before="0" w:after="0"/>
        <w:jc w:val="both"/>
        <w:rPr>
          <w:rFonts w:cstheme="minorHAnsi"/>
          <w:sz w:val="24"/>
          <w:szCs w:val="24"/>
        </w:rPr>
      </w:pPr>
      <w:r w:rsidRPr="00BA2E4A">
        <w:rPr>
          <w:rFonts w:cstheme="minorHAnsi"/>
          <w:i/>
          <w:iCs/>
          <w:sz w:val="24"/>
          <w:szCs w:val="24"/>
        </w:rPr>
        <w:t>Journal of Clinical Gastroenterology</w:t>
      </w:r>
      <w:r w:rsidRPr="00BA2E4A">
        <w:rPr>
          <w:rFonts w:cstheme="minorHAnsi"/>
          <w:sz w:val="24"/>
          <w:szCs w:val="24"/>
        </w:rPr>
        <w:t>, 40 (8), 692-696.</w:t>
      </w:r>
    </w:p>
    <w:p w14:paraId="58271A6E" w14:textId="77777777" w:rsidR="00BA2E4A" w:rsidRPr="00BA2E4A" w:rsidRDefault="00BA2E4A" w:rsidP="008472B1">
      <w:pPr>
        <w:autoSpaceDE w:val="0"/>
        <w:autoSpaceDN w:val="0"/>
        <w:adjustRightInd w:val="0"/>
        <w:spacing w:before="0" w:after="0"/>
        <w:jc w:val="both"/>
        <w:rPr>
          <w:rFonts w:cstheme="minorHAnsi"/>
          <w:sz w:val="24"/>
          <w:szCs w:val="24"/>
        </w:rPr>
      </w:pPr>
    </w:p>
    <w:p w14:paraId="58271A6F" w14:textId="77777777" w:rsidR="00E73010" w:rsidRPr="00BA2E4A" w:rsidRDefault="00E73010" w:rsidP="008472B1">
      <w:pPr>
        <w:jc w:val="both"/>
        <w:rPr>
          <w:rFonts w:cstheme="minorHAnsi"/>
          <w:b/>
          <w:sz w:val="24"/>
          <w:szCs w:val="24"/>
        </w:rPr>
      </w:pPr>
      <w:r w:rsidRPr="00BA2E4A">
        <w:rPr>
          <w:rFonts w:cstheme="minorHAnsi"/>
          <w:b/>
          <w:sz w:val="24"/>
          <w:szCs w:val="24"/>
        </w:rPr>
        <w:t>MSAC reports</w:t>
      </w:r>
    </w:p>
    <w:p w14:paraId="58271A70" w14:textId="77777777" w:rsidR="00266346" w:rsidRPr="00BA2E4A" w:rsidRDefault="00E73010" w:rsidP="008472B1">
      <w:pPr>
        <w:autoSpaceDE w:val="0"/>
        <w:autoSpaceDN w:val="0"/>
        <w:adjustRightInd w:val="0"/>
        <w:spacing w:before="0" w:after="0"/>
        <w:jc w:val="both"/>
        <w:rPr>
          <w:rFonts w:cstheme="minorHAnsi"/>
          <w:color w:val="231F20"/>
          <w:sz w:val="24"/>
          <w:szCs w:val="24"/>
        </w:rPr>
      </w:pPr>
      <w:r w:rsidRPr="00BA2E4A">
        <w:rPr>
          <w:rFonts w:cstheme="minorHAnsi"/>
          <w:color w:val="231F20"/>
          <w:sz w:val="24"/>
          <w:szCs w:val="24"/>
        </w:rPr>
        <w:t xml:space="preserve">Gilbert, H, Lewis, S, </w:t>
      </w:r>
      <w:proofErr w:type="spellStart"/>
      <w:r w:rsidRPr="00BA2E4A">
        <w:rPr>
          <w:rFonts w:cstheme="minorHAnsi"/>
          <w:color w:val="231F20"/>
          <w:sz w:val="24"/>
          <w:szCs w:val="24"/>
        </w:rPr>
        <w:t>Kimman</w:t>
      </w:r>
      <w:proofErr w:type="spellEnd"/>
      <w:r w:rsidRPr="00BA2E4A">
        <w:rPr>
          <w:rFonts w:cstheme="minorHAnsi"/>
          <w:color w:val="231F20"/>
          <w:sz w:val="24"/>
          <w:szCs w:val="24"/>
        </w:rPr>
        <w:t xml:space="preserve">, M (2011). </w:t>
      </w:r>
      <w:proofErr w:type="gramStart"/>
      <w:r w:rsidRPr="00BA2E4A">
        <w:rPr>
          <w:rFonts w:cstheme="minorHAnsi"/>
          <w:i/>
          <w:iCs/>
          <w:color w:val="231F20"/>
          <w:sz w:val="24"/>
          <w:szCs w:val="24"/>
        </w:rPr>
        <w:t>Capsule endoscopy for the diagnosis of suspected small bowel Crohn’s disease.</w:t>
      </w:r>
      <w:proofErr w:type="gramEnd"/>
      <w:r w:rsidRPr="00BA2E4A">
        <w:rPr>
          <w:rFonts w:cstheme="minorHAnsi"/>
          <w:i/>
          <w:iCs/>
          <w:color w:val="231F20"/>
          <w:sz w:val="24"/>
          <w:szCs w:val="24"/>
        </w:rPr>
        <w:t xml:space="preserve"> </w:t>
      </w:r>
      <w:proofErr w:type="gramStart"/>
      <w:r w:rsidRPr="00BA2E4A">
        <w:rPr>
          <w:rFonts w:cstheme="minorHAnsi"/>
          <w:color w:val="231F20"/>
          <w:sz w:val="24"/>
          <w:szCs w:val="24"/>
        </w:rPr>
        <w:t>MSAC.</w:t>
      </w:r>
      <w:proofErr w:type="gramEnd"/>
      <w:r w:rsidRPr="00BA2E4A">
        <w:rPr>
          <w:rFonts w:cstheme="minorHAnsi"/>
          <w:color w:val="231F20"/>
          <w:sz w:val="24"/>
          <w:szCs w:val="24"/>
        </w:rPr>
        <w:t xml:space="preserve"> </w:t>
      </w:r>
      <w:proofErr w:type="gramStart"/>
      <w:r w:rsidRPr="00BA2E4A">
        <w:rPr>
          <w:rFonts w:cstheme="minorHAnsi"/>
          <w:color w:val="231F20"/>
          <w:sz w:val="24"/>
          <w:szCs w:val="24"/>
        </w:rPr>
        <w:t>Application 1146.</w:t>
      </w:r>
      <w:proofErr w:type="gramEnd"/>
      <w:r w:rsidRPr="00BA2E4A">
        <w:rPr>
          <w:rFonts w:cstheme="minorHAnsi"/>
          <w:color w:val="231F20"/>
          <w:sz w:val="24"/>
          <w:szCs w:val="24"/>
        </w:rPr>
        <w:t xml:space="preserve"> </w:t>
      </w:r>
      <w:proofErr w:type="gramStart"/>
      <w:r w:rsidRPr="00BA2E4A">
        <w:rPr>
          <w:rFonts w:cstheme="minorHAnsi"/>
          <w:color w:val="231F20"/>
          <w:sz w:val="24"/>
          <w:szCs w:val="24"/>
        </w:rPr>
        <w:t>Assessment Report.</w:t>
      </w:r>
      <w:proofErr w:type="gramEnd"/>
      <w:r w:rsidRPr="00BA2E4A">
        <w:rPr>
          <w:rFonts w:cstheme="minorHAnsi"/>
          <w:color w:val="231F20"/>
          <w:sz w:val="24"/>
          <w:szCs w:val="24"/>
        </w:rPr>
        <w:t xml:space="preserve"> </w:t>
      </w:r>
      <w:proofErr w:type="gramStart"/>
      <w:r w:rsidRPr="00BA2E4A">
        <w:rPr>
          <w:rFonts w:cstheme="minorHAnsi"/>
          <w:color w:val="231F20"/>
          <w:sz w:val="24"/>
          <w:szCs w:val="24"/>
        </w:rPr>
        <w:t>Commonweal</w:t>
      </w:r>
      <w:r w:rsidR="00BA2E4A" w:rsidRPr="00BA2E4A">
        <w:rPr>
          <w:rFonts w:cstheme="minorHAnsi"/>
          <w:color w:val="231F20"/>
          <w:sz w:val="24"/>
          <w:szCs w:val="24"/>
        </w:rPr>
        <w:t>th of Australia, Canberra, ACT.</w:t>
      </w:r>
      <w:proofErr w:type="gramEnd"/>
    </w:p>
    <w:p w14:paraId="58271A71" w14:textId="77777777" w:rsidR="00BA2E4A" w:rsidRPr="00BA2E4A" w:rsidRDefault="00BA2E4A" w:rsidP="008472B1">
      <w:pPr>
        <w:autoSpaceDE w:val="0"/>
        <w:autoSpaceDN w:val="0"/>
        <w:adjustRightInd w:val="0"/>
        <w:spacing w:before="0" w:after="0"/>
        <w:jc w:val="both"/>
        <w:rPr>
          <w:rFonts w:cstheme="minorHAnsi"/>
          <w:color w:val="231F20"/>
          <w:sz w:val="24"/>
          <w:szCs w:val="24"/>
        </w:rPr>
      </w:pPr>
    </w:p>
    <w:p w14:paraId="58271A72" w14:textId="77777777" w:rsidR="00E73010" w:rsidRPr="00BA2E4A" w:rsidRDefault="00E73010" w:rsidP="008472B1">
      <w:pPr>
        <w:pStyle w:val="Heading1"/>
        <w:shd w:val="clear" w:color="auto" w:fill="FFFFFF"/>
        <w:spacing w:after="330"/>
        <w:rPr>
          <w:rFonts w:cstheme="minorHAnsi"/>
          <w:bCs w:val="0"/>
          <w:color w:val="231F20"/>
          <w:sz w:val="24"/>
          <w:szCs w:val="24"/>
        </w:rPr>
      </w:pPr>
      <w:r w:rsidRPr="00BA2E4A">
        <w:rPr>
          <w:rFonts w:cstheme="minorHAnsi"/>
          <w:bCs w:val="0"/>
          <w:color w:val="231F20"/>
          <w:sz w:val="24"/>
          <w:szCs w:val="24"/>
        </w:rPr>
        <w:t xml:space="preserve">1146.1 - Capsule Endoscopy for the Diagnosis of Suspected Small Bowel Crohn Disease (Resubmission).  </w:t>
      </w:r>
      <w:proofErr w:type="gramStart"/>
      <w:r w:rsidRPr="00BA2E4A">
        <w:rPr>
          <w:rFonts w:cstheme="minorHAnsi"/>
          <w:bCs w:val="0"/>
          <w:color w:val="231F20"/>
          <w:sz w:val="24"/>
          <w:szCs w:val="24"/>
        </w:rPr>
        <w:t>Final Protocol.</w:t>
      </w:r>
      <w:proofErr w:type="gramEnd"/>
      <w:r w:rsidRPr="00BA2E4A">
        <w:rPr>
          <w:rFonts w:cstheme="minorHAnsi"/>
          <w:bCs w:val="0"/>
          <w:color w:val="231F20"/>
          <w:sz w:val="24"/>
          <w:szCs w:val="24"/>
        </w:rPr>
        <w:t xml:space="preserve"> Available from: </w:t>
      </w:r>
      <w:hyperlink r:id="rId63" w:history="1">
        <w:r w:rsidRPr="00BA2E4A">
          <w:rPr>
            <w:rStyle w:val="Hyperlink"/>
            <w:rFonts w:cstheme="minorHAnsi"/>
            <w:bCs w:val="0"/>
            <w:sz w:val="24"/>
            <w:szCs w:val="24"/>
          </w:rPr>
          <w:t>http://www.msac.gov.au/internet/msac/publishing.nsf/Content/2B9C519FCD47524DCA25801000123BCC/$File/1146.1-CEforCrohn-FinalDAP.pdf</w:t>
        </w:r>
      </w:hyperlink>
      <w:r w:rsidRPr="00BA2E4A">
        <w:rPr>
          <w:rFonts w:cstheme="minorHAnsi"/>
          <w:bCs w:val="0"/>
          <w:color w:val="231F20"/>
          <w:sz w:val="24"/>
          <w:szCs w:val="24"/>
        </w:rPr>
        <w:t xml:space="preserve">  [Accessed November 2016]</w:t>
      </w:r>
    </w:p>
    <w:p w14:paraId="58271A73" w14:textId="77777777" w:rsidR="00E73010" w:rsidRPr="00BA2E4A" w:rsidRDefault="00E73010" w:rsidP="008472B1">
      <w:pPr>
        <w:rPr>
          <w:rFonts w:cstheme="minorHAnsi"/>
          <w:b/>
          <w:bCs/>
          <w:color w:val="231F20"/>
          <w:sz w:val="24"/>
          <w:szCs w:val="24"/>
        </w:rPr>
      </w:pPr>
      <w:r w:rsidRPr="00BA2E4A">
        <w:rPr>
          <w:rFonts w:cstheme="minorHAnsi"/>
          <w:bCs/>
          <w:color w:val="231F20"/>
          <w:sz w:val="24"/>
          <w:szCs w:val="24"/>
        </w:rPr>
        <w:t xml:space="preserve">1146.1 - Capsule Endoscopy for the Diagnosis of Suspected Small Bowel Crohn Disease (Resubmission).   </w:t>
      </w:r>
      <w:proofErr w:type="gramStart"/>
      <w:r w:rsidRPr="00BA2E4A">
        <w:rPr>
          <w:rFonts w:cstheme="minorHAnsi"/>
          <w:bCs/>
          <w:color w:val="231F20"/>
          <w:sz w:val="24"/>
          <w:szCs w:val="24"/>
        </w:rPr>
        <w:t>Public Summary Document.</w:t>
      </w:r>
      <w:proofErr w:type="gramEnd"/>
      <w:r w:rsidRPr="00BA2E4A">
        <w:rPr>
          <w:rFonts w:cstheme="minorHAnsi"/>
          <w:bCs/>
          <w:color w:val="231F20"/>
          <w:sz w:val="24"/>
          <w:szCs w:val="24"/>
        </w:rPr>
        <w:t xml:space="preserve"> Available from: </w:t>
      </w:r>
      <w:hyperlink r:id="rId64" w:history="1">
        <w:r w:rsidRPr="00BA2E4A">
          <w:rPr>
            <w:rStyle w:val="Hyperlink"/>
            <w:rFonts w:cstheme="minorHAnsi"/>
            <w:bCs/>
            <w:sz w:val="24"/>
            <w:szCs w:val="24"/>
          </w:rPr>
          <w:t>http://www.msac.gov.au/internet/msac/publishing.nsf/Content/2B9C519FCD47524DCA25801000123BCC/$File/1146.1-PSD-CapsuleEndoscopy-accessible%20(D14-1941482).pdf</w:t>
        </w:r>
      </w:hyperlink>
      <w:r w:rsidRPr="00BA2E4A">
        <w:rPr>
          <w:rFonts w:cstheme="minorHAnsi"/>
          <w:bCs/>
          <w:color w:val="231F20"/>
          <w:sz w:val="24"/>
          <w:szCs w:val="24"/>
        </w:rPr>
        <w:t xml:space="preserve"> </w:t>
      </w:r>
      <w:r w:rsidRPr="00BA2E4A">
        <w:rPr>
          <w:rFonts w:cstheme="minorHAnsi"/>
          <w:b/>
          <w:bCs/>
          <w:color w:val="231F20"/>
          <w:sz w:val="24"/>
          <w:szCs w:val="24"/>
        </w:rPr>
        <w:t xml:space="preserve"> </w:t>
      </w:r>
      <w:r w:rsidRPr="00BA2E4A">
        <w:rPr>
          <w:rFonts w:cstheme="minorHAnsi"/>
          <w:bCs/>
          <w:color w:val="231F20"/>
          <w:sz w:val="24"/>
          <w:szCs w:val="24"/>
        </w:rPr>
        <w:t>[Accessed November 2016]</w:t>
      </w:r>
    </w:p>
    <w:p w14:paraId="58271A74" w14:textId="77777777" w:rsidR="00E73010" w:rsidRPr="006F1E3D" w:rsidRDefault="00E73010" w:rsidP="008472B1">
      <w:pPr>
        <w:jc w:val="both"/>
        <w:rPr>
          <w:rFonts w:cstheme="minorHAnsi"/>
          <w:sz w:val="24"/>
          <w:szCs w:val="24"/>
        </w:rPr>
      </w:pPr>
    </w:p>
    <w:p w14:paraId="58271A75" w14:textId="77777777" w:rsidR="005E44D4" w:rsidRPr="006F1E3D" w:rsidRDefault="005E44D4" w:rsidP="008472B1">
      <w:pPr>
        <w:jc w:val="both"/>
        <w:rPr>
          <w:rFonts w:cstheme="minorHAnsi"/>
          <w:sz w:val="24"/>
          <w:szCs w:val="24"/>
        </w:rPr>
      </w:pPr>
    </w:p>
    <w:sectPr w:rsidR="005E44D4" w:rsidRPr="006F1E3D" w:rsidSect="00DD30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E83B34" w15:done="0"/>
  <w15:commentEx w15:paraId="08094633" w15:done="0"/>
  <w15:commentEx w15:paraId="66D6D716" w15:done="0"/>
  <w15:commentEx w15:paraId="4CD2601D" w15:done="0"/>
  <w15:commentEx w15:paraId="00AD5190" w15:done="0"/>
  <w15:commentEx w15:paraId="1BB9F5D6" w15:done="0"/>
  <w15:commentEx w15:paraId="4818CEFC" w15:done="0"/>
  <w15:commentEx w15:paraId="7AC974E2" w15:done="0"/>
  <w15:commentEx w15:paraId="1D95EC0D" w15:done="0"/>
  <w15:commentEx w15:paraId="1B8D8292" w15:done="0"/>
  <w15:commentEx w15:paraId="39785631" w15:done="0"/>
  <w15:commentEx w15:paraId="21669B83" w15:paraIdParent="39785631" w15:done="0"/>
  <w15:commentEx w15:paraId="588F6EBD" w15:done="0"/>
  <w15:commentEx w15:paraId="119839CE" w15:done="0"/>
  <w15:commentEx w15:paraId="17EE51F4" w15:done="0"/>
  <w15:commentEx w15:paraId="2CCAC75F" w15:done="0"/>
  <w15:commentEx w15:paraId="7A4F5728" w15:done="0"/>
  <w15:commentEx w15:paraId="5507DE2E" w15:done="0"/>
  <w15:commentEx w15:paraId="29E36C6B" w15:done="0"/>
  <w15:commentEx w15:paraId="14C31951" w15:done="0"/>
  <w15:commentEx w15:paraId="1BAF071A" w15:done="0"/>
  <w15:commentEx w15:paraId="24B03FA6" w15:done="0"/>
  <w15:commentEx w15:paraId="1886768F" w15:done="0"/>
  <w15:commentEx w15:paraId="43BDE755" w15:done="0"/>
  <w15:commentEx w15:paraId="59754452" w15:done="0"/>
  <w15:commentEx w15:paraId="68764D14" w15:done="0"/>
  <w15:commentEx w15:paraId="47C659A9" w15:done="0"/>
  <w15:commentEx w15:paraId="7A2D24D1" w15:done="0"/>
  <w15:commentEx w15:paraId="243F1D06" w15:done="0"/>
  <w15:commentEx w15:paraId="5CE771F6" w15:done="0"/>
  <w15:commentEx w15:paraId="1D7EA227" w15:done="0"/>
  <w15:commentEx w15:paraId="0AD29C5B" w15:done="0"/>
  <w15:commentEx w15:paraId="7B78AFFA" w15:done="0"/>
  <w15:commentEx w15:paraId="35618619" w15:done="0"/>
  <w15:commentEx w15:paraId="6EFED8AE" w15:done="0"/>
  <w15:commentEx w15:paraId="13E4F587" w15:done="0"/>
  <w15:commentEx w15:paraId="33FCED72" w15:done="0"/>
  <w15:commentEx w15:paraId="0FE8E84D" w15:done="0"/>
  <w15:commentEx w15:paraId="153426C8" w15:done="0"/>
  <w15:commentEx w15:paraId="1C997CD5" w15:done="0"/>
  <w15:commentEx w15:paraId="39251778" w15:done="0"/>
  <w15:commentEx w15:paraId="4D7179D8" w15:done="0"/>
  <w15:commentEx w15:paraId="4C8EF539" w15:done="0"/>
  <w15:commentEx w15:paraId="602C72A7" w15:done="0"/>
  <w15:commentEx w15:paraId="7C52DF8C" w15:done="0"/>
  <w15:commentEx w15:paraId="021A8B14" w15:done="0"/>
  <w15:commentEx w15:paraId="712A7898" w15:done="0"/>
  <w15:commentEx w15:paraId="0427691B" w15:done="0"/>
  <w15:commentEx w15:paraId="797F08B6" w15:done="0"/>
  <w15:commentEx w15:paraId="197E3A3C" w15:done="0"/>
  <w15:commentEx w15:paraId="54C2BD9F" w15:done="0"/>
  <w15:commentEx w15:paraId="21927B47" w15:done="0"/>
  <w15:commentEx w15:paraId="73B24BC7" w15:done="0"/>
  <w15:commentEx w15:paraId="11C53515" w15:done="0"/>
  <w15:commentEx w15:paraId="0D0642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71A82" w14:textId="77777777" w:rsidR="00FA61C4" w:rsidRDefault="00FA61C4" w:rsidP="00CF2DFA">
      <w:pPr>
        <w:spacing w:after="0"/>
      </w:pPr>
      <w:r>
        <w:separator/>
      </w:r>
    </w:p>
  </w:endnote>
  <w:endnote w:type="continuationSeparator" w:id="0">
    <w:p w14:paraId="58271A83" w14:textId="77777777" w:rsidR="00FA61C4" w:rsidRDefault="00FA61C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B53D" w14:textId="77777777" w:rsidR="00742C65" w:rsidRDefault="00742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58271A84" w14:textId="77777777" w:rsidR="00FD1982" w:rsidRDefault="00FD198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42C65" w:rsidRPr="00742C65">
          <w:rPr>
            <w:b/>
            <w:bCs/>
            <w:noProof/>
            <w:sz w:val="18"/>
            <w:szCs w:val="18"/>
          </w:rPr>
          <w:t>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8271A85" w14:textId="77777777" w:rsidR="00FD1982" w:rsidRPr="003F7CB9" w:rsidRDefault="00FD198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AFF90" w14:textId="77777777" w:rsidR="00742C65" w:rsidRDefault="00742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71A80" w14:textId="77777777" w:rsidR="00FA61C4" w:rsidRDefault="00FA61C4" w:rsidP="00CF2DFA">
      <w:pPr>
        <w:spacing w:after="0"/>
      </w:pPr>
      <w:r>
        <w:separator/>
      </w:r>
    </w:p>
  </w:footnote>
  <w:footnote w:type="continuationSeparator" w:id="0">
    <w:p w14:paraId="58271A81" w14:textId="77777777" w:rsidR="00FA61C4" w:rsidRDefault="00FA61C4"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7DB80" w14:textId="77777777" w:rsidR="00742C65" w:rsidRDefault="00742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88270" w14:textId="77777777" w:rsidR="00742C65" w:rsidRDefault="00742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D6358" w14:textId="77777777" w:rsidR="00742C65" w:rsidRDefault="00742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29F3A63"/>
    <w:multiLevelType w:val="hybridMultilevel"/>
    <w:tmpl w:val="3F8C3B12"/>
    <w:lvl w:ilvl="0" w:tplc="4A32ED96">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7481DF7"/>
    <w:multiLevelType w:val="hybridMultilevel"/>
    <w:tmpl w:val="ABB60E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9109F3"/>
    <w:multiLevelType w:val="multilevel"/>
    <w:tmpl w:val="E140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4CA4542"/>
    <w:multiLevelType w:val="hybridMultilevel"/>
    <w:tmpl w:val="96920654"/>
    <w:lvl w:ilvl="0" w:tplc="13CE4D66">
      <w:start w:val="1"/>
      <w:numFmt w:val="bullet"/>
      <w:lvlText w:val="-"/>
      <w:lvlJc w:val="left"/>
      <w:pPr>
        <w:ind w:left="1080" w:hanging="360"/>
      </w:pPr>
      <w:rPr>
        <w:rFonts w:ascii="Calibri" w:eastAsiaTheme="minorHAnsi" w:hAnsi="Calibri" w:cs="Calibri" w:hint="default"/>
        <w:color w:val="00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nsid w:val="4D1E37E7"/>
    <w:multiLevelType w:val="hybridMultilevel"/>
    <w:tmpl w:val="37644F96"/>
    <w:lvl w:ilvl="0" w:tplc="157A662C">
      <w:start w:val="1"/>
      <w:numFmt w:val="lowerLetter"/>
      <w:lvlText w:val="(%1)"/>
      <w:lvlJc w:val="left"/>
      <w:pPr>
        <w:ind w:left="836" w:hanging="360"/>
      </w:pPr>
    </w:lvl>
    <w:lvl w:ilvl="1" w:tplc="0C090019">
      <w:start w:val="1"/>
      <w:numFmt w:val="lowerLetter"/>
      <w:lvlText w:val="%2."/>
      <w:lvlJc w:val="left"/>
      <w:pPr>
        <w:ind w:left="1556" w:hanging="360"/>
      </w:pPr>
    </w:lvl>
    <w:lvl w:ilvl="2" w:tplc="0C09001B">
      <w:start w:val="1"/>
      <w:numFmt w:val="lowerRoman"/>
      <w:lvlText w:val="%3."/>
      <w:lvlJc w:val="right"/>
      <w:pPr>
        <w:ind w:left="2276" w:hanging="180"/>
      </w:pPr>
    </w:lvl>
    <w:lvl w:ilvl="3" w:tplc="0C09000F">
      <w:start w:val="1"/>
      <w:numFmt w:val="decimal"/>
      <w:lvlText w:val="%4."/>
      <w:lvlJc w:val="left"/>
      <w:pPr>
        <w:ind w:left="2996" w:hanging="360"/>
      </w:pPr>
    </w:lvl>
    <w:lvl w:ilvl="4" w:tplc="0C090019">
      <w:start w:val="1"/>
      <w:numFmt w:val="lowerLetter"/>
      <w:lvlText w:val="%5."/>
      <w:lvlJc w:val="left"/>
      <w:pPr>
        <w:ind w:left="3716" w:hanging="360"/>
      </w:pPr>
    </w:lvl>
    <w:lvl w:ilvl="5" w:tplc="0C09001B">
      <w:start w:val="1"/>
      <w:numFmt w:val="lowerRoman"/>
      <w:lvlText w:val="%6."/>
      <w:lvlJc w:val="right"/>
      <w:pPr>
        <w:ind w:left="4436" w:hanging="180"/>
      </w:pPr>
    </w:lvl>
    <w:lvl w:ilvl="6" w:tplc="0C09000F">
      <w:start w:val="1"/>
      <w:numFmt w:val="decimal"/>
      <w:lvlText w:val="%7."/>
      <w:lvlJc w:val="left"/>
      <w:pPr>
        <w:ind w:left="5156" w:hanging="360"/>
      </w:pPr>
    </w:lvl>
    <w:lvl w:ilvl="7" w:tplc="0C090019">
      <w:start w:val="1"/>
      <w:numFmt w:val="lowerLetter"/>
      <w:lvlText w:val="%8."/>
      <w:lvlJc w:val="left"/>
      <w:pPr>
        <w:ind w:left="5876" w:hanging="360"/>
      </w:pPr>
    </w:lvl>
    <w:lvl w:ilvl="8" w:tplc="0C09001B">
      <w:start w:val="1"/>
      <w:numFmt w:val="lowerRoman"/>
      <w:lvlText w:val="%9."/>
      <w:lvlJc w:val="right"/>
      <w:pPr>
        <w:ind w:left="6596" w:hanging="180"/>
      </w:pPr>
    </w:lvl>
  </w:abstractNum>
  <w:abstractNum w:abstractNumId="16">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330111"/>
    <w:multiLevelType w:val="hybridMultilevel"/>
    <w:tmpl w:val="B3205E72"/>
    <w:lvl w:ilvl="0" w:tplc="D2A6A2EC">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281C6F"/>
    <w:multiLevelType w:val="hybridMultilevel"/>
    <w:tmpl w:val="3F9A6DF8"/>
    <w:lvl w:ilvl="0" w:tplc="1D92B842">
      <w:start w:val="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22"/>
  </w:num>
  <w:num w:numId="26">
    <w:abstractNumId w:val="4"/>
  </w:num>
  <w:num w:numId="27">
    <w:abstractNumId w:val="19"/>
  </w:num>
  <w:num w:numId="28">
    <w:abstractNumId w:val="12"/>
  </w:num>
  <w:num w:numId="29">
    <w:abstractNumId w:val="24"/>
  </w:num>
  <w:num w:numId="30">
    <w:abstractNumId w:val="3"/>
  </w:num>
  <w:num w:numId="31">
    <w:abstractNumId w:val="21"/>
  </w:num>
  <w:num w:numId="32">
    <w:abstractNumId w:val="7"/>
  </w:num>
  <w:num w:numId="33">
    <w:abstractNumId w:val="20"/>
  </w:num>
  <w:num w:numId="34">
    <w:abstractNumId w:val="6"/>
  </w:num>
  <w:num w:numId="35">
    <w:abstractNumId w:val="14"/>
  </w:num>
  <w:num w:numId="36">
    <w:abstractNumId w:val="0"/>
  </w:num>
  <w:num w:numId="37">
    <w:abstractNumId w:val="23"/>
  </w:num>
  <w:num w:numId="38">
    <w:abstractNumId w:val="1"/>
  </w:num>
  <w:num w:numId="39">
    <w:abstractNumId w:val="9"/>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02C0E"/>
    <w:rsid w:val="000110DC"/>
    <w:rsid w:val="00014AEE"/>
    <w:rsid w:val="000158AA"/>
    <w:rsid w:val="000159B9"/>
    <w:rsid w:val="00016B6E"/>
    <w:rsid w:val="0002340D"/>
    <w:rsid w:val="00023E21"/>
    <w:rsid w:val="00025ABC"/>
    <w:rsid w:val="00026412"/>
    <w:rsid w:val="00031F6F"/>
    <w:rsid w:val="00034D6E"/>
    <w:rsid w:val="00044B17"/>
    <w:rsid w:val="00045E8F"/>
    <w:rsid w:val="00047B0B"/>
    <w:rsid w:val="0005089D"/>
    <w:rsid w:val="000509D8"/>
    <w:rsid w:val="000510B3"/>
    <w:rsid w:val="000525BC"/>
    <w:rsid w:val="00063E34"/>
    <w:rsid w:val="00065751"/>
    <w:rsid w:val="00072EF9"/>
    <w:rsid w:val="00073222"/>
    <w:rsid w:val="0007539D"/>
    <w:rsid w:val="000770BA"/>
    <w:rsid w:val="0007741F"/>
    <w:rsid w:val="000776A5"/>
    <w:rsid w:val="00084E12"/>
    <w:rsid w:val="00085258"/>
    <w:rsid w:val="00092580"/>
    <w:rsid w:val="00092B80"/>
    <w:rsid w:val="000955E7"/>
    <w:rsid w:val="000A110D"/>
    <w:rsid w:val="000A478F"/>
    <w:rsid w:val="000A5B32"/>
    <w:rsid w:val="000B3CD0"/>
    <w:rsid w:val="000B5841"/>
    <w:rsid w:val="000C0D66"/>
    <w:rsid w:val="000C639E"/>
    <w:rsid w:val="000C67F0"/>
    <w:rsid w:val="000C6A18"/>
    <w:rsid w:val="000D066E"/>
    <w:rsid w:val="000D0831"/>
    <w:rsid w:val="000D2820"/>
    <w:rsid w:val="000D292E"/>
    <w:rsid w:val="000E47E7"/>
    <w:rsid w:val="000E5439"/>
    <w:rsid w:val="000F26F7"/>
    <w:rsid w:val="000F2F62"/>
    <w:rsid w:val="000F4736"/>
    <w:rsid w:val="000F4B52"/>
    <w:rsid w:val="000F561C"/>
    <w:rsid w:val="000F6515"/>
    <w:rsid w:val="00102686"/>
    <w:rsid w:val="001060F6"/>
    <w:rsid w:val="0011036E"/>
    <w:rsid w:val="001128B5"/>
    <w:rsid w:val="001130B0"/>
    <w:rsid w:val="0011369B"/>
    <w:rsid w:val="0011742E"/>
    <w:rsid w:val="00120B70"/>
    <w:rsid w:val="001211E6"/>
    <w:rsid w:val="00121D23"/>
    <w:rsid w:val="00123D10"/>
    <w:rsid w:val="00124B00"/>
    <w:rsid w:val="00125957"/>
    <w:rsid w:val="00126B33"/>
    <w:rsid w:val="00126DD4"/>
    <w:rsid w:val="00130044"/>
    <w:rsid w:val="00134713"/>
    <w:rsid w:val="00135EA0"/>
    <w:rsid w:val="00142A30"/>
    <w:rsid w:val="001455B8"/>
    <w:rsid w:val="00146129"/>
    <w:rsid w:val="001507D0"/>
    <w:rsid w:val="001548D4"/>
    <w:rsid w:val="00154B00"/>
    <w:rsid w:val="00161E01"/>
    <w:rsid w:val="001644E9"/>
    <w:rsid w:val="0016486C"/>
    <w:rsid w:val="00171461"/>
    <w:rsid w:val="001716D2"/>
    <w:rsid w:val="0017372E"/>
    <w:rsid w:val="00182F76"/>
    <w:rsid w:val="00183DEE"/>
    <w:rsid w:val="001845D9"/>
    <w:rsid w:val="0018630F"/>
    <w:rsid w:val="001906CD"/>
    <w:rsid w:val="001912B3"/>
    <w:rsid w:val="00191B99"/>
    <w:rsid w:val="00197D29"/>
    <w:rsid w:val="001A02E3"/>
    <w:rsid w:val="001A1ADF"/>
    <w:rsid w:val="001A365C"/>
    <w:rsid w:val="001A45C0"/>
    <w:rsid w:val="001A5743"/>
    <w:rsid w:val="001A5C8A"/>
    <w:rsid w:val="001A6270"/>
    <w:rsid w:val="001A6755"/>
    <w:rsid w:val="001B102A"/>
    <w:rsid w:val="001B171D"/>
    <w:rsid w:val="001B29A1"/>
    <w:rsid w:val="001B5169"/>
    <w:rsid w:val="001B5920"/>
    <w:rsid w:val="001B6164"/>
    <w:rsid w:val="001B6167"/>
    <w:rsid w:val="001B71A2"/>
    <w:rsid w:val="001D70F0"/>
    <w:rsid w:val="001D77ED"/>
    <w:rsid w:val="001D7DED"/>
    <w:rsid w:val="001E1180"/>
    <w:rsid w:val="001E23EA"/>
    <w:rsid w:val="001E6919"/>
    <w:rsid w:val="001E6958"/>
    <w:rsid w:val="001E7D97"/>
    <w:rsid w:val="001F232E"/>
    <w:rsid w:val="001F23DE"/>
    <w:rsid w:val="001F39A8"/>
    <w:rsid w:val="001F7238"/>
    <w:rsid w:val="00201924"/>
    <w:rsid w:val="00201D83"/>
    <w:rsid w:val="00202473"/>
    <w:rsid w:val="002028C4"/>
    <w:rsid w:val="00202B22"/>
    <w:rsid w:val="002053F2"/>
    <w:rsid w:val="00205A7C"/>
    <w:rsid w:val="00206D63"/>
    <w:rsid w:val="0021185D"/>
    <w:rsid w:val="00212301"/>
    <w:rsid w:val="0021676C"/>
    <w:rsid w:val="00222331"/>
    <w:rsid w:val="00223F2C"/>
    <w:rsid w:val="00226777"/>
    <w:rsid w:val="00230C2A"/>
    <w:rsid w:val="00233D41"/>
    <w:rsid w:val="00235BD1"/>
    <w:rsid w:val="00240989"/>
    <w:rsid w:val="00242B0E"/>
    <w:rsid w:val="00243CFC"/>
    <w:rsid w:val="00246AE7"/>
    <w:rsid w:val="00247DF0"/>
    <w:rsid w:val="00253459"/>
    <w:rsid w:val="00254813"/>
    <w:rsid w:val="00257FF2"/>
    <w:rsid w:val="0026394E"/>
    <w:rsid w:val="002649A9"/>
    <w:rsid w:val="00265822"/>
    <w:rsid w:val="00266346"/>
    <w:rsid w:val="002707FF"/>
    <w:rsid w:val="0027105F"/>
    <w:rsid w:val="002711FB"/>
    <w:rsid w:val="00271E38"/>
    <w:rsid w:val="00273183"/>
    <w:rsid w:val="00275D11"/>
    <w:rsid w:val="00282A6B"/>
    <w:rsid w:val="00283318"/>
    <w:rsid w:val="00285525"/>
    <w:rsid w:val="002927E1"/>
    <w:rsid w:val="00293F1F"/>
    <w:rsid w:val="00294CD8"/>
    <w:rsid w:val="002A1DA4"/>
    <w:rsid w:val="002A270B"/>
    <w:rsid w:val="002A40AE"/>
    <w:rsid w:val="002A50FD"/>
    <w:rsid w:val="002A6753"/>
    <w:rsid w:val="002A74E2"/>
    <w:rsid w:val="002B1CF4"/>
    <w:rsid w:val="002B28D7"/>
    <w:rsid w:val="002B7EB6"/>
    <w:rsid w:val="002C033D"/>
    <w:rsid w:val="002C0B61"/>
    <w:rsid w:val="002C15E6"/>
    <w:rsid w:val="002C246C"/>
    <w:rsid w:val="002C247D"/>
    <w:rsid w:val="002C3345"/>
    <w:rsid w:val="002D0F9D"/>
    <w:rsid w:val="002D409A"/>
    <w:rsid w:val="002D69AA"/>
    <w:rsid w:val="002E5621"/>
    <w:rsid w:val="002E6AE2"/>
    <w:rsid w:val="002F1126"/>
    <w:rsid w:val="002F2D11"/>
    <w:rsid w:val="002F30E7"/>
    <w:rsid w:val="002F55EF"/>
    <w:rsid w:val="002F7113"/>
    <w:rsid w:val="00300EEB"/>
    <w:rsid w:val="003013A9"/>
    <w:rsid w:val="003020B5"/>
    <w:rsid w:val="003027BB"/>
    <w:rsid w:val="003044C0"/>
    <w:rsid w:val="00310A10"/>
    <w:rsid w:val="00316517"/>
    <w:rsid w:val="003245EE"/>
    <w:rsid w:val="00327D25"/>
    <w:rsid w:val="003305F7"/>
    <w:rsid w:val="00331802"/>
    <w:rsid w:val="003319A7"/>
    <w:rsid w:val="00331F55"/>
    <w:rsid w:val="003343BF"/>
    <w:rsid w:val="00334FE3"/>
    <w:rsid w:val="003376F7"/>
    <w:rsid w:val="00337D5A"/>
    <w:rsid w:val="0034088C"/>
    <w:rsid w:val="003421AE"/>
    <w:rsid w:val="003433D1"/>
    <w:rsid w:val="00344B24"/>
    <w:rsid w:val="003456B9"/>
    <w:rsid w:val="0035067D"/>
    <w:rsid w:val="00350859"/>
    <w:rsid w:val="00352047"/>
    <w:rsid w:val="00353A16"/>
    <w:rsid w:val="003564A0"/>
    <w:rsid w:val="0035776D"/>
    <w:rsid w:val="0036265D"/>
    <w:rsid w:val="00364FD9"/>
    <w:rsid w:val="00367C1B"/>
    <w:rsid w:val="0037086B"/>
    <w:rsid w:val="003715E9"/>
    <w:rsid w:val="0037294E"/>
    <w:rsid w:val="00376B61"/>
    <w:rsid w:val="00381496"/>
    <w:rsid w:val="003816C6"/>
    <w:rsid w:val="00381B71"/>
    <w:rsid w:val="00382407"/>
    <w:rsid w:val="00383682"/>
    <w:rsid w:val="00383FEE"/>
    <w:rsid w:val="00386A64"/>
    <w:rsid w:val="00386FA1"/>
    <w:rsid w:val="00390142"/>
    <w:rsid w:val="00390D1C"/>
    <w:rsid w:val="003923C6"/>
    <w:rsid w:val="00392F00"/>
    <w:rsid w:val="00395789"/>
    <w:rsid w:val="00397377"/>
    <w:rsid w:val="0039739C"/>
    <w:rsid w:val="003A03E7"/>
    <w:rsid w:val="003A22DE"/>
    <w:rsid w:val="003A2860"/>
    <w:rsid w:val="003A3C35"/>
    <w:rsid w:val="003A7D30"/>
    <w:rsid w:val="003B1222"/>
    <w:rsid w:val="003B1B15"/>
    <w:rsid w:val="003B3C5C"/>
    <w:rsid w:val="003B7ADF"/>
    <w:rsid w:val="003B7D63"/>
    <w:rsid w:val="003C36AB"/>
    <w:rsid w:val="003C47CA"/>
    <w:rsid w:val="003C6FE5"/>
    <w:rsid w:val="003D14D1"/>
    <w:rsid w:val="003D6DE1"/>
    <w:rsid w:val="003D7655"/>
    <w:rsid w:val="003D795C"/>
    <w:rsid w:val="003E067C"/>
    <w:rsid w:val="003E1C77"/>
    <w:rsid w:val="003E30FB"/>
    <w:rsid w:val="003F05D5"/>
    <w:rsid w:val="003F13B8"/>
    <w:rsid w:val="003F2711"/>
    <w:rsid w:val="003F4784"/>
    <w:rsid w:val="003F6C70"/>
    <w:rsid w:val="003F7CB9"/>
    <w:rsid w:val="004015D4"/>
    <w:rsid w:val="00403333"/>
    <w:rsid w:val="004070A1"/>
    <w:rsid w:val="00411735"/>
    <w:rsid w:val="004128CA"/>
    <w:rsid w:val="00412F8D"/>
    <w:rsid w:val="00416930"/>
    <w:rsid w:val="004169A1"/>
    <w:rsid w:val="00417858"/>
    <w:rsid w:val="00422EE2"/>
    <w:rsid w:val="00423E9C"/>
    <w:rsid w:val="004244E8"/>
    <w:rsid w:val="004267F9"/>
    <w:rsid w:val="00426803"/>
    <w:rsid w:val="0043018D"/>
    <w:rsid w:val="00430A4E"/>
    <w:rsid w:val="0043654D"/>
    <w:rsid w:val="00437FD6"/>
    <w:rsid w:val="00444961"/>
    <w:rsid w:val="004476CC"/>
    <w:rsid w:val="004506F5"/>
    <w:rsid w:val="00451840"/>
    <w:rsid w:val="00457DE6"/>
    <w:rsid w:val="00460C9A"/>
    <w:rsid w:val="00460DFB"/>
    <w:rsid w:val="00464924"/>
    <w:rsid w:val="00464C05"/>
    <w:rsid w:val="00470698"/>
    <w:rsid w:val="0047581D"/>
    <w:rsid w:val="00480289"/>
    <w:rsid w:val="004805A7"/>
    <w:rsid w:val="004809D7"/>
    <w:rsid w:val="00481279"/>
    <w:rsid w:val="00483368"/>
    <w:rsid w:val="00487575"/>
    <w:rsid w:val="00494011"/>
    <w:rsid w:val="00497612"/>
    <w:rsid w:val="00497D3F"/>
    <w:rsid w:val="004A0BF4"/>
    <w:rsid w:val="004A263B"/>
    <w:rsid w:val="004A5AAF"/>
    <w:rsid w:val="004A65DA"/>
    <w:rsid w:val="004A68EF"/>
    <w:rsid w:val="004A7742"/>
    <w:rsid w:val="004B4F68"/>
    <w:rsid w:val="004B68AE"/>
    <w:rsid w:val="004C2CD0"/>
    <w:rsid w:val="004C35B0"/>
    <w:rsid w:val="004C4465"/>
    <w:rsid w:val="004C49EF"/>
    <w:rsid w:val="004C4A19"/>
    <w:rsid w:val="004C552D"/>
    <w:rsid w:val="004C5570"/>
    <w:rsid w:val="004C797B"/>
    <w:rsid w:val="004D00C9"/>
    <w:rsid w:val="004D0ADD"/>
    <w:rsid w:val="004D4415"/>
    <w:rsid w:val="004D6EE1"/>
    <w:rsid w:val="004E16F5"/>
    <w:rsid w:val="004E1E85"/>
    <w:rsid w:val="004E3CC7"/>
    <w:rsid w:val="004E4D36"/>
    <w:rsid w:val="004E5B69"/>
    <w:rsid w:val="004F2A87"/>
    <w:rsid w:val="0050517E"/>
    <w:rsid w:val="00507C56"/>
    <w:rsid w:val="0051060B"/>
    <w:rsid w:val="0051696B"/>
    <w:rsid w:val="00517B55"/>
    <w:rsid w:val="0052344E"/>
    <w:rsid w:val="00526385"/>
    <w:rsid w:val="00526478"/>
    <w:rsid w:val="00526518"/>
    <w:rsid w:val="00530204"/>
    <w:rsid w:val="00530374"/>
    <w:rsid w:val="00530DC9"/>
    <w:rsid w:val="00534C5F"/>
    <w:rsid w:val="00540257"/>
    <w:rsid w:val="0054192F"/>
    <w:rsid w:val="00544EB3"/>
    <w:rsid w:val="0054594B"/>
    <w:rsid w:val="0054749B"/>
    <w:rsid w:val="00551CC6"/>
    <w:rsid w:val="00555284"/>
    <w:rsid w:val="00555FFD"/>
    <w:rsid w:val="00560541"/>
    <w:rsid w:val="0056342A"/>
    <w:rsid w:val="005672D0"/>
    <w:rsid w:val="00570CB1"/>
    <w:rsid w:val="00572666"/>
    <w:rsid w:val="00572CEB"/>
    <w:rsid w:val="005834C9"/>
    <w:rsid w:val="00587E97"/>
    <w:rsid w:val="00592EB1"/>
    <w:rsid w:val="0059419C"/>
    <w:rsid w:val="00597597"/>
    <w:rsid w:val="00597AED"/>
    <w:rsid w:val="005A1500"/>
    <w:rsid w:val="005A1FBB"/>
    <w:rsid w:val="005A40A9"/>
    <w:rsid w:val="005A58BA"/>
    <w:rsid w:val="005A5D30"/>
    <w:rsid w:val="005A6AB9"/>
    <w:rsid w:val="005B057D"/>
    <w:rsid w:val="005B3421"/>
    <w:rsid w:val="005B7100"/>
    <w:rsid w:val="005C333E"/>
    <w:rsid w:val="005C3AE7"/>
    <w:rsid w:val="005C46E8"/>
    <w:rsid w:val="005C69E9"/>
    <w:rsid w:val="005D0677"/>
    <w:rsid w:val="005D5389"/>
    <w:rsid w:val="005D5741"/>
    <w:rsid w:val="005D6E8A"/>
    <w:rsid w:val="005E294C"/>
    <w:rsid w:val="005E2CE3"/>
    <w:rsid w:val="005E44D4"/>
    <w:rsid w:val="005F150E"/>
    <w:rsid w:val="005F3F07"/>
    <w:rsid w:val="005F670E"/>
    <w:rsid w:val="00600EC2"/>
    <w:rsid w:val="00601169"/>
    <w:rsid w:val="006031F1"/>
    <w:rsid w:val="00603D04"/>
    <w:rsid w:val="00604B30"/>
    <w:rsid w:val="00606857"/>
    <w:rsid w:val="00610709"/>
    <w:rsid w:val="0061387F"/>
    <w:rsid w:val="006159F0"/>
    <w:rsid w:val="00615F42"/>
    <w:rsid w:val="00623FE7"/>
    <w:rsid w:val="00624C8C"/>
    <w:rsid w:val="00625022"/>
    <w:rsid w:val="006258C2"/>
    <w:rsid w:val="00626365"/>
    <w:rsid w:val="00630E22"/>
    <w:rsid w:val="00634562"/>
    <w:rsid w:val="00634F56"/>
    <w:rsid w:val="006358B6"/>
    <w:rsid w:val="0064082B"/>
    <w:rsid w:val="0064168C"/>
    <w:rsid w:val="00644E0E"/>
    <w:rsid w:val="00645D4D"/>
    <w:rsid w:val="006466C1"/>
    <w:rsid w:val="00650643"/>
    <w:rsid w:val="00651BF9"/>
    <w:rsid w:val="00654060"/>
    <w:rsid w:val="00657B46"/>
    <w:rsid w:val="00663BC8"/>
    <w:rsid w:val="00664DA6"/>
    <w:rsid w:val="00665A1C"/>
    <w:rsid w:val="006738D3"/>
    <w:rsid w:val="006751A9"/>
    <w:rsid w:val="006764EC"/>
    <w:rsid w:val="006835FE"/>
    <w:rsid w:val="0068460B"/>
    <w:rsid w:val="006862AD"/>
    <w:rsid w:val="00687AF5"/>
    <w:rsid w:val="00693BFD"/>
    <w:rsid w:val="00695065"/>
    <w:rsid w:val="006A1038"/>
    <w:rsid w:val="006A5067"/>
    <w:rsid w:val="006A5FCB"/>
    <w:rsid w:val="006A649A"/>
    <w:rsid w:val="006A6909"/>
    <w:rsid w:val="006A7F8E"/>
    <w:rsid w:val="006B17BC"/>
    <w:rsid w:val="006B1B49"/>
    <w:rsid w:val="006B4A7B"/>
    <w:rsid w:val="006B6390"/>
    <w:rsid w:val="006C0356"/>
    <w:rsid w:val="006C0843"/>
    <w:rsid w:val="006C0D5E"/>
    <w:rsid w:val="006C74B1"/>
    <w:rsid w:val="006D0EEB"/>
    <w:rsid w:val="006D191C"/>
    <w:rsid w:val="006D3094"/>
    <w:rsid w:val="006D3FDF"/>
    <w:rsid w:val="006D5B45"/>
    <w:rsid w:val="006D7972"/>
    <w:rsid w:val="006E57AA"/>
    <w:rsid w:val="006F1E3D"/>
    <w:rsid w:val="006F20CF"/>
    <w:rsid w:val="006F38ED"/>
    <w:rsid w:val="006F6C2A"/>
    <w:rsid w:val="00702B5D"/>
    <w:rsid w:val="0070458D"/>
    <w:rsid w:val="00705392"/>
    <w:rsid w:val="0070626A"/>
    <w:rsid w:val="00706984"/>
    <w:rsid w:val="00707D4D"/>
    <w:rsid w:val="007140AE"/>
    <w:rsid w:val="00714FC4"/>
    <w:rsid w:val="00723503"/>
    <w:rsid w:val="00730C04"/>
    <w:rsid w:val="0073597B"/>
    <w:rsid w:val="007378F6"/>
    <w:rsid w:val="00742C65"/>
    <w:rsid w:val="00742E7E"/>
    <w:rsid w:val="0074361F"/>
    <w:rsid w:val="00744741"/>
    <w:rsid w:val="0074545D"/>
    <w:rsid w:val="00746406"/>
    <w:rsid w:val="00747D80"/>
    <w:rsid w:val="007522E3"/>
    <w:rsid w:val="007525EB"/>
    <w:rsid w:val="0075335B"/>
    <w:rsid w:val="00753C44"/>
    <w:rsid w:val="00754383"/>
    <w:rsid w:val="00755B00"/>
    <w:rsid w:val="007564D1"/>
    <w:rsid w:val="00757232"/>
    <w:rsid w:val="00760679"/>
    <w:rsid w:val="00760784"/>
    <w:rsid w:val="00762867"/>
    <w:rsid w:val="00763628"/>
    <w:rsid w:val="00764F05"/>
    <w:rsid w:val="00767032"/>
    <w:rsid w:val="00767258"/>
    <w:rsid w:val="00767E99"/>
    <w:rsid w:val="00767F8A"/>
    <w:rsid w:val="00772E62"/>
    <w:rsid w:val="00776740"/>
    <w:rsid w:val="0077789B"/>
    <w:rsid w:val="007804CA"/>
    <w:rsid w:val="00780D29"/>
    <w:rsid w:val="00781159"/>
    <w:rsid w:val="00782D70"/>
    <w:rsid w:val="00784418"/>
    <w:rsid w:val="00786524"/>
    <w:rsid w:val="00791C8D"/>
    <w:rsid w:val="0079256E"/>
    <w:rsid w:val="00793ACF"/>
    <w:rsid w:val="00794181"/>
    <w:rsid w:val="00794C8F"/>
    <w:rsid w:val="007A2454"/>
    <w:rsid w:val="007A77B6"/>
    <w:rsid w:val="007A7F6F"/>
    <w:rsid w:val="007B1A6F"/>
    <w:rsid w:val="007B1AEE"/>
    <w:rsid w:val="007B2289"/>
    <w:rsid w:val="007B43F2"/>
    <w:rsid w:val="007B4C76"/>
    <w:rsid w:val="007B5974"/>
    <w:rsid w:val="007C2260"/>
    <w:rsid w:val="007C2ED5"/>
    <w:rsid w:val="007C4720"/>
    <w:rsid w:val="007C60F0"/>
    <w:rsid w:val="007D1E52"/>
    <w:rsid w:val="007D2358"/>
    <w:rsid w:val="007D6485"/>
    <w:rsid w:val="007E0F01"/>
    <w:rsid w:val="007E299C"/>
    <w:rsid w:val="007E39E4"/>
    <w:rsid w:val="007E412F"/>
    <w:rsid w:val="007E575D"/>
    <w:rsid w:val="007E6FB3"/>
    <w:rsid w:val="007F21B4"/>
    <w:rsid w:val="007F295A"/>
    <w:rsid w:val="007F637B"/>
    <w:rsid w:val="00801A50"/>
    <w:rsid w:val="00802553"/>
    <w:rsid w:val="00803EAB"/>
    <w:rsid w:val="00803FF0"/>
    <w:rsid w:val="00804098"/>
    <w:rsid w:val="008046B5"/>
    <w:rsid w:val="008059B9"/>
    <w:rsid w:val="008127C0"/>
    <w:rsid w:val="00812EDD"/>
    <w:rsid w:val="008139C5"/>
    <w:rsid w:val="008152B9"/>
    <w:rsid w:val="0081650F"/>
    <w:rsid w:val="00822F94"/>
    <w:rsid w:val="00832B31"/>
    <w:rsid w:val="00836539"/>
    <w:rsid w:val="008403E0"/>
    <w:rsid w:val="00843A84"/>
    <w:rsid w:val="008461DB"/>
    <w:rsid w:val="0084657B"/>
    <w:rsid w:val="008472B1"/>
    <w:rsid w:val="00855944"/>
    <w:rsid w:val="00864A18"/>
    <w:rsid w:val="00865CAF"/>
    <w:rsid w:val="00870833"/>
    <w:rsid w:val="00873B8A"/>
    <w:rsid w:val="00874571"/>
    <w:rsid w:val="0087762C"/>
    <w:rsid w:val="00880417"/>
    <w:rsid w:val="008806FF"/>
    <w:rsid w:val="00881F93"/>
    <w:rsid w:val="00882CB5"/>
    <w:rsid w:val="00883641"/>
    <w:rsid w:val="008841AB"/>
    <w:rsid w:val="00884666"/>
    <w:rsid w:val="00884E69"/>
    <w:rsid w:val="008867FA"/>
    <w:rsid w:val="00886D2A"/>
    <w:rsid w:val="00890082"/>
    <w:rsid w:val="00891470"/>
    <w:rsid w:val="008942B7"/>
    <w:rsid w:val="00897B03"/>
    <w:rsid w:val="008A48D2"/>
    <w:rsid w:val="008B0B54"/>
    <w:rsid w:val="008B2610"/>
    <w:rsid w:val="008B444D"/>
    <w:rsid w:val="008B471D"/>
    <w:rsid w:val="008B49E4"/>
    <w:rsid w:val="008B729C"/>
    <w:rsid w:val="008C0377"/>
    <w:rsid w:val="008C4A93"/>
    <w:rsid w:val="008C5C5C"/>
    <w:rsid w:val="008C6057"/>
    <w:rsid w:val="008C6445"/>
    <w:rsid w:val="008D2B2D"/>
    <w:rsid w:val="008D5FDB"/>
    <w:rsid w:val="008E0E49"/>
    <w:rsid w:val="008E1A1E"/>
    <w:rsid w:val="008E35FD"/>
    <w:rsid w:val="008E6227"/>
    <w:rsid w:val="008E7B2C"/>
    <w:rsid w:val="008F203A"/>
    <w:rsid w:val="008F423D"/>
    <w:rsid w:val="008F472B"/>
    <w:rsid w:val="008F661D"/>
    <w:rsid w:val="009016DF"/>
    <w:rsid w:val="0090543D"/>
    <w:rsid w:val="009056C5"/>
    <w:rsid w:val="009122DF"/>
    <w:rsid w:val="00915A5C"/>
    <w:rsid w:val="009260BC"/>
    <w:rsid w:val="009262F2"/>
    <w:rsid w:val="0093699D"/>
    <w:rsid w:val="009375C6"/>
    <w:rsid w:val="00937791"/>
    <w:rsid w:val="0094603C"/>
    <w:rsid w:val="009468E9"/>
    <w:rsid w:val="00947347"/>
    <w:rsid w:val="00951552"/>
    <w:rsid w:val="00951933"/>
    <w:rsid w:val="00951AA8"/>
    <w:rsid w:val="009525CF"/>
    <w:rsid w:val="00954343"/>
    <w:rsid w:val="00955271"/>
    <w:rsid w:val="0096179C"/>
    <w:rsid w:val="00963C9C"/>
    <w:rsid w:val="00965B6B"/>
    <w:rsid w:val="00967D13"/>
    <w:rsid w:val="009712C2"/>
    <w:rsid w:val="00971EDB"/>
    <w:rsid w:val="00974D50"/>
    <w:rsid w:val="00984B5A"/>
    <w:rsid w:val="00987ABE"/>
    <w:rsid w:val="0099086A"/>
    <w:rsid w:val="00991743"/>
    <w:rsid w:val="00991EE4"/>
    <w:rsid w:val="00992395"/>
    <w:rsid w:val="00993225"/>
    <w:rsid w:val="009939DC"/>
    <w:rsid w:val="00993B9C"/>
    <w:rsid w:val="009A175E"/>
    <w:rsid w:val="009A6B30"/>
    <w:rsid w:val="009B096B"/>
    <w:rsid w:val="009B1A47"/>
    <w:rsid w:val="009B4E1E"/>
    <w:rsid w:val="009B72B6"/>
    <w:rsid w:val="009C03FB"/>
    <w:rsid w:val="009C0E1C"/>
    <w:rsid w:val="009C4B4F"/>
    <w:rsid w:val="009C547F"/>
    <w:rsid w:val="009C5908"/>
    <w:rsid w:val="009C5C73"/>
    <w:rsid w:val="009C5E4E"/>
    <w:rsid w:val="009C7CB1"/>
    <w:rsid w:val="009D119A"/>
    <w:rsid w:val="009E199D"/>
    <w:rsid w:val="009E39B3"/>
    <w:rsid w:val="009E3F15"/>
    <w:rsid w:val="009E4BC5"/>
    <w:rsid w:val="009E5E0D"/>
    <w:rsid w:val="009F0C02"/>
    <w:rsid w:val="009F4B8A"/>
    <w:rsid w:val="009F5758"/>
    <w:rsid w:val="00A01778"/>
    <w:rsid w:val="00A0283F"/>
    <w:rsid w:val="00A039BB"/>
    <w:rsid w:val="00A04F4A"/>
    <w:rsid w:val="00A07A5B"/>
    <w:rsid w:val="00A11884"/>
    <w:rsid w:val="00A21238"/>
    <w:rsid w:val="00A25448"/>
    <w:rsid w:val="00A255E9"/>
    <w:rsid w:val="00A26343"/>
    <w:rsid w:val="00A26496"/>
    <w:rsid w:val="00A315E6"/>
    <w:rsid w:val="00A319E1"/>
    <w:rsid w:val="00A335C4"/>
    <w:rsid w:val="00A346AD"/>
    <w:rsid w:val="00A35658"/>
    <w:rsid w:val="00A35D71"/>
    <w:rsid w:val="00A3687B"/>
    <w:rsid w:val="00A36A00"/>
    <w:rsid w:val="00A408B5"/>
    <w:rsid w:val="00A41F07"/>
    <w:rsid w:val="00A4295D"/>
    <w:rsid w:val="00A43F99"/>
    <w:rsid w:val="00A517A7"/>
    <w:rsid w:val="00A518F6"/>
    <w:rsid w:val="00A529E2"/>
    <w:rsid w:val="00A539F8"/>
    <w:rsid w:val="00A574EF"/>
    <w:rsid w:val="00A57FE5"/>
    <w:rsid w:val="00A614BA"/>
    <w:rsid w:val="00A6233C"/>
    <w:rsid w:val="00A6491A"/>
    <w:rsid w:val="00A6594E"/>
    <w:rsid w:val="00A66B57"/>
    <w:rsid w:val="00A723B2"/>
    <w:rsid w:val="00A727B6"/>
    <w:rsid w:val="00A74B33"/>
    <w:rsid w:val="00A753FE"/>
    <w:rsid w:val="00A75931"/>
    <w:rsid w:val="00A81CC6"/>
    <w:rsid w:val="00A8399A"/>
    <w:rsid w:val="00A83EC6"/>
    <w:rsid w:val="00A8732C"/>
    <w:rsid w:val="00A9062D"/>
    <w:rsid w:val="00A93C3A"/>
    <w:rsid w:val="00A93F58"/>
    <w:rsid w:val="00A945C9"/>
    <w:rsid w:val="00A953C4"/>
    <w:rsid w:val="00A960E7"/>
    <w:rsid w:val="00A96329"/>
    <w:rsid w:val="00A9721E"/>
    <w:rsid w:val="00AA0665"/>
    <w:rsid w:val="00AA1253"/>
    <w:rsid w:val="00AA134B"/>
    <w:rsid w:val="00AA1715"/>
    <w:rsid w:val="00AA2CFE"/>
    <w:rsid w:val="00AA2E5C"/>
    <w:rsid w:val="00AA5FDA"/>
    <w:rsid w:val="00AA6291"/>
    <w:rsid w:val="00AB3030"/>
    <w:rsid w:val="00AB4C19"/>
    <w:rsid w:val="00AC0C91"/>
    <w:rsid w:val="00AC4D2A"/>
    <w:rsid w:val="00AC7D20"/>
    <w:rsid w:val="00AD081C"/>
    <w:rsid w:val="00AD1471"/>
    <w:rsid w:val="00AD37D4"/>
    <w:rsid w:val="00AD7986"/>
    <w:rsid w:val="00AE1188"/>
    <w:rsid w:val="00AE1341"/>
    <w:rsid w:val="00AE738C"/>
    <w:rsid w:val="00AE749A"/>
    <w:rsid w:val="00AF0CB1"/>
    <w:rsid w:val="00AF1046"/>
    <w:rsid w:val="00AF36BF"/>
    <w:rsid w:val="00AF4466"/>
    <w:rsid w:val="00AF5D1E"/>
    <w:rsid w:val="00AF7E5C"/>
    <w:rsid w:val="00AF7F79"/>
    <w:rsid w:val="00B040A9"/>
    <w:rsid w:val="00B112E4"/>
    <w:rsid w:val="00B1370D"/>
    <w:rsid w:val="00B13F47"/>
    <w:rsid w:val="00B15DCB"/>
    <w:rsid w:val="00B1711E"/>
    <w:rsid w:val="00B17158"/>
    <w:rsid w:val="00B17CBE"/>
    <w:rsid w:val="00B17E26"/>
    <w:rsid w:val="00B20F99"/>
    <w:rsid w:val="00B231A4"/>
    <w:rsid w:val="00B25D20"/>
    <w:rsid w:val="00B26905"/>
    <w:rsid w:val="00B26DA6"/>
    <w:rsid w:val="00B27CA1"/>
    <w:rsid w:val="00B31C99"/>
    <w:rsid w:val="00B45573"/>
    <w:rsid w:val="00B46F12"/>
    <w:rsid w:val="00B47D47"/>
    <w:rsid w:val="00B53BA6"/>
    <w:rsid w:val="00B5731D"/>
    <w:rsid w:val="00B6378B"/>
    <w:rsid w:val="00B63E3A"/>
    <w:rsid w:val="00B657B1"/>
    <w:rsid w:val="00B6746A"/>
    <w:rsid w:val="00B71C91"/>
    <w:rsid w:val="00B72874"/>
    <w:rsid w:val="00B75965"/>
    <w:rsid w:val="00B771AD"/>
    <w:rsid w:val="00B814CB"/>
    <w:rsid w:val="00B83CCB"/>
    <w:rsid w:val="00B83DAF"/>
    <w:rsid w:val="00B9119A"/>
    <w:rsid w:val="00B94039"/>
    <w:rsid w:val="00B97739"/>
    <w:rsid w:val="00BA0CF8"/>
    <w:rsid w:val="00BA1ADF"/>
    <w:rsid w:val="00BA2E4A"/>
    <w:rsid w:val="00BA41FB"/>
    <w:rsid w:val="00BA51FC"/>
    <w:rsid w:val="00BA6034"/>
    <w:rsid w:val="00BA61B7"/>
    <w:rsid w:val="00BA79E9"/>
    <w:rsid w:val="00BB003A"/>
    <w:rsid w:val="00BB0457"/>
    <w:rsid w:val="00BB3358"/>
    <w:rsid w:val="00BB3382"/>
    <w:rsid w:val="00BB3620"/>
    <w:rsid w:val="00BB3643"/>
    <w:rsid w:val="00BB44D6"/>
    <w:rsid w:val="00BB4507"/>
    <w:rsid w:val="00BB658E"/>
    <w:rsid w:val="00BC20B9"/>
    <w:rsid w:val="00BC3DA0"/>
    <w:rsid w:val="00BC424B"/>
    <w:rsid w:val="00BC4257"/>
    <w:rsid w:val="00BC5450"/>
    <w:rsid w:val="00BC6455"/>
    <w:rsid w:val="00BC65D2"/>
    <w:rsid w:val="00BD1415"/>
    <w:rsid w:val="00BD4EAE"/>
    <w:rsid w:val="00BD51A8"/>
    <w:rsid w:val="00BD548F"/>
    <w:rsid w:val="00BD768A"/>
    <w:rsid w:val="00BE0FDE"/>
    <w:rsid w:val="00BF098A"/>
    <w:rsid w:val="00BF6AC5"/>
    <w:rsid w:val="00C01121"/>
    <w:rsid w:val="00C030A5"/>
    <w:rsid w:val="00C05A45"/>
    <w:rsid w:val="00C06B85"/>
    <w:rsid w:val="00C0796F"/>
    <w:rsid w:val="00C07DE1"/>
    <w:rsid w:val="00C11B34"/>
    <w:rsid w:val="00C12C5C"/>
    <w:rsid w:val="00C14433"/>
    <w:rsid w:val="00C1575E"/>
    <w:rsid w:val="00C1671C"/>
    <w:rsid w:val="00C171FB"/>
    <w:rsid w:val="00C209C2"/>
    <w:rsid w:val="00C20E26"/>
    <w:rsid w:val="00C21B58"/>
    <w:rsid w:val="00C2267F"/>
    <w:rsid w:val="00C22AD8"/>
    <w:rsid w:val="00C253BB"/>
    <w:rsid w:val="00C25F19"/>
    <w:rsid w:val="00C30A10"/>
    <w:rsid w:val="00C3557E"/>
    <w:rsid w:val="00C3594B"/>
    <w:rsid w:val="00C37145"/>
    <w:rsid w:val="00C373A6"/>
    <w:rsid w:val="00C41623"/>
    <w:rsid w:val="00C43102"/>
    <w:rsid w:val="00C464C0"/>
    <w:rsid w:val="00C4696B"/>
    <w:rsid w:val="00C47597"/>
    <w:rsid w:val="00C50513"/>
    <w:rsid w:val="00C52284"/>
    <w:rsid w:val="00C54503"/>
    <w:rsid w:val="00C54F83"/>
    <w:rsid w:val="00C6046A"/>
    <w:rsid w:val="00C60C66"/>
    <w:rsid w:val="00C62577"/>
    <w:rsid w:val="00C62A07"/>
    <w:rsid w:val="00C62BE4"/>
    <w:rsid w:val="00C63055"/>
    <w:rsid w:val="00C670AC"/>
    <w:rsid w:val="00C71965"/>
    <w:rsid w:val="00C72479"/>
    <w:rsid w:val="00C73A31"/>
    <w:rsid w:val="00C73B62"/>
    <w:rsid w:val="00C75E9B"/>
    <w:rsid w:val="00C776B1"/>
    <w:rsid w:val="00C8122E"/>
    <w:rsid w:val="00C815FE"/>
    <w:rsid w:val="00C847AE"/>
    <w:rsid w:val="00C870D1"/>
    <w:rsid w:val="00C90759"/>
    <w:rsid w:val="00C90912"/>
    <w:rsid w:val="00C93A9D"/>
    <w:rsid w:val="00CA04C6"/>
    <w:rsid w:val="00CA24D5"/>
    <w:rsid w:val="00CA26DD"/>
    <w:rsid w:val="00CA4EFC"/>
    <w:rsid w:val="00CA6F0F"/>
    <w:rsid w:val="00CA7B3F"/>
    <w:rsid w:val="00CB10B9"/>
    <w:rsid w:val="00CB12EC"/>
    <w:rsid w:val="00CB1A75"/>
    <w:rsid w:val="00CB2492"/>
    <w:rsid w:val="00CB57FC"/>
    <w:rsid w:val="00CC09D7"/>
    <w:rsid w:val="00CC12B8"/>
    <w:rsid w:val="00CC2139"/>
    <w:rsid w:val="00CC2387"/>
    <w:rsid w:val="00CC3E73"/>
    <w:rsid w:val="00CC5CA0"/>
    <w:rsid w:val="00CD22E3"/>
    <w:rsid w:val="00CD4E44"/>
    <w:rsid w:val="00CD5AE4"/>
    <w:rsid w:val="00CD7A7D"/>
    <w:rsid w:val="00CE0804"/>
    <w:rsid w:val="00CE1ED3"/>
    <w:rsid w:val="00CE5856"/>
    <w:rsid w:val="00CF2D8E"/>
    <w:rsid w:val="00CF2DFA"/>
    <w:rsid w:val="00CF4A06"/>
    <w:rsid w:val="00CF5078"/>
    <w:rsid w:val="00CF5AD8"/>
    <w:rsid w:val="00CF7AE6"/>
    <w:rsid w:val="00D00122"/>
    <w:rsid w:val="00D01D2A"/>
    <w:rsid w:val="00D07C73"/>
    <w:rsid w:val="00D10B47"/>
    <w:rsid w:val="00D11EB1"/>
    <w:rsid w:val="00D16058"/>
    <w:rsid w:val="00D168FC"/>
    <w:rsid w:val="00D17F17"/>
    <w:rsid w:val="00D23597"/>
    <w:rsid w:val="00D24820"/>
    <w:rsid w:val="00D26F27"/>
    <w:rsid w:val="00D27068"/>
    <w:rsid w:val="00D30BDC"/>
    <w:rsid w:val="00D330FD"/>
    <w:rsid w:val="00D37D57"/>
    <w:rsid w:val="00D434C0"/>
    <w:rsid w:val="00D47DE0"/>
    <w:rsid w:val="00D50C20"/>
    <w:rsid w:val="00D534F3"/>
    <w:rsid w:val="00D57F88"/>
    <w:rsid w:val="00D60CEB"/>
    <w:rsid w:val="00D70BD5"/>
    <w:rsid w:val="00D7105C"/>
    <w:rsid w:val="00D73646"/>
    <w:rsid w:val="00D75D10"/>
    <w:rsid w:val="00D777B4"/>
    <w:rsid w:val="00D77A90"/>
    <w:rsid w:val="00D8360B"/>
    <w:rsid w:val="00D85676"/>
    <w:rsid w:val="00D85D2C"/>
    <w:rsid w:val="00D96ADA"/>
    <w:rsid w:val="00DA042E"/>
    <w:rsid w:val="00DA2886"/>
    <w:rsid w:val="00DA4182"/>
    <w:rsid w:val="00DA5E50"/>
    <w:rsid w:val="00DA7D0C"/>
    <w:rsid w:val="00DB0742"/>
    <w:rsid w:val="00DB311C"/>
    <w:rsid w:val="00DB432D"/>
    <w:rsid w:val="00DB4541"/>
    <w:rsid w:val="00DB519B"/>
    <w:rsid w:val="00DC0C84"/>
    <w:rsid w:val="00DC42AC"/>
    <w:rsid w:val="00DC4F29"/>
    <w:rsid w:val="00DC7694"/>
    <w:rsid w:val="00DC7FBE"/>
    <w:rsid w:val="00DD11C1"/>
    <w:rsid w:val="00DD130E"/>
    <w:rsid w:val="00DD188E"/>
    <w:rsid w:val="00DD1E38"/>
    <w:rsid w:val="00DD308E"/>
    <w:rsid w:val="00DD5436"/>
    <w:rsid w:val="00DE2B77"/>
    <w:rsid w:val="00DE4A29"/>
    <w:rsid w:val="00DE4A39"/>
    <w:rsid w:val="00DF0C51"/>
    <w:rsid w:val="00DF0D47"/>
    <w:rsid w:val="00DF1652"/>
    <w:rsid w:val="00DF6D37"/>
    <w:rsid w:val="00DF77C4"/>
    <w:rsid w:val="00E02020"/>
    <w:rsid w:val="00E03D1C"/>
    <w:rsid w:val="00E048ED"/>
    <w:rsid w:val="00E04B2D"/>
    <w:rsid w:val="00E04FB3"/>
    <w:rsid w:val="00E058F2"/>
    <w:rsid w:val="00E05D9C"/>
    <w:rsid w:val="00E06102"/>
    <w:rsid w:val="00E1022E"/>
    <w:rsid w:val="00E1193E"/>
    <w:rsid w:val="00E11EA5"/>
    <w:rsid w:val="00E122FA"/>
    <w:rsid w:val="00E14866"/>
    <w:rsid w:val="00E23E71"/>
    <w:rsid w:val="00E264C9"/>
    <w:rsid w:val="00E27378"/>
    <w:rsid w:val="00E30F19"/>
    <w:rsid w:val="00E323ED"/>
    <w:rsid w:val="00E32472"/>
    <w:rsid w:val="00E33A81"/>
    <w:rsid w:val="00E33C4A"/>
    <w:rsid w:val="00E357B9"/>
    <w:rsid w:val="00E41732"/>
    <w:rsid w:val="00E4321E"/>
    <w:rsid w:val="00E4360B"/>
    <w:rsid w:val="00E43DC2"/>
    <w:rsid w:val="00E4482D"/>
    <w:rsid w:val="00E44B80"/>
    <w:rsid w:val="00E44EB3"/>
    <w:rsid w:val="00E47593"/>
    <w:rsid w:val="00E47623"/>
    <w:rsid w:val="00E50BD8"/>
    <w:rsid w:val="00E530BC"/>
    <w:rsid w:val="00E530DF"/>
    <w:rsid w:val="00E539D7"/>
    <w:rsid w:val="00E54E00"/>
    <w:rsid w:val="00E557F6"/>
    <w:rsid w:val="00E60529"/>
    <w:rsid w:val="00E65D03"/>
    <w:rsid w:val="00E70D86"/>
    <w:rsid w:val="00E73010"/>
    <w:rsid w:val="00E74264"/>
    <w:rsid w:val="00E7628E"/>
    <w:rsid w:val="00E8275F"/>
    <w:rsid w:val="00E82F54"/>
    <w:rsid w:val="00E8649B"/>
    <w:rsid w:val="00E871CD"/>
    <w:rsid w:val="00E90990"/>
    <w:rsid w:val="00E93CF5"/>
    <w:rsid w:val="00E93D60"/>
    <w:rsid w:val="00E95D3D"/>
    <w:rsid w:val="00EA0E25"/>
    <w:rsid w:val="00EA173C"/>
    <w:rsid w:val="00EA2D0E"/>
    <w:rsid w:val="00EA6F21"/>
    <w:rsid w:val="00EB0182"/>
    <w:rsid w:val="00EB60A6"/>
    <w:rsid w:val="00EB7330"/>
    <w:rsid w:val="00EC0479"/>
    <w:rsid w:val="00EC127A"/>
    <w:rsid w:val="00EC1FF9"/>
    <w:rsid w:val="00EC2737"/>
    <w:rsid w:val="00EC385C"/>
    <w:rsid w:val="00EC4795"/>
    <w:rsid w:val="00ED15C6"/>
    <w:rsid w:val="00EE0556"/>
    <w:rsid w:val="00EE132E"/>
    <w:rsid w:val="00EE15E7"/>
    <w:rsid w:val="00EE2716"/>
    <w:rsid w:val="00EE2A96"/>
    <w:rsid w:val="00EE6450"/>
    <w:rsid w:val="00EE700C"/>
    <w:rsid w:val="00EE7C89"/>
    <w:rsid w:val="00EF4007"/>
    <w:rsid w:val="00EF5477"/>
    <w:rsid w:val="00EF5E2F"/>
    <w:rsid w:val="00EF7B2C"/>
    <w:rsid w:val="00EF7C08"/>
    <w:rsid w:val="00F01C2C"/>
    <w:rsid w:val="00F02BC0"/>
    <w:rsid w:val="00F03C1A"/>
    <w:rsid w:val="00F0403F"/>
    <w:rsid w:val="00F10ED8"/>
    <w:rsid w:val="00F11A4D"/>
    <w:rsid w:val="00F160A2"/>
    <w:rsid w:val="00F222BE"/>
    <w:rsid w:val="00F22C33"/>
    <w:rsid w:val="00F2362E"/>
    <w:rsid w:val="00F24179"/>
    <w:rsid w:val="00F25F0D"/>
    <w:rsid w:val="00F301F1"/>
    <w:rsid w:val="00F30880"/>
    <w:rsid w:val="00F30C22"/>
    <w:rsid w:val="00F321FF"/>
    <w:rsid w:val="00F3378E"/>
    <w:rsid w:val="00F33F1A"/>
    <w:rsid w:val="00F34AEC"/>
    <w:rsid w:val="00F357AB"/>
    <w:rsid w:val="00F378D5"/>
    <w:rsid w:val="00F404F1"/>
    <w:rsid w:val="00F41E8D"/>
    <w:rsid w:val="00F435DC"/>
    <w:rsid w:val="00F46093"/>
    <w:rsid w:val="00F50811"/>
    <w:rsid w:val="00F5469B"/>
    <w:rsid w:val="00F547F7"/>
    <w:rsid w:val="00F54CCF"/>
    <w:rsid w:val="00F54EEB"/>
    <w:rsid w:val="00F57C73"/>
    <w:rsid w:val="00F61D7A"/>
    <w:rsid w:val="00F637B3"/>
    <w:rsid w:val="00F63A62"/>
    <w:rsid w:val="00F6406F"/>
    <w:rsid w:val="00F66CF7"/>
    <w:rsid w:val="00F6730E"/>
    <w:rsid w:val="00F67BCB"/>
    <w:rsid w:val="00F71702"/>
    <w:rsid w:val="00F77212"/>
    <w:rsid w:val="00F77C57"/>
    <w:rsid w:val="00F813C7"/>
    <w:rsid w:val="00F832AC"/>
    <w:rsid w:val="00F83566"/>
    <w:rsid w:val="00F83A9D"/>
    <w:rsid w:val="00F906B5"/>
    <w:rsid w:val="00F93784"/>
    <w:rsid w:val="00F971CC"/>
    <w:rsid w:val="00FA1CC7"/>
    <w:rsid w:val="00FA2CAA"/>
    <w:rsid w:val="00FA3DA1"/>
    <w:rsid w:val="00FA5346"/>
    <w:rsid w:val="00FA61C4"/>
    <w:rsid w:val="00FA6554"/>
    <w:rsid w:val="00FA6645"/>
    <w:rsid w:val="00FC0AC4"/>
    <w:rsid w:val="00FC0F91"/>
    <w:rsid w:val="00FC202E"/>
    <w:rsid w:val="00FC4D57"/>
    <w:rsid w:val="00FC6F38"/>
    <w:rsid w:val="00FD1982"/>
    <w:rsid w:val="00FD68CE"/>
    <w:rsid w:val="00FD7C0C"/>
    <w:rsid w:val="00FE02A0"/>
    <w:rsid w:val="00FE0CA6"/>
    <w:rsid w:val="00FE16C1"/>
    <w:rsid w:val="00FE19FF"/>
    <w:rsid w:val="00FE33A6"/>
    <w:rsid w:val="00FE5452"/>
    <w:rsid w:val="00FE5E88"/>
    <w:rsid w:val="00FE7069"/>
    <w:rsid w:val="00FF0558"/>
    <w:rsid w:val="00FF1593"/>
    <w:rsid w:val="00FF1A00"/>
    <w:rsid w:val="00FF59A8"/>
    <w:rsid w:val="00FF5C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7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CB1A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6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A1DA4"/>
    <w:rPr>
      <w:color w:val="800080" w:themeColor="followedHyperlink"/>
      <w:u w:val="single"/>
    </w:rPr>
  </w:style>
  <w:style w:type="character" w:customStyle="1" w:styleId="apple-converted-space">
    <w:name w:val="apple-converted-space"/>
    <w:basedOn w:val="DefaultParagraphFont"/>
    <w:rsid w:val="002927E1"/>
  </w:style>
  <w:style w:type="character" w:customStyle="1" w:styleId="highlight">
    <w:name w:val="highlight"/>
    <w:basedOn w:val="DefaultParagraphFont"/>
    <w:rsid w:val="002927E1"/>
  </w:style>
  <w:style w:type="character" w:styleId="Emphasis">
    <w:name w:val="Emphasis"/>
    <w:basedOn w:val="DefaultParagraphFont"/>
    <w:uiPriority w:val="20"/>
    <w:qFormat/>
    <w:rsid w:val="00464C05"/>
    <w:rPr>
      <w:i/>
      <w:iCs/>
    </w:rPr>
  </w:style>
  <w:style w:type="character" w:customStyle="1" w:styleId="Heading3Char">
    <w:name w:val="Heading 3 Char"/>
    <w:basedOn w:val="DefaultParagraphFont"/>
    <w:link w:val="Heading3"/>
    <w:uiPriority w:val="9"/>
    <w:semiHidden/>
    <w:rsid w:val="00CB1A75"/>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587E97"/>
    <w:pPr>
      <w:spacing w:before="0" w:after="0"/>
    </w:pPr>
    <w:rPr>
      <w:rFonts w:ascii="Calibri" w:hAnsi="Calibri" w:cs="Consolas"/>
      <w:sz w:val="22"/>
      <w:szCs w:val="21"/>
    </w:rPr>
  </w:style>
  <w:style w:type="character" w:customStyle="1" w:styleId="PlainTextChar">
    <w:name w:val="Plain Text Char"/>
    <w:basedOn w:val="DefaultParagraphFont"/>
    <w:link w:val="PlainText"/>
    <w:uiPriority w:val="99"/>
    <w:semiHidden/>
    <w:rsid w:val="00587E97"/>
    <w:rPr>
      <w:rFonts w:ascii="Calibri" w:hAnsi="Calibri" w:cs="Consolas"/>
      <w:szCs w:val="21"/>
    </w:rPr>
  </w:style>
  <w:style w:type="paragraph" w:customStyle="1" w:styleId="TableText">
    <w:name w:val="Table Text"/>
    <w:basedOn w:val="Normal"/>
    <w:link w:val="TableTextChar"/>
    <w:qFormat/>
    <w:rsid w:val="00A518F6"/>
    <w:pPr>
      <w:spacing w:before="80" w:after="80"/>
    </w:pPr>
    <w:rPr>
      <w:rFonts w:ascii="Arial" w:eastAsia="Times New Roman" w:hAnsi="Arial" w:cs="Times New Roman"/>
      <w:sz w:val="18"/>
      <w:lang w:eastAsia="en-AU"/>
    </w:rPr>
  </w:style>
  <w:style w:type="character" w:customStyle="1" w:styleId="TableTextChar">
    <w:name w:val="Table Text Char"/>
    <w:link w:val="TableText"/>
    <w:rsid w:val="00A518F6"/>
    <w:rPr>
      <w:rFonts w:ascii="Arial" w:eastAsia="Times New Roman" w:hAnsi="Arial" w:cs="Times New Roman"/>
      <w:sz w:val="18"/>
      <w:lang w:eastAsia="en-AU"/>
    </w:rPr>
  </w:style>
  <w:style w:type="character" w:customStyle="1" w:styleId="Heading4Char">
    <w:name w:val="Heading 4 Char"/>
    <w:basedOn w:val="DefaultParagraphFont"/>
    <w:link w:val="Heading4"/>
    <w:uiPriority w:val="9"/>
    <w:semiHidden/>
    <w:rsid w:val="00D168FC"/>
    <w:rPr>
      <w:rFonts w:asciiTheme="majorHAnsi" w:eastAsiaTheme="majorEastAsia" w:hAnsiTheme="majorHAnsi" w:cstheme="majorBidi"/>
      <w:b/>
      <w:bCs/>
      <w:i/>
      <w:iCs/>
      <w:color w:val="4F81BD" w:themeColor="accent1"/>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qFormat/>
    <w:rsid w:val="00D168FC"/>
    <w:pPr>
      <w:keepNext/>
      <w:ind w:left="1077" w:hanging="1077"/>
    </w:pPr>
    <w:rPr>
      <w:rFonts w:ascii="Arial" w:eastAsia="Times New Roman" w:hAnsi="Arial" w:cs="Times New Roman"/>
      <w:b/>
      <w:bCs/>
      <w:sz w:val="22"/>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D168FC"/>
    <w:rPr>
      <w:rFonts w:ascii="Arial" w:eastAsia="Times New Roman" w:hAnsi="Arial" w:cs="Times New Roman"/>
      <w:b/>
      <w:bCs/>
    </w:rPr>
  </w:style>
  <w:style w:type="paragraph" w:customStyle="1" w:styleId="Tabletext0">
    <w:name w:val="Table text"/>
    <w:basedOn w:val="Normal"/>
    <w:link w:val="TabletextChar0"/>
    <w:qFormat/>
    <w:rsid w:val="00D168FC"/>
    <w:pPr>
      <w:keepNext/>
      <w:spacing w:before="60" w:after="40"/>
    </w:pPr>
    <w:rPr>
      <w:rFonts w:ascii="Arial Narrow" w:eastAsia="Times New Roman" w:hAnsi="Arial Narrow" w:cs="Times New Roman"/>
      <w:szCs w:val="20"/>
    </w:rPr>
  </w:style>
  <w:style w:type="paragraph" w:customStyle="1" w:styleId="Tablenotes">
    <w:name w:val="Table notes"/>
    <w:basedOn w:val="Normal"/>
    <w:link w:val="TablenotesChar"/>
    <w:rsid w:val="00D168FC"/>
    <w:pPr>
      <w:spacing w:before="40" w:after="360"/>
    </w:pPr>
    <w:rPr>
      <w:rFonts w:ascii="Arial Narrow" w:eastAsia="Times New Roman" w:hAnsi="Arial Narrow" w:cs="Times New Roman"/>
      <w:sz w:val="16"/>
    </w:rPr>
  </w:style>
  <w:style w:type="character" w:customStyle="1" w:styleId="TabletextChar0">
    <w:name w:val="Table text Char"/>
    <w:link w:val="Tabletext0"/>
    <w:rsid w:val="00D168FC"/>
    <w:rPr>
      <w:rFonts w:ascii="Arial Narrow" w:eastAsia="Times New Roman" w:hAnsi="Arial Narrow" w:cs="Times New Roman"/>
      <w:sz w:val="20"/>
      <w:szCs w:val="20"/>
    </w:rPr>
  </w:style>
  <w:style w:type="character" w:customStyle="1" w:styleId="TablenotesChar">
    <w:name w:val="Table notes Char"/>
    <w:link w:val="Tablenotes"/>
    <w:rsid w:val="00D168FC"/>
    <w:rPr>
      <w:rFonts w:ascii="Arial Narrow" w:eastAsia="Times New Roman" w:hAnsi="Arial Narrow" w:cs="Times New Roman"/>
      <w:sz w:val="16"/>
    </w:rPr>
  </w:style>
  <w:style w:type="paragraph" w:styleId="NormalWeb">
    <w:name w:val="Normal (Web)"/>
    <w:basedOn w:val="Normal"/>
    <w:uiPriority w:val="99"/>
    <w:unhideWhenUsed/>
    <w:rsid w:val="0078115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ableNameChar">
    <w:name w:val="TableName Char"/>
    <w:link w:val="TableName"/>
    <w:locked/>
    <w:rsid w:val="00781159"/>
    <w:rPr>
      <w:rFonts w:ascii="Arial Narrow" w:eastAsia="Times New Roman" w:hAnsi="Arial Narrow" w:cs="Times New Roman"/>
      <w:b/>
      <w:sz w:val="20"/>
      <w:szCs w:val="20"/>
      <w:lang w:eastAsia="en-AU"/>
    </w:rPr>
  </w:style>
  <w:style w:type="paragraph" w:customStyle="1" w:styleId="TableName">
    <w:name w:val="TableName"/>
    <w:basedOn w:val="Normal"/>
    <w:link w:val="TableNameChar"/>
    <w:qFormat/>
    <w:rsid w:val="00781159"/>
    <w:pPr>
      <w:keepNext/>
      <w:spacing w:before="40" w:after="40"/>
    </w:pPr>
    <w:rPr>
      <w:rFonts w:ascii="Arial Narrow" w:eastAsia="Times New Roman" w:hAnsi="Arial Narrow" w:cs="Times New Roman"/>
      <w:b/>
      <w:szCs w:val="20"/>
      <w:lang w:eastAsia="en-AU"/>
    </w:rPr>
  </w:style>
  <w:style w:type="character" w:customStyle="1" w:styleId="citation-publication-date">
    <w:name w:val="citation-publication-date"/>
    <w:basedOn w:val="DefaultParagraphFont"/>
    <w:rsid w:val="00803FF0"/>
  </w:style>
  <w:style w:type="character" w:customStyle="1" w:styleId="doi">
    <w:name w:val="doi"/>
    <w:basedOn w:val="DefaultParagraphFont"/>
    <w:rsid w:val="00803FF0"/>
  </w:style>
  <w:style w:type="character" w:customStyle="1" w:styleId="highwire-citation-authors">
    <w:name w:val="highwire-citation-authors"/>
    <w:basedOn w:val="DefaultParagraphFont"/>
    <w:rsid w:val="00CA6F0F"/>
  </w:style>
  <w:style w:type="character" w:customStyle="1" w:styleId="nlm-given-names">
    <w:name w:val="nlm-given-names"/>
    <w:basedOn w:val="DefaultParagraphFont"/>
    <w:rsid w:val="00CA6F0F"/>
  </w:style>
  <w:style w:type="character" w:customStyle="1" w:styleId="nlm-surname">
    <w:name w:val="nlm-surname"/>
    <w:basedOn w:val="DefaultParagraphFont"/>
    <w:rsid w:val="00CA6F0F"/>
  </w:style>
  <w:style w:type="character" w:customStyle="1" w:styleId="highwire-cite-metadata-journal">
    <w:name w:val="highwire-cite-metadata-journal"/>
    <w:basedOn w:val="DefaultParagraphFont"/>
    <w:rsid w:val="00CA6F0F"/>
  </w:style>
  <w:style w:type="character" w:customStyle="1" w:styleId="highwire-cite-metadata-date">
    <w:name w:val="highwire-cite-metadata-date"/>
    <w:basedOn w:val="DefaultParagraphFont"/>
    <w:rsid w:val="00CA6F0F"/>
  </w:style>
  <w:style w:type="character" w:customStyle="1" w:styleId="highwire-cite-metadata-volume">
    <w:name w:val="highwire-cite-metadata-volume"/>
    <w:basedOn w:val="DefaultParagraphFont"/>
    <w:rsid w:val="00CA6F0F"/>
  </w:style>
  <w:style w:type="character" w:customStyle="1" w:styleId="highwire-cite-metadata-issue">
    <w:name w:val="highwire-cite-metadata-issue"/>
    <w:basedOn w:val="DefaultParagraphFont"/>
    <w:rsid w:val="00CA6F0F"/>
  </w:style>
  <w:style w:type="character" w:customStyle="1" w:styleId="highwire-cite-metadata-pages">
    <w:name w:val="highwire-cite-metadata-pages"/>
    <w:basedOn w:val="DefaultParagraphFont"/>
    <w:rsid w:val="00CA6F0F"/>
  </w:style>
  <w:style w:type="character" w:customStyle="1" w:styleId="ref-journal">
    <w:name w:val="ref-journal"/>
    <w:basedOn w:val="DefaultParagraphFont"/>
    <w:rsid w:val="00CA6F0F"/>
  </w:style>
  <w:style w:type="character" w:customStyle="1" w:styleId="ref-vol">
    <w:name w:val="ref-vol"/>
    <w:basedOn w:val="DefaultParagraphFont"/>
    <w:rsid w:val="00CA6F0F"/>
  </w:style>
  <w:style w:type="character" w:customStyle="1" w:styleId="citation-abbreviation">
    <w:name w:val="citation-abbreviation"/>
    <w:basedOn w:val="DefaultParagraphFont"/>
    <w:rsid w:val="008472B1"/>
  </w:style>
  <w:style w:type="character" w:customStyle="1" w:styleId="citation-volume">
    <w:name w:val="citation-volume"/>
    <w:basedOn w:val="DefaultParagraphFont"/>
    <w:rsid w:val="008472B1"/>
  </w:style>
  <w:style w:type="character" w:customStyle="1" w:styleId="citation-flpages">
    <w:name w:val="citation-flpages"/>
    <w:basedOn w:val="DefaultParagraphFont"/>
    <w:rsid w:val="00847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CB1A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6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character" w:styleId="FollowedHyperlink">
    <w:name w:val="FollowedHyperlink"/>
    <w:basedOn w:val="DefaultParagraphFont"/>
    <w:uiPriority w:val="99"/>
    <w:semiHidden/>
    <w:unhideWhenUsed/>
    <w:rsid w:val="002A1DA4"/>
    <w:rPr>
      <w:color w:val="800080" w:themeColor="followedHyperlink"/>
      <w:u w:val="single"/>
    </w:rPr>
  </w:style>
  <w:style w:type="character" w:customStyle="1" w:styleId="apple-converted-space">
    <w:name w:val="apple-converted-space"/>
    <w:basedOn w:val="DefaultParagraphFont"/>
    <w:rsid w:val="002927E1"/>
  </w:style>
  <w:style w:type="character" w:customStyle="1" w:styleId="highlight">
    <w:name w:val="highlight"/>
    <w:basedOn w:val="DefaultParagraphFont"/>
    <w:rsid w:val="002927E1"/>
  </w:style>
  <w:style w:type="character" w:styleId="Emphasis">
    <w:name w:val="Emphasis"/>
    <w:basedOn w:val="DefaultParagraphFont"/>
    <w:uiPriority w:val="20"/>
    <w:qFormat/>
    <w:rsid w:val="00464C05"/>
    <w:rPr>
      <w:i/>
      <w:iCs/>
    </w:rPr>
  </w:style>
  <w:style w:type="character" w:customStyle="1" w:styleId="Heading3Char">
    <w:name w:val="Heading 3 Char"/>
    <w:basedOn w:val="DefaultParagraphFont"/>
    <w:link w:val="Heading3"/>
    <w:uiPriority w:val="9"/>
    <w:semiHidden/>
    <w:rsid w:val="00CB1A75"/>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587E97"/>
    <w:pPr>
      <w:spacing w:before="0" w:after="0"/>
    </w:pPr>
    <w:rPr>
      <w:rFonts w:ascii="Calibri" w:hAnsi="Calibri" w:cs="Consolas"/>
      <w:sz w:val="22"/>
      <w:szCs w:val="21"/>
    </w:rPr>
  </w:style>
  <w:style w:type="character" w:customStyle="1" w:styleId="PlainTextChar">
    <w:name w:val="Plain Text Char"/>
    <w:basedOn w:val="DefaultParagraphFont"/>
    <w:link w:val="PlainText"/>
    <w:uiPriority w:val="99"/>
    <w:semiHidden/>
    <w:rsid w:val="00587E97"/>
    <w:rPr>
      <w:rFonts w:ascii="Calibri" w:hAnsi="Calibri" w:cs="Consolas"/>
      <w:szCs w:val="21"/>
    </w:rPr>
  </w:style>
  <w:style w:type="paragraph" w:customStyle="1" w:styleId="TableText">
    <w:name w:val="Table Text"/>
    <w:basedOn w:val="Normal"/>
    <w:link w:val="TableTextChar"/>
    <w:qFormat/>
    <w:rsid w:val="00A518F6"/>
    <w:pPr>
      <w:spacing w:before="80" w:after="80"/>
    </w:pPr>
    <w:rPr>
      <w:rFonts w:ascii="Arial" w:eastAsia="Times New Roman" w:hAnsi="Arial" w:cs="Times New Roman"/>
      <w:sz w:val="18"/>
      <w:lang w:eastAsia="en-AU"/>
    </w:rPr>
  </w:style>
  <w:style w:type="character" w:customStyle="1" w:styleId="TableTextChar">
    <w:name w:val="Table Text Char"/>
    <w:link w:val="TableText"/>
    <w:rsid w:val="00A518F6"/>
    <w:rPr>
      <w:rFonts w:ascii="Arial" w:eastAsia="Times New Roman" w:hAnsi="Arial" w:cs="Times New Roman"/>
      <w:sz w:val="18"/>
      <w:lang w:eastAsia="en-AU"/>
    </w:rPr>
  </w:style>
  <w:style w:type="character" w:customStyle="1" w:styleId="Heading4Char">
    <w:name w:val="Heading 4 Char"/>
    <w:basedOn w:val="DefaultParagraphFont"/>
    <w:link w:val="Heading4"/>
    <w:uiPriority w:val="9"/>
    <w:semiHidden/>
    <w:rsid w:val="00D168FC"/>
    <w:rPr>
      <w:rFonts w:asciiTheme="majorHAnsi" w:eastAsiaTheme="majorEastAsia" w:hAnsiTheme="majorHAnsi" w:cstheme="majorBidi"/>
      <w:b/>
      <w:bCs/>
      <w:i/>
      <w:iCs/>
      <w:color w:val="4F81BD" w:themeColor="accent1"/>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qFormat/>
    <w:rsid w:val="00D168FC"/>
    <w:pPr>
      <w:keepNext/>
      <w:ind w:left="1077" w:hanging="1077"/>
    </w:pPr>
    <w:rPr>
      <w:rFonts w:ascii="Arial" w:eastAsia="Times New Roman" w:hAnsi="Arial" w:cs="Times New Roman"/>
      <w:b/>
      <w:bCs/>
      <w:sz w:val="22"/>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D168FC"/>
    <w:rPr>
      <w:rFonts w:ascii="Arial" w:eastAsia="Times New Roman" w:hAnsi="Arial" w:cs="Times New Roman"/>
      <w:b/>
      <w:bCs/>
    </w:rPr>
  </w:style>
  <w:style w:type="paragraph" w:customStyle="1" w:styleId="Tabletext0">
    <w:name w:val="Table text"/>
    <w:basedOn w:val="Normal"/>
    <w:link w:val="TabletextChar0"/>
    <w:qFormat/>
    <w:rsid w:val="00D168FC"/>
    <w:pPr>
      <w:keepNext/>
      <w:spacing w:before="60" w:after="40"/>
    </w:pPr>
    <w:rPr>
      <w:rFonts w:ascii="Arial Narrow" w:eastAsia="Times New Roman" w:hAnsi="Arial Narrow" w:cs="Times New Roman"/>
      <w:szCs w:val="20"/>
    </w:rPr>
  </w:style>
  <w:style w:type="paragraph" w:customStyle="1" w:styleId="Tablenotes">
    <w:name w:val="Table notes"/>
    <w:basedOn w:val="Normal"/>
    <w:link w:val="TablenotesChar"/>
    <w:rsid w:val="00D168FC"/>
    <w:pPr>
      <w:spacing w:before="40" w:after="360"/>
    </w:pPr>
    <w:rPr>
      <w:rFonts w:ascii="Arial Narrow" w:eastAsia="Times New Roman" w:hAnsi="Arial Narrow" w:cs="Times New Roman"/>
      <w:sz w:val="16"/>
    </w:rPr>
  </w:style>
  <w:style w:type="character" w:customStyle="1" w:styleId="TabletextChar0">
    <w:name w:val="Table text Char"/>
    <w:link w:val="Tabletext0"/>
    <w:rsid w:val="00D168FC"/>
    <w:rPr>
      <w:rFonts w:ascii="Arial Narrow" w:eastAsia="Times New Roman" w:hAnsi="Arial Narrow" w:cs="Times New Roman"/>
      <w:sz w:val="20"/>
      <w:szCs w:val="20"/>
    </w:rPr>
  </w:style>
  <w:style w:type="character" w:customStyle="1" w:styleId="TablenotesChar">
    <w:name w:val="Table notes Char"/>
    <w:link w:val="Tablenotes"/>
    <w:rsid w:val="00D168FC"/>
    <w:rPr>
      <w:rFonts w:ascii="Arial Narrow" w:eastAsia="Times New Roman" w:hAnsi="Arial Narrow" w:cs="Times New Roman"/>
      <w:sz w:val="16"/>
    </w:rPr>
  </w:style>
  <w:style w:type="paragraph" w:styleId="NormalWeb">
    <w:name w:val="Normal (Web)"/>
    <w:basedOn w:val="Normal"/>
    <w:uiPriority w:val="99"/>
    <w:unhideWhenUsed/>
    <w:rsid w:val="0078115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ableNameChar">
    <w:name w:val="TableName Char"/>
    <w:link w:val="TableName"/>
    <w:locked/>
    <w:rsid w:val="00781159"/>
    <w:rPr>
      <w:rFonts w:ascii="Arial Narrow" w:eastAsia="Times New Roman" w:hAnsi="Arial Narrow" w:cs="Times New Roman"/>
      <w:b/>
      <w:sz w:val="20"/>
      <w:szCs w:val="20"/>
      <w:lang w:eastAsia="en-AU"/>
    </w:rPr>
  </w:style>
  <w:style w:type="paragraph" w:customStyle="1" w:styleId="TableName">
    <w:name w:val="TableName"/>
    <w:basedOn w:val="Normal"/>
    <w:link w:val="TableNameChar"/>
    <w:qFormat/>
    <w:rsid w:val="00781159"/>
    <w:pPr>
      <w:keepNext/>
      <w:spacing w:before="40" w:after="40"/>
    </w:pPr>
    <w:rPr>
      <w:rFonts w:ascii="Arial Narrow" w:eastAsia="Times New Roman" w:hAnsi="Arial Narrow" w:cs="Times New Roman"/>
      <w:b/>
      <w:szCs w:val="20"/>
      <w:lang w:eastAsia="en-AU"/>
    </w:rPr>
  </w:style>
  <w:style w:type="character" w:customStyle="1" w:styleId="citation-publication-date">
    <w:name w:val="citation-publication-date"/>
    <w:basedOn w:val="DefaultParagraphFont"/>
    <w:rsid w:val="00803FF0"/>
  </w:style>
  <w:style w:type="character" w:customStyle="1" w:styleId="doi">
    <w:name w:val="doi"/>
    <w:basedOn w:val="DefaultParagraphFont"/>
    <w:rsid w:val="00803FF0"/>
  </w:style>
  <w:style w:type="character" w:customStyle="1" w:styleId="highwire-citation-authors">
    <w:name w:val="highwire-citation-authors"/>
    <w:basedOn w:val="DefaultParagraphFont"/>
    <w:rsid w:val="00CA6F0F"/>
  </w:style>
  <w:style w:type="character" w:customStyle="1" w:styleId="nlm-given-names">
    <w:name w:val="nlm-given-names"/>
    <w:basedOn w:val="DefaultParagraphFont"/>
    <w:rsid w:val="00CA6F0F"/>
  </w:style>
  <w:style w:type="character" w:customStyle="1" w:styleId="nlm-surname">
    <w:name w:val="nlm-surname"/>
    <w:basedOn w:val="DefaultParagraphFont"/>
    <w:rsid w:val="00CA6F0F"/>
  </w:style>
  <w:style w:type="character" w:customStyle="1" w:styleId="highwire-cite-metadata-journal">
    <w:name w:val="highwire-cite-metadata-journal"/>
    <w:basedOn w:val="DefaultParagraphFont"/>
    <w:rsid w:val="00CA6F0F"/>
  </w:style>
  <w:style w:type="character" w:customStyle="1" w:styleId="highwire-cite-metadata-date">
    <w:name w:val="highwire-cite-metadata-date"/>
    <w:basedOn w:val="DefaultParagraphFont"/>
    <w:rsid w:val="00CA6F0F"/>
  </w:style>
  <w:style w:type="character" w:customStyle="1" w:styleId="highwire-cite-metadata-volume">
    <w:name w:val="highwire-cite-metadata-volume"/>
    <w:basedOn w:val="DefaultParagraphFont"/>
    <w:rsid w:val="00CA6F0F"/>
  </w:style>
  <w:style w:type="character" w:customStyle="1" w:styleId="highwire-cite-metadata-issue">
    <w:name w:val="highwire-cite-metadata-issue"/>
    <w:basedOn w:val="DefaultParagraphFont"/>
    <w:rsid w:val="00CA6F0F"/>
  </w:style>
  <w:style w:type="character" w:customStyle="1" w:styleId="highwire-cite-metadata-pages">
    <w:name w:val="highwire-cite-metadata-pages"/>
    <w:basedOn w:val="DefaultParagraphFont"/>
    <w:rsid w:val="00CA6F0F"/>
  </w:style>
  <w:style w:type="character" w:customStyle="1" w:styleId="ref-journal">
    <w:name w:val="ref-journal"/>
    <w:basedOn w:val="DefaultParagraphFont"/>
    <w:rsid w:val="00CA6F0F"/>
  </w:style>
  <w:style w:type="character" w:customStyle="1" w:styleId="ref-vol">
    <w:name w:val="ref-vol"/>
    <w:basedOn w:val="DefaultParagraphFont"/>
    <w:rsid w:val="00CA6F0F"/>
  </w:style>
  <w:style w:type="character" w:customStyle="1" w:styleId="citation-abbreviation">
    <w:name w:val="citation-abbreviation"/>
    <w:basedOn w:val="DefaultParagraphFont"/>
    <w:rsid w:val="008472B1"/>
  </w:style>
  <w:style w:type="character" w:customStyle="1" w:styleId="citation-volume">
    <w:name w:val="citation-volume"/>
    <w:basedOn w:val="DefaultParagraphFont"/>
    <w:rsid w:val="008472B1"/>
  </w:style>
  <w:style w:type="character" w:customStyle="1" w:styleId="citation-flpages">
    <w:name w:val="citation-flpages"/>
    <w:basedOn w:val="DefaultParagraphFont"/>
    <w:rsid w:val="00847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010">
      <w:bodyDiv w:val="1"/>
      <w:marLeft w:val="0"/>
      <w:marRight w:val="0"/>
      <w:marTop w:val="0"/>
      <w:marBottom w:val="0"/>
      <w:divBdr>
        <w:top w:val="none" w:sz="0" w:space="0" w:color="auto"/>
        <w:left w:val="none" w:sz="0" w:space="0" w:color="auto"/>
        <w:bottom w:val="none" w:sz="0" w:space="0" w:color="auto"/>
        <w:right w:val="none" w:sz="0" w:space="0" w:color="auto"/>
      </w:divBdr>
      <w:divsChild>
        <w:div w:id="704448599">
          <w:marLeft w:val="0"/>
          <w:marRight w:val="0"/>
          <w:marTop w:val="0"/>
          <w:marBottom w:val="0"/>
          <w:divBdr>
            <w:top w:val="none" w:sz="0" w:space="0" w:color="auto"/>
            <w:left w:val="none" w:sz="0" w:space="0" w:color="auto"/>
            <w:bottom w:val="none" w:sz="0" w:space="0" w:color="auto"/>
            <w:right w:val="none" w:sz="0" w:space="0" w:color="auto"/>
          </w:divBdr>
        </w:div>
        <w:div w:id="1892307129">
          <w:marLeft w:val="0"/>
          <w:marRight w:val="0"/>
          <w:marTop w:val="0"/>
          <w:marBottom w:val="0"/>
          <w:divBdr>
            <w:top w:val="none" w:sz="0" w:space="0" w:color="auto"/>
            <w:left w:val="none" w:sz="0" w:space="0" w:color="auto"/>
            <w:bottom w:val="none" w:sz="0" w:space="0" w:color="auto"/>
            <w:right w:val="none" w:sz="0" w:space="0" w:color="auto"/>
          </w:divBdr>
        </w:div>
        <w:div w:id="1663385188">
          <w:marLeft w:val="0"/>
          <w:marRight w:val="0"/>
          <w:marTop w:val="0"/>
          <w:marBottom w:val="0"/>
          <w:divBdr>
            <w:top w:val="none" w:sz="0" w:space="0" w:color="auto"/>
            <w:left w:val="none" w:sz="0" w:space="0" w:color="auto"/>
            <w:bottom w:val="none" w:sz="0" w:space="0" w:color="auto"/>
            <w:right w:val="none" w:sz="0" w:space="0" w:color="auto"/>
          </w:divBdr>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447696869">
      <w:bodyDiv w:val="1"/>
      <w:marLeft w:val="0"/>
      <w:marRight w:val="0"/>
      <w:marTop w:val="0"/>
      <w:marBottom w:val="0"/>
      <w:divBdr>
        <w:top w:val="none" w:sz="0" w:space="0" w:color="auto"/>
        <w:left w:val="none" w:sz="0" w:space="0" w:color="auto"/>
        <w:bottom w:val="none" w:sz="0" w:space="0" w:color="auto"/>
        <w:right w:val="none" w:sz="0" w:space="0" w:color="auto"/>
      </w:divBdr>
    </w:div>
    <w:div w:id="860358400">
      <w:bodyDiv w:val="1"/>
      <w:marLeft w:val="0"/>
      <w:marRight w:val="0"/>
      <w:marTop w:val="0"/>
      <w:marBottom w:val="0"/>
      <w:divBdr>
        <w:top w:val="none" w:sz="0" w:space="0" w:color="auto"/>
        <w:left w:val="none" w:sz="0" w:space="0" w:color="auto"/>
        <w:bottom w:val="none" w:sz="0" w:space="0" w:color="auto"/>
        <w:right w:val="none" w:sz="0" w:space="0" w:color="auto"/>
      </w:divBdr>
    </w:div>
    <w:div w:id="1019744647">
      <w:bodyDiv w:val="1"/>
      <w:marLeft w:val="0"/>
      <w:marRight w:val="0"/>
      <w:marTop w:val="0"/>
      <w:marBottom w:val="0"/>
      <w:divBdr>
        <w:top w:val="none" w:sz="0" w:space="0" w:color="auto"/>
        <w:left w:val="none" w:sz="0" w:space="0" w:color="auto"/>
        <w:bottom w:val="none" w:sz="0" w:space="0" w:color="auto"/>
        <w:right w:val="none" w:sz="0" w:space="0" w:color="auto"/>
      </w:divBdr>
    </w:div>
    <w:div w:id="1163083534">
      <w:bodyDiv w:val="1"/>
      <w:marLeft w:val="0"/>
      <w:marRight w:val="0"/>
      <w:marTop w:val="0"/>
      <w:marBottom w:val="0"/>
      <w:divBdr>
        <w:top w:val="none" w:sz="0" w:space="0" w:color="auto"/>
        <w:left w:val="none" w:sz="0" w:space="0" w:color="auto"/>
        <w:bottom w:val="none" w:sz="0" w:space="0" w:color="auto"/>
        <w:right w:val="none" w:sz="0" w:space="0" w:color="auto"/>
      </w:divBdr>
    </w:div>
    <w:div w:id="1221209177">
      <w:bodyDiv w:val="1"/>
      <w:marLeft w:val="0"/>
      <w:marRight w:val="0"/>
      <w:marTop w:val="0"/>
      <w:marBottom w:val="0"/>
      <w:divBdr>
        <w:top w:val="none" w:sz="0" w:space="0" w:color="auto"/>
        <w:left w:val="none" w:sz="0" w:space="0" w:color="auto"/>
        <w:bottom w:val="none" w:sz="0" w:space="0" w:color="auto"/>
        <w:right w:val="none" w:sz="0" w:space="0" w:color="auto"/>
      </w:divBdr>
      <w:divsChild>
        <w:div w:id="2130008005">
          <w:marLeft w:val="0"/>
          <w:marRight w:val="0"/>
          <w:marTop w:val="34"/>
          <w:marBottom w:val="34"/>
          <w:divBdr>
            <w:top w:val="none" w:sz="0" w:space="0" w:color="auto"/>
            <w:left w:val="none" w:sz="0" w:space="0" w:color="auto"/>
            <w:bottom w:val="none" w:sz="0" w:space="0" w:color="auto"/>
            <w:right w:val="none" w:sz="0" w:space="0" w:color="auto"/>
          </w:divBdr>
          <w:divsChild>
            <w:div w:id="906495763">
              <w:marLeft w:val="0"/>
              <w:marRight w:val="0"/>
              <w:marTop w:val="0"/>
              <w:marBottom w:val="0"/>
              <w:divBdr>
                <w:top w:val="none" w:sz="0" w:space="0" w:color="auto"/>
                <w:left w:val="none" w:sz="0" w:space="0" w:color="auto"/>
                <w:bottom w:val="none" w:sz="0" w:space="0" w:color="auto"/>
                <w:right w:val="none" w:sz="0" w:space="0" w:color="auto"/>
              </w:divBdr>
            </w:div>
            <w:div w:id="20620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46906">
      <w:bodyDiv w:val="1"/>
      <w:marLeft w:val="0"/>
      <w:marRight w:val="0"/>
      <w:marTop w:val="0"/>
      <w:marBottom w:val="0"/>
      <w:divBdr>
        <w:top w:val="none" w:sz="0" w:space="0" w:color="auto"/>
        <w:left w:val="none" w:sz="0" w:space="0" w:color="auto"/>
        <w:bottom w:val="none" w:sz="0" w:space="0" w:color="auto"/>
        <w:right w:val="none" w:sz="0" w:space="0" w:color="auto"/>
      </w:divBdr>
    </w:div>
    <w:div w:id="1378092427">
      <w:bodyDiv w:val="1"/>
      <w:marLeft w:val="0"/>
      <w:marRight w:val="0"/>
      <w:marTop w:val="0"/>
      <w:marBottom w:val="0"/>
      <w:divBdr>
        <w:top w:val="none" w:sz="0" w:space="0" w:color="auto"/>
        <w:left w:val="none" w:sz="0" w:space="0" w:color="auto"/>
        <w:bottom w:val="none" w:sz="0" w:space="0" w:color="auto"/>
        <w:right w:val="none" w:sz="0" w:space="0" w:color="auto"/>
      </w:divBdr>
    </w:div>
    <w:div w:id="1416978340">
      <w:bodyDiv w:val="1"/>
      <w:marLeft w:val="0"/>
      <w:marRight w:val="0"/>
      <w:marTop w:val="0"/>
      <w:marBottom w:val="0"/>
      <w:divBdr>
        <w:top w:val="none" w:sz="0" w:space="0" w:color="auto"/>
        <w:left w:val="none" w:sz="0" w:space="0" w:color="auto"/>
        <w:bottom w:val="none" w:sz="0" w:space="0" w:color="auto"/>
        <w:right w:val="none" w:sz="0" w:space="0" w:color="auto"/>
      </w:divBdr>
    </w:div>
    <w:div w:id="1438216039">
      <w:bodyDiv w:val="1"/>
      <w:marLeft w:val="0"/>
      <w:marRight w:val="0"/>
      <w:marTop w:val="0"/>
      <w:marBottom w:val="0"/>
      <w:divBdr>
        <w:top w:val="none" w:sz="0" w:space="0" w:color="auto"/>
        <w:left w:val="none" w:sz="0" w:space="0" w:color="auto"/>
        <w:bottom w:val="none" w:sz="0" w:space="0" w:color="auto"/>
        <w:right w:val="none" w:sz="0" w:space="0" w:color="auto"/>
      </w:divBdr>
    </w:div>
    <w:div w:id="1519544479">
      <w:bodyDiv w:val="1"/>
      <w:marLeft w:val="0"/>
      <w:marRight w:val="0"/>
      <w:marTop w:val="0"/>
      <w:marBottom w:val="0"/>
      <w:divBdr>
        <w:top w:val="none" w:sz="0" w:space="0" w:color="auto"/>
        <w:left w:val="none" w:sz="0" w:space="0" w:color="auto"/>
        <w:bottom w:val="none" w:sz="0" w:space="0" w:color="auto"/>
        <w:right w:val="none" w:sz="0" w:space="0" w:color="auto"/>
      </w:divBdr>
    </w:div>
    <w:div w:id="1547447212">
      <w:bodyDiv w:val="1"/>
      <w:marLeft w:val="0"/>
      <w:marRight w:val="0"/>
      <w:marTop w:val="0"/>
      <w:marBottom w:val="0"/>
      <w:divBdr>
        <w:top w:val="none" w:sz="0" w:space="0" w:color="auto"/>
        <w:left w:val="none" w:sz="0" w:space="0" w:color="auto"/>
        <w:bottom w:val="none" w:sz="0" w:space="0" w:color="auto"/>
        <w:right w:val="none" w:sz="0" w:space="0" w:color="auto"/>
      </w:divBdr>
    </w:div>
    <w:div w:id="1561481965">
      <w:bodyDiv w:val="1"/>
      <w:marLeft w:val="0"/>
      <w:marRight w:val="0"/>
      <w:marTop w:val="0"/>
      <w:marBottom w:val="0"/>
      <w:divBdr>
        <w:top w:val="none" w:sz="0" w:space="0" w:color="auto"/>
        <w:left w:val="none" w:sz="0" w:space="0" w:color="auto"/>
        <w:bottom w:val="none" w:sz="0" w:space="0" w:color="auto"/>
        <w:right w:val="none" w:sz="0" w:space="0" w:color="auto"/>
      </w:divBdr>
    </w:div>
    <w:div w:id="1568343781">
      <w:bodyDiv w:val="1"/>
      <w:marLeft w:val="0"/>
      <w:marRight w:val="0"/>
      <w:marTop w:val="0"/>
      <w:marBottom w:val="0"/>
      <w:divBdr>
        <w:top w:val="none" w:sz="0" w:space="0" w:color="auto"/>
        <w:left w:val="none" w:sz="0" w:space="0" w:color="auto"/>
        <w:bottom w:val="none" w:sz="0" w:space="0" w:color="auto"/>
        <w:right w:val="none" w:sz="0" w:space="0" w:color="auto"/>
      </w:divBdr>
      <w:divsChild>
        <w:div w:id="111025129">
          <w:marLeft w:val="0"/>
          <w:marRight w:val="0"/>
          <w:marTop w:val="0"/>
          <w:marBottom w:val="0"/>
          <w:divBdr>
            <w:top w:val="none" w:sz="0" w:space="0" w:color="auto"/>
            <w:left w:val="none" w:sz="0" w:space="0" w:color="auto"/>
            <w:bottom w:val="none" w:sz="0" w:space="0" w:color="auto"/>
            <w:right w:val="none" w:sz="0" w:space="0" w:color="auto"/>
          </w:divBdr>
        </w:div>
        <w:div w:id="1341466574">
          <w:marLeft w:val="0"/>
          <w:marRight w:val="0"/>
          <w:marTop w:val="0"/>
          <w:marBottom w:val="0"/>
          <w:divBdr>
            <w:top w:val="none" w:sz="0" w:space="0" w:color="auto"/>
            <w:left w:val="none" w:sz="0" w:space="0" w:color="auto"/>
            <w:bottom w:val="none" w:sz="0" w:space="0" w:color="auto"/>
            <w:right w:val="none" w:sz="0" w:space="0" w:color="auto"/>
          </w:divBdr>
        </w:div>
        <w:div w:id="735785169">
          <w:marLeft w:val="0"/>
          <w:marRight w:val="0"/>
          <w:marTop w:val="0"/>
          <w:marBottom w:val="0"/>
          <w:divBdr>
            <w:top w:val="none" w:sz="0" w:space="0" w:color="auto"/>
            <w:left w:val="none" w:sz="0" w:space="0" w:color="auto"/>
            <w:bottom w:val="none" w:sz="0" w:space="0" w:color="auto"/>
            <w:right w:val="none" w:sz="0" w:space="0" w:color="auto"/>
          </w:divBdr>
        </w:div>
      </w:divsChild>
    </w:div>
    <w:div w:id="1689722604">
      <w:bodyDiv w:val="1"/>
      <w:marLeft w:val="0"/>
      <w:marRight w:val="0"/>
      <w:marTop w:val="0"/>
      <w:marBottom w:val="0"/>
      <w:divBdr>
        <w:top w:val="none" w:sz="0" w:space="0" w:color="auto"/>
        <w:left w:val="none" w:sz="0" w:space="0" w:color="auto"/>
        <w:bottom w:val="none" w:sz="0" w:space="0" w:color="auto"/>
        <w:right w:val="none" w:sz="0" w:space="0" w:color="auto"/>
      </w:divBdr>
    </w:div>
    <w:div w:id="1914702218">
      <w:bodyDiv w:val="1"/>
      <w:marLeft w:val="0"/>
      <w:marRight w:val="0"/>
      <w:marTop w:val="0"/>
      <w:marBottom w:val="0"/>
      <w:divBdr>
        <w:top w:val="none" w:sz="0" w:space="0" w:color="auto"/>
        <w:left w:val="none" w:sz="0" w:space="0" w:color="auto"/>
        <w:bottom w:val="none" w:sz="0" w:space="0" w:color="auto"/>
        <w:right w:val="none" w:sz="0" w:space="0" w:color="auto"/>
      </w:divBdr>
    </w:div>
    <w:div w:id="208066447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ncbi.nlm.nih.gov/pubmed/?term=Kopylov%20U%5BAuthor%5D&amp;cauthor=true&amp;cauthor_uid=25517597" TargetMode="External"/><Relationship Id="rId26" Type="http://schemas.openxmlformats.org/officeDocument/2006/relationships/hyperlink" Target="https://www.ncbi.nlm.nih.gov/pmc/articles/PMC3116981/" TargetMode="External"/><Relationship Id="rId39" Type="http://schemas.openxmlformats.org/officeDocument/2006/relationships/hyperlink" Target="https://www.ncbi.nlm.nih.gov/pubmed/16020490" TargetMode="External"/><Relationship Id="rId21" Type="http://schemas.openxmlformats.org/officeDocument/2006/relationships/hyperlink" Target="http://ecco-jcc.oxfordjournals.org/content/8/12/1616.long" TargetMode="External"/><Relationship Id="rId34" Type="http://schemas.openxmlformats.org/officeDocument/2006/relationships/hyperlink" Target="https://www.ncbi.nlm.nih.gov/pubmed/17357836" TargetMode="External"/><Relationship Id="rId42" Type="http://schemas.openxmlformats.org/officeDocument/2006/relationships/hyperlink" Target="https://www.ncbi.nlm.nih.gov/pubmed/15729235" TargetMode="External"/><Relationship Id="rId47" Type="http://schemas.openxmlformats.org/officeDocument/2006/relationships/hyperlink" Target="https://www.ncbi.nlm.nih.gov/pubmed/15765446" TargetMode="External"/><Relationship Id="rId50" Type="http://schemas.openxmlformats.org/officeDocument/2006/relationships/hyperlink" Target="https://www.ncbi.nlm.nih.gov/pubmed/16848804" TargetMode="External"/><Relationship Id="rId55" Type="http://schemas.openxmlformats.org/officeDocument/2006/relationships/image" Target="media/image2.png"/><Relationship Id="rId63" Type="http://schemas.openxmlformats.org/officeDocument/2006/relationships/hyperlink" Target="http://www.msac.gov.au/internet/msac/publishing.nsf/Content/2B9C519FCD47524DCA25801000123BCC/$File/1146.1-CEforCrohn-FinalDAP.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sciencedirect.com/science/article/pii/S0016510704015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hyperlink" Target="http://www.ncbi.nlm.nih.gov/pubmed/23325280" TargetMode="External"/><Relationship Id="rId32" Type="http://schemas.openxmlformats.org/officeDocument/2006/relationships/hyperlink" Target="https://www.ncbi.nlm.nih.gov/pmc/articles/PMC4476885/pdf/WJG-21-7233.pdf" TargetMode="External"/><Relationship Id="rId37" Type="http://schemas.openxmlformats.org/officeDocument/2006/relationships/hyperlink" Target="https://www.ncbi.nlm.nih.gov/pubmed/18536988" TargetMode="External"/><Relationship Id="rId40" Type="http://schemas.openxmlformats.org/officeDocument/2006/relationships/hyperlink" Target="https://www.ncbi.nlm.nih.gov/pubmed/20922391" TargetMode="External"/><Relationship Id="rId45" Type="http://schemas.openxmlformats.org/officeDocument/2006/relationships/hyperlink" Target="https://www.ncbi.nlm.nih.gov/pubmed/15334771" TargetMode="External"/><Relationship Id="rId53" Type="http://schemas.openxmlformats.org/officeDocument/2006/relationships/hyperlink" Target="mailto:hta@health.gov.au" TargetMode="External"/><Relationship Id="rId58" Type="http://schemas.openxmlformats.org/officeDocument/2006/relationships/image" Target="media/image5.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journals.lww.com/ibdjournal/pages/articleviewer.aspx?year=2013&amp;issue=09000&amp;article=00013&amp;type=abstract" TargetMode="External"/><Relationship Id="rId28" Type="http://schemas.openxmlformats.org/officeDocument/2006/relationships/hyperlink" Target="http://www.sciencedirect.com/science/article/pii/S0016510707015775" TargetMode="External"/><Relationship Id="rId36" Type="http://schemas.openxmlformats.org/officeDocument/2006/relationships/hyperlink" Target="https://www.ncbi.nlm.nih.gov/pubmed/17196893" TargetMode="External"/><Relationship Id="rId49" Type="http://schemas.openxmlformats.org/officeDocument/2006/relationships/hyperlink" Target="http://www.ncbi.nlm.nih.gov/pubmed/16940880" TargetMode="External"/><Relationship Id="rId57" Type="http://schemas.openxmlformats.org/officeDocument/2006/relationships/image" Target="media/image4.png"/><Relationship Id="rId61" Type="http://schemas.openxmlformats.org/officeDocument/2006/relationships/hyperlink" Target="https://www.thieme-connect.com/products/ejournals/linkout/10.1055/s-0034-1391855/id/JR999-171" TargetMode="External"/><Relationship Id="rId10" Type="http://schemas.openxmlformats.org/officeDocument/2006/relationships/hyperlink" Target="mailto:hta@health.gov.au" TargetMode="External"/><Relationship Id="rId19" Type="http://schemas.openxmlformats.org/officeDocument/2006/relationships/hyperlink" Target="http://www.ncbi.nlm.nih.gov/pubmed/25517597" TargetMode="External"/><Relationship Id="rId31" Type="http://schemas.openxmlformats.org/officeDocument/2006/relationships/hyperlink" Target="http://www.ncbi.nlm.nih.gov/pmc/articles/PMC2657986/pdf/cjg21577.pdf" TargetMode="External"/><Relationship Id="rId44" Type="http://schemas.openxmlformats.org/officeDocument/2006/relationships/hyperlink" Target="https://www.ncbi.nlm.nih.gov/pubmed/19417679" TargetMode="External"/><Relationship Id="rId52" Type="http://schemas.openxmlformats.org/officeDocument/2006/relationships/hyperlink" Target="https://www.ncbi.nlm.nih.gov/pubmed/21056692" TargetMode="External"/><Relationship Id="rId60" Type="http://schemas.openxmlformats.org/officeDocument/2006/relationships/hyperlink" Target="https://www.thieme-connect.com/products/ejournals/linkout/10.1055/s-0034-1391855/id/JR999-175"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ecco-jcc.oxfordjournals.org/content/8/12/1610.long" TargetMode="External"/><Relationship Id="rId27" Type="http://schemas.openxmlformats.org/officeDocument/2006/relationships/hyperlink" Target="http://link.springer.com/article/10.1007%2Fs10620-009-0758-8" TargetMode="External"/><Relationship Id="rId30" Type="http://schemas.openxmlformats.org/officeDocument/2006/relationships/hyperlink" Target="https://www.ncbi.nlm.nih.gov/pubmed/19086954" TargetMode="External"/><Relationship Id="rId35" Type="http://schemas.openxmlformats.org/officeDocument/2006/relationships/hyperlink" Target="https://www.ncbi.nlm.nih.gov/pubmed/21093392" TargetMode="External"/><Relationship Id="rId43" Type="http://schemas.openxmlformats.org/officeDocument/2006/relationships/hyperlink" Target="https://www.ncbi.nlm.nih.gov/pubmed/16569524" TargetMode="External"/><Relationship Id="rId48" Type="http://schemas.openxmlformats.org/officeDocument/2006/relationships/hyperlink" Target="http://www.ncbi.nlm.nih.gov/pubmed/12822090" TargetMode="External"/><Relationship Id="rId56" Type="http://schemas.openxmlformats.org/officeDocument/2006/relationships/image" Target="media/image3.png"/><Relationship Id="rId64" Type="http://schemas.openxmlformats.org/officeDocument/2006/relationships/hyperlink" Target="http://www.msac.gov.au/internet/msac/publishing.nsf/Content/2B9C519FCD47524DCA25801000123BCC/$File/1146.1-PSD-CapsuleEndoscopy-accessible%20(D14-1941482).pdf" TargetMode="External"/><Relationship Id="rId8" Type="http://schemas.openxmlformats.org/officeDocument/2006/relationships/endnotes" Target="endnotes.xml"/><Relationship Id="rId51" Type="http://schemas.openxmlformats.org/officeDocument/2006/relationships/hyperlink" Target="https://www.ncbi.nlm.nih.gov/pubmed/2407589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ciencedirect.com/science/article/pii/S1590865812004227" TargetMode="External"/><Relationship Id="rId33" Type="http://schemas.openxmlformats.org/officeDocument/2006/relationships/hyperlink" Target="https://www.ncbi.nlm.nih.gov/pubmed/15017630" TargetMode="External"/><Relationship Id="rId38" Type="http://schemas.openxmlformats.org/officeDocument/2006/relationships/hyperlink" Target="https://www.ncbi.nlm.nih.gov/pmc/articles/PMC2929590/" TargetMode="External"/><Relationship Id="rId46" Type="http://schemas.openxmlformats.org/officeDocument/2006/relationships/hyperlink" Target="http://www.ncbi.nlm.nih.gov/pmc/articles/PMC4622781/" TargetMode="External"/><Relationship Id="rId59" Type="http://schemas.openxmlformats.org/officeDocument/2006/relationships/hyperlink" Target="http://www.aafp.org/afp/980101ap/botoman.html" TargetMode="External"/><Relationship Id="rId67" Type="http://schemas.microsoft.com/office/2011/relationships/commentsExtended" Target="commentsExtended.xml"/><Relationship Id="rId20" Type="http://schemas.openxmlformats.org/officeDocument/2006/relationships/hyperlink" Target="http://ecco-jcc.oxfordjournals.org/content/8/12/1601.long" TargetMode="External"/><Relationship Id="rId41" Type="http://schemas.openxmlformats.org/officeDocument/2006/relationships/hyperlink" Target="https://www.ncbi.nlm.nih.gov/pubmed/19584828" TargetMode="External"/><Relationship Id="rId54" Type="http://schemas.openxmlformats.org/officeDocument/2006/relationships/hyperlink" Target="javascript:a('63740')" TargetMode="External"/><Relationship Id="rId62" Type="http://schemas.openxmlformats.org/officeDocument/2006/relationships/hyperlink" Target="https://www.thieme-connect.com/products/ejournals/linkout/10.1055/s-0034-1391855/id/JR99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145A-6E33-4975-8FD6-57F4DE8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14753</Words>
  <Characters>84097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1146.3 Application</dc:title>
  <dc:creator/>
  <cp:lastModifiedBy/>
  <cp:revision>1</cp:revision>
  <dcterms:created xsi:type="dcterms:W3CDTF">2017-03-02T03:01:00Z</dcterms:created>
  <dcterms:modified xsi:type="dcterms:W3CDTF">2017-03-02T03:02:00Z</dcterms:modified>
</cp:coreProperties>
</file>