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64BB5" w14:textId="77777777" w:rsidR="00BC1364" w:rsidRPr="00707064" w:rsidRDefault="00C67DD2" w:rsidP="00195B7E">
      <w:pPr>
        <w:tabs>
          <w:tab w:val="left" w:pos="3686"/>
        </w:tabs>
        <w:spacing w:after="240"/>
        <w:jc w:val="center"/>
        <w:rPr>
          <w:b/>
          <w:i/>
          <w:szCs w:val="24"/>
          <w:highlight w:val="yellow"/>
        </w:rPr>
      </w:pPr>
      <w:r>
        <w:rPr>
          <w:rFonts w:ascii="Arial" w:hAnsi="Arial" w:cs="Arial"/>
          <w:b/>
          <w:noProof/>
          <w:color w:val="000080"/>
          <w:sz w:val="28"/>
          <w:szCs w:val="28"/>
        </w:rPr>
        <w:drawing>
          <wp:inline distT="0" distB="0" distL="0" distR="0" wp14:anchorId="0707EA58" wp14:editId="55B5D38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5734BFF"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3376F8C" w14:textId="77777777" w:rsidR="0051407B" w:rsidRPr="00E840F8" w:rsidRDefault="00BC1364" w:rsidP="00E840F8">
      <w:pPr>
        <w:pStyle w:val="Subtitle"/>
        <w:rPr>
          <w:b w:val="0"/>
        </w:rPr>
      </w:pPr>
      <w:r w:rsidRPr="00F715D1">
        <w:t xml:space="preserve">Application No. </w:t>
      </w:r>
      <w:r w:rsidR="006119D9">
        <w:t>1</w:t>
      </w:r>
      <w:r w:rsidR="003E7E89">
        <w:t>493</w:t>
      </w:r>
      <w:r w:rsidRPr="00F715D1">
        <w:t xml:space="preserve"> –</w:t>
      </w:r>
      <w:proofErr w:type="spellStart"/>
      <w:r w:rsidR="003E7E89" w:rsidRPr="003E7E89">
        <w:t>Transarterial</w:t>
      </w:r>
      <w:proofErr w:type="spellEnd"/>
      <w:r w:rsidR="003E7E89" w:rsidRPr="003E7E89">
        <w:t xml:space="preserve"> </w:t>
      </w:r>
      <w:proofErr w:type="spellStart"/>
      <w:r w:rsidR="003E7E89" w:rsidRPr="003E7E89">
        <w:t>radioembolisation</w:t>
      </w:r>
      <w:proofErr w:type="spellEnd"/>
      <w:r w:rsidR="003E7E89" w:rsidRPr="003E7E89">
        <w:t xml:space="preserve"> with yttrium-90 (TARE-Y) for the treatment of </w:t>
      </w:r>
      <w:proofErr w:type="spellStart"/>
      <w:r w:rsidR="003E7E89" w:rsidRPr="003E7E89">
        <w:t>unresectable</w:t>
      </w:r>
      <w:proofErr w:type="spellEnd"/>
      <w:r w:rsidR="003E7E89" w:rsidRPr="003E7E89">
        <w:t xml:space="preserve"> hepatocellular carcinoma</w:t>
      </w:r>
    </w:p>
    <w:p w14:paraId="50BF15A4" w14:textId="6DE3265F" w:rsidR="00BC1364" w:rsidRPr="00F715D1" w:rsidRDefault="00B35595" w:rsidP="00EA57D0">
      <w:pPr>
        <w:tabs>
          <w:tab w:val="left" w:pos="3686"/>
        </w:tabs>
        <w:spacing w:after="240"/>
        <w:ind w:left="2160" w:hanging="2160"/>
        <w:rPr>
          <w:rFonts w:ascii="Arial" w:hAnsi="Arial" w:cs="Arial"/>
          <w:b/>
          <w:szCs w:val="24"/>
        </w:rPr>
      </w:pPr>
      <w:r w:rsidRPr="00F715D1">
        <w:rPr>
          <w:rFonts w:ascii="Arial" w:hAnsi="Arial" w:cs="Arial"/>
          <w:b/>
          <w:szCs w:val="24"/>
        </w:rPr>
        <w:t>Applicant</w:t>
      </w:r>
      <w:r w:rsidR="00195B7E">
        <w:rPr>
          <w:rFonts w:ascii="Arial" w:hAnsi="Arial" w:cs="Arial"/>
          <w:b/>
          <w:szCs w:val="24"/>
        </w:rPr>
        <w:t>:</w:t>
      </w:r>
      <w:r w:rsidR="00195B7E">
        <w:rPr>
          <w:rFonts w:ascii="Arial" w:hAnsi="Arial" w:cs="Arial"/>
          <w:b/>
          <w:szCs w:val="24"/>
        </w:rPr>
        <w:tab/>
      </w:r>
      <w:r w:rsidR="00195B7E">
        <w:rPr>
          <w:rFonts w:ascii="Arial" w:hAnsi="Arial" w:cs="Arial"/>
          <w:b/>
          <w:szCs w:val="24"/>
        </w:rPr>
        <w:tab/>
      </w:r>
      <w:r w:rsidR="003321D8">
        <w:rPr>
          <w:rFonts w:ascii="Arial" w:hAnsi="Arial" w:cs="Arial"/>
          <w:b/>
          <w:szCs w:val="24"/>
        </w:rPr>
        <w:t>B</w:t>
      </w:r>
      <w:r w:rsidR="003E7E89">
        <w:rPr>
          <w:rFonts w:ascii="Arial" w:hAnsi="Arial" w:cs="Arial"/>
          <w:b/>
          <w:szCs w:val="24"/>
        </w:rPr>
        <w:t>TG International Asia Ltd</w:t>
      </w:r>
    </w:p>
    <w:p w14:paraId="4DAE0EDE"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6119D9">
        <w:rPr>
          <w:rFonts w:ascii="Arial" w:hAnsi="Arial" w:cs="Arial"/>
          <w:b/>
          <w:szCs w:val="24"/>
        </w:rPr>
        <w:t>75</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6119D9">
        <w:rPr>
          <w:rFonts w:ascii="Arial" w:hAnsi="Arial" w:cs="Arial"/>
          <w:b/>
          <w:szCs w:val="24"/>
        </w:rPr>
        <w:t>28-29 March 2019</w:t>
      </w:r>
    </w:p>
    <w:p w14:paraId="297D2FC5"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9" w:tooltip="Link to Medical Services Advisory Committee website" w:history="1">
        <w:proofErr w:type="gramStart"/>
        <w:r w:rsidR="00F715D1" w:rsidRPr="00F715D1">
          <w:rPr>
            <w:rStyle w:val="Hyperlink"/>
            <w:szCs w:val="24"/>
          </w:rPr>
          <w:t>visit the MSAC website</w:t>
        </w:r>
        <w:proofErr w:type="gramEnd"/>
      </w:hyperlink>
    </w:p>
    <w:p w14:paraId="429E593B" w14:textId="77777777" w:rsidR="003D7F29" w:rsidRPr="00F715D1" w:rsidRDefault="003D7F29" w:rsidP="00F715D1">
      <w:pPr>
        <w:pStyle w:val="Heading1"/>
      </w:pPr>
      <w:r w:rsidRPr="00F715D1">
        <w:t>Purpose of application</w:t>
      </w:r>
      <w:r w:rsidR="00822C7E" w:rsidRPr="00F715D1">
        <w:t xml:space="preserve"> </w:t>
      </w:r>
    </w:p>
    <w:p w14:paraId="45E02D44" w14:textId="6EEA0E79" w:rsidR="000F0393" w:rsidRDefault="003321D8" w:rsidP="00195B7E">
      <w:pPr>
        <w:spacing w:after="240"/>
      </w:pPr>
      <w:r>
        <w:t>A</w:t>
      </w:r>
      <w:r w:rsidR="00B6009A">
        <w:t xml:space="preserve"> submission based</w:t>
      </w:r>
      <w:r>
        <w:t xml:space="preserve"> application</w:t>
      </w:r>
      <w:r w:rsidR="00B82153">
        <w:t xml:space="preserve"> (</w:t>
      </w:r>
      <w:r w:rsidR="00B6009A">
        <w:t>SB</w:t>
      </w:r>
      <w:r w:rsidR="007B6C8A">
        <w:t>A,</w:t>
      </w:r>
      <w:r w:rsidR="00B6009A">
        <w:t xml:space="preserve"> comprising a </w:t>
      </w:r>
      <w:r>
        <w:t>revised economic evaluation</w:t>
      </w:r>
      <w:r w:rsidR="00B82153">
        <w:t>)</w:t>
      </w:r>
      <w:r>
        <w:t xml:space="preserve"> for Medicare Benefit Schedule (MBS) listing for </w:t>
      </w:r>
      <w:proofErr w:type="spellStart"/>
      <w:r>
        <w:t>t</w:t>
      </w:r>
      <w:r w:rsidRPr="005A460E">
        <w:t>ransarterial</w:t>
      </w:r>
      <w:proofErr w:type="spellEnd"/>
      <w:r w:rsidRPr="005A460E">
        <w:t xml:space="preserve"> </w:t>
      </w:r>
      <w:proofErr w:type="spellStart"/>
      <w:r w:rsidRPr="005A460E">
        <w:t>radioembolisation</w:t>
      </w:r>
      <w:proofErr w:type="spellEnd"/>
      <w:r w:rsidRPr="005A460E">
        <w:t xml:space="preserve"> with yttrium-90 (TARE-Y) for the treatment of </w:t>
      </w:r>
      <w:r>
        <w:t xml:space="preserve">advanced </w:t>
      </w:r>
      <w:r w:rsidRPr="005A460E">
        <w:t>hepatocellular carcinoma (HCC)</w:t>
      </w:r>
      <w:r>
        <w:t xml:space="preserve"> </w:t>
      </w:r>
      <w:proofErr w:type="gramStart"/>
      <w:r>
        <w:t>was received</w:t>
      </w:r>
      <w:proofErr w:type="gramEnd"/>
      <w:r>
        <w:t xml:space="preserve"> from BTG International Asia by the Department of Health.</w:t>
      </w:r>
    </w:p>
    <w:p w14:paraId="44357380" w14:textId="77777777" w:rsidR="000F0393" w:rsidRPr="0041184F" w:rsidRDefault="000F0393" w:rsidP="003321D8">
      <w:r>
        <w:t xml:space="preserve">This SBA </w:t>
      </w:r>
      <w:proofErr w:type="gramStart"/>
      <w:r>
        <w:t>was made</w:t>
      </w:r>
      <w:proofErr w:type="gramEnd"/>
      <w:r>
        <w:t xml:space="preserve"> in response to the MSAC deferral of the same </w:t>
      </w:r>
      <w:r w:rsidR="007B6C8A">
        <w:t xml:space="preserve">MBS </w:t>
      </w:r>
      <w:r>
        <w:t>listing request in July 2018.</w:t>
      </w:r>
    </w:p>
    <w:p w14:paraId="519CE19F" w14:textId="77777777" w:rsidR="00E977EE" w:rsidRPr="00F715D1" w:rsidRDefault="00E977EE" w:rsidP="00F715D1">
      <w:pPr>
        <w:pStyle w:val="Heading1"/>
      </w:pPr>
      <w:r w:rsidRPr="00F715D1">
        <w:t>MSAC’s advice to the Minister</w:t>
      </w:r>
    </w:p>
    <w:p w14:paraId="2F0C8081" w14:textId="4ADDEB1A" w:rsidR="00360630" w:rsidRDefault="00360630" w:rsidP="00195B7E">
      <w:pPr>
        <w:spacing w:after="240"/>
      </w:pPr>
      <w:r w:rsidRPr="00CA5587">
        <w:t xml:space="preserve">After considering the strength of the available evidence in relation to comparative safety, clinical effectiveness </w:t>
      </w:r>
      <w:r w:rsidRPr="009B1A8E">
        <w:t>and</w:t>
      </w:r>
      <w:r w:rsidRPr="00CA5587">
        <w:t xml:space="preserve"> cost</w:t>
      </w:r>
      <w:r>
        <w:t>-</w:t>
      </w:r>
      <w:r w:rsidRPr="00CA5587">
        <w:t xml:space="preserve">effectiveness, </w:t>
      </w:r>
      <w:r>
        <w:t xml:space="preserve">MSAC supported MBS listing of </w:t>
      </w:r>
      <w:proofErr w:type="spellStart"/>
      <w:r>
        <w:t>transarterial</w:t>
      </w:r>
      <w:proofErr w:type="spellEnd"/>
      <w:r>
        <w:t xml:space="preserve"> </w:t>
      </w:r>
      <w:proofErr w:type="spellStart"/>
      <w:r>
        <w:t>radioembolisation</w:t>
      </w:r>
      <w:proofErr w:type="spellEnd"/>
      <w:r>
        <w:t xml:space="preserve"> with yttrium-90 (TARE-Y) for the treatment of </w:t>
      </w:r>
      <w:proofErr w:type="spellStart"/>
      <w:r>
        <w:t>unresectable</w:t>
      </w:r>
      <w:proofErr w:type="spellEnd"/>
      <w:r>
        <w:t xml:space="preserve"> advanced hepatocellular carcinoma. MSAC advised that the cost per patient of TARE-Y should be no greater than that of sorafenib after incorporating cost </w:t>
      </w:r>
      <w:proofErr w:type="gramStart"/>
      <w:r>
        <w:t>off-sets</w:t>
      </w:r>
      <w:proofErr w:type="gramEnd"/>
      <w:r>
        <w:t xml:space="preserve"> due to accepted reduced rates of adverse events.</w:t>
      </w:r>
    </w:p>
    <w:p w14:paraId="6872DBC2" w14:textId="102AB923" w:rsidR="00360630" w:rsidRDefault="00360630" w:rsidP="00195B7E">
      <w:pPr>
        <w:spacing w:after="240"/>
      </w:pPr>
      <w:r>
        <w:t xml:space="preserve">Before implementation, MSAC requested that, based on this advice, further information on the calculated price for TARE-Y in the treatment of </w:t>
      </w:r>
      <w:proofErr w:type="spellStart"/>
      <w:r>
        <w:t>unresectable</w:t>
      </w:r>
      <w:proofErr w:type="spellEnd"/>
      <w:r>
        <w:t xml:space="preserve"> advanced hepatocellular carcinoma </w:t>
      </w:r>
      <w:proofErr w:type="gramStart"/>
      <w:r>
        <w:t>be provided</w:t>
      </w:r>
      <w:proofErr w:type="gramEnd"/>
      <w:r>
        <w:t xml:space="preserve"> to the MSAC Executive for review.</w:t>
      </w:r>
    </w:p>
    <w:p w14:paraId="68941D6D" w14:textId="74C320AE" w:rsidR="00EA7117" w:rsidRDefault="00360630" w:rsidP="00195B7E">
      <w:pPr>
        <w:spacing w:after="240"/>
      </w:pPr>
      <w:r w:rsidRPr="00335A16">
        <w:t>MSAC accepted there was a clinical need in this small population with poor treatment options</w:t>
      </w:r>
      <w:r>
        <w:t>.</w:t>
      </w:r>
      <w:r w:rsidRPr="00335A16">
        <w:t xml:space="preserve"> </w:t>
      </w:r>
      <w:r>
        <w:t>MSAC considered that TARE-Y offered patients a better quality of life and safety advantages compared with sorafenib.</w:t>
      </w:r>
    </w:p>
    <w:p w14:paraId="1539D9C8" w14:textId="77777777" w:rsidR="00EA7117" w:rsidRDefault="00EA7117" w:rsidP="00360630">
      <w:r>
        <w:t xml:space="preserve">MSAC advised that the MBS listing </w:t>
      </w:r>
      <w:proofErr w:type="gramStart"/>
      <w:r>
        <w:t>should be confined</w:t>
      </w:r>
      <w:proofErr w:type="gramEnd"/>
      <w:r>
        <w:t xml:space="preserve"> to inpatient use of the service and that the 85% rebate applicable to non-inpatient use not be available. </w:t>
      </w:r>
      <w:r w:rsidR="00FC4887">
        <w:t>The MSAC noted t</w:t>
      </w:r>
      <w:r w:rsidR="000206A0">
        <w:t>he current listing of y</w:t>
      </w:r>
      <w:r>
        <w:t>ttrium-90 on the Prostheses List</w:t>
      </w:r>
      <w:r w:rsidR="000206A0">
        <w:t xml:space="preserve"> </w:t>
      </w:r>
      <w:proofErr w:type="gramStart"/>
      <w:r w:rsidR="00216EAC">
        <w:t>will</w:t>
      </w:r>
      <w:proofErr w:type="gramEnd"/>
      <w:r w:rsidR="00216EAC">
        <w:t xml:space="preserve"> need to </w:t>
      </w:r>
      <w:r w:rsidR="000206A0">
        <w:t xml:space="preserve">be amended </w:t>
      </w:r>
      <w:r w:rsidR="00216EAC">
        <w:t xml:space="preserve">to allow </w:t>
      </w:r>
      <w:r>
        <w:t>fund</w:t>
      </w:r>
      <w:r w:rsidR="00216EAC">
        <w:t>ing</w:t>
      </w:r>
      <w:r>
        <w:t xml:space="preserve"> through private health insurance</w:t>
      </w:r>
      <w:r w:rsidR="00FC4887">
        <w:t xml:space="preserve"> for use in conjunction with the new MBS listing</w:t>
      </w:r>
      <w:r>
        <w:t>.</w:t>
      </w:r>
    </w:p>
    <w:p w14:paraId="676498CF" w14:textId="77777777" w:rsidR="00550354" w:rsidRPr="00334E76" w:rsidRDefault="00550354" w:rsidP="00F715D1">
      <w:pPr>
        <w:pStyle w:val="Heading1"/>
      </w:pPr>
      <w:r w:rsidRPr="00334E76">
        <w:lastRenderedPageBreak/>
        <w:t xml:space="preserve">Summary of consideration and rationale for MSAC’s advice </w:t>
      </w:r>
    </w:p>
    <w:p w14:paraId="19471E29" w14:textId="77777777" w:rsidR="00B2751B" w:rsidRPr="00764EFD" w:rsidRDefault="00B2751B" w:rsidP="00B2751B">
      <w:pPr>
        <w:spacing w:after="120"/>
      </w:pPr>
      <w:r w:rsidRPr="00764EFD">
        <w:t xml:space="preserve">At its July 2018 meeting, MSAC deferred its advice to request a revised economic evaluation. </w:t>
      </w:r>
      <w:r w:rsidR="007B6C8A">
        <w:t xml:space="preserve">At that time, </w:t>
      </w:r>
      <w:r w:rsidRPr="00764EFD">
        <w:t>MSAC considered there were two potential options</w:t>
      </w:r>
      <w:r w:rsidR="007B6C8A">
        <w:t xml:space="preserve"> for progressing this matter.</w:t>
      </w:r>
      <w:r w:rsidRPr="00764EFD">
        <w:t xml:space="preserve"> </w:t>
      </w:r>
      <w:r w:rsidR="007B6C8A">
        <w:t>T</w:t>
      </w:r>
      <w:r w:rsidRPr="00764EFD">
        <w:t xml:space="preserve">he </w:t>
      </w:r>
      <w:r w:rsidR="00113400" w:rsidRPr="00764EFD">
        <w:t xml:space="preserve">applicant </w:t>
      </w:r>
      <w:r w:rsidRPr="00764EFD">
        <w:t>chose option 1, which was:</w:t>
      </w:r>
    </w:p>
    <w:p w14:paraId="585CC004" w14:textId="77777777" w:rsidR="007B6C8A" w:rsidRDefault="00B2751B" w:rsidP="00764EFD">
      <w:pPr>
        <w:pStyle w:val="ListParagraph"/>
        <w:numPr>
          <w:ilvl w:val="0"/>
          <w:numId w:val="32"/>
        </w:numPr>
        <w:spacing w:after="240"/>
      </w:pPr>
      <w:r w:rsidRPr="00764EFD">
        <w:t>A comparison against sorafenib only</w:t>
      </w:r>
      <w:r w:rsidR="00113400" w:rsidRPr="00764EFD">
        <w:t xml:space="preserve"> (for advanced</w:t>
      </w:r>
      <w:r w:rsidR="00952B67" w:rsidRPr="00764EFD">
        <w:t xml:space="preserve"> hepatocellular carcinoma</w:t>
      </w:r>
      <w:r w:rsidR="00113400" w:rsidRPr="00764EFD">
        <w:t xml:space="preserve"> </w:t>
      </w:r>
      <w:r w:rsidR="00952B67" w:rsidRPr="00764EFD">
        <w:t>(</w:t>
      </w:r>
      <w:r w:rsidR="00113400" w:rsidRPr="00764EFD">
        <w:t>HCC</w:t>
      </w:r>
      <w:r w:rsidR="00952B67" w:rsidRPr="00764EFD">
        <w:t>);</w:t>
      </w:r>
      <w:r w:rsidR="00113400" w:rsidRPr="00764EFD">
        <w:t xml:space="preserve"> i.e. Barcelona Clinic Liver C</w:t>
      </w:r>
      <w:r w:rsidR="00952B67" w:rsidRPr="00764EFD">
        <w:t>ancer (BCLC</w:t>
      </w:r>
      <w:r w:rsidR="00113400" w:rsidRPr="00764EFD">
        <w:t>) stage C),</w:t>
      </w:r>
      <w:r w:rsidRPr="00764EFD">
        <w:t xml:space="preserve"> based on clinical non-inferiority and likely better safety profile</w:t>
      </w:r>
      <w:r w:rsidRPr="00881481">
        <w:t xml:space="preserve"> in the subgroup currently eligible for sorafenib. This would take a cost-minimisation approach using the SARAH trial data and include the different costs of different adverse event (AE) profiles.</w:t>
      </w:r>
    </w:p>
    <w:p w14:paraId="793F5156" w14:textId="77777777" w:rsidR="00B2751B" w:rsidRPr="00764EFD" w:rsidRDefault="00B2751B" w:rsidP="00334E76">
      <w:pPr>
        <w:spacing w:after="240"/>
      </w:pPr>
      <w:r w:rsidRPr="00334E76">
        <w:t>This</w:t>
      </w:r>
      <w:r w:rsidR="00FC4887" w:rsidRPr="00334E76">
        <w:t xml:space="preserve"> </w:t>
      </w:r>
      <w:r w:rsidRPr="00334E76">
        <w:t>application</w:t>
      </w:r>
      <w:r w:rsidR="00952B67" w:rsidRPr="00334E76">
        <w:t xml:space="preserve"> </w:t>
      </w:r>
      <w:r w:rsidR="00FC4887" w:rsidRPr="00334E76">
        <w:t xml:space="preserve">again </w:t>
      </w:r>
      <w:r w:rsidRPr="00334E76">
        <w:t xml:space="preserve">requests listing of </w:t>
      </w:r>
      <w:proofErr w:type="spellStart"/>
      <w:r w:rsidRPr="00334E76">
        <w:t>transarterial</w:t>
      </w:r>
      <w:proofErr w:type="spellEnd"/>
      <w:r w:rsidRPr="00334E76">
        <w:t xml:space="preserve"> </w:t>
      </w:r>
      <w:proofErr w:type="spellStart"/>
      <w:r w:rsidRPr="00334E76">
        <w:t>radioembolisation</w:t>
      </w:r>
      <w:proofErr w:type="spellEnd"/>
      <w:r w:rsidRPr="00334E76">
        <w:t xml:space="preserve"> using yttrium-90 (TARE</w:t>
      </w:r>
      <w:r w:rsidRPr="00334E76">
        <w:noBreakHyphen/>
        <w:t xml:space="preserve">Y) for the treatment </w:t>
      </w:r>
      <w:r w:rsidR="008054DB" w:rsidRPr="00334E76">
        <w:t xml:space="preserve">of </w:t>
      </w:r>
      <w:r w:rsidR="00113400" w:rsidRPr="00334E76">
        <w:t>advanced</w:t>
      </w:r>
      <w:r w:rsidRPr="00334E76">
        <w:t xml:space="preserve"> HCC. TARE-Y involves the delivery of yttrium-90-containing microspheres (Y</w:t>
      </w:r>
      <w:r w:rsidRPr="00764EFD">
        <w:noBreakHyphen/>
        <w:t>90 microspheres) to liver tumours via a catheter inserted in the hepatic artery. MSAC noted the high clinical need for this group of patients.</w:t>
      </w:r>
    </w:p>
    <w:p w14:paraId="29930FFE" w14:textId="6D439BDB" w:rsidR="00B2751B" w:rsidRDefault="00070ECF" w:rsidP="00195B7E">
      <w:pPr>
        <w:spacing w:after="240"/>
      </w:pPr>
      <w:r w:rsidRPr="00334E76">
        <w:t>Overall</w:t>
      </w:r>
      <w:r w:rsidR="00B2751B" w:rsidRPr="00334E76">
        <w:t xml:space="preserve">, MSAC </w:t>
      </w:r>
      <w:r w:rsidRPr="00764EFD">
        <w:t xml:space="preserve">was satisfied that the available evidence supports conclusions that </w:t>
      </w:r>
      <w:r w:rsidR="00B2751B" w:rsidRPr="00334E76">
        <w:t>TARE-Y and sorafenib have no significant differences in efficacy</w:t>
      </w:r>
      <w:r w:rsidRPr="00764EFD">
        <w:t xml:space="preserve">, and that TARE-Y has </w:t>
      </w:r>
      <w:r w:rsidR="00B2751B" w:rsidRPr="00334E76">
        <w:t>superior</w:t>
      </w:r>
      <w:r w:rsidRPr="00764EFD">
        <w:t xml:space="preserve"> safety </w:t>
      </w:r>
      <w:r w:rsidR="00B2751B" w:rsidRPr="00334E76">
        <w:t>compared with sorafenib.</w:t>
      </w:r>
    </w:p>
    <w:p w14:paraId="71A820C9" w14:textId="019FC0E8" w:rsidR="007B6C8A" w:rsidRDefault="00334E76" w:rsidP="00195B7E">
      <w:pPr>
        <w:spacing w:after="240"/>
      </w:pPr>
      <w:r>
        <w:t>The MSAC noted that the submission to the March 2019 MSAC meeting presented an economic evaluation based on the assumption of the non-inferiority of TARE-Y over sorafenib for overall survival in patients with advanced HCC</w:t>
      </w:r>
      <w:r w:rsidR="007B6C8A">
        <w:t xml:space="preserve"> with cost-offsets for the different rates of adverse events (AE).</w:t>
      </w:r>
    </w:p>
    <w:p w14:paraId="59FEA31F" w14:textId="77777777" w:rsidR="00334E76" w:rsidRDefault="00334E76" w:rsidP="00334E76">
      <w:r>
        <w:t xml:space="preserve">The type of analysis was a cost-minimisation analysis (CMA) using multiple data sources for costing inputs, as follows: </w:t>
      </w:r>
    </w:p>
    <w:p w14:paraId="18C4CFE1" w14:textId="3EEDA07C" w:rsidR="00334E76" w:rsidRDefault="00334E76" w:rsidP="00764EFD">
      <w:pPr>
        <w:pStyle w:val="ListParagraph"/>
        <w:numPr>
          <w:ilvl w:val="0"/>
          <w:numId w:val="32"/>
        </w:numPr>
        <w:spacing w:after="240"/>
      </w:pPr>
      <w:r>
        <w:t xml:space="preserve">The </w:t>
      </w:r>
      <w:proofErr w:type="spellStart"/>
      <w:r>
        <w:t>equi</w:t>
      </w:r>
      <w:proofErr w:type="spellEnd"/>
      <w:r>
        <w:t xml:space="preserve">-effective doses were assumed to be </w:t>
      </w:r>
      <w:r w:rsidR="00933ACA" w:rsidRPr="00933ACA">
        <w:rPr>
          <w:b/>
        </w:rPr>
        <w:t>redacted</w:t>
      </w:r>
      <w:r>
        <w:t xml:space="preserve"> TARE-Y doses versus sorafenib </w:t>
      </w:r>
      <w:r w:rsidR="00933ACA" w:rsidRPr="00933ACA">
        <w:rPr>
          <w:b/>
        </w:rPr>
        <w:t>redacted</w:t>
      </w:r>
      <w:r>
        <w:t xml:space="preserve">; </w:t>
      </w:r>
    </w:p>
    <w:p w14:paraId="5167A8A1" w14:textId="77777777" w:rsidR="00334E76" w:rsidRDefault="00334E76" w:rsidP="00764EFD">
      <w:pPr>
        <w:pStyle w:val="ListParagraph"/>
        <w:numPr>
          <w:ilvl w:val="0"/>
          <w:numId w:val="32"/>
        </w:numPr>
        <w:spacing w:after="240"/>
      </w:pPr>
      <w:r>
        <w:t xml:space="preserve">AE rates from SARAH per protocol population were used in the base-case analysis and AE rates from the SARAH safety population and the </w:t>
      </w:r>
      <w:proofErr w:type="spellStart"/>
      <w:r>
        <w:t>SIRveNIB</w:t>
      </w:r>
      <w:proofErr w:type="spellEnd"/>
      <w:r>
        <w:t xml:space="preserve"> trial were u</w:t>
      </w:r>
      <w:r w:rsidR="007B6C8A">
        <w:t>sed in a sensitivity analyses</w:t>
      </w:r>
      <w:r w:rsidR="00D21284">
        <w:t>;</w:t>
      </w:r>
    </w:p>
    <w:p w14:paraId="10BD03AE" w14:textId="77777777" w:rsidR="007B6C8A" w:rsidRDefault="007B6C8A" w:rsidP="007B6C8A">
      <w:pPr>
        <w:pStyle w:val="ListParagraph"/>
        <w:numPr>
          <w:ilvl w:val="0"/>
          <w:numId w:val="32"/>
        </w:numPr>
        <w:spacing w:after="240"/>
      </w:pPr>
      <w:r>
        <w:t xml:space="preserve">Hospital and </w:t>
      </w:r>
      <w:r w:rsidRPr="007B6C8A">
        <w:t>Australian Refined-Diagnosis related Groups’ (AR-DRG)</w:t>
      </w:r>
      <w:r>
        <w:t xml:space="preserve"> costs that </w:t>
      </w:r>
      <w:r w:rsidRPr="003D59C8">
        <w:t>were no</w:t>
      </w:r>
      <w:r w:rsidR="00B775B3" w:rsidRPr="003D59C8">
        <w:t>t</w:t>
      </w:r>
      <w:r>
        <w:t xml:space="preserve"> up to date.</w:t>
      </w:r>
    </w:p>
    <w:p w14:paraId="3E42DFDC" w14:textId="77777777" w:rsidR="00334E76" w:rsidRDefault="007B6C8A" w:rsidP="00764EFD">
      <w:pPr>
        <w:spacing w:after="240"/>
      </w:pPr>
      <w:r>
        <w:t>T</w:t>
      </w:r>
      <w:r w:rsidR="00334E76">
        <w:t>he MSAC did not accept the submission’s approach to the CMA and requested the Department undertake further work to establish the most appropriate basis for a CMA analysis.</w:t>
      </w:r>
    </w:p>
    <w:p w14:paraId="2692D6DC" w14:textId="77777777" w:rsidR="00334E76" w:rsidRDefault="00334E76" w:rsidP="00334E76">
      <w:r>
        <w:t>The MSAC’s specific concerns were that</w:t>
      </w:r>
      <w:r w:rsidR="00AB6580">
        <w:t>:</w:t>
      </w:r>
    </w:p>
    <w:p w14:paraId="6A498AE3" w14:textId="77777777" w:rsidR="00334E76" w:rsidRDefault="00334E76" w:rsidP="00764EFD">
      <w:pPr>
        <w:pStyle w:val="ListParagraph"/>
        <w:numPr>
          <w:ilvl w:val="0"/>
          <w:numId w:val="32"/>
        </w:numPr>
        <w:spacing w:after="240"/>
      </w:pPr>
      <w:r>
        <w:t>The use of the per protocol</w:t>
      </w:r>
      <w:r w:rsidR="00D21284">
        <w:t xml:space="preserve"> </w:t>
      </w:r>
      <w:r>
        <w:t>population from the SARAH trial had the potential to incorrectly estimate the costs of adverse events;</w:t>
      </w:r>
    </w:p>
    <w:p w14:paraId="226225EC" w14:textId="77777777" w:rsidR="00334E76" w:rsidRDefault="00334E76" w:rsidP="00764EFD">
      <w:pPr>
        <w:pStyle w:val="ListParagraph"/>
        <w:numPr>
          <w:ilvl w:val="0"/>
          <w:numId w:val="32"/>
        </w:numPr>
        <w:spacing w:after="240"/>
      </w:pPr>
      <w:r>
        <w:t xml:space="preserve">The </w:t>
      </w:r>
      <w:proofErr w:type="spellStart"/>
      <w:r>
        <w:t>equi</w:t>
      </w:r>
      <w:proofErr w:type="spellEnd"/>
      <w:r>
        <w:t xml:space="preserve">-effective doses were not derived from the trials used to support the clinical claim; </w:t>
      </w:r>
    </w:p>
    <w:p w14:paraId="2A558116" w14:textId="77777777" w:rsidR="00334E76" w:rsidRDefault="00334E76" w:rsidP="00764EFD">
      <w:pPr>
        <w:pStyle w:val="ListParagraph"/>
        <w:numPr>
          <w:ilvl w:val="0"/>
          <w:numId w:val="32"/>
        </w:numPr>
        <w:spacing w:after="240"/>
      </w:pPr>
      <w:r>
        <w:t>Many of the cost inputs into the CMA were not current</w:t>
      </w:r>
      <w:r w:rsidR="007B6C8A">
        <w:t>.</w:t>
      </w:r>
    </w:p>
    <w:p w14:paraId="724372E9" w14:textId="19A05F97" w:rsidR="00334E76" w:rsidRDefault="006F21BB" w:rsidP="00195B7E">
      <w:pPr>
        <w:spacing w:after="240"/>
      </w:pPr>
      <w:r>
        <w:t xml:space="preserve">The MSAC noted the cost of managing adverse events </w:t>
      </w:r>
      <w:proofErr w:type="gramStart"/>
      <w:r>
        <w:t>was based</w:t>
      </w:r>
      <w:proofErr w:type="gramEnd"/>
      <w:r>
        <w:t xml:space="preserve"> on the SARAH trial. The base case for the CMA included AEs from the per-protocol population, and only grade </w:t>
      </w:r>
      <w:r w:rsidRPr="002D50C0">
        <w:t>≥</w:t>
      </w:r>
      <w:r>
        <w:t>3 AEs were considered.  The MSA</w:t>
      </w:r>
      <w:r w:rsidR="00D21284">
        <w:t>C</w:t>
      </w:r>
      <w:r>
        <w:t xml:space="preserve"> noted the Critique queried this approach, because all AEs would affect resource use and costs. MSAC noted the Critique’s view that the per-protocol analysis can substantially bias the results in either direction. </w:t>
      </w:r>
      <w:r w:rsidR="00334E76">
        <w:t xml:space="preserve"> The MSAC considered the safety population to be most appropriate for informing cost offsets from AE data as this </w:t>
      </w:r>
      <w:r w:rsidR="00334E76">
        <w:lastRenderedPageBreak/>
        <w:t>population had fewer randomised patients excluded from analysis compared with the per-protocol population (4% vs. 17%, respectively).</w:t>
      </w:r>
    </w:p>
    <w:p w14:paraId="25DAB853" w14:textId="1D1DBF24" w:rsidR="00334E76" w:rsidRDefault="00334E76" w:rsidP="00195B7E">
      <w:pPr>
        <w:spacing w:after="240"/>
      </w:pPr>
      <w:r>
        <w:t xml:space="preserve">The MSAC noted that the applicant had sourced the </w:t>
      </w:r>
      <w:proofErr w:type="spellStart"/>
      <w:r>
        <w:t>equi</w:t>
      </w:r>
      <w:proofErr w:type="spellEnd"/>
      <w:r>
        <w:t>-effective dose for TARE-Y (</w:t>
      </w:r>
      <w:r w:rsidR="004B26F9">
        <w:rPr>
          <w:b/>
        </w:rPr>
        <w:t>redacted</w:t>
      </w:r>
      <w:r w:rsidR="00ED7048">
        <w:rPr>
          <w:b/>
        </w:rPr>
        <w:t xml:space="preserve"> </w:t>
      </w:r>
      <w:r>
        <w:t>treatments) from an observational study (</w:t>
      </w:r>
      <w:r w:rsidR="004B26F9">
        <w:rPr>
          <w:b/>
        </w:rPr>
        <w:t>redacted</w:t>
      </w:r>
      <w:r>
        <w:t>) in population with advanced HCC with portal vein thrombosis (100% stage C); and for sorafenib from a trial arm of an RCT (</w:t>
      </w:r>
      <w:r w:rsidR="004B26F9">
        <w:rPr>
          <w:b/>
        </w:rPr>
        <w:t>redacted</w:t>
      </w:r>
      <w:r>
        <w:t xml:space="preserve">) in patients with advanced HCC (83% stage C).  The sorafenib treatment duration </w:t>
      </w:r>
      <w:proofErr w:type="gramStart"/>
      <w:r>
        <w:t xml:space="preserve">was assumed to be </w:t>
      </w:r>
      <w:r w:rsidR="004B26F9">
        <w:rPr>
          <w:b/>
        </w:rPr>
        <w:t>redacted</w:t>
      </w:r>
      <w:proofErr w:type="gramEnd"/>
      <w:r>
        <w:t>.</w:t>
      </w:r>
    </w:p>
    <w:p w14:paraId="2E15C718" w14:textId="2A5B4960" w:rsidR="00334E76" w:rsidRDefault="00334E76" w:rsidP="00195B7E">
      <w:pPr>
        <w:spacing w:after="240"/>
      </w:pPr>
      <w:r>
        <w:t xml:space="preserve">The MSAC considered that a </w:t>
      </w:r>
      <w:r w:rsidR="00933ACA" w:rsidRPr="00933ACA">
        <w:rPr>
          <w:b/>
        </w:rPr>
        <w:t>redacted</w:t>
      </w:r>
      <w:r w:rsidR="00933ACA" w:rsidDel="00933ACA">
        <w:t xml:space="preserve"> </w:t>
      </w:r>
      <w:r>
        <w:t>TARE-Y treatments based on the SARAH trial is likely realistic of what will occur in clinical practice</w:t>
      </w:r>
      <w:r w:rsidR="007B6C8A">
        <w:t>.</w:t>
      </w:r>
    </w:p>
    <w:p w14:paraId="1BA498CA" w14:textId="2F42A8C9" w:rsidR="00334E76" w:rsidRDefault="00334E76" w:rsidP="00195B7E">
      <w:pPr>
        <w:spacing w:after="240"/>
      </w:pPr>
      <w:r>
        <w:t xml:space="preserve">The MSAC further noted that the median duration of sorafenib treatment was 2.8 months in SARAH with a dose intensity of 800 mg/day, compared with ~3.2 months and 644.5 mg/day in the </w:t>
      </w:r>
      <w:proofErr w:type="spellStart"/>
      <w:r>
        <w:t>SIRveNIB</w:t>
      </w:r>
      <w:proofErr w:type="spellEnd"/>
      <w:r>
        <w:t xml:space="preserve"> trial.</w:t>
      </w:r>
    </w:p>
    <w:p w14:paraId="7D717E0B" w14:textId="7E497CA9" w:rsidR="00334E76" w:rsidRDefault="00334E76" w:rsidP="00195B7E">
      <w:pPr>
        <w:spacing w:after="240"/>
      </w:pPr>
      <w:r>
        <w:t xml:space="preserve">However, the MSAC accepted, as argued in the pre-Applicant response, the median estimates of dose and duration for sorafenib might underestimate the average duration of treatment with sorafenib. Due to the poor tolerability of sorafenib, a large proportion of patients will cease treatment in the first month, whilst others remain on treatment for a longer duration (i.e. right skewed distribution). MSAC acknowledged the limitation of using the median duration of treatment of sorafenib from SARAH (rather than the truncated mean) to inform the CMA, and agreed that an estimate of the cost of treatment of sorafenib </w:t>
      </w:r>
      <w:proofErr w:type="gramStart"/>
      <w:r>
        <w:t>will be better captured</w:t>
      </w:r>
      <w:proofErr w:type="gramEnd"/>
      <w:r>
        <w:t xml:space="preserve"> by using the mean </w:t>
      </w:r>
      <w:r w:rsidR="00195B7E">
        <w:t>dose and duration of treatment.</w:t>
      </w:r>
    </w:p>
    <w:p w14:paraId="05FD7053" w14:textId="77777777" w:rsidR="00070ECF" w:rsidRDefault="00334E76" w:rsidP="00334E76">
      <w:r>
        <w:t xml:space="preserve">As noted above, the MSAC requested the revised economic analyses </w:t>
      </w:r>
      <w:proofErr w:type="gramStart"/>
      <w:r>
        <w:t>be presented</w:t>
      </w:r>
      <w:proofErr w:type="gramEnd"/>
      <w:r>
        <w:t xml:space="preserve"> to the MSAC Executive.</w:t>
      </w:r>
    </w:p>
    <w:p w14:paraId="66CACB3C" w14:textId="77777777" w:rsidR="00B6009A" w:rsidRPr="00764EFD" w:rsidRDefault="006F21BB" w:rsidP="00B6009A">
      <w:pPr>
        <w:spacing w:before="240"/>
      </w:pPr>
      <w:r w:rsidRPr="00764EFD">
        <w:t xml:space="preserve">The </w:t>
      </w:r>
      <w:bookmarkStart w:id="0" w:name="Editing"/>
      <w:bookmarkEnd w:id="0"/>
      <w:r w:rsidR="00B6009A" w:rsidRPr="00764EFD">
        <w:t>MSAC advised that this is an inpatient procedure, a revision of its earlier advice that the procedure should be classified as day surgery (Type B); this could be certified up to type A if the patient needs to stay overnight due to post-intervention pain.</w:t>
      </w:r>
    </w:p>
    <w:p w14:paraId="0CE3A7A6" w14:textId="77777777" w:rsidR="00BC1364" w:rsidRPr="00764EFD" w:rsidRDefault="00B6009A" w:rsidP="00334E76">
      <w:pPr>
        <w:pStyle w:val="Heading1"/>
      </w:pPr>
      <w:r w:rsidRPr="00764EFD" w:rsidDel="00B6009A">
        <w:t xml:space="preserve"> </w:t>
      </w:r>
      <w:r w:rsidR="00BC1364" w:rsidRPr="00764EFD">
        <w:t>Background</w:t>
      </w:r>
    </w:p>
    <w:p w14:paraId="211971FE" w14:textId="04071FA2" w:rsidR="007A64EE" w:rsidRDefault="003321D8" w:rsidP="00195B7E">
      <w:pPr>
        <w:spacing w:after="240"/>
      </w:pPr>
      <w:r>
        <w:t xml:space="preserve">MSAC has previously considered TARE-Y </w:t>
      </w:r>
      <w:r w:rsidRPr="00A97F67">
        <w:t xml:space="preserve">for the treatment of </w:t>
      </w:r>
      <w:proofErr w:type="spellStart"/>
      <w:r w:rsidRPr="00A97F67">
        <w:t>unresectable</w:t>
      </w:r>
      <w:proofErr w:type="spellEnd"/>
      <w:r w:rsidRPr="00A97F67">
        <w:t xml:space="preserve"> </w:t>
      </w:r>
      <w:r w:rsidR="008978CB">
        <w:t>HCC (</w:t>
      </w:r>
      <w:proofErr w:type="spellStart"/>
      <w:r w:rsidR="008978CB">
        <w:t>ie</w:t>
      </w:r>
      <w:proofErr w:type="spellEnd"/>
      <w:r w:rsidR="008978CB">
        <w:t xml:space="preserve"> advanced and intermediate HCC) </w:t>
      </w:r>
      <w:r>
        <w:t>in 20</w:t>
      </w:r>
      <w:r w:rsidR="008978CB">
        <w:t>18 (App</w:t>
      </w:r>
      <w:r w:rsidR="008E4D34">
        <w:t xml:space="preserve"> 1493) and </w:t>
      </w:r>
      <w:r w:rsidR="008E4D34" w:rsidRPr="00335A16">
        <w:t>deferred its advice to request a revised economic evaluation.</w:t>
      </w:r>
    </w:p>
    <w:p w14:paraId="672571AB" w14:textId="5A9873F3" w:rsidR="008E4D34" w:rsidRDefault="007A64EE" w:rsidP="00195B7E">
      <w:pPr>
        <w:spacing w:after="240"/>
      </w:pPr>
      <w:r>
        <w:t>Refer to Public Summary Document (PSD), Application No.1493 2018 for further information.</w:t>
      </w:r>
    </w:p>
    <w:p w14:paraId="2286913A" w14:textId="77777777" w:rsidR="008E4D34" w:rsidRDefault="008E4D34" w:rsidP="008E4D34">
      <w:pPr>
        <w:spacing w:after="240"/>
      </w:pPr>
      <w:r>
        <w:t xml:space="preserve">Previously, </w:t>
      </w:r>
      <w:r w:rsidRPr="00437C49">
        <w:t xml:space="preserve">MSAC </w:t>
      </w:r>
      <w:r>
        <w:t>had</w:t>
      </w:r>
      <w:r w:rsidRPr="00437C49">
        <w:t xml:space="preserve"> considered </w:t>
      </w:r>
      <w:r>
        <w:t>TARE-Y for HCC</w:t>
      </w:r>
      <w:r w:rsidRPr="00437C49">
        <w:t xml:space="preserve"> in 2005 (App 1082) through an application </w:t>
      </w:r>
      <w:r>
        <w:t>f</w:t>
      </w:r>
      <w:r w:rsidRPr="00437C49">
        <w:t>o</w:t>
      </w:r>
      <w:r>
        <w:t>r</w:t>
      </w:r>
      <w:r w:rsidRPr="00437C49">
        <w:t xml:space="preserve"> SIR-Spheres</w:t>
      </w:r>
      <w:r>
        <w:t xml:space="preserve"> (resin microspheres),</w:t>
      </w:r>
      <w:r w:rsidRPr="00437C49">
        <w:t xml:space="preserve"> and did no</w:t>
      </w:r>
      <w:r>
        <w:t>t support public funding at that time.</w:t>
      </w:r>
    </w:p>
    <w:p w14:paraId="1F7E2B53" w14:textId="77777777" w:rsidR="008E4D34" w:rsidRPr="0041184F" w:rsidRDefault="008E4D34" w:rsidP="00334E76">
      <w:pPr>
        <w:tabs>
          <w:tab w:val="left" w:pos="284"/>
        </w:tabs>
      </w:pPr>
      <w:r>
        <w:t xml:space="preserve">TARE-Y using SIR-Spheres (resin microspheres) is currently subsidised by the MBS on an interim basis (commenced in May 2006) for the treatment of hepatic metastases that are secondary to colorectal cancer. SIR-Spheres </w:t>
      </w:r>
      <w:proofErr w:type="gramStart"/>
      <w:r>
        <w:t>are currently funded</w:t>
      </w:r>
      <w:proofErr w:type="gramEnd"/>
      <w:r>
        <w:t xml:space="preserve"> via the Prostheses List (SE001).</w:t>
      </w:r>
    </w:p>
    <w:p w14:paraId="4650CD0B" w14:textId="434863BC" w:rsidR="00BC1364" w:rsidRPr="00F715D1" w:rsidRDefault="00BC1364" w:rsidP="00F715D1">
      <w:pPr>
        <w:pStyle w:val="Heading1"/>
      </w:pPr>
      <w:r w:rsidRPr="00F715D1">
        <w:t>Prerequisites to implementation of any funding advice</w:t>
      </w:r>
    </w:p>
    <w:p w14:paraId="24D6FA30" w14:textId="54CAD90A" w:rsidR="00B82153" w:rsidRDefault="00B82153" w:rsidP="00B82153">
      <w:r>
        <w:t>Refer to PSD</w:t>
      </w:r>
      <w:r w:rsidR="00AC5639">
        <w:t xml:space="preserve">, Application No.1493 </w:t>
      </w:r>
      <w:r>
        <w:t>2018.</w:t>
      </w:r>
    </w:p>
    <w:p w14:paraId="6648B916" w14:textId="77777777" w:rsidR="00BC1364" w:rsidRPr="00F715D1" w:rsidRDefault="00BC1364" w:rsidP="00F715D1">
      <w:pPr>
        <w:pStyle w:val="Heading1"/>
      </w:pPr>
      <w:r w:rsidRPr="00F715D1">
        <w:lastRenderedPageBreak/>
        <w:t>Proposal for public funding</w:t>
      </w:r>
    </w:p>
    <w:p w14:paraId="5C86EB6E" w14:textId="307E64E2" w:rsidR="00AC5639" w:rsidRDefault="00AC5639" w:rsidP="00195B7E">
      <w:pPr>
        <w:spacing w:after="240"/>
      </w:pPr>
      <w:r>
        <w:t>Refer to PSD, Application No.1493 2018.</w:t>
      </w:r>
    </w:p>
    <w:p w14:paraId="3F02B40D" w14:textId="2950B66A" w:rsidR="00AC5639" w:rsidRDefault="00EA359A" w:rsidP="00364653">
      <w:pPr>
        <w:spacing w:after="120"/>
      </w:pPr>
      <w:r>
        <w:t>However, t</w:t>
      </w:r>
      <w:r w:rsidR="00AC5639">
        <w:t xml:space="preserve">he Critique stated the </w:t>
      </w:r>
      <w:r>
        <w:t>SBA</w:t>
      </w:r>
      <w:r w:rsidR="0038715E">
        <w:t xml:space="preserve"> should have included an updated</w:t>
      </w:r>
      <w:r>
        <w:t xml:space="preserve"> </w:t>
      </w:r>
      <w:r w:rsidR="00AC5639">
        <w:t xml:space="preserve">item descriptor </w:t>
      </w:r>
      <w:r w:rsidR="0038715E">
        <w:t>which specified the</w:t>
      </w:r>
      <w:r>
        <w:t xml:space="preserve"> patient population to</w:t>
      </w:r>
      <w:r w:rsidR="0038715E">
        <w:t xml:space="preserve"> be</w:t>
      </w:r>
      <w:r>
        <w:t xml:space="preserve"> </w:t>
      </w:r>
      <w:r w:rsidR="00AC5639">
        <w:t>advanced HCC (rather than advanced and intermediate HCC from previous application)</w:t>
      </w:r>
      <w:r w:rsidR="003B256F">
        <w:t>;</w:t>
      </w:r>
      <w:r w:rsidR="00AC5639">
        <w:t xml:space="preserve"> and </w:t>
      </w:r>
      <w:r>
        <w:t xml:space="preserve">included the </w:t>
      </w:r>
      <w:r w:rsidR="00AC5639">
        <w:t>proposals made by MSAC which requested that TARE-Y should be delivered by a specialist interventional radiologist [PSD, Application No. 1493, p2].</w:t>
      </w:r>
      <w:r>
        <w:t xml:space="preserve"> The Critique’s item descriptor </w:t>
      </w:r>
      <w:proofErr w:type="gramStart"/>
      <w:r>
        <w:t>is presented</w:t>
      </w:r>
      <w:proofErr w:type="gramEnd"/>
      <w:r>
        <w:t xml:space="preserve"> in </w:t>
      </w:r>
      <w:r>
        <w:fldChar w:fldCharType="begin"/>
      </w:r>
      <w:r>
        <w:instrText xml:space="preserve"> REF _Ref4487088 \h </w:instrText>
      </w:r>
      <w:r>
        <w:fldChar w:fldCharType="separate"/>
      </w:r>
      <w:r w:rsidR="007F1D09">
        <w:t xml:space="preserve">Table </w:t>
      </w:r>
      <w:r w:rsidR="007F1D09">
        <w:rPr>
          <w:noProof/>
        </w:rPr>
        <w:t>1</w:t>
      </w:r>
      <w:r>
        <w:fldChar w:fldCharType="end"/>
      </w:r>
      <w:r w:rsidR="0038715E">
        <w:t>.</w:t>
      </w:r>
    </w:p>
    <w:p w14:paraId="65C22F70" w14:textId="424F8BE2" w:rsidR="00AC5639" w:rsidRDefault="00AC5639" w:rsidP="00152093">
      <w:pPr>
        <w:pStyle w:val="Caption"/>
      </w:pPr>
      <w:bookmarkStart w:id="1" w:name="_Ref4487088"/>
      <w:bookmarkStart w:id="2" w:name="_Toc2869552"/>
      <w:r>
        <w:t xml:space="preserve">Table </w:t>
      </w:r>
      <w:r w:rsidR="00076963">
        <w:rPr>
          <w:noProof/>
        </w:rPr>
        <w:fldChar w:fldCharType="begin"/>
      </w:r>
      <w:r w:rsidR="00076963">
        <w:rPr>
          <w:noProof/>
        </w:rPr>
        <w:instrText xml:space="preserve"> SEQ Table \* ARABIC </w:instrText>
      </w:r>
      <w:r w:rsidR="00076963">
        <w:rPr>
          <w:noProof/>
        </w:rPr>
        <w:fldChar w:fldCharType="separate"/>
      </w:r>
      <w:r w:rsidR="007F1D09">
        <w:rPr>
          <w:noProof/>
        </w:rPr>
        <w:t>1</w:t>
      </w:r>
      <w:r w:rsidR="00076963">
        <w:rPr>
          <w:noProof/>
        </w:rPr>
        <w:fldChar w:fldCharType="end"/>
      </w:r>
      <w:bookmarkEnd w:id="1"/>
      <w:r>
        <w:t xml:space="preserve"> </w:t>
      </w:r>
      <w:r>
        <w:tab/>
      </w:r>
      <w:r w:rsidRPr="00311105">
        <w:t>Proposed MBS item descriptors</w:t>
      </w:r>
      <w:bookmarkEnd w:id="2"/>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Table 2 Proposed MBS item descriptor"/>
        <w:tblDescription w:val="This table provides the amended proposed description of the requested Medicare Benefits Schedule item."/>
      </w:tblPr>
      <w:tblGrid>
        <w:gridCol w:w="1282"/>
        <w:gridCol w:w="7603"/>
      </w:tblGrid>
      <w:tr w:rsidR="003A6D6E" w:rsidRPr="003A6D6E" w:rsidDel="00A134DA" w14:paraId="2E76C994" w14:textId="77777777" w:rsidTr="00076963">
        <w:trPr>
          <w:tblHeader/>
        </w:trPr>
        <w:tc>
          <w:tcPr>
            <w:tcW w:w="8888" w:type="dxa"/>
            <w:gridSpan w:val="2"/>
            <w:tcBorders>
              <w:bottom w:val="single" w:sz="4" w:space="0" w:color="000000"/>
            </w:tcBorders>
            <w:shd w:val="clear" w:color="auto" w:fill="D9D9D9" w:themeFill="background1" w:themeFillShade="D9"/>
          </w:tcPr>
          <w:p w14:paraId="65A2B7EC" w14:textId="77777777" w:rsidR="00AC5639" w:rsidRPr="003A6D6E" w:rsidDel="00A134DA" w:rsidRDefault="00AC5639" w:rsidP="00076963">
            <w:pPr>
              <w:pStyle w:val="Tabletext"/>
              <w:rPr>
                <w:b/>
                <w:sz w:val="20"/>
              </w:rPr>
            </w:pPr>
            <w:r w:rsidRPr="003A6D6E" w:rsidDel="00A134DA">
              <w:rPr>
                <w:b/>
                <w:sz w:val="20"/>
              </w:rPr>
              <w:t xml:space="preserve">Category </w:t>
            </w:r>
            <w:r w:rsidRPr="003A6D6E">
              <w:rPr>
                <w:b/>
                <w:sz w:val="20"/>
              </w:rPr>
              <w:t>3</w:t>
            </w:r>
            <w:r w:rsidRPr="003A6D6E" w:rsidDel="00A134DA">
              <w:rPr>
                <w:b/>
                <w:sz w:val="20"/>
              </w:rPr>
              <w:t xml:space="preserve"> – </w:t>
            </w:r>
            <w:r w:rsidRPr="003A6D6E">
              <w:rPr>
                <w:b/>
                <w:sz w:val="20"/>
              </w:rPr>
              <w:t>THERAPEUTIC PROCEDURES</w:t>
            </w:r>
          </w:p>
        </w:tc>
      </w:tr>
      <w:tr w:rsidR="003A6D6E" w:rsidRPr="003A6D6E" w:rsidDel="00A134DA" w14:paraId="26870828" w14:textId="77777777" w:rsidTr="00076963">
        <w:tc>
          <w:tcPr>
            <w:tcW w:w="1282" w:type="dxa"/>
            <w:tcBorders>
              <w:bottom w:val="nil"/>
              <w:right w:val="nil"/>
            </w:tcBorders>
          </w:tcPr>
          <w:p w14:paraId="1E1FFB60" w14:textId="77777777" w:rsidR="00AC5639" w:rsidRPr="003A6D6E" w:rsidRDefault="00AC5639" w:rsidP="00076963">
            <w:pPr>
              <w:pStyle w:val="Tabletext"/>
              <w:rPr>
                <w:sz w:val="20"/>
              </w:rPr>
            </w:pPr>
            <w:r w:rsidRPr="003A6D6E">
              <w:rPr>
                <w:sz w:val="20"/>
              </w:rPr>
              <w:t>Group</w:t>
            </w:r>
          </w:p>
          <w:p w14:paraId="4BFB45BA" w14:textId="77777777" w:rsidR="00AC5639" w:rsidRPr="003A6D6E" w:rsidRDefault="00AC5639" w:rsidP="00076963">
            <w:pPr>
              <w:pStyle w:val="Tabletext"/>
              <w:rPr>
                <w:sz w:val="20"/>
              </w:rPr>
            </w:pPr>
            <w:r w:rsidRPr="003A6D6E">
              <w:rPr>
                <w:sz w:val="20"/>
              </w:rPr>
              <w:t>Subgroup</w:t>
            </w:r>
          </w:p>
          <w:p w14:paraId="01AEBEBA" w14:textId="77777777" w:rsidR="00AC5639" w:rsidRPr="003A6D6E" w:rsidDel="00A134DA" w:rsidRDefault="00AC5639" w:rsidP="00076963">
            <w:pPr>
              <w:pStyle w:val="Tabletext"/>
              <w:rPr>
                <w:sz w:val="20"/>
              </w:rPr>
            </w:pPr>
            <w:r w:rsidRPr="003A6D6E">
              <w:rPr>
                <w:sz w:val="20"/>
              </w:rPr>
              <w:t>Subheading</w:t>
            </w:r>
          </w:p>
        </w:tc>
        <w:tc>
          <w:tcPr>
            <w:tcW w:w="7606" w:type="dxa"/>
            <w:tcBorders>
              <w:left w:val="nil"/>
              <w:bottom w:val="nil"/>
            </w:tcBorders>
          </w:tcPr>
          <w:p w14:paraId="27D783FE" w14:textId="77777777" w:rsidR="00AC5639" w:rsidRPr="003A6D6E" w:rsidRDefault="00AC5639" w:rsidP="00076963">
            <w:pPr>
              <w:pStyle w:val="Tabletext"/>
              <w:rPr>
                <w:sz w:val="20"/>
              </w:rPr>
            </w:pPr>
            <w:r w:rsidRPr="003A6D6E">
              <w:rPr>
                <w:sz w:val="20"/>
              </w:rPr>
              <w:t>T8 – SURGICAL OPERATIONS</w:t>
            </w:r>
          </w:p>
          <w:p w14:paraId="11EF7761" w14:textId="77777777" w:rsidR="00AC5639" w:rsidRPr="003A6D6E" w:rsidRDefault="00AC5639" w:rsidP="00076963">
            <w:pPr>
              <w:pStyle w:val="Tabletext"/>
              <w:rPr>
                <w:sz w:val="20"/>
              </w:rPr>
            </w:pPr>
            <w:r w:rsidRPr="003A6D6E">
              <w:rPr>
                <w:sz w:val="20"/>
              </w:rPr>
              <w:t>3 - VASCULAR</w:t>
            </w:r>
          </w:p>
          <w:p w14:paraId="2AC36F06" w14:textId="77777777" w:rsidR="00AC5639" w:rsidRPr="003A6D6E" w:rsidDel="00A134DA" w:rsidRDefault="00AC5639" w:rsidP="00076963">
            <w:pPr>
              <w:pStyle w:val="Tabletext"/>
              <w:rPr>
                <w:sz w:val="20"/>
              </w:rPr>
            </w:pPr>
            <w:r w:rsidRPr="003A6D6E">
              <w:rPr>
                <w:sz w:val="20"/>
              </w:rPr>
              <w:t>13 – INTERVENTIONAL RADIOLOGY PROCEDURES</w:t>
            </w:r>
          </w:p>
        </w:tc>
      </w:tr>
      <w:tr w:rsidR="003A6D6E" w:rsidRPr="003A6D6E" w:rsidDel="00A134DA" w14:paraId="0747DC47" w14:textId="77777777" w:rsidTr="00076963">
        <w:tc>
          <w:tcPr>
            <w:tcW w:w="8888" w:type="dxa"/>
            <w:gridSpan w:val="2"/>
            <w:tcBorders>
              <w:top w:val="nil"/>
            </w:tcBorders>
          </w:tcPr>
          <w:p w14:paraId="2550AB3E" w14:textId="77777777" w:rsidR="00AC5639" w:rsidRPr="003A6D6E" w:rsidRDefault="00AC5639" w:rsidP="00076963">
            <w:pPr>
              <w:pStyle w:val="Tabletext"/>
              <w:rPr>
                <w:sz w:val="20"/>
              </w:rPr>
            </w:pPr>
            <w:r w:rsidRPr="003A6D6E">
              <w:rPr>
                <w:sz w:val="20"/>
              </w:rPr>
              <w:t xml:space="preserve">DOSIMETRY, HANDLING AND INJECTION OF yttrium-90-emitting microspheres for selective internal radiation therapy of </w:t>
            </w:r>
            <w:r w:rsidRPr="003A6D6E">
              <w:rPr>
                <w:sz w:val="20"/>
                <w:u w:val="single"/>
              </w:rPr>
              <w:t xml:space="preserve">advanced </w:t>
            </w:r>
            <w:r w:rsidRPr="003A6D6E">
              <w:rPr>
                <w:sz w:val="20"/>
              </w:rPr>
              <w:t xml:space="preserve">hepatocellular carcinoma that is not suitable for resection or ablation and where </w:t>
            </w:r>
            <w:proofErr w:type="spellStart"/>
            <w:r w:rsidRPr="003A6D6E">
              <w:rPr>
                <w:sz w:val="20"/>
              </w:rPr>
              <w:t>transarterial</w:t>
            </w:r>
            <w:proofErr w:type="spellEnd"/>
            <w:r w:rsidRPr="003A6D6E">
              <w:rPr>
                <w:sz w:val="20"/>
              </w:rPr>
              <w:t xml:space="preserve"> </w:t>
            </w:r>
            <w:proofErr w:type="spellStart"/>
            <w:r w:rsidRPr="003A6D6E">
              <w:rPr>
                <w:sz w:val="20"/>
              </w:rPr>
              <w:t>chemoembolisation</w:t>
            </w:r>
            <w:proofErr w:type="spellEnd"/>
            <w:r w:rsidRPr="003A6D6E">
              <w:rPr>
                <w:sz w:val="20"/>
              </w:rPr>
              <w:t xml:space="preserve"> is contraindicated, unable to be tolerated or has failed, not being a service to which item 35317, 35319, 35320 or 35321 applies</w:t>
            </w:r>
          </w:p>
          <w:p w14:paraId="22C632A8" w14:textId="77777777" w:rsidR="00AC5639" w:rsidRPr="003A6D6E" w:rsidRDefault="00AC5639" w:rsidP="00076963">
            <w:pPr>
              <w:pStyle w:val="Tabletext"/>
              <w:rPr>
                <w:sz w:val="20"/>
              </w:rPr>
            </w:pPr>
            <w:proofErr w:type="gramStart"/>
            <w:r w:rsidRPr="003A6D6E">
              <w:rPr>
                <w:sz w:val="20"/>
              </w:rPr>
              <w:t>The procedure must be performed by a specialist nuclear medicine physician or a specialist interventional radiologist on an admitted patient in a hospital</w:t>
            </w:r>
            <w:proofErr w:type="gramEnd"/>
            <w:r w:rsidRPr="003A6D6E">
              <w:rPr>
                <w:sz w:val="20"/>
              </w:rPr>
              <w:t>.</w:t>
            </w:r>
          </w:p>
          <w:p w14:paraId="2892154C" w14:textId="77777777" w:rsidR="00AC5639" w:rsidRPr="003A6D6E" w:rsidDel="00A134DA" w:rsidRDefault="00AC5639" w:rsidP="00076963">
            <w:pPr>
              <w:pStyle w:val="Tabletext"/>
              <w:rPr>
                <w:sz w:val="20"/>
              </w:rPr>
            </w:pPr>
            <w:r w:rsidRPr="003A6D6E">
              <w:rPr>
                <w:sz w:val="20"/>
              </w:rPr>
              <w:t>Fee: $346.50   Benefit: 75% = $259.95</w:t>
            </w:r>
          </w:p>
        </w:tc>
      </w:tr>
      <w:tr w:rsidR="003A6D6E" w:rsidRPr="003A6D6E" w:rsidDel="00A134DA" w14:paraId="55501D56" w14:textId="77777777" w:rsidTr="00076963">
        <w:tc>
          <w:tcPr>
            <w:tcW w:w="8888" w:type="dxa"/>
            <w:gridSpan w:val="2"/>
            <w:tcBorders>
              <w:bottom w:val="single" w:sz="4" w:space="0" w:color="000000"/>
            </w:tcBorders>
            <w:shd w:val="clear" w:color="auto" w:fill="D9D9D9" w:themeFill="background1" w:themeFillShade="D9"/>
          </w:tcPr>
          <w:p w14:paraId="6ADA5733" w14:textId="77777777" w:rsidR="00AC5639" w:rsidRPr="003A6D6E" w:rsidDel="00A134DA" w:rsidRDefault="00AC5639" w:rsidP="00076963">
            <w:pPr>
              <w:pStyle w:val="Tabletext"/>
              <w:rPr>
                <w:b/>
                <w:sz w:val="20"/>
              </w:rPr>
            </w:pPr>
            <w:r w:rsidRPr="003A6D6E" w:rsidDel="00A134DA">
              <w:rPr>
                <w:b/>
                <w:sz w:val="20"/>
              </w:rPr>
              <w:t xml:space="preserve">Category </w:t>
            </w:r>
            <w:r w:rsidRPr="003A6D6E">
              <w:rPr>
                <w:b/>
                <w:sz w:val="20"/>
              </w:rPr>
              <w:t>3</w:t>
            </w:r>
            <w:r w:rsidRPr="003A6D6E" w:rsidDel="00A134DA">
              <w:rPr>
                <w:b/>
                <w:sz w:val="20"/>
              </w:rPr>
              <w:t xml:space="preserve"> – </w:t>
            </w:r>
            <w:r w:rsidRPr="003A6D6E">
              <w:rPr>
                <w:b/>
                <w:sz w:val="20"/>
              </w:rPr>
              <w:t>THERAPEUTIC PROCEDURES</w:t>
            </w:r>
          </w:p>
        </w:tc>
      </w:tr>
      <w:tr w:rsidR="003A6D6E" w:rsidRPr="003A6D6E" w:rsidDel="00A134DA" w14:paraId="65D6BFC7" w14:textId="77777777" w:rsidTr="00076963">
        <w:tc>
          <w:tcPr>
            <w:tcW w:w="1282" w:type="dxa"/>
            <w:tcBorders>
              <w:bottom w:val="nil"/>
              <w:right w:val="nil"/>
            </w:tcBorders>
          </w:tcPr>
          <w:p w14:paraId="7D8255F6" w14:textId="77777777" w:rsidR="00AC5639" w:rsidRPr="003A6D6E" w:rsidRDefault="00AC5639" w:rsidP="00076963">
            <w:pPr>
              <w:pStyle w:val="Tabletext"/>
              <w:rPr>
                <w:sz w:val="20"/>
              </w:rPr>
            </w:pPr>
            <w:r w:rsidRPr="003A6D6E">
              <w:rPr>
                <w:sz w:val="20"/>
              </w:rPr>
              <w:t>Group</w:t>
            </w:r>
          </w:p>
          <w:p w14:paraId="0C28C9E3" w14:textId="77777777" w:rsidR="00AC5639" w:rsidRPr="003A6D6E" w:rsidRDefault="00AC5639" w:rsidP="00076963">
            <w:pPr>
              <w:pStyle w:val="Tabletext"/>
              <w:rPr>
                <w:sz w:val="20"/>
              </w:rPr>
            </w:pPr>
            <w:r w:rsidRPr="003A6D6E">
              <w:rPr>
                <w:sz w:val="20"/>
              </w:rPr>
              <w:t>Subgroup</w:t>
            </w:r>
          </w:p>
          <w:p w14:paraId="13D5C556" w14:textId="77777777" w:rsidR="00AC5639" w:rsidRPr="003A6D6E" w:rsidDel="00A134DA" w:rsidRDefault="00AC5639" w:rsidP="00076963">
            <w:pPr>
              <w:pStyle w:val="Tabletext"/>
              <w:rPr>
                <w:sz w:val="20"/>
              </w:rPr>
            </w:pPr>
            <w:r w:rsidRPr="003A6D6E">
              <w:rPr>
                <w:sz w:val="20"/>
              </w:rPr>
              <w:t>Subheading</w:t>
            </w:r>
          </w:p>
        </w:tc>
        <w:tc>
          <w:tcPr>
            <w:tcW w:w="7606" w:type="dxa"/>
            <w:tcBorders>
              <w:left w:val="nil"/>
              <w:bottom w:val="nil"/>
            </w:tcBorders>
          </w:tcPr>
          <w:p w14:paraId="0B002CBE" w14:textId="77777777" w:rsidR="00AC5639" w:rsidRPr="003A6D6E" w:rsidRDefault="00AC5639" w:rsidP="00076963">
            <w:pPr>
              <w:pStyle w:val="Tabletext"/>
              <w:rPr>
                <w:sz w:val="20"/>
              </w:rPr>
            </w:pPr>
            <w:r w:rsidRPr="003A6D6E">
              <w:rPr>
                <w:sz w:val="20"/>
              </w:rPr>
              <w:t>T8 – SURGICAL OPERATIONS</w:t>
            </w:r>
          </w:p>
          <w:p w14:paraId="20C126DA" w14:textId="77777777" w:rsidR="00AC5639" w:rsidRPr="003A6D6E" w:rsidRDefault="00AC5639" w:rsidP="00076963">
            <w:pPr>
              <w:pStyle w:val="Tabletext"/>
              <w:rPr>
                <w:sz w:val="20"/>
              </w:rPr>
            </w:pPr>
            <w:r w:rsidRPr="003A6D6E">
              <w:rPr>
                <w:sz w:val="20"/>
              </w:rPr>
              <w:t>3 - VASCULAR</w:t>
            </w:r>
          </w:p>
          <w:p w14:paraId="2CFC4B05" w14:textId="77777777" w:rsidR="00AC5639" w:rsidRPr="003A6D6E" w:rsidDel="00A134DA" w:rsidRDefault="00AC5639" w:rsidP="00076963">
            <w:pPr>
              <w:pStyle w:val="Tabletext"/>
              <w:rPr>
                <w:sz w:val="20"/>
              </w:rPr>
            </w:pPr>
            <w:r w:rsidRPr="003A6D6E">
              <w:rPr>
                <w:sz w:val="20"/>
              </w:rPr>
              <w:t>13 – INTERVENTIONAL RADIOLOGY PROCEDURES</w:t>
            </w:r>
          </w:p>
        </w:tc>
      </w:tr>
      <w:tr w:rsidR="003A6D6E" w:rsidRPr="003A6D6E" w:rsidDel="00A134DA" w14:paraId="60358D7D" w14:textId="77777777" w:rsidTr="00076963">
        <w:tc>
          <w:tcPr>
            <w:tcW w:w="8888" w:type="dxa"/>
            <w:gridSpan w:val="2"/>
            <w:tcBorders>
              <w:top w:val="nil"/>
            </w:tcBorders>
          </w:tcPr>
          <w:p w14:paraId="7A8821A3" w14:textId="77777777" w:rsidR="00AC5639" w:rsidRPr="00364653" w:rsidRDefault="00AC5639" w:rsidP="00076963">
            <w:pPr>
              <w:pStyle w:val="Tabletext"/>
              <w:rPr>
                <w:sz w:val="20"/>
              </w:rPr>
            </w:pPr>
            <w:proofErr w:type="spellStart"/>
            <w:r w:rsidRPr="003A6D6E">
              <w:rPr>
                <w:sz w:val="20"/>
              </w:rPr>
              <w:t>Transfemoral</w:t>
            </w:r>
            <w:proofErr w:type="spellEnd"/>
            <w:r w:rsidRPr="003A6D6E">
              <w:rPr>
                <w:sz w:val="20"/>
              </w:rPr>
              <w:t xml:space="preserve"> catheterisation of the hepatic artery to administer yttrium-90-emitting microspheres for selective internal radiation therapy to </w:t>
            </w:r>
            <w:proofErr w:type="spellStart"/>
            <w:r w:rsidRPr="003A6D6E">
              <w:rPr>
                <w:sz w:val="20"/>
              </w:rPr>
              <w:t>embolise</w:t>
            </w:r>
            <w:proofErr w:type="spellEnd"/>
            <w:r w:rsidRPr="003A6D6E">
              <w:rPr>
                <w:sz w:val="20"/>
              </w:rPr>
              <w:t xml:space="preserve"> the microvasculature of </w:t>
            </w:r>
            <w:r w:rsidRPr="003A6D6E">
              <w:rPr>
                <w:sz w:val="20"/>
                <w:u w:val="single"/>
              </w:rPr>
              <w:t xml:space="preserve">advanced </w:t>
            </w:r>
            <w:r w:rsidRPr="003A6D6E">
              <w:rPr>
                <w:sz w:val="20"/>
              </w:rPr>
              <w:t xml:space="preserve">hepatocellular carcinoma that is not suitable for resection or ablation and where </w:t>
            </w:r>
            <w:proofErr w:type="spellStart"/>
            <w:r w:rsidRPr="003A6D6E">
              <w:rPr>
                <w:sz w:val="20"/>
              </w:rPr>
              <w:t>transarterial</w:t>
            </w:r>
            <w:proofErr w:type="spellEnd"/>
            <w:r w:rsidRPr="003A6D6E">
              <w:rPr>
                <w:sz w:val="20"/>
              </w:rPr>
              <w:t xml:space="preserve"> </w:t>
            </w:r>
            <w:proofErr w:type="spellStart"/>
            <w:r w:rsidRPr="003A6D6E">
              <w:rPr>
                <w:sz w:val="20"/>
              </w:rPr>
              <w:t>chemoembolisation</w:t>
            </w:r>
            <w:proofErr w:type="spellEnd"/>
            <w:r w:rsidRPr="003A6D6E">
              <w:rPr>
                <w:sz w:val="20"/>
              </w:rPr>
              <w:t xml:space="preserve"> is contraindicated, unable to be tolerated or has failed, not being a service to which item 35317, 35319, 35320 or 35321 applies</w:t>
            </w:r>
          </w:p>
          <w:p w14:paraId="537F5D14" w14:textId="77777777" w:rsidR="00AC5639" w:rsidRPr="00364653" w:rsidRDefault="00AC5639" w:rsidP="00076963">
            <w:pPr>
              <w:pStyle w:val="Tabletext"/>
              <w:rPr>
                <w:sz w:val="20"/>
                <w:u w:val="single"/>
              </w:rPr>
            </w:pPr>
            <w:proofErr w:type="gramStart"/>
            <w:r w:rsidRPr="003A6D6E">
              <w:rPr>
                <w:sz w:val="20"/>
                <w:u w:val="single"/>
              </w:rPr>
              <w:t>The procedure must be performed by a specialist interventional radiologist</w:t>
            </w:r>
            <w:proofErr w:type="gramEnd"/>
            <w:r w:rsidRPr="003A6D6E">
              <w:rPr>
                <w:sz w:val="20"/>
                <w:u w:val="single"/>
              </w:rPr>
              <w:t xml:space="preserve">. </w:t>
            </w:r>
          </w:p>
          <w:p w14:paraId="5822B3A3" w14:textId="77777777" w:rsidR="00AC5639" w:rsidRPr="003A6D6E" w:rsidRDefault="00AC5639" w:rsidP="00076963">
            <w:pPr>
              <w:pStyle w:val="Tabletext"/>
              <w:rPr>
                <w:sz w:val="20"/>
              </w:rPr>
            </w:pPr>
            <w:r w:rsidRPr="003A6D6E">
              <w:rPr>
                <w:sz w:val="20"/>
              </w:rPr>
              <w:t>Excluding associated radiological services or preparation, and excluding aftercare</w:t>
            </w:r>
          </w:p>
          <w:p w14:paraId="46525938" w14:textId="77777777" w:rsidR="00AC5639" w:rsidRPr="003A6D6E" w:rsidDel="00A134DA" w:rsidRDefault="00AC5639" w:rsidP="00076963">
            <w:pPr>
              <w:pStyle w:val="Tabletext"/>
              <w:rPr>
                <w:sz w:val="20"/>
              </w:rPr>
            </w:pPr>
            <w:r w:rsidRPr="003A6D6E">
              <w:rPr>
                <w:sz w:val="20"/>
              </w:rPr>
              <w:t>Fee: $813.50   Benefit: 75% = $610.00</w:t>
            </w:r>
          </w:p>
        </w:tc>
      </w:tr>
    </w:tbl>
    <w:p w14:paraId="0181CD94" w14:textId="77777777" w:rsidR="00EA359A" w:rsidRPr="00AC5639" w:rsidRDefault="00EA359A" w:rsidP="00E840F8">
      <w:pPr>
        <w:spacing w:before="240"/>
      </w:pPr>
      <w:r>
        <w:t xml:space="preserve">The Critique also highlighted the advice from ESC that </w:t>
      </w:r>
      <w:r w:rsidRPr="00EA359A">
        <w:t xml:space="preserve">recommended the </w:t>
      </w:r>
      <w:r>
        <w:t xml:space="preserve">proposed </w:t>
      </w:r>
      <w:r w:rsidRPr="00EA359A">
        <w:t xml:space="preserve">item descriptor should restrict TARE-Y from </w:t>
      </w:r>
      <w:proofErr w:type="gramStart"/>
      <w:r w:rsidRPr="00EA359A">
        <w:t>being administered</w:t>
      </w:r>
      <w:proofErr w:type="gramEnd"/>
      <w:r w:rsidRPr="00EA359A">
        <w:t xml:space="preserve"> concurrent with sorafenib, as trials assessing efficacy and safety of this combination are currently underway.</w:t>
      </w:r>
    </w:p>
    <w:p w14:paraId="6BB86015" w14:textId="77777777" w:rsidR="00BC1364" w:rsidRPr="00F715D1" w:rsidRDefault="00BC1364" w:rsidP="00F715D1">
      <w:pPr>
        <w:pStyle w:val="Heading1"/>
      </w:pPr>
      <w:r w:rsidRPr="00F715D1">
        <w:t xml:space="preserve">Summary of </w:t>
      </w:r>
      <w:r w:rsidR="003D7F29" w:rsidRPr="00F715D1">
        <w:t>Public Consultation</w:t>
      </w:r>
      <w:r w:rsidRPr="00F715D1">
        <w:t xml:space="preserve"> Feedback</w:t>
      </w:r>
      <w:r w:rsidR="003D7F29" w:rsidRPr="00F715D1">
        <w:t>/Consumer Issues</w:t>
      </w:r>
    </w:p>
    <w:p w14:paraId="1B4B041D" w14:textId="77777777" w:rsidR="00EA359A" w:rsidRDefault="00EA359A" w:rsidP="00EA359A">
      <w:r>
        <w:t xml:space="preserve">Refer to PSD, Application No.1493 </w:t>
      </w:r>
      <w:r w:rsidR="003B256F">
        <w:t>2018.</w:t>
      </w:r>
    </w:p>
    <w:p w14:paraId="27E97C91" w14:textId="77777777" w:rsidR="00BC1364" w:rsidRPr="00F715D1" w:rsidRDefault="00BC1364" w:rsidP="00F715D1">
      <w:pPr>
        <w:pStyle w:val="Heading1"/>
      </w:pPr>
      <w:r w:rsidRPr="00F715D1">
        <w:t>Proposed intervention’s place in clinical management</w:t>
      </w:r>
    </w:p>
    <w:p w14:paraId="435C8AB6" w14:textId="4A48C889" w:rsidR="003B256F" w:rsidRDefault="00EA359A" w:rsidP="00EA359A">
      <w:r>
        <w:t xml:space="preserve">Refer to PSD, Application No.1493 </w:t>
      </w:r>
      <w:r w:rsidR="003B256F">
        <w:t xml:space="preserve">2018, noting that this application relates only to the population with advanced HCC treated with TARE-Y or sorafenib (highlighted in red below in </w:t>
      </w:r>
      <w:r w:rsidR="003B256F">
        <w:fldChar w:fldCharType="begin"/>
      </w:r>
      <w:r w:rsidR="003B256F">
        <w:instrText xml:space="preserve"> REF _Ref4488077 \h </w:instrText>
      </w:r>
      <w:r w:rsidR="003B256F">
        <w:fldChar w:fldCharType="separate"/>
      </w:r>
      <w:r w:rsidR="007F1D09">
        <w:t xml:space="preserve">Figure </w:t>
      </w:r>
      <w:r w:rsidR="007F1D09">
        <w:rPr>
          <w:noProof/>
        </w:rPr>
        <w:t>1</w:t>
      </w:r>
      <w:r w:rsidR="003B256F">
        <w:fldChar w:fldCharType="end"/>
      </w:r>
      <w:r w:rsidR="003B256F">
        <w:t>).</w:t>
      </w:r>
    </w:p>
    <w:p w14:paraId="50423F42" w14:textId="77777777" w:rsidR="003B256F" w:rsidRDefault="003B256F" w:rsidP="003B256F">
      <w:pPr>
        <w:keepNext/>
      </w:pPr>
      <w:r>
        <w:rPr>
          <w:noProof/>
        </w:rPr>
        <w:lastRenderedPageBreak/>
        <mc:AlternateContent>
          <mc:Choice Requires="wps">
            <w:drawing>
              <wp:anchor distT="0" distB="0" distL="114300" distR="114300" simplePos="0" relativeHeight="251659264" behindDoc="0" locked="0" layoutInCell="1" allowOverlap="1" wp14:anchorId="3B8116FF" wp14:editId="40925BE2">
                <wp:simplePos x="0" y="0"/>
                <wp:positionH relativeFrom="column">
                  <wp:posOffset>3657600</wp:posOffset>
                </wp:positionH>
                <wp:positionV relativeFrom="paragraph">
                  <wp:posOffset>-43815</wp:posOffset>
                </wp:positionV>
                <wp:extent cx="1724025" cy="2362200"/>
                <wp:effectExtent l="0" t="0" r="28575" b="19050"/>
                <wp:wrapNone/>
                <wp:docPr id="1" name="Rectangle 1" descr="Clinical management algorithm for including TARE-Y relative to current clinical practice"/>
                <wp:cNvGraphicFramePr/>
                <a:graphic xmlns:a="http://schemas.openxmlformats.org/drawingml/2006/main">
                  <a:graphicData uri="http://schemas.microsoft.com/office/word/2010/wordprocessingShape">
                    <wps:wsp>
                      <wps:cNvSpPr/>
                      <wps:spPr>
                        <a:xfrm>
                          <a:off x="0" y="0"/>
                          <a:ext cx="1724025" cy="236220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F3E947" id="Rectangle 1" o:spid="_x0000_s1026" alt="Clinical management algorithm for including TARE-Y relative to current clinical practice" style="position:absolute;margin-left:4in;margin-top:-3.45pt;width:135.75pt;height:1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" filled="f" strokecolor="red" strokeweight="1pt"/>
            </w:pict>
          </mc:Fallback>
        </mc:AlternateContent>
      </w:r>
      <w:r>
        <w:rPr>
          <w:noProof/>
        </w:rPr>
        <w:drawing>
          <wp:inline distT="0" distB="0" distL="0" distR="0" wp14:anchorId="7EB2E65D" wp14:editId="684DD41C">
            <wp:extent cx="5467350" cy="3028950"/>
            <wp:effectExtent l="0" t="0" r="0" b="0"/>
            <wp:docPr id="97" name="Picture 97" descr="Clinical management algorithm showing current clinical practice with inclusion of TARE-Y" title="Clinical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MSAC updated algorithm.emf"/>
                    <pic:cNvPicPr/>
                  </pic:nvPicPr>
                  <pic:blipFill>
                    <a:blip r:embed="rId10">
                      <a:extLst>
                        <a:ext uri="{28A0092B-C50C-407E-A947-70E740481C1C}">
                          <a14:useLocalDpi xmlns:a14="http://schemas.microsoft.com/office/drawing/2010/main" val="0"/>
                        </a:ext>
                      </a:extLst>
                    </a:blip>
                    <a:stretch>
                      <a:fillRect/>
                    </a:stretch>
                  </pic:blipFill>
                  <pic:spPr>
                    <a:xfrm>
                      <a:off x="0" y="0"/>
                      <a:ext cx="5467350" cy="3028950"/>
                    </a:xfrm>
                    <a:prstGeom prst="rect">
                      <a:avLst/>
                    </a:prstGeom>
                  </pic:spPr>
                </pic:pic>
              </a:graphicData>
            </a:graphic>
          </wp:inline>
        </w:drawing>
      </w:r>
    </w:p>
    <w:p w14:paraId="1881AA56" w14:textId="2818CAF7" w:rsidR="003B256F" w:rsidRDefault="003B256F" w:rsidP="00152093">
      <w:pPr>
        <w:pStyle w:val="Caption"/>
      </w:pPr>
      <w:bookmarkStart w:id="3" w:name="_Ref4488077"/>
      <w:r>
        <w:t xml:space="preserve">Figure </w:t>
      </w:r>
      <w:r w:rsidR="00076963">
        <w:rPr>
          <w:noProof/>
        </w:rPr>
        <w:fldChar w:fldCharType="begin"/>
      </w:r>
      <w:r w:rsidR="00076963">
        <w:rPr>
          <w:noProof/>
        </w:rPr>
        <w:instrText xml:space="preserve"> SEQ Figure \* ARABIC </w:instrText>
      </w:r>
      <w:r w:rsidR="00076963">
        <w:rPr>
          <w:noProof/>
        </w:rPr>
        <w:fldChar w:fldCharType="separate"/>
      </w:r>
      <w:r w:rsidR="007F1D09">
        <w:rPr>
          <w:noProof/>
        </w:rPr>
        <w:t>1</w:t>
      </w:r>
      <w:r w:rsidR="00076963">
        <w:rPr>
          <w:noProof/>
        </w:rPr>
        <w:fldChar w:fldCharType="end"/>
      </w:r>
      <w:bookmarkEnd w:id="3"/>
      <w:r>
        <w:t xml:space="preserve"> </w:t>
      </w:r>
      <w:r w:rsidRPr="003563BD">
        <w:t>Clinical management algorithm for including TARE-Y</w:t>
      </w:r>
      <w:r>
        <w:t xml:space="preserve"> relative to current clinical practice</w:t>
      </w:r>
    </w:p>
    <w:p w14:paraId="4170532C" w14:textId="77777777" w:rsidR="00EA359A" w:rsidRPr="00B715E7" w:rsidRDefault="00B715E7" w:rsidP="00EA359A">
      <w:pPr>
        <w:rPr>
          <w:rFonts w:ascii="Arial Narrow" w:hAnsi="Arial Narrow"/>
          <w:sz w:val="18"/>
        </w:rPr>
      </w:pPr>
      <w:r w:rsidRPr="00B715E7">
        <w:rPr>
          <w:rFonts w:ascii="Arial Narrow" w:hAnsi="Arial Narrow"/>
          <w:sz w:val="18"/>
        </w:rPr>
        <w:t>Source: PSD, Application No.1493 2018</w:t>
      </w:r>
    </w:p>
    <w:p w14:paraId="0D33A617" w14:textId="77777777" w:rsidR="003B256F" w:rsidRPr="003B256F" w:rsidRDefault="003B256F" w:rsidP="00EA359A">
      <w:pPr>
        <w:rPr>
          <w:rFonts w:ascii="Arial Narrow" w:hAnsi="Arial Narrow"/>
        </w:rPr>
      </w:pPr>
      <w:r w:rsidRPr="003B256F">
        <w:rPr>
          <w:rFonts w:ascii="Arial Narrow" w:hAnsi="Arial Narrow"/>
          <w:sz w:val="18"/>
        </w:rPr>
        <w:t>Abbreviations: BCLC=Barcelona Clinic Liver Cancer; BSC=best supportive care; PS=performance status; TACE=</w:t>
      </w:r>
      <w:proofErr w:type="spellStart"/>
      <w:r w:rsidRPr="003B256F">
        <w:rPr>
          <w:rFonts w:ascii="Arial Narrow" w:hAnsi="Arial Narrow"/>
          <w:sz w:val="18"/>
        </w:rPr>
        <w:t>transarterial</w:t>
      </w:r>
      <w:proofErr w:type="spellEnd"/>
      <w:r w:rsidRPr="003B256F">
        <w:rPr>
          <w:rFonts w:ascii="Arial Narrow" w:hAnsi="Arial Narrow"/>
          <w:sz w:val="18"/>
        </w:rPr>
        <w:t xml:space="preserve"> </w:t>
      </w:r>
      <w:proofErr w:type="spellStart"/>
      <w:r w:rsidRPr="003B256F">
        <w:rPr>
          <w:rFonts w:ascii="Arial Narrow" w:hAnsi="Arial Narrow"/>
          <w:sz w:val="18"/>
        </w:rPr>
        <w:t>chemoembolisation</w:t>
      </w:r>
      <w:proofErr w:type="spellEnd"/>
      <w:r w:rsidRPr="003B256F">
        <w:rPr>
          <w:rFonts w:ascii="Arial Narrow" w:hAnsi="Arial Narrow"/>
          <w:sz w:val="18"/>
        </w:rPr>
        <w:t>; TARE-Y=</w:t>
      </w:r>
      <w:proofErr w:type="spellStart"/>
      <w:r w:rsidRPr="003B256F">
        <w:rPr>
          <w:rFonts w:ascii="Arial Narrow" w:hAnsi="Arial Narrow"/>
          <w:sz w:val="18"/>
        </w:rPr>
        <w:t>transarterial</w:t>
      </w:r>
      <w:proofErr w:type="spellEnd"/>
      <w:r w:rsidRPr="003B256F">
        <w:rPr>
          <w:rFonts w:ascii="Arial Narrow" w:hAnsi="Arial Narrow"/>
          <w:sz w:val="18"/>
        </w:rPr>
        <w:t xml:space="preserve"> </w:t>
      </w:r>
      <w:proofErr w:type="spellStart"/>
      <w:r w:rsidRPr="003B256F">
        <w:rPr>
          <w:rFonts w:ascii="Arial Narrow" w:hAnsi="Arial Narrow"/>
          <w:sz w:val="18"/>
        </w:rPr>
        <w:t>radioembolisation</w:t>
      </w:r>
      <w:proofErr w:type="spellEnd"/>
      <w:r w:rsidRPr="003B256F">
        <w:rPr>
          <w:rFonts w:ascii="Arial Narrow" w:hAnsi="Arial Narrow"/>
          <w:sz w:val="18"/>
        </w:rPr>
        <w:t xml:space="preserve"> using yttrium-90.</w:t>
      </w:r>
    </w:p>
    <w:p w14:paraId="11777170" w14:textId="77777777" w:rsidR="00BC1364" w:rsidRPr="00F715D1" w:rsidRDefault="00BC1364" w:rsidP="00F715D1">
      <w:pPr>
        <w:pStyle w:val="Heading1"/>
      </w:pPr>
      <w:r w:rsidRPr="00F715D1">
        <w:t xml:space="preserve">Comparator </w:t>
      </w:r>
    </w:p>
    <w:p w14:paraId="2E478831" w14:textId="77777777" w:rsidR="00DB5833" w:rsidRPr="00F72715" w:rsidRDefault="003B256F" w:rsidP="00C963B0">
      <w:r>
        <w:t xml:space="preserve">Refer to PSD, Application No.1493 2018, noting that </w:t>
      </w:r>
      <w:r w:rsidR="00C963B0">
        <w:t xml:space="preserve">the recommended active treatment for advanced HCC </w:t>
      </w:r>
      <w:r w:rsidR="006F21BB">
        <w:t>is</w:t>
      </w:r>
      <w:r w:rsidR="003A6D6E">
        <w:t xml:space="preserve"> sorafenib.</w:t>
      </w:r>
    </w:p>
    <w:p w14:paraId="0940839D" w14:textId="77777777" w:rsidR="00BC1364" w:rsidRDefault="00BC1364" w:rsidP="00F715D1">
      <w:pPr>
        <w:pStyle w:val="Heading1"/>
      </w:pPr>
      <w:r w:rsidRPr="00F715D1">
        <w:t>Comparative safety</w:t>
      </w:r>
    </w:p>
    <w:p w14:paraId="7B79A6C8" w14:textId="3101B655" w:rsidR="00064371" w:rsidRDefault="002D765B" w:rsidP="00195B7E">
      <w:pPr>
        <w:tabs>
          <w:tab w:val="left" w:pos="720"/>
          <w:tab w:val="left" w:pos="1140"/>
        </w:tabs>
        <w:spacing w:after="240"/>
      </w:pPr>
      <w:r>
        <w:t>Refer to</w:t>
      </w:r>
      <w:r w:rsidR="00195B7E">
        <w:t xml:space="preserve"> PSD, Application No.1493 2018.</w:t>
      </w:r>
    </w:p>
    <w:p w14:paraId="75AB6340" w14:textId="5C6409A3" w:rsidR="00A60F8D" w:rsidRPr="00195B7E" w:rsidRDefault="00560653" w:rsidP="00195B7E">
      <w:pPr>
        <w:spacing w:before="240" w:after="240"/>
      </w:pPr>
      <w:r>
        <w:t>In addition to the previously seen adverse event</w:t>
      </w:r>
      <w:r w:rsidR="001A0476">
        <w:t xml:space="preserve"> (AE)</w:t>
      </w:r>
      <w:r>
        <w:t xml:space="preserve"> profile from SARAH trial, t</w:t>
      </w:r>
      <w:r w:rsidR="00752EFD">
        <w:t>he SBA</w:t>
      </w:r>
      <w:r>
        <w:t xml:space="preserve"> </w:t>
      </w:r>
      <w:r w:rsidR="00752EFD">
        <w:t>included a summary of adverse events from</w:t>
      </w:r>
      <w:r w:rsidR="00AE2F20">
        <w:t xml:space="preserve"> the</w:t>
      </w:r>
      <w:r w:rsidR="00752EFD">
        <w:t xml:space="preserve"> </w:t>
      </w:r>
      <w:proofErr w:type="spellStart"/>
      <w:r w:rsidR="00752EFD">
        <w:t>SIRveNIB</w:t>
      </w:r>
      <w:proofErr w:type="spellEnd"/>
      <w:r w:rsidR="00752EFD">
        <w:t xml:space="preserve"> trial</w:t>
      </w:r>
      <w:r w:rsidR="008978CB">
        <w:t xml:space="preserve"> (Chow et al. 2018). Similar to SARAH, this was a randomised controlled </w:t>
      </w:r>
      <w:r w:rsidR="001A0476">
        <w:t>trial with an open label design</w:t>
      </w:r>
      <w:r w:rsidR="00752EFD">
        <w:t xml:space="preserve"> (safety population n=292</w:t>
      </w:r>
      <w:r>
        <w:t>).</w:t>
      </w:r>
    </w:p>
    <w:p w14:paraId="4B0B8B15" w14:textId="77777777" w:rsidR="00560653" w:rsidRDefault="00560653" w:rsidP="00560653">
      <w:r>
        <w:t xml:space="preserve">The SBA stated that </w:t>
      </w:r>
      <w:proofErr w:type="gramStart"/>
      <w:r>
        <w:t>a tot</w:t>
      </w:r>
      <w:r w:rsidR="00116F08">
        <w:t>al of 1,468</w:t>
      </w:r>
      <w:proofErr w:type="gramEnd"/>
      <w:r w:rsidR="00116F08">
        <w:t xml:space="preserve"> treatment-emergent </w:t>
      </w:r>
      <w:r>
        <w:t xml:space="preserve">adverse events occurred: 437 in patients treated with TARE-Y and 1,031 in patients treated with sorafenib.  This equated </w:t>
      </w:r>
      <w:proofErr w:type="gramStart"/>
      <w:r>
        <w:t>to</w:t>
      </w:r>
      <w:proofErr w:type="gramEnd"/>
      <w:r>
        <w:t>:</w:t>
      </w:r>
    </w:p>
    <w:p w14:paraId="14E36FC9" w14:textId="77777777" w:rsidR="00560653" w:rsidRDefault="00560653" w:rsidP="00560653">
      <w:pPr>
        <w:pStyle w:val="ListParagraph"/>
        <w:numPr>
          <w:ilvl w:val="0"/>
          <w:numId w:val="27"/>
        </w:numPr>
      </w:pPr>
      <w:r>
        <w:t>60% of patients treated with TARE-Y and 85% of patients treated with sorafenib experiencing at least one adverse event of any severity;</w:t>
      </w:r>
    </w:p>
    <w:p w14:paraId="74442C9C" w14:textId="77777777" w:rsidR="00560653" w:rsidRDefault="00560653" w:rsidP="00560653">
      <w:pPr>
        <w:pStyle w:val="ListParagraph"/>
        <w:numPr>
          <w:ilvl w:val="0"/>
          <w:numId w:val="27"/>
        </w:numPr>
      </w:pPr>
      <w:r>
        <w:t>28% of patients treated with TARE-Y and 51% of patients treated with sorafenib experiencing at least one grade ≥ 3 adverse event; and</w:t>
      </w:r>
    </w:p>
    <w:p w14:paraId="4FE70C47" w14:textId="5F4A3D39" w:rsidR="001A0476" w:rsidRDefault="00560653" w:rsidP="00195B7E">
      <w:pPr>
        <w:pStyle w:val="ListParagraph"/>
        <w:numPr>
          <w:ilvl w:val="0"/>
          <w:numId w:val="27"/>
        </w:numPr>
        <w:spacing w:after="240"/>
      </w:pPr>
      <w:proofErr w:type="gramStart"/>
      <w:r>
        <w:t>21%</w:t>
      </w:r>
      <w:proofErr w:type="gramEnd"/>
      <w:r>
        <w:t xml:space="preserve"> of patients treated with TARE-Y and 35% of patients treated with sorafenib experience at least one serious adverse event.</w:t>
      </w:r>
    </w:p>
    <w:p w14:paraId="22285E27" w14:textId="75ED9888" w:rsidR="00195B7E" w:rsidRDefault="001A0476">
      <w:r>
        <w:t xml:space="preserve">The Critique stated that neither trial disaggregated the AEs by disease </w:t>
      </w:r>
      <w:proofErr w:type="gramStart"/>
      <w:r>
        <w:t>stage,</w:t>
      </w:r>
      <w:proofErr w:type="gramEnd"/>
      <w:r>
        <w:t xml:space="preserve"> </w:t>
      </w:r>
      <w:r w:rsidRPr="001A0476">
        <w:t xml:space="preserve">therefore they may not be truly representative of the AEs occurring in patients with advanced </w:t>
      </w:r>
      <w:r>
        <w:t>HCC</w:t>
      </w:r>
      <w:r w:rsidRPr="001A0476">
        <w:t xml:space="preserve"> B</w:t>
      </w:r>
      <w:r>
        <w:t xml:space="preserve">arcelona </w:t>
      </w:r>
      <w:r w:rsidRPr="001A0476">
        <w:t>C</w:t>
      </w:r>
      <w:r>
        <w:t xml:space="preserve">linic </w:t>
      </w:r>
      <w:r w:rsidRPr="001A0476">
        <w:t>L</w:t>
      </w:r>
      <w:r>
        <w:t xml:space="preserve">iver </w:t>
      </w:r>
      <w:r w:rsidRPr="001A0476">
        <w:t>C</w:t>
      </w:r>
      <w:r>
        <w:t>ancer (BCLS)</w:t>
      </w:r>
      <w:r w:rsidRPr="001A0476">
        <w:t xml:space="preserve"> stage C (stage C patients made up 68% of the total sample size in the SARAH trial and 47% in the </w:t>
      </w:r>
      <w:proofErr w:type="spellStart"/>
      <w:r w:rsidRPr="001A0476">
        <w:t>SIRveNIB</w:t>
      </w:r>
      <w:proofErr w:type="spellEnd"/>
      <w:r w:rsidRPr="001A0476">
        <w:t xml:space="preserve"> trial).</w:t>
      </w:r>
      <w:r w:rsidR="00195B7E">
        <w:br w:type="page"/>
      </w:r>
    </w:p>
    <w:p w14:paraId="32663A33" w14:textId="77777777" w:rsidR="00BC1364" w:rsidRPr="00F715D1" w:rsidRDefault="00BC1364" w:rsidP="00F715D1">
      <w:pPr>
        <w:pStyle w:val="Heading1"/>
      </w:pPr>
      <w:r w:rsidRPr="00F715D1">
        <w:lastRenderedPageBreak/>
        <w:t>Comparative effectiveness</w:t>
      </w:r>
    </w:p>
    <w:p w14:paraId="16D37DC9" w14:textId="77777777" w:rsidR="00064371" w:rsidRPr="001A0476" w:rsidRDefault="00560653" w:rsidP="001A0476">
      <w:r>
        <w:t xml:space="preserve">Refer to PSD, Application No.1493 2018. </w:t>
      </w:r>
    </w:p>
    <w:p w14:paraId="2B71B7CC" w14:textId="7564DE5C" w:rsidR="003A6D6E" w:rsidRDefault="00560653" w:rsidP="00195B7E">
      <w:pPr>
        <w:spacing w:before="240" w:after="240"/>
        <w:rPr>
          <w:szCs w:val="24"/>
        </w:rPr>
      </w:pPr>
      <w:r>
        <w:rPr>
          <w:szCs w:val="24"/>
        </w:rPr>
        <w:t>In a</w:t>
      </w:r>
      <w:bookmarkStart w:id="4" w:name="_GoBack"/>
      <w:bookmarkEnd w:id="4"/>
      <w:r>
        <w:rPr>
          <w:szCs w:val="24"/>
        </w:rPr>
        <w:t>ddition, the SBA also presented overall survival results from</w:t>
      </w:r>
      <w:r w:rsidR="001A0476">
        <w:rPr>
          <w:szCs w:val="24"/>
        </w:rPr>
        <w:t xml:space="preserve"> the previously seen SARAH trial and </w:t>
      </w:r>
      <w:r w:rsidR="00261F25">
        <w:rPr>
          <w:szCs w:val="24"/>
        </w:rPr>
        <w:t xml:space="preserve">a </w:t>
      </w:r>
      <w:r w:rsidR="001A0476">
        <w:rPr>
          <w:szCs w:val="24"/>
        </w:rPr>
        <w:t>new</w:t>
      </w:r>
      <w:r w:rsidR="00261F25">
        <w:rPr>
          <w:szCs w:val="24"/>
        </w:rPr>
        <w:t xml:space="preserve"> trial: the</w:t>
      </w:r>
      <w:r>
        <w:rPr>
          <w:szCs w:val="24"/>
        </w:rPr>
        <w:t xml:space="preserve"> </w:t>
      </w:r>
      <w:r w:rsidR="00261F25" w:rsidRPr="007147BC">
        <w:t>Selective Internal Radiation Therapy Versus Sorafenib</w:t>
      </w:r>
      <w:r w:rsidR="00261F25">
        <w:t xml:space="preserve"> (</w:t>
      </w:r>
      <w:proofErr w:type="spellStart"/>
      <w:r>
        <w:rPr>
          <w:szCs w:val="24"/>
        </w:rPr>
        <w:t>SIRveNIB</w:t>
      </w:r>
      <w:proofErr w:type="spellEnd"/>
      <w:r w:rsidR="00261F25">
        <w:rPr>
          <w:szCs w:val="24"/>
        </w:rPr>
        <w:t>)</w:t>
      </w:r>
      <w:r>
        <w:rPr>
          <w:szCs w:val="24"/>
        </w:rPr>
        <w:t xml:space="preserve"> </w:t>
      </w:r>
      <w:r w:rsidRPr="007F1D09">
        <w:rPr>
          <w:szCs w:val="24"/>
        </w:rPr>
        <w:t>trial (</w:t>
      </w:r>
      <w:r w:rsidR="007F1D09" w:rsidRPr="007F1D09">
        <w:rPr>
          <w:szCs w:val="24"/>
        </w:rPr>
        <w:fldChar w:fldCharType="begin"/>
      </w:r>
      <w:r w:rsidR="007F1D09" w:rsidRPr="007F1D09">
        <w:rPr>
          <w:szCs w:val="24"/>
        </w:rPr>
        <w:instrText xml:space="preserve"> REF _Ref16061941 \h </w:instrText>
      </w:r>
      <w:r w:rsidR="007F1D09" w:rsidRPr="007F1D09">
        <w:rPr>
          <w:szCs w:val="24"/>
        </w:rPr>
      </w:r>
      <w:r w:rsidR="007F1D09" w:rsidRPr="007F1D09">
        <w:rPr>
          <w:szCs w:val="24"/>
        </w:rPr>
        <w:instrText xml:space="preserve"> \* MERGEFORMAT </w:instrText>
      </w:r>
      <w:r w:rsidR="007F1D09" w:rsidRPr="007F1D09">
        <w:rPr>
          <w:szCs w:val="24"/>
        </w:rPr>
        <w:fldChar w:fldCharType="separate"/>
      </w:r>
      <w:r w:rsidR="007F1D09" w:rsidRPr="007F1D09">
        <w:rPr>
          <w:szCs w:val="24"/>
        </w:rPr>
        <w:t xml:space="preserve">Table </w:t>
      </w:r>
      <w:r w:rsidR="007F1D09" w:rsidRPr="007F1D09">
        <w:rPr>
          <w:noProof/>
          <w:szCs w:val="24"/>
        </w:rPr>
        <w:t>2</w:t>
      </w:r>
      <w:r w:rsidR="007F1D09" w:rsidRPr="007F1D09">
        <w:rPr>
          <w:szCs w:val="24"/>
        </w:rPr>
        <w:fldChar w:fldCharType="end"/>
      </w:r>
      <w:r w:rsidR="007F1D09" w:rsidRPr="007F1D09">
        <w:rPr>
          <w:szCs w:val="24"/>
        </w:rPr>
        <w:t>)</w:t>
      </w:r>
      <w:r w:rsidRPr="007F1D09">
        <w:rPr>
          <w:szCs w:val="24"/>
        </w:rPr>
        <w:t>.</w:t>
      </w:r>
      <w:bookmarkStart w:id="5" w:name="_Ref530736871"/>
      <w:bookmarkStart w:id="6" w:name="_Toc535233899"/>
    </w:p>
    <w:p w14:paraId="44A4CB26" w14:textId="7BB21448" w:rsidR="00560653" w:rsidRPr="003A6D6E" w:rsidRDefault="00560653" w:rsidP="003A6D6E">
      <w:pPr>
        <w:keepNext/>
        <w:keepLines/>
        <w:spacing w:after="120"/>
        <w:rPr>
          <w:rFonts w:ascii="Arial Narrow" w:hAnsi="Arial Narrow"/>
          <w:b/>
          <w:sz w:val="20"/>
        </w:rPr>
      </w:pPr>
      <w:bookmarkStart w:id="7" w:name="_Ref16061941"/>
      <w:r w:rsidRPr="003A6D6E">
        <w:rPr>
          <w:rFonts w:ascii="Arial Narrow" w:hAnsi="Arial Narrow"/>
          <w:b/>
          <w:sz w:val="20"/>
        </w:rPr>
        <w:t xml:space="preserve">Table </w:t>
      </w:r>
      <w:r w:rsidRPr="003A6D6E">
        <w:rPr>
          <w:rFonts w:ascii="Arial Narrow" w:hAnsi="Arial Narrow"/>
          <w:b/>
          <w:noProof/>
          <w:sz w:val="20"/>
        </w:rPr>
        <w:fldChar w:fldCharType="begin"/>
      </w:r>
      <w:r w:rsidRPr="003A6D6E">
        <w:rPr>
          <w:rFonts w:ascii="Arial Narrow" w:hAnsi="Arial Narrow"/>
          <w:b/>
          <w:noProof/>
          <w:sz w:val="20"/>
        </w:rPr>
        <w:instrText xml:space="preserve"> SEQ Table \* ARABIC </w:instrText>
      </w:r>
      <w:r w:rsidRPr="003A6D6E">
        <w:rPr>
          <w:rFonts w:ascii="Arial Narrow" w:hAnsi="Arial Narrow"/>
          <w:b/>
          <w:noProof/>
          <w:sz w:val="20"/>
        </w:rPr>
        <w:fldChar w:fldCharType="separate"/>
      </w:r>
      <w:r w:rsidR="007F1D09">
        <w:rPr>
          <w:rFonts w:ascii="Arial Narrow" w:hAnsi="Arial Narrow"/>
          <w:b/>
          <w:noProof/>
          <w:sz w:val="20"/>
        </w:rPr>
        <w:t>2</w:t>
      </w:r>
      <w:r w:rsidRPr="003A6D6E">
        <w:rPr>
          <w:rFonts w:ascii="Arial Narrow" w:hAnsi="Arial Narrow"/>
          <w:b/>
          <w:noProof/>
          <w:sz w:val="20"/>
        </w:rPr>
        <w:fldChar w:fldCharType="end"/>
      </w:r>
      <w:bookmarkEnd w:id="5"/>
      <w:bookmarkEnd w:id="7"/>
      <w:r w:rsidRPr="003A6D6E">
        <w:rPr>
          <w:rFonts w:ascii="Arial Narrow" w:hAnsi="Arial Narrow"/>
          <w:b/>
          <w:sz w:val="20"/>
        </w:rPr>
        <w:tab/>
        <w:t xml:space="preserve">Overall survival results of the SARAH and </w:t>
      </w:r>
      <w:proofErr w:type="spellStart"/>
      <w:r w:rsidRPr="003A6D6E">
        <w:rPr>
          <w:rFonts w:ascii="Arial Narrow" w:hAnsi="Arial Narrow"/>
          <w:b/>
          <w:sz w:val="20"/>
        </w:rPr>
        <w:t>SIRveNIB</w:t>
      </w:r>
      <w:proofErr w:type="spellEnd"/>
      <w:r w:rsidRPr="003A6D6E">
        <w:rPr>
          <w:rFonts w:ascii="Arial Narrow" w:hAnsi="Arial Narrow"/>
          <w:b/>
          <w:sz w:val="20"/>
        </w:rPr>
        <w:t xml:space="preserve"> RCTs</w:t>
      </w:r>
      <w:bookmarkEnd w:id="6"/>
    </w:p>
    <w:tbl>
      <w:tblPr>
        <w:tblStyle w:val="TableGrid"/>
        <w:tblW w:w="9019" w:type="dxa"/>
        <w:tblLook w:val="04A0" w:firstRow="1" w:lastRow="0" w:firstColumn="1" w:lastColumn="0" w:noHBand="0" w:noVBand="1"/>
        <w:tblCaption w:val="Overall survival results of the SARAH and SIRveNIB RCTs"/>
        <w:tblDescription w:val="Summary of overall survival results"/>
      </w:tblPr>
      <w:tblGrid>
        <w:gridCol w:w="985"/>
        <w:gridCol w:w="989"/>
        <w:gridCol w:w="470"/>
        <w:gridCol w:w="1379"/>
        <w:gridCol w:w="1701"/>
        <w:gridCol w:w="567"/>
        <w:gridCol w:w="1417"/>
        <w:gridCol w:w="1511"/>
      </w:tblGrid>
      <w:tr w:rsidR="00560653" w14:paraId="454F0DF8" w14:textId="77777777" w:rsidTr="002846C4">
        <w:trPr>
          <w:tblHeader/>
        </w:trPr>
        <w:tc>
          <w:tcPr>
            <w:tcW w:w="985" w:type="dxa"/>
            <w:vMerge w:val="restart"/>
          </w:tcPr>
          <w:p w14:paraId="011259EF" w14:textId="77777777" w:rsidR="00560653" w:rsidRPr="00560653" w:rsidRDefault="00560653" w:rsidP="003A6D6E">
            <w:pPr>
              <w:pStyle w:val="Tabletext"/>
              <w:keepNext/>
              <w:keepLines/>
              <w:rPr>
                <w:b/>
                <w:sz w:val="20"/>
              </w:rPr>
            </w:pPr>
            <w:r w:rsidRPr="00560653">
              <w:rPr>
                <w:b/>
                <w:sz w:val="20"/>
              </w:rPr>
              <w:t>Outcome</w:t>
            </w:r>
          </w:p>
        </w:tc>
        <w:tc>
          <w:tcPr>
            <w:tcW w:w="989" w:type="dxa"/>
            <w:vMerge w:val="restart"/>
          </w:tcPr>
          <w:p w14:paraId="3810D33B" w14:textId="77777777" w:rsidR="00560653" w:rsidRPr="00560653" w:rsidRDefault="00560653" w:rsidP="003A6D6E">
            <w:pPr>
              <w:pStyle w:val="Tabletext"/>
              <w:keepNext/>
              <w:keepLines/>
              <w:rPr>
                <w:b/>
                <w:sz w:val="20"/>
              </w:rPr>
            </w:pPr>
            <w:r w:rsidRPr="00560653">
              <w:rPr>
                <w:b/>
                <w:sz w:val="20"/>
              </w:rPr>
              <w:t>Study</w:t>
            </w:r>
          </w:p>
        </w:tc>
        <w:tc>
          <w:tcPr>
            <w:tcW w:w="3550" w:type="dxa"/>
            <w:gridSpan w:val="3"/>
          </w:tcPr>
          <w:p w14:paraId="78845B1E" w14:textId="77777777" w:rsidR="00560653" w:rsidRPr="00560653" w:rsidRDefault="00560653" w:rsidP="003A6D6E">
            <w:pPr>
              <w:keepNext/>
              <w:keepLines/>
              <w:spacing w:before="40" w:after="40"/>
              <w:jc w:val="center"/>
              <w:rPr>
                <w:rFonts w:ascii="Arial Narrow" w:hAnsi="Arial Narrow"/>
                <w:b/>
                <w:sz w:val="20"/>
              </w:rPr>
            </w:pPr>
            <w:r w:rsidRPr="00560653">
              <w:rPr>
                <w:rFonts w:ascii="Arial Narrow" w:hAnsi="Arial Narrow"/>
                <w:b/>
                <w:sz w:val="20"/>
              </w:rPr>
              <w:t>ITT analysis</w:t>
            </w:r>
          </w:p>
        </w:tc>
        <w:tc>
          <w:tcPr>
            <w:tcW w:w="3495" w:type="dxa"/>
            <w:gridSpan w:val="3"/>
          </w:tcPr>
          <w:p w14:paraId="08A88DA8" w14:textId="77777777" w:rsidR="00560653" w:rsidRPr="00560653" w:rsidRDefault="00560653" w:rsidP="003A6D6E">
            <w:pPr>
              <w:keepNext/>
              <w:keepLines/>
              <w:spacing w:before="40" w:after="40"/>
              <w:jc w:val="center"/>
              <w:rPr>
                <w:rFonts w:ascii="Arial Narrow" w:hAnsi="Arial Narrow"/>
                <w:b/>
                <w:sz w:val="20"/>
              </w:rPr>
            </w:pPr>
            <w:r w:rsidRPr="00560653">
              <w:rPr>
                <w:rFonts w:ascii="Arial Narrow" w:hAnsi="Arial Narrow"/>
                <w:b/>
                <w:sz w:val="20"/>
              </w:rPr>
              <w:t>PP/treated analysis</w:t>
            </w:r>
          </w:p>
        </w:tc>
      </w:tr>
      <w:tr w:rsidR="00560653" w14:paraId="089361D2" w14:textId="77777777" w:rsidTr="002846C4">
        <w:trPr>
          <w:tblHeader/>
        </w:trPr>
        <w:tc>
          <w:tcPr>
            <w:tcW w:w="985" w:type="dxa"/>
            <w:vMerge/>
          </w:tcPr>
          <w:p w14:paraId="04D7B5D2" w14:textId="77777777" w:rsidR="00560653" w:rsidRPr="00560653" w:rsidRDefault="00560653" w:rsidP="003A6D6E">
            <w:pPr>
              <w:pStyle w:val="Tabletext"/>
              <w:keepNext/>
              <w:keepLines/>
              <w:rPr>
                <w:sz w:val="20"/>
              </w:rPr>
            </w:pPr>
          </w:p>
        </w:tc>
        <w:tc>
          <w:tcPr>
            <w:tcW w:w="989" w:type="dxa"/>
            <w:vMerge/>
          </w:tcPr>
          <w:p w14:paraId="6266DAC8" w14:textId="77777777" w:rsidR="00560653" w:rsidRPr="00560653" w:rsidRDefault="00560653" w:rsidP="003A6D6E">
            <w:pPr>
              <w:pStyle w:val="Tabletext"/>
              <w:keepNext/>
              <w:keepLines/>
              <w:rPr>
                <w:sz w:val="20"/>
              </w:rPr>
            </w:pPr>
          </w:p>
        </w:tc>
        <w:tc>
          <w:tcPr>
            <w:tcW w:w="470" w:type="dxa"/>
            <w:shd w:val="clear" w:color="auto" w:fill="auto"/>
          </w:tcPr>
          <w:p w14:paraId="1EE40BEA" w14:textId="77777777" w:rsidR="00560653" w:rsidRPr="00560653" w:rsidRDefault="00560653" w:rsidP="003A6D6E">
            <w:pPr>
              <w:keepNext/>
              <w:keepLines/>
              <w:spacing w:before="40" w:after="40"/>
              <w:jc w:val="center"/>
              <w:rPr>
                <w:rFonts w:ascii="Arial Narrow" w:hAnsi="Arial Narrow"/>
                <w:b/>
                <w:sz w:val="20"/>
              </w:rPr>
            </w:pPr>
            <w:r w:rsidRPr="00560653">
              <w:rPr>
                <w:rFonts w:ascii="Arial Narrow" w:hAnsi="Arial Narrow"/>
                <w:b/>
                <w:sz w:val="20"/>
              </w:rPr>
              <w:t>N</w:t>
            </w:r>
          </w:p>
        </w:tc>
        <w:tc>
          <w:tcPr>
            <w:tcW w:w="1379" w:type="dxa"/>
          </w:tcPr>
          <w:p w14:paraId="2DA9E102" w14:textId="77777777" w:rsidR="00560653" w:rsidRPr="00560653" w:rsidRDefault="00560653" w:rsidP="003A6D6E">
            <w:pPr>
              <w:keepNext/>
              <w:keepLines/>
              <w:spacing w:before="40" w:after="40"/>
              <w:jc w:val="center"/>
              <w:rPr>
                <w:rFonts w:ascii="Arial Narrow" w:hAnsi="Arial Narrow"/>
                <w:b/>
                <w:sz w:val="20"/>
              </w:rPr>
            </w:pPr>
            <w:r w:rsidRPr="00560653">
              <w:rPr>
                <w:rFonts w:ascii="Arial Narrow" w:hAnsi="Arial Narrow"/>
                <w:b/>
                <w:sz w:val="20"/>
              </w:rPr>
              <w:t>TARE-Y vs. SOF</w:t>
            </w:r>
          </w:p>
          <w:p w14:paraId="6929CAC3" w14:textId="77777777" w:rsidR="00560653" w:rsidRPr="00560653" w:rsidRDefault="00560653" w:rsidP="003A6D6E">
            <w:pPr>
              <w:pStyle w:val="Tabletext"/>
              <w:keepNext/>
              <w:keepLines/>
              <w:jc w:val="center"/>
              <w:rPr>
                <w:sz w:val="20"/>
              </w:rPr>
            </w:pPr>
            <w:r w:rsidRPr="00560653">
              <w:rPr>
                <w:b/>
                <w:sz w:val="20"/>
              </w:rPr>
              <w:t>Median or %</w:t>
            </w:r>
          </w:p>
        </w:tc>
        <w:tc>
          <w:tcPr>
            <w:tcW w:w="1701" w:type="dxa"/>
          </w:tcPr>
          <w:p w14:paraId="03548E29" w14:textId="77777777" w:rsidR="00560653" w:rsidRPr="00560653" w:rsidRDefault="00560653" w:rsidP="003A6D6E">
            <w:pPr>
              <w:keepNext/>
              <w:keepLines/>
              <w:spacing w:before="40" w:after="40"/>
              <w:jc w:val="center"/>
              <w:rPr>
                <w:rFonts w:ascii="Arial Narrow" w:hAnsi="Arial Narrow"/>
                <w:b/>
                <w:sz w:val="20"/>
              </w:rPr>
            </w:pPr>
            <w:r w:rsidRPr="00560653">
              <w:rPr>
                <w:rFonts w:ascii="Arial Narrow" w:hAnsi="Arial Narrow"/>
                <w:b/>
                <w:sz w:val="20"/>
              </w:rPr>
              <w:t>TARE-Y vs. SOF</w:t>
            </w:r>
          </w:p>
          <w:p w14:paraId="5DDE5CE9" w14:textId="77777777" w:rsidR="00560653" w:rsidRPr="00560653" w:rsidRDefault="00560653" w:rsidP="003A6D6E">
            <w:pPr>
              <w:pStyle w:val="Tabletext"/>
              <w:keepNext/>
              <w:keepLines/>
              <w:jc w:val="center"/>
              <w:rPr>
                <w:sz w:val="20"/>
              </w:rPr>
            </w:pPr>
            <w:r w:rsidRPr="00560653">
              <w:rPr>
                <w:b/>
                <w:sz w:val="20"/>
              </w:rPr>
              <w:t xml:space="preserve">Risk estimate (95% CI) </w:t>
            </w:r>
          </w:p>
        </w:tc>
        <w:tc>
          <w:tcPr>
            <w:tcW w:w="567" w:type="dxa"/>
          </w:tcPr>
          <w:p w14:paraId="369F4252" w14:textId="77777777" w:rsidR="00560653" w:rsidRPr="00560653" w:rsidRDefault="00560653" w:rsidP="003A6D6E">
            <w:pPr>
              <w:keepNext/>
              <w:keepLines/>
              <w:spacing w:before="40" w:after="40"/>
              <w:jc w:val="center"/>
              <w:rPr>
                <w:rFonts w:ascii="Arial Narrow" w:hAnsi="Arial Narrow"/>
                <w:b/>
                <w:sz w:val="20"/>
              </w:rPr>
            </w:pPr>
            <w:r w:rsidRPr="00560653">
              <w:rPr>
                <w:rFonts w:ascii="Arial Narrow" w:hAnsi="Arial Narrow"/>
                <w:b/>
                <w:sz w:val="20"/>
              </w:rPr>
              <w:t>N</w:t>
            </w:r>
          </w:p>
        </w:tc>
        <w:tc>
          <w:tcPr>
            <w:tcW w:w="1417" w:type="dxa"/>
          </w:tcPr>
          <w:p w14:paraId="16C00EF2" w14:textId="77777777" w:rsidR="00560653" w:rsidRPr="00560653" w:rsidRDefault="00560653" w:rsidP="003A6D6E">
            <w:pPr>
              <w:keepNext/>
              <w:keepLines/>
              <w:spacing w:before="40" w:after="40"/>
              <w:jc w:val="center"/>
              <w:rPr>
                <w:rFonts w:ascii="Arial Narrow" w:hAnsi="Arial Narrow"/>
                <w:b/>
                <w:sz w:val="20"/>
              </w:rPr>
            </w:pPr>
            <w:r w:rsidRPr="00560653">
              <w:rPr>
                <w:rFonts w:ascii="Arial Narrow" w:hAnsi="Arial Narrow"/>
                <w:b/>
                <w:sz w:val="20"/>
              </w:rPr>
              <w:t>TARE-Y vs. SOF</w:t>
            </w:r>
          </w:p>
          <w:p w14:paraId="610A1482" w14:textId="77777777" w:rsidR="00560653" w:rsidRPr="00560653" w:rsidRDefault="00560653" w:rsidP="003A6D6E">
            <w:pPr>
              <w:pStyle w:val="Tabletext"/>
              <w:keepNext/>
              <w:keepLines/>
              <w:jc w:val="center"/>
              <w:rPr>
                <w:sz w:val="20"/>
              </w:rPr>
            </w:pPr>
            <w:r w:rsidRPr="00560653">
              <w:rPr>
                <w:b/>
                <w:sz w:val="20"/>
              </w:rPr>
              <w:t>Median or %</w:t>
            </w:r>
          </w:p>
        </w:tc>
        <w:tc>
          <w:tcPr>
            <w:tcW w:w="1511" w:type="dxa"/>
          </w:tcPr>
          <w:p w14:paraId="5AC19AB6" w14:textId="77777777" w:rsidR="00560653" w:rsidRPr="00560653" w:rsidRDefault="00560653" w:rsidP="003A6D6E">
            <w:pPr>
              <w:keepNext/>
              <w:keepLines/>
              <w:spacing w:before="40" w:after="40"/>
              <w:jc w:val="center"/>
              <w:rPr>
                <w:rFonts w:ascii="Arial Narrow" w:hAnsi="Arial Narrow"/>
                <w:b/>
                <w:sz w:val="20"/>
              </w:rPr>
            </w:pPr>
            <w:r w:rsidRPr="00560653">
              <w:rPr>
                <w:rFonts w:ascii="Arial Narrow" w:hAnsi="Arial Narrow"/>
                <w:b/>
                <w:sz w:val="20"/>
              </w:rPr>
              <w:t>TARE-Y vs. SOF</w:t>
            </w:r>
          </w:p>
          <w:p w14:paraId="50593000" w14:textId="77777777" w:rsidR="00560653" w:rsidRPr="00560653" w:rsidRDefault="00560653" w:rsidP="003A6D6E">
            <w:pPr>
              <w:pStyle w:val="Tabletext"/>
              <w:keepNext/>
              <w:keepLines/>
              <w:jc w:val="center"/>
              <w:rPr>
                <w:sz w:val="20"/>
              </w:rPr>
            </w:pPr>
            <w:r w:rsidRPr="00560653">
              <w:rPr>
                <w:b/>
                <w:sz w:val="20"/>
              </w:rPr>
              <w:t xml:space="preserve">Risk estimate (95% CI) </w:t>
            </w:r>
          </w:p>
        </w:tc>
      </w:tr>
      <w:tr w:rsidR="00560653" w14:paraId="0270C37C" w14:textId="77777777" w:rsidTr="00076963">
        <w:tc>
          <w:tcPr>
            <w:tcW w:w="985" w:type="dxa"/>
          </w:tcPr>
          <w:p w14:paraId="191C6565" w14:textId="77777777" w:rsidR="00560653" w:rsidRPr="00560653" w:rsidRDefault="00560653" w:rsidP="003A6D6E">
            <w:pPr>
              <w:pStyle w:val="Tabletext"/>
              <w:keepNext/>
              <w:keepLines/>
              <w:rPr>
                <w:sz w:val="20"/>
              </w:rPr>
            </w:pPr>
            <w:r w:rsidRPr="00560653">
              <w:rPr>
                <w:sz w:val="20"/>
              </w:rPr>
              <w:t>All patients</w:t>
            </w:r>
          </w:p>
        </w:tc>
        <w:tc>
          <w:tcPr>
            <w:tcW w:w="989" w:type="dxa"/>
          </w:tcPr>
          <w:p w14:paraId="716A9EB1" w14:textId="77777777" w:rsidR="00560653" w:rsidRPr="00560653" w:rsidRDefault="00560653" w:rsidP="003A6D6E">
            <w:pPr>
              <w:keepNext/>
              <w:keepLines/>
              <w:spacing w:before="40" w:after="40"/>
              <w:jc w:val="center"/>
              <w:rPr>
                <w:rFonts w:ascii="Arial Narrow" w:hAnsi="Arial Narrow"/>
                <w:sz w:val="20"/>
              </w:rPr>
            </w:pPr>
            <w:r w:rsidRPr="00560653">
              <w:rPr>
                <w:rFonts w:ascii="Arial Narrow" w:hAnsi="Arial Narrow"/>
                <w:sz w:val="20"/>
              </w:rPr>
              <w:t>SARAH</w:t>
            </w:r>
          </w:p>
          <w:p w14:paraId="2256E5B0" w14:textId="77777777" w:rsidR="00560653" w:rsidRPr="00560653" w:rsidRDefault="00560653" w:rsidP="003A6D6E">
            <w:pPr>
              <w:keepNext/>
              <w:keepLines/>
              <w:spacing w:before="40" w:after="40"/>
              <w:jc w:val="center"/>
              <w:rPr>
                <w:rFonts w:ascii="Arial Narrow" w:hAnsi="Arial Narrow"/>
                <w:sz w:val="20"/>
              </w:rPr>
            </w:pPr>
            <w:proofErr w:type="spellStart"/>
            <w:r w:rsidRPr="00560653">
              <w:rPr>
                <w:rFonts w:ascii="Arial Narrow" w:hAnsi="Arial Narrow"/>
                <w:sz w:val="20"/>
              </w:rPr>
              <w:t>SIRveNIB</w:t>
            </w:r>
            <w:proofErr w:type="spellEnd"/>
          </w:p>
        </w:tc>
        <w:tc>
          <w:tcPr>
            <w:tcW w:w="470" w:type="dxa"/>
          </w:tcPr>
          <w:p w14:paraId="7AB64E4D" w14:textId="77777777" w:rsidR="00560653" w:rsidRPr="00560653" w:rsidRDefault="00560653" w:rsidP="003A6D6E">
            <w:pPr>
              <w:keepNext/>
              <w:keepLines/>
              <w:spacing w:before="40" w:after="40"/>
              <w:jc w:val="center"/>
              <w:rPr>
                <w:rFonts w:ascii="Arial Narrow" w:hAnsi="Arial Narrow"/>
                <w:sz w:val="20"/>
              </w:rPr>
            </w:pPr>
            <w:r w:rsidRPr="00560653">
              <w:rPr>
                <w:rFonts w:ascii="Arial Narrow" w:hAnsi="Arial Narrow"/>
                <w:sz w:val="20"/>
              </w:rPr>
              <w:t>459</w:t>
            </w:r>
          </w:p>
          <w:p w14:paraId="3EE6D71C" w14:textId="77777777" w:rsidR="00560653" w:rsidRPr="00560653" w:rsidRDefault="00560653" w:rsidP="003A6D6E">
            <w:pPr>
              <w:keepNext/>
              <w:keepLines/>
              <w:spacing w:before="40" w:after="40"/>
              <w:jc w:val="center"/>
              <w:rPr>
                <w:rFonts w:ascii="Arial Narrow" w:hAnsi="Arial Narrow"/>
                <w:sz w:val="20"/>
              </w:rPr>
            </w:pPr>
            <w:r w:rsidRPr="00560653">
              <w:rPr>
                <w:rFonts w:ascii="Arial Narrow" w:hAnsi="Arial Narrow"/>
                <w:sz w:val="20"/>
              </w:rPr>
              <w:t>360</w:t>
            </w:r>
          </w:p>
        </w:tc>
        <w:tc>
          <w:tcPr>
            <w:tcW w:w="1379" w:type="dxa"/>
          </w:tcPr>
          <w:p w14:paraId="38D71FD2" w14:textId="77777777" w:rsidR="00560653" w:rsidRPr="00560653" w:rsidRDefault="00560653" w:rsidP="003A6D6E">
            <w:pPr>
              <w:keepNext/>
              <w:keepLines/>
              <w:spacing w:before="40" w:after="40"/>
              <w:jc w:val="center"/>
              <w:rPr>
                <w:rFonts w:ascii="Arial Narrow" w:hAnsi="Arial Narrow"/>
                <w:sz w:val="20"/>
              </w:rPr>
            </w:pPr>
            <w:r w:rsidRPr="00560653">
              <w:rPr>
                <w:rFonts w:ascii="Arial Narrow" w:hAnsi="Arial Narrow"/>
                <w:sz w:val="20"/>
              </w:rPr>
              <w:t>8.0 m vs. 9.9 m</w:t>
            </w:r>
          </w:p>
          <w:p w14:paraId="2FEC7C2E" w14:textId="77777777" w:rsidR="00560653" w:rsidRPr="00560653" w:rsidRDefault="00560653" w:rsidP="003A6D6E">
            <w:pPr>
              <w:pStyle w:val="Tabletext"/>
              <w:keepNext/>
              <w:keepLines/>
              <w:jc w:val="center"/>
              <w:rPr>
                <w:sz w:val="20"/>
              </w:rPr>
            </w:pPr>
            <w:r w:rsidRPr="00560653">
              <w:rPr>
                <w:sz w:val="20"/>
              </w:rPr>
              <w:t>8.8 m vs. 10.0 m</w:t>
            </w:r>
          </w:p>
        </w:tc>
        <w:tc>
          <w:tcPr>
            <w:tcW w:w="1701" w:type="dxa"/>
          </w:tcPr>
          <w:p w14:paraId="1E64AFBA" w14:textId="77777777" w:rsidR="00560653" w:rsidRPr="00560653" w:rsidRDefault="00560653" w:rsidP="003A6D6E">
            <w:pPr>
              <w:keepNext/>
              <w:keepLines/>
              <w:spacing w:before="40" w:after="40"/>
              <w:jc w:val="center"/>
              <w:rPr>
                <w:rFonts w:ascii="Arial Narrow" w:hAnsi="Arial Narrow"/>
                <w:sz w:val="20"/>
              </w:rPr>
            </w:pPr>
            <w:r w:rsidRPr="00560653">
              <w:rPr>
                <w:rFonts w:ascii="Arial Narrow" w:hAnsi="Arial Narrow"/>
                <w:sz w:val="20"/>
              </w:rPr>
              <w:t>HR 1.15 (0.94, 1.41)</w:t>
            </w:r>
          </w:p>
          <w:p w14:paraId="17B64332" w14:textId="77777777" w:rsidR="00560653" w:rsidRPr="00560653" w:rsidRDefault="00560653" w:rsidP="003A6D6E">
            <w:pPr>
              <w:pStyle w:val="Tabletext"/>
              <w:keepNext/>
              <w:keepLines/>
              <w:jc w:val="center"/>
              <w:rPr>
                <w:sz w:val="20"/>
              </w:rPr>
            </w:pPr>
            <w:r w:rsidRPr="00560653">
              <w:rPr>
                <w:sz w:val="20"/>
              </w:rPr>
              <w:t>HR 1.12 (0.9, 1.4)</w:t>
            </w:r>
          </w:p>
        </w:tc>
        <w:tc>
          <w:tcPr>
            <w:tcW w:w="567" w:type="dxa"/>
          </w:tcPr>
          <w:p w14:paraId="463C99B9" w14:textId="77777777" w:rsidR="00560653" w:rsidRPr="00560653" w:rsidRDefault="00560653" w:rsidP="003A6D6E">
            <w:pPr>
              <w:keepNext/>
              <w:keepLines/>
              <w:spacing w:before="40" w:after="40"/>
              <w:jc w:val="center"/>
              <w:rPr>
                <w:rFonts w:ascii="Arial Narrow" w:hAnsi="Arial Narrow"/>
                <w:sz w:val="20"/>
              </w:rPr>
            </w:pPr>
            <w:r w:rsidRPr="00560653">
              <w:rPr>
                <w:rFonts w:ascii="Arial Narrow" w:hAnsi="Arial Narrow"/>
                <w:sz w:val="20"/>
              </w:rPr>
              <w:t>380</w:t>
            </w:r>
          </w:p>
          <w:p w14:paraId="1DE22FC4" w14:textId="77777777" w:rsidR="00560653" w:rsidRPr="00560653" w:rsidRDefault="00560653" w:rsidP="003A6D6E">
            <w:pPr>
              <w:keepNext/>
              <w:keepLines/>
              <w:spacing w:before="40" w:after="40"/>
              <w:jc w:val="center"/>
              <w:rPr>
                <w:rFonts w:ascii="Arial Narrow" w:hAnsi="Arial Narrow"/>
                <w:sz w:val="20"/>
              </w:rPr>
            </w:pPr>
            <w:r w:rsidRPr="00560653">
              <w:rPr>
                <w:rFonts w:ascii="Arial Narrow" w:hAnsi="Arial Narrow"/>
                <w:sz w:val="20"/>
              </w:rPr>
              <w:t>292</w:t>
            </w:r>
          </w:p>
        </w:tc>
        <w:tc>
          <w:tcPr>
            <w:tcW w:w="1417" w:type="dxa"/>
          </w:tcPr>
          <w:p w14:paraId="094F38B7" w14:textId="77777777" w:rsidR="00560653" w:rsidRPr="00560653" w:rsidRDefault="00560653" w:rsidP="003A6D6E">
            <w:pPr>
              <w:keepNext/>
              <w:keepLines/>
              <w:spacing w:before="40" w:after="40"/>
              <w:jc w:val="center"/>
              <w:rPr>
                <w:rFonts w:ascii="Arial Narrow" w:hAnsi="Arial Narrow"/>
                <w:sz w:val="20"/>
              </w:rPr>
            </w:pPr>
            <w:r w:rsidRPr="00560653">
              <w:rPr>
                <w:rFonts w:ascii="Arial Narrow" w:hAnsi="Arial Narrow"/>
                <w:sz w:val="20"/>
              </w:rPr>
              <w:t>9.9 m vs. 9.9 m</w:t>
            </w:r>
          </w:p>
          <w:p w14:paraId="3F3F7509" w14:textId="77777777" w:rsidR="00560653" w:rsidRPr="00560653" w:rsidRDefault="00560653" w:rsidP="003A6D6E">
            <w:pPr>
              <w:pStyle w:val="Tabletext"/>
              <w:keepNext/>
              <w:keepLines/>
              <w:jc w:val="center"/>
              <w:rPr>
                <w:sz w:val="20"/>
              </w:rPr>
            </w:pPr>
            <w:r w:rsidRPr="00560653">
              <w:rPr>
                <w:sz w:val="20"/>
              </w:rPr>
              <w:t>11.3 m vs. 10.4 m</w:t>
            </w:r>
          </w:p>
        </w:tc>
        <w:tc>
          <w:tcPr>
            <w:tcW w:w="1511" w:type="dxa"/>
          </w:tcPr>
          <w:p w14:paraId="0079A8B9" w14:textId="77777777" w:rsidR="00560653" w:rsidRPr="00560653" w:rsidRDefault="00560653" w:rsidP="003A6D6E">
            <w:pPr>
              <w:keepNext/>
              <w:keepLines/>
              <w:spacing w:before="40" w:after="40"/>
              <w:jc w:val="center"/>
              <w:rPr>
                <w:rFonts w:ascii="Arial Narrow" w:hAnsi="Arial Narrow"/>
                <w:sz w:val="20"/>
              </w:rPr>
            </w:pPr>
            <w:r w:rsidRPr="00560653">
              <w:rPr>
                <w:rFonts w:ascii="Arial Narrow" w:hAnsi="Arial Narrow"/>
                <w:sz w:val="20"/>
              </w:rPr>
              <w:t>HR 0.99 (0.79, 1.24)</w:t>
            </w:r>
          </w:p>
          <w:p w14:paraId="564A7B80" w14:textId="77777777" w:rsidR="00560653" w:rsidRPr="00560653" w:rsidRDefault="00560653" w:rsidP="003A6D6E">
            <w:pPr>
              <w:pStyle w:val="Tabletext"/>
              <w:keepNext/>
              <w:keepLines/>
              <w:jc w:val="center"/>
              <w:rPr>
                <w:sz w:val="20"/>
              </w:rPr>
            </w:pPr>
            <w:r w:rsidRPr="00560653">
              <w:rPr>
                <w:sz w:val="20"/>
              </w:rPr>
              <w:t>HR 0.86 (0.7, 1.1)</w:t>
            </w:r>
          </w:p>
        </w:tc>
      </w:tr>
      <w:tr w:rsidR="00560653" w14:paraId="677FADBB" w14:textId="77777777" w:rsidTr="00076963">
        <w:tc>
          <w:tcPr>
            <w:tcW w:w="985" w:type="dxa"/>
            <w:shd w:val="clear" w:color="auto" w:fill="auto"/>
          </w:tcPr>
          <w:p w14:paraId="3B080CCB" w14:textId="77777777" w:rsidR="00560653" w:rsidRPr="00560653" w:rsidRDefault="00560653" w:rsidP="00076963">
            <w:pPr>
              <w:pStyle w:val="Tabletext"/>
              <w:keepNext/>
              <w:keepLines/>
              <w:rPr>
                <w:sz w:val="20"/>
              </w:rPr>
            </w:pPr>
            <w:r w:rsidRPr="00560653">
              <w:rPr>
                <w:sz w:val="20"/>
              </w:rPr>
              <w:t>BCLC A+B</w:t>
            </w:r>
          </w:p>
        </w:tc>
        <w:tc>
          <w:tcPr>
            <w:tcW w:w="989" w:type="dxa"/>
            <w:shd w:val="clear" w:color="auto" w:fill="auto"/>
          </w:tcPr>
          <w:p w14:paraId="3EDF89B0"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SARAH</w:t>
            </w:r>
          </w:p>
        </w:tc>
        <w:tc>
          <w:tcPr>
            <w:tcW w:w="470" w:type="dxa"/>
            <w:shd w:val="clear" w:color="auto" w:fill="auto"/>
          </w:tcPr>
          <w:p w14:paraId="20B1E96D"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148</w:t>
            </w:r>
          </w:p>
        </w:tc>
        <w:tc>
          <w:tcPr>
            <w:tcW w:w="1379" w:type="dxa"/>
            <w:shd w:val="clear" w:color="auto" w:fill="auto"/>
          </w:tcPr>
          <w:p w14:paraId="6454AED2"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NR</w:t>
            </w:r>
          </w:p>
        </w:tc>
        <w:tc>
          <w:tcPr>
            <w:tcW w:w="1701" w:type="dxa"/>
            <w:shd w:val="clear" w:color="auto" w:fill="auto"/>
          </w:tcPr>
          <w:p w14:paraId="1FC39F49"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HR 1.00 (0.69, 1.44)</w:t>
            </w:r>
          </w:p>
        </w:tc>
        <w:tc>
          <w:tcPr>
            <w:tcW w:w="567" w:type="dxa"/>
          </w:tcPr>
          <w:p w14:paraId="2EC263B3"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123</w:t>
            </w:r>
          </w:p>
        </w:tc>
        <w:tc>
          <w:tcPr>
            <w:tcW w:w="1417" w:type="dxa"/>
            <w:shd w:val="clear" w:color="auto" w:fill="auto"/>
          </w:tcPr>
          <w:p w14:paraId="72779BFF"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 xml:space="preserve">NR </w:t>
            </w:r>
          </w:p>
        </w:tc>
        <w:tc>
          <w:tcPr>
            <w:tcW w:w="1511" w:type="dxa"/>
            <w:shd w:val="clear" w:color="auto" w:fill="auto"/>
          </w:tcPr>
          <w:p w14:paraId="71A87AE6"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HR 0.89 (0.59, 1.33)</w:t>
            </w:r>
          </w:p>
        </w:tc>
      </w:tr>
      <w:tr w:rsidR="00560653" w14:paraId="7B681444" w14:textId="77777777" w:rsidTr="00076963">
        <w:tc>
          <w:tcPr>
            <w:tcW w:w="985" w:type="dxa"/>
            <w:shd w:val="clear" w:color="auto" w:fill="auto"/>
          </w:tcPr>
          <w:p w14:paraId="2838D998" w14:textId="77777777" w:rsidR="00560653" w:rsidRPr="00560653" w:rsidRDefault="00560653" w:rsidP="00076963">
            <w:pPr>
              <w:pStyle w:val="Tabletext"/>
              <w:keepNext/>
              <w:keepLines/>
              <w:rPr>
                <w:sz w:val="20"/>
              </w:rPr>
            </w:pPr>
            <w:r w:rsidRPr="00560653">
              <w:rPr>
                <w:sz w:val="20"/>
              </w:rPr>
              <w:t>BCLC B</w:t>
            </w:r>
          </w:p>
        </w:tc>
        <w:tc>
          <w:tcPr>
            <w:tcW w:w="989" w:type="dxa"/>
            <w:shd w:val="clear" w:color="auto" w:fill="auto"/>
          </w:tcPr>
          <w:p w14:paraId="28005CF5" w14:textId="77777777" w:rsidR="00560653" w:rsidRPr="00560653" w:rsidRDefault="00560653" w:rsidP="00076963">
            <w:pPr>
              <w:keepNext/>
              <w:keepLines/>
              <w:spacing w:before="40" w:after="40"/>
              <w:jc w:val="center"/>
              <w:rPr>
                <w:rFonts w:ascii="Arial Narrow" w:hAnsi="Arial Narrow"/>
                <w:sz w:val="20"/>
              </w:rPr>
            </w:pPr>
            <w:proofErr w:type="spellStart"/>
            <w:r w:rsidRPr="00560653">
              <w:rPr>
                <w:rFonts w:ascii="Arial Narrow" w:hAnsi="Arial Narrow"/>
                <w:sz w:val="20"/>
              </w:rPr>
              <w:t>SIRveNIB</w:t>
            </w:r>
            <w:proofErr w:type="spellEnd"/>
          </w:p>
        </w:tc>
        <w:tc>
          <w:tcPr>
            <w:tcW w:w="470" w:type="dxa"/>
            <w:shd w:val="clear" w:color="auto" w:fill="auto"/>
          </w:tcPr>
          <w:p w14:paraId="30FAFA72"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190</w:t>
            </w:r>
          </w:p>
        </w:tc>
        <w:tc>
          <w:tcPr>
            <w:tcW w:w="1379" w:type="dxa"/>
            <w:shd w:val="clear" w:color="auto" w:fill="auto"/>
          </w:tcPr>
          <w:p w14:paraId="2766C048"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11.8 vs. 14.4</w:t>
            </w:r>
          </w:p>
        </w:tc>
        <w:tc>
          <w:tcPr>
            <w:tcW w:w="1701" w:type="dxa"/>
            <w:shd w:val="clear" w:color="auto" w:fill="auto"/>
          </w:tcPr>
          <w:p w14:paraId="2BEB4DF8"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HR 1.14 (0.8, 1.6)</w:t>
            </w:r>
          </w:p>
        </w:tc>
        <w:tc>
          <w:tcPr>
            <w:tcW w:w="567" w:type="dxa"/>
          </w:tcPr>
          <w:p w14:paraId="7D1AE554"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167</w:t>
            </w:r>
          </w:p>
        </w:tc>
        <w:tc>
          <w:tcPr>
            <w:tcW w:w="1417" w:type="dxa"/>
            <w:shd w:val="clear" w:color="auto" w:fill="auto"/>
          </w:tcPr>
          <w:p w14:paraId="0BDCB73D"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13.5 vs. 14.8</w:t>
            </w:r>
          </w:p>
        </w:tc>
        <w:tc>
          <w:tcPr>
            <w:tcW w:w="1511" w:type="dxa"/>
            <w:shd w:val="clear" w:color="auto" w:fill="auto"/>
          </w:tcPr>
          <w:p w14:paraId="2D6E4C0B"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HR 1.01 (0.7, 1.5)</w:t>
            </w:r>
          </w:p>
        </w:tc>
      </w:tr>
      <w:tr w:rsidR="00560653" w14:paraId="2958AA6F" w14:textId="77777777" w:rsidTr="00076963">
        <w:tc>
          <w:tcPr>
            <w:tcW w:w="985" w:type="dxa"/>
            <w:shd w:val="clear" w:color="auto" w:fill="F2F2F2" w:themeFill="background1" w:themeFillShade="F2"/>
          </w:tcPr>
          <w:p w14:paraId="62DE5F79" w14:textId="77777777" w:rsidR="00560653" w:rsidRPr="00560653" w:rsidRDefault="00560653" w:rsidP="00076963">
            <w:pPr>
              <w:pStyle w:val="Tabletext"/>
              <w:keepNext/>
              <w:keepLines/>
              <w:rPr>
                <w:sz w:val="20"/>
              </w:rPr>
            </w:pPr>
            <w:r w:rsidRPr="00560653">
              <w:rPr>
                <w:sz w:val="20"/>
              </w:rPr>
              <w:t xml:space="preserve">BCLC C </w:t>
            </w:r>
          </w:p>
        </w:tc>
        <w:tc>
          <w:tcPr>
            <w:tcW w:w="989" w:type="dxa"/>
            <w:shd w:val="clear" w:color="auto" w:fill="F2F2F2" w:themeFill="background1" w:themeFillShade="F2"/>
          </w:tcPr>
          <w:p w14:paraId="08019F05"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SARAH</w:t>
            </w:r>
          </w:p>
          <w:p w14:paraId="413E322C" w14:textId="77777777" w:rsidR="00560653" w:rsidRPr="00560653" w:rsidRDefault="00560653" w:rsidP="00076963">
            <w:pPr>
              <w:pStyle w:val="Tabletext"/>
              <w:keepNext/>
              <w:keepLines/>
              <w:jc w:val="center"/>
              <w:rPr>
                <w:sz w:val="20"/>
              </w:rPr>
            </w:pPr>
            <w:proofErr w:type="spellStart"/>
            <w:r w:rsidRPr="00560653">
              <w:rPr>
                <w:sz w:val="20"/>
              </w:rPr>
              <w:t>SIRveNIB</w:t>
            </w:r>
            <w:proofErr w:type="spellEnd"/>
          </w:p>
        </w:tc>
        <w:tc>
          <w:tcPr>
            <w:tcW w:w="470" w:type="dxa"/>
            <w:shd w:val="clear" w:color="auto" w:fill="F2F2F2" w:themeFill="background1" w:themeFillShade="F2"/>
          </w:tcPr>
          <w:p w14:paraId="0A179409" w14:textId="77777777" w:rsidR="00560653" w:rsidRPr="00560653" w:rsidRDefault="00261F25" w:rsidP="00076963">
            <w:pPr>
              <w:keepNext/>
              <w:keepLines/>
              <w:spacing w:before="40" w:after="40"/>
              <w:jc w:val="center"/>
              <w:rPr>
                <w:rFonts w:ascii="Arial Narrow" w:hAnsi="Arial Narrow"/>
                <w:sz w:val="20"/>
              </w:rPr>
            </w:pPr>
            <w:r>
              <w:rPr>
                <w:rFonts w:ascii="Arial Narrow" w:hAnsi="Arial Narrow"/>
                <w:sz w:val="20"/>
              </w:rPr>
              <w:t>311</w:t>
            </w:r>
          </w:p>
          <w:p w14:paraId="4596CCC6"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168</w:t>
            </w:r>
          </w:p>
        </w:tc>
        <w:tc>
          <w:tcPr>
            <w:tcW w:w="1379" w:type="dxa"/>
            <w:shd w:val="clear" w:color="auto" w:fill="F2F2F2" w:themeFill="background1" w:themeFillShade="F2"/>
          </w:tcPr>
          <w:p w14:paraId="453AA7EA"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NR</w:t>
            </w:r>
          </w:p>
          <w:p w14:paraId="764889A1" w14:textId="77777777" w:rsidR="00560653" w:rsidRPr="00560653" w:rsidRDefault="00560653" w:rsidP="00076963">
            <w:pPr>
              <w:pStyle w:val="Tabletext"/>
              <w:keepNext/>
              <w:keepLines/>
              <w:jc w:val="center"/>
              <w:rPr>
                <w:sz w:val="20"/>
              </w:rPr>
            </w:pPr>
            <w:r w:rsidRPr="00560653">
              <w:rPr>
                <w:sz w:val="20"/>
              </w:rPr>
              <w:t>6.8 m vs. 5.8 m</w:t>
            </w:r>
          </w:p>
        </w:tc>
        <w:tc>
          <w:tcPr>
            <w:tcW w:w="1701" w:type="dxa"/>
            <w:shd w:val="clear" w:color="auto" w:fill="F2F2F2" w:themeFill="background1" w:themeFillShade="F2"/>
          </w:tcPr>
          <w:p w14:paraId="57D4EC95"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HR 1.22 (0.95, 1.56)</w:t>
            </w:r>
          </w:p>
          <w:p w14:paraId="1E84FD27" w14:textId="77777777" w:rsidR="00560653" w:rsidRPr="00560653" w:rsidRDefault="00560653" w:rsidP="00076963">
            <w:pPr>
              <w:pStyle w:val="Tabletext"/>
              <w:keepNext/>
              <w:keepLines/>
              <w:jc w:val="center"/>
              <w:rPr>
                <w:sz w:val="20"/>
              </w:rPr>
            </w:pPr>
            <w:r w:rsidRPr="00560653">
              <w:rPr>
                <w:sz w:val="20"/>
              </w:rPr>
              <w:t>HR 1.00 (0.7, 1.4)</w:t>
            </w:r>
          </w:p>
        </w:tc>
        <w:tc>
          <w:tcPr>
            <w:tcW w:w="567" w:type="dxa"/>
            <w:shd w:val="clear" w:color="auto" w:fill="F2F2F2" w:themeFill="background1" w:themeFillShade="F2"/>
          </w:tcPr>
          <w:p w14:paraId="6EF07FA8" w14:textId="77777777" w:rsidR="00560653" w:rsidRPr="00560653" w:rsidRDefault="00261F25" w:rsidP="00076963">
            <w:pPr>
              <w:keepNext/>
              <w:keepLines/>
              <w:spacing w:before="40" w:after="40"/>
              <w:jc w:val="center"/>
              <w:rPr>
                <w:rFonts w:ascii="Arial Narrow" w:hAnsi="Arial Narrow"/>
                <w:sz w:val="20"/>
              </w:rPr>
            </w:pPr>
            <w:r>
              <w:rPr>
                <w:rFonts w:ascii="Arial Narrow" w:hAnsi="Arial Narrow"/>
                <w:sz w:val="20"/>
              </w:rPr>
              <w:t>257</w:t>
            </w:r>
          </w:p>
          <w:p w14:paraId="1B5E3C9B"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123</w:t>
            </w:r>
          </w:p>
        </w:tc>
        <w:tc>
          <w:tcPr>
            <w:tcW w:w="1417" w:type="dxa"/>
            <w:shd w:val="clear" w:color="auto" w:fill="F2F2F2" w:themeFill="background1" w:themeFillShade="F2"/>
          </w:tcPr>
          <w:p w14:paraId="0947C16E"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NR</w:t>
            </w:r>
          </w:p>
          <w:p w14:paraId="20D45881" w14:textId="77777777" w:rsidR="00560653" w:rsidRPr="00560653" w:rsidRDefault="00560653" w:rsidP="00076963">
            <w:pPr>
              <w:pStyle w:val="Tabletext"/>
              <w:keepNext/>
              <w:keepLines/>
              <w:jc w:val="center"/>
              <w:rPr>
                <w:sz w:val="20"/>
              </w:rPr>
            </w:pPr>
            <w:r w:rsidRPr="00560653">
              <w:rPr>
                <w:sz w:val="20"/>
              </w:rPr>
              <w:t>9.2 m vs. 5.8 m</w:t>
            </w:r>
          </w:p>
        </w:tc>
        <w:tc>
          <w:tcPr>
            <w:tcW w:w="1511" w:type="dxa"/>
            <w:shd w:val="clear" w:color="auto" w:fill="D9D9D9" w:themeFill="background1" w:themeFillShade="D9"/>
          </w:tcPr>
          <w:p w14:paraId="0D54018B" w14:textId="77777777" w:rsidR="00560653" w:rsidRPr="00560653" w:rsidRDefault="00560653" w:rsidP="00076963">
            <w:pPr>
              <w:keepNext/>
              <w:keepLines/>
              <w:spacing w:before="40" w:after="40"/>
              <w:jc w:val="center"/>
              <w:rPr>
                <w:rFonts w:ascii="Arial Narrow" w:hAnsi="Arial Narrow"/>
                <w:sz w:val="20"/>
              </w:rPr>
            </w:pPr>
            <w:r w:rsidRPr="00560653">
              <w:rPr>
                <w:rFonts w:ascii="Arial Narrow" w:hAnsi="Arial Narrow"/>
                <w:sz w:val="20"/>
              </w:rPr>
              <w:t>HR 1.06 (0.81, 1.39)</w:t>
            </w:r>
          </w:p>
          <w:p w14:paraId="6ACBD935" w14:textId="77777777" w:rsidR="00560653" w:rsidRPr="00560653" w:rsidRDefault="00560653" w:rsidP="00076963">
            <w:pPr>
              <w:pStyle w:val="Tabletext"/>
              <w:keepNext/>
              <w:keepLines/>
              <w:jc w:val="center"/>
              <w:rPr>
                <w:sz w:val="20"/>
              </w:rPr>
            </w:pPr>
            <w:r w:rsidRPr="00560653">
              <w:rPr>
                <w:b/>
                <w:sz w:val="20"/>
              </w:rPr>
              <w:t>HR 0.67 (0.4, 1.0)</w:t>
            </w:r>
          </w:p>
        </w:tc>
      </w:tr>
    </w:tbl>
    <w:p w14:paraId="498F389E" w14:textId="77777777" w:rsidR="00560653" w:rsidRPr="00560653" w:rsidRDefault="00560653" w:rsidP="00560653">
      <w:pPr>
        <w:pStyle w:val="TableNotes18"/>
        <w:keepNext/>
        <w:spacing w:after="0"/>
        <w:rPr>
          <w:sz w:val="18"/>
        </w:rPr>
      </w:pPr>
      <w:r w:rsidRPr="00560653">
        <w:rPr>
          <w:sz w:val="18"/>
        </w:rPr>
        <w:t xml:space="preserve">Source: SBA for TARE-Y for SARAH trial and Chow 2018 (Figure 2, Figure 3, Table 3) and Supplementary Appendix (Figure A1, Figure A2, Table A7) for </w:t>
      </w:r>
      <w:proofErr w:type="spellStart"/>
      <w:r w:rsidRPr="00560653">
        <w:rPr>
          <w:sz w:val="18"/>
        </w:rPr>
        <w:t>SIRveNIB</w:t>
      </w:r>
      <w:proofErr w:type="spellEnd"/>
      <w:r w:rsidRPr="00560653">
        <w:rPr>
          <w:sz w:val="18"/>
        </w:rPr>
        <w:t>.</w:t>
      </w:r>
      <w:r w:rsidR="00261F25">
        <w:rPr>
          <w:sz w:val="18"/>
        </w:rPr>
        <w:t xml:space="preserve"> (</w:t>
      </w:r>
      <w:r w:rsidR="00261F25" w:rsidRPr="00D153D6">
        <w:rPr>
          <w:sz w:val="18"/>
          <w:szCs w:val="20"/>
        </w:rPr>
        <w:t>Table 9, p20 of the Critique</w:t>
      </w:r>
      <w:r w:rsidR="00261F25">
        <w:rPr>
          <w:sz w:val="18"/>
        </w:rPr>
        <w:t>)</w:t>
      </w:r>
    </w:p>
    <w:p w14:paraId="167BEC81" w14:textId="77777777" w:rsidR="00560653" w:rsidRPr="00560653" w:rsidRDefault="00560653" w:rsidP="00560653">
      <w:pPr>
        <w:pStyle w:val="TableNotes18"/>
        <w:keepNext/>
        <w:spacing w:after="0"/>
        <w:rPr>
          <w:sz w:val="18"/>
        </w:rPr>
      </w:pPr>
      <w:r w:rsidRPr="00560653">
        <w:rPr>
          <w:sz w:val="18"/>
        </w:rPr>
        <w:t>Abbreviations: BCLC=Barcelona Clinic Liver Cancer; CI=confidence interval; HR=hazard ratio; ITT=intention-to-treat; m=months; NR=not reported; PP=per protocol</w:t>
      </w:r>
      <w:r w:rsidR="00DD2C99">
        <w:rPr>
          <w:sz w:val="18"/>
        </w:rPr>
        <w:t xml:space="preserve">; SOF = sorafenib; </w:t>
      </w:r>
      <w:r w:rsidR="00DD2C99" w:rsidRPr="00D84D93">
        <w:rPr>
          <w:sz w:val="18"/>
        </w:rPr>
        <w:t>TARE-Y=</w:t>
      </w:r>
      <w:r w:rsidR="00DD2C99">
        <w:rPr>
          <w:sz w:val="18"/>
        </w:rPr>
        <w:t xml:space="preserve"> </w:t>
      </w:r>
      <w:proofErr w:type="spellStart"/>
      <w:r w:rsidR="00DD2C99" w:rsidRPr="00D84D93">
        <w:rPr>
          <w:sz w:val="18"/>
        </w:rPr>
        <w:t>transarterial</w:t>
      </w:r>
      <w:proofErr w:type="spellEnd"/>
      <w:r w:rsidR="00DD2C99" w:rsidRPr="00D84D93">
        <w:rPr>
          <w:sz w:val="18"/>
        </w:rPr>
        <w:t xml:space="preserve"> </w:t>
      </w:r>
      <w:proofErr w:type="spellStart"/>
      <w:r w:rsidR="00DD2C99" w:rsidRPr="00D84D93">
        <w:rPr>
          <w:sz w:val="18"/>
        </w:rPr>
        <w:t>radioembolisation</w:t>
      </w:r>
      <w:proofErr w:type="spellEnd"/>
      <w:r w:rsidR="00DD2C99" w:rsidRPr="00D84D93">
        <w:rPr>
          <w:sz w:val="18"/>
        </w:rPr>
        <w:t xml:space="preserve"> using yttrium-90.</w:t>
      </w:r>
    </w:p>
    <w:p w14:paraId="2B2CC1F1" w14:textId="77777777" w:rsidR="00560653" w:rsidRDefault="00560653" w:rsidP="00560653">
      <w:pPr>
        <w:pStyle w:val="TableNotes18"/>
        <w:keepNext/>
        <w:rPr>
          <w:sz w:val="18"/>
        </w:rPr>
      </w:pPr>
      <w:r w:rsidRPr="00560653">
        <w:rPr>
          <w:sz w:val="18"/>
        </w:rPr>
        <w:t>Note: Results shown in black bold are statistically significantly in favour of TARE-Y over sorafenib; no findings are statistically significantly in favour of sorafenib over TARE-Y.</w:t>
      </w:r>
    </w:p>
    <w:p w14:paraId="6F19136A" w14:textId="77777777" w:rsidR="00364653" w:rsidRDefault="00261F25">
      <w:r>
        <w:rPr>
          <w:bCs/>
          <w:color w:val="000000"/>
          <w:szCs w:val="24"/>
        </w:rPr>
        <w:t xml:space="preserve">SARAH and </w:t>
      </w:r>
      <w:proofErr w:type="spellStart"/>
      <w:r>
        <w:rPr>
          <w:bCs/>
          <w:color w:val="000000"/>
          <w:szCs w:val="24"/>
        </w:rPr>
        <w:t>SIRveNIB</w:t>
      </w:r>
      <w:proofErr w:type="spellEnd"/>
      <w:r>
        <w:rPr>
          <w:bCs/>
          <w:color w:val="000000"/>
          <w:szCs w:val="24"/>
        </w:rPr>
        <w:t xml:space="preserve"> trials were open label randomised controlled trials (RCT</w:t>
      </w:r>
      <w:proofErr w:type="gramStart"/>
      <w:r>
        <w:rPr>
          <w:bCs/>
          <w:color w:val="000000"/>
          <w:szCs w:val="24"/>
        </w:rPr>
        <w:t>)s</w:t>
      </w:r>
      <w:proofErr w:type="gramEnd"/>
      <w:r>
        <w:rPr>
          <w:bCs/>
          <w:color w:val="000000"/>
          <w:szCs w:val="24"/>
        </w:rPr>
        <w:t xml:space="preserve"> included as the pivotal evidence for the submission’s revised economic evaluation.</w:t>
      </w:r>
      <w:r w:rsidR="006F21BB">
        <w:rPr>
          <w:bCs/>
          <w:color w:val="000000"/>
          <w:szCs w:val="24"/>
        </w:rPr>
        <w:t xml:space="preserve"> </w:t>
      </w:r>
      <w:r>
        <w:rPr>
          <w:bCs/>
          <w:color w:val="000000"/>
          <w:szCs w:val="24"/>
        </w:rPr>
        <w:t xml:space="preserve"> </w:t>
      </w:r>
      <w:r>
        <w:t xml:space="preserve">The main characteristics of the SARAH and </w:t>
      </w:r>
      <w:proofErr w:type="spellStart"/>
      <w:r>
        <w:t>SIRveNIB</w:t>
      </w:r>
      <w:proofErr w:type="spellEnd"/>
      <w:r>
        <w:t xml:space="preserve"> studies are summarised in Table 3, noting that the SARAH trial had a closer match to the proposed MBS population with advanced HCC (</w:t>
      </w:r>
      <w:r w:rsidRPr="0071068B">
        <w:t xml:space="preserve">Barcelona Clinic Liver Cancer </w:t>
      </w:r>
      <w:r>
        <w:t>(</w:t>
      </w:r>
      <w:r w:rsidRPr="0071068B">
        <w:t>BCLC</w:t>
      </w:r>
      <w:r>
        <w:t>)</w:t>
      </w:r>
      <w:r w:rsidRPr="0071068B">
        <w:t xml:space="preserve"> </w:t>
      </w:r>
      <w:r>
        <w:t xml:space="preserve">stage C patients: 68%  in SARAH trial </w:t>
      </w:r>
      <w:r w:rsidRPr="00DB366C">
        <w:rPr>
          <w:i/>
        </w:rPr>
        <w:t>vs</w:t>
      </w:r>
      <w:r>
        <w:t xml:space="preserve">. 47% in </w:t>
      </w:r>
      <w:proofErr w:type="spellStart"/>
      <w:r>
        <w:t>SIRveNIB</w:t>
      </w:r>
      <w:proofErr w:type="spellEnd"/>
      <w:r>
        <w:t xml:space="preserve"> trial).</w:t>
      </w:r>
      <w:r w:rsidR="00364653">
        <w:br w:type="page"/>
      </w:r>
    </w:p>
    <w:p w14:paraId="300AB3AF" w14:textId="77777777" w:rsidR="00261F25" w:rsidRDefault="003A6D6E" w:rsidP="00152093">
      <w:pPr>
        <w:pStyle w:val="Caption"/>
      </w:pPr>
      <w:r>
        <w:lastRenderedPageBreak/>
        <w:t xml:space="preserve">Table </w:t>
      </w:r>
      <w:proofErr w:type="gramStart"/>
      <w:r>
        <w:t>3</w:t>
      </w:r>
      <w:proofErr w:type="gramEnd"/>
      <w:r>
        <w:tab/>
      </w:r>
      <w:r>
        <w:tab/>
      </w:r>
      <w:r w:rsidR="00261F25">
        <w:t>Key c</w:t>
      </w:r>
      <w:r w:rsidR="00261F25" w:rsidRPr="00D84D93">
        <w:t>haracteristics of the</w:t>
      </w:r>
      <w:r w:rsidR="00261F25">
        <w:t xml:space="preserve"> submission’s pivotal RCT evidence:</w:t>
      </w:r>
      <w:r w:rsidR="00261F25" w:rsidRPr="00D84D93">
        <w:t xml:space="preserve"> SARAH and </w:t>
      </w:r>
      <w:proofErr w:type="spellStart"/>
      <w:r w:rsidR="00261F25" w:rsidRPr="00D84D93">
        <w:t>SIRveNIB</w:t>
      </w:r>
      <w:proofErr w:type="spellEnd"/>
      <w:r w:rsidR="00261F25" w:rsidRPr="00D84D93">
        <w:t xml:space="preserve"> </w:t>
      </w:r>
      <w:r w:rsidR="00261F25">
        <w:t>trials</w:t>
      </w:r>
    </w:p>
    <w:tbl>
      <w:tblPr>
        <w:tblStyle w:val="TableGrid"/>
        <w:tblW w:w="5000" w:type="pct"/>
        <w:tblLook w:val="04A0" w:firstRow="1" w:lastRow="0" w:firstColumn="1" w:lastColumn="0" w:noHBand="0" w:noVBand="1"/>
        <w:tblDescription w:val="Summary of the key characteristics of the SARAH and SIRveNIB trials"/>
      </w:tblPr>
      <w:tblGrid>
        <w:gridCol w:w="2335"/>
        <w:gridCol w:w="3340"/>
        <w:gridCol w:w="3341"/>
      </w:tblGrid>
      <w:tr w:rsidR="00261F25" w:rsidRPr="00AA54CA" w14:paraId="38A03014" w14:textId="77777777" w:rsidTr="002846C4">
        <w:trPr>
          <w:tblHeader/>
        </w:trPr>
        <w:tc>
          <w:tcPr>
            <w:tcW w:w="1295" w:type="pct"/>
          </w:tcPr>
          <w:p w14:paraId="259C02E3" w14:textId="77777777" w:rsidR="00261F25" w:rsidRPr="000107FD" w:rsidRDefault="00261F25" w:rsidP="00F74876">
            <w:pPr>
              <w:spacing w:before="40" w:after="40"/>
              <w:rPr>
                <w:rFonts w:ascii="Arial Narrow" w:hAnsi="Arial Narrow"/>
                <w:b/>
                <w:sz w:val="20"/>
              </w:rPr>
            </w:pPr>
            <w:r w:rsidRPr="000107FD">
              <w:rPr>
                <w:rFonts w:ascii="Arial Narrow" w:hAnsi="Arial Narrow"/>
                <w:b/>
                <w:sz w:val="20"/>
              </w:rPr>
              <w:t>Parameter</w:t>
            </w:r>
          </w:p>
        </w:tc>
        <w:tc>
          <w:tcPr>
            <w:tcW w:w="1852" w:type="pct"/>
          </w:tcPr>
          <w:p w14:paraId="6D278EC9" w14:textId="77777777" w:rsidR="00261F25" w:rsidRPr="000107FD" w:rsidRDefault="00261F25" w:rsidP="00F74876">
            <w:pPr>
              <w:spacing w:before="40" w:after="40"/>
              <w:rPr>
                <w:rFonts w:ascii="Arial Narrow" w:hAnsi="Arial Narrow"/>
                <w:b/>
                <w:sz w:val="20"/>
              </w:rPr>
            </w:pPr>
            <w:r w:rsidRPr="000107FD">
              <w:rPr>
                <w:rFonts w:ascii="Arial Narrow" w:hAnsi="Arial Narrow"/>
                <w:b/>
                <w:sz w:val="20"/>
              </w:rPr>
              <w:t>SARAH trial</w:t>
            </w:r>
          </w:p>
        </w:tc>
        <w:tc>
          <w:tcPr>
            <w:tcW w:w="1853" w:type="pct"/>
          </w:tcPr>
          <w:p w14:paraId="219DAA6F" w14:textId="77777777" w:rsidR="00261F25" w:rsidRPr="000107FD" w:rsidRDefault="00261F25" w:rsidP="00F74876">
            <w:pPr>
              <w:spacing w:before="40" w:after="40"/>
              <w:rPr>
                <w:rFonts w:ascii="Arial Narrow" w:hAnsi="Arial Narrow"/>
                <w:b/>
                <w:sz w:val="20"/>
              </w:rPr>
            </w:pPr>
            <w:proofErr w:type="spellStart"/>
            <w:r w:rsidRPr="000107FD">
              <w:rPr>
                <w:rFonts w:ascii="Arial Narrow" w:hAnsi="Arial Narrow"/>
                <w:b/>
                <w:sz w:val="20"/>
              </w:rPr>
              <w:t>SIRveNIB</w:t>
            </w:r>
            <w:proofErr w:type="spellEnd"/>
            <w:r w:rsidRPr="000107FD">
              <w:rPr>
                <w:rFonts w:ascii="Arial Narrow" w:hAnsi="Arial Narrow"/>
                <w:b/>
                <w:sz w:val="20"/>
              </w:rPr>
              <w:t xml:space="preserve"> trial</w:t>
            </w:r>
          </w:p>
        </w:tc>
      </w:tr>
      <w:tr w:rsidR="00261F25" w:rsidRPr="00AA54CA" w14:paraId="404EAB7D" w14:textId="77777777" w:rsidTr="002846C4">
        <w:tc>
          <w:tcPr>
            <w:tcW w:w="1295" w:type="pct"/>
          </w:tcPr>
          <w:p w14:paraId="74613B3D"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Location</w:t>
            </w:r>
          </w:p>
        </w:tc>
        <w:tc>
          <w:tcPr>
            <w:tcW w:w="1852" w:type="pct"/>
          </w:tcPr>
          <w:p w14:paraId="512A9A68"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France</w:t>
            </w:r>
          </w:p>
        </w:tc>
        <w:tc>
          <w:tcPr>
            <w:tcW w:w="1853" w:type="pct"/>
          </w:tcPr>
          <w:p w14:paraId="6A725C5F"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Asia-Pacific</w:t>
            </w:r>
          </w:p>
        </w:tc>
      </w:tr>
      <w:tr w:rsidR="00261F25" w:rsidRPr="00AA54CA" w14:paraId="0F201020" w14:textId="77777777" w:rsidTr="002846C4">
        <w:tc>
          <w:tcPr>
            <w:tcW w:w="1295" w:type="pct"/>
          </w:tcPr>
          <w:p w14:paraId="2515A15F"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Efficacy population</w:t>
            </w:r>
          </w:p>
        </w:tc>
        <w:tc>
          <w:tcPr>
            <w:tcW w:w="1852" w:type="pct"/>
          </w:tcPr>
          <w:p w14:paraId="49DC6D83" w14:textId="77777777" w:rsidR="00261F25" w:rsidRPr="000107FD" w:rsidRDefault="00261F25" w:rsidP="00F74876">
            <w:pPr>
              <w:pStyle w:val="Tabletext"/>
              <w:rPr>
                <w:sz w:val="20"/>
                <w:u w:val="single"/>
              </w:rPr>
            </w:pPr>
            <w:r w:rsidRPr="000107FD">
              <w:rPr>
                <w:sz w:val="20"/>
                <w:u w:val="single"/>
              </w:rPr>
              <w:t>ITT (N=459)</w:t>
            </w:r>
          </w:p>
          <w:p w14:paraId="286216AE" w14:textId="77777777" w:rsidR="00261F25" w:rsidRPr="000107FD" w:rsidRDefault="00261F25" w:rsidP="00F74876">
            <w:pPr>
              <w:pStyle w:val="Tabletext"/>
              <w:rPr>
                <w:sz w:val="20"/>
                <w:vertAlign w:val="superscript"/>
              </w:rPr>
            </w:pPr>
            <w:r w:rsidRPr="000107FD">
              <w:rPr>
                <w:sz w:val="20"/>
              </w:rPr>
              <w:t xml:space="preserve">Patients randomised to treatment who did not withdraw </w:t>
            </w:r>
            <w:proofErr w:type="spellStart"/>
            <w:r w:rsidRPr="000107FD">
              <w:rPr>
                <w:sz w:val="20"/>
              </w:rPr>
              <w:t>consent</w:t>
            </w:r>
            <w:r w:rsidRPr="000107FD">
              <w:rPr>
                <w:sz w:val="20"/>
                <w:vertAlign w:val="superscript"/>
              </w:rPr>
              <w:t>a</w:t>
            </w:r>
            <w:proofErr w:type="spellEnd"/>
          </w:p>
          <w:p w14:paraId="560CCDC1" w14:textId="77777777" w:rsidR="00261F25" w:rsidRPr="000107FD" w:rsidRDefault="00261F25" w:rsidP="00F74876">
            <w:pPr>
              <w:pStyle w:val="Tabletext"/>
              <w:rPr>
                <w:sz w:val="20"/>
                <w:u w:val="single"/>
              </w:rPr>
            </w:pPr>
            <w:r w:rsidRPr="000107FD">
              <w:rPr>
                <w:sz w:val="20"/>
                <w:u w:val="single"/>
              </w:rPr>
              <w:t>PP (N=380)</w:t>
            </w:r>
          </w:p>
          <w:p w14:paraId="443E35F6" w14:textId="77777777" w:rsidR="00261F25" w:rsidRPr="000107FD" w:rsidRDefault="00261F25" w:rsidP="00F74876">
            <w:pPr>
              <w:pStyle w:val="Tabletext"/>
              <w:rPr>
                <w:vertAlign w:val="superscript"/>
              </w:rPr>
            </w:pPr>
            <w:r w:rsidRPr="000107FD">
              <w:rPr>
                <w:sz w:val="20"/>
              </w:rPr>
              <w:t xml:space="preserve">Patients who received treatment with no major protocol </w:t>
            </w:r>
            <w:proofErr w:type="spellStart"/>
            <w:r w:rsidRPr="000107FD">
              <w:rPr>
                <w:sz w:val="20"/>
              </w:rPr>
              <w:t>deviations</w:t>
            </w:r>
            <w:r w:rsidRPr="000107FD">
              <w:rPr>
                <w:sz w:val="20"/>
                <w:vertAlign w:val="superscript"/>
              </w:rPr>
              <w:t>b</w:t>
            </w:r>
            <w:proofErr w:type="spellEnd"/>
          </w:p>
        </w:tc>
        <w:tc>
          <w:tcPr>
            <w:tcW w:w="1853" w:type="pct"/>
          </w:tcPr>
          <w:p w14:paraId="21A8F7D5" w14:textId="77777777" w:rsidR="00261F25" w:rsidRPr="000107FD" w:rsidRDefault="00261F25" w:rsidP="00F74876">
            <w:pPr>
              <w:pStyle w:val="Tabletext"/>
              <w:rPr>
                <w:sz w:val="20"/>
                <w:u w:val="single"/>
              </w:rPr>
            </w:pPr>
            <w:r w:rsidRPr="000107FD">
              <w:rPr>
                <w:sz w:val="20"/>
                <w:u w:val="single"/>
              </w:rPr>
              <w:t>ITT (N=360)</w:t>
            </w:r>
          </w:p>
          <w:p w14:paraId="6A387B92" w14:textId="77777777" w:rsidR="00261F25" w:rsidRPr="000107FD" w:rsidRDefault="00261F25" w:rsidP="00F74876">
            <w:pPr>
              <w:pStyle w:val="Tabletext"/>
              <w:rPr>
                <w:sz w:val="20"/>
              </w:rPr>
            </w:pPr>
            <w:r w:rsidRPr="000107FD">
              <w:rPr>
                <w:sz w:val="20"/>
              </w:rPr>
              <w:t>All randomised patients</w:t>
            </w:r>
          </w:p>
          <w:p w14:paraId="13E97E09" w14:textId="77777777" w:rsidR="00261F25" w:rsidRPr="000107FD" w:rsidRDefault="00261F25" w:rsidP="00F74876">
            <w:pPr>
              <w:pStyle w:val="Tabletext"/>
              <w:rPr>
                <w:sz w:val="20"/>
                <w:u w:val="single"/>
              </w:rPr>
            </w:pPr>
            <w:r w:rsidRPr="000107FD">
              <w:rPr>
                <w:sz w:val="20"/>
                <w:u w:val="single"/>
              </w:rPr>
              <w:t>Treated (N=292)</w:t>
            </w:r>
          </w:p>
          <w:p w14:paraId="7F94EB9E" w14:textId="77777777" w:rsidR="00261F25" w:rsidRPr="000107FD" w:rsidRDefault="00261F25" w:rsidP="00F74876">
            <w:pPr>
              <w:pStyle w:val="Tabletext"/>
              <w:rPr>
                <w:sz w:val="20"/>
                <w:vertAlign w:val="superscript"/>
              </w:rPr>
            </w:pPr>
            <w:r w:rsidRPr="000107FD">
              <w:rPr>
                <w:sz w:val="20"/>
              </w:rPr>
              <w:t xml:space="preserve">All patients who received </w:t>
            </w:r>
            <w:proofErr w:type="spellStart"/>
            <w:r w:rsidRPr="000107FD">
              <w:rPr>
                <w:sz w:val="20"/>
              </w:rPr>
              <w:t>treatment</w:t>
            </w:r>
            <w:r w:rsidRPr="000107FD">
              <w:rPr>
                <w:sz w:val="20"/>
                <w:vertAlign w:val="superscript"/>
              </w:rPr>
              <w:t>c</w:t>
            </w:r>
            <w:proofErr w:type="spellEnd"/>
          </w:p>
        </w:tc>
      </w:tr>
      <w:tr w:rsidR="00261F25" w:rsidRPr="00AA54CA" w14:paraId="69FCAEEA" w14:textId="77777777" w:rsidTr="002846C4">
        <w:tc>
          <w:tcPr>
            <w:tcW w:w="1295" w:type="pct"/>
          </w:tcPr>
          <w:p w14:paraId="5C175BB0"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Safety population</w:t>
            </w:r>
          </w:p>
        </w:tc>
        <w:tc>
          <w:tcPr>
            <w:tcW w:w="1852" w:type="pct"/>
          </w:tcPr>
          <w:p w14:paraId="07255465" w14:textId="77777777" w:rsidR="00261F25" w:rsidRPr="000107FD" w:rsidRDefault="00261F25" w:rsidP="00F74876">
            <w:pPr>
              <w:pStyle w:val="Tabletext"/>
              <w:rPr>
                <w:sz w:val="20"/>
                <w:vertAlign w:val="superscript"/>
              </w:rPr>
            </w:pPr>
            <w:r w:rsidRPr="000107FD">
              <w:rPr>
                <w:sz w:val="20"/>
              </w:rPr>
              <w:t xml:space="preserve">Patients who underwent workup (TARE-Y) or received </w:t>
            </w:r>
            <w:proofErr w:type="spellStart"/>
            <w:r w:rsidRPr="000107FD">
              <w:rPr>
                <w:sz w:val="20"/>
              </w:rPr>
              <w:t>sorafenib</w:t>
            </w:r>
            <w:r w:rsidRPr="00364653">
              <w:rPr>
                <w:sz w:val="20"/>
                <w:vertAlign w:val="superscript"/>
              </w:rPr>
              <w:t>d</w:t>
            </w:r>
            <w:proofErr w:type="spellEnd"/>
            <w:r w:rsidRPr="00364653">
              <w:rPr>
                <w:sz w:val="20"/>
                <w:vertAlign w:val="superscript"/>
              </w:rPr>
              <w:t xml:space="preserve"> </w:t>
            </w:r>
            <w:r w:rsidRPr="000107FD">
              <w:rPr>
                <w:sz w:val="20"/>
              </w:rPr>
              <w:t>(N=442)</w:t>
            </w:r>
          </w:p>
        </w:tc>
        <w:tc>
          <w:tcPr>
            <w:tcW w:w="1853" w:type="pct"/>
          </w:tcPr>
          <w:p w14:paraId="3E2357EB" w14:textId="77777777" w:rsidR="00261F25" w:rsidRPr="000107FD" w:rsidRDefault="00261F25" w:rsidP="00F74876">
            <w:pPr>
              <w:pStyle w:val="Tabletext"/>
              <w:rPr>
                <w:sz w:val="20"/>
                <w:vertAlign w:val="superscript"/>
              </w:rPr>
            </w:pPr>
            <w:r w:rsidRPr="000107FD">
              <w:rPr>
                <w:sz w:val="20"/>
              </w:rPr>
              <w:t xml:space="preserve">All patients who received </w:t>
            </w:r>
            <w:proofErr w:type="spellStart"/>
            <w:r w:rsidRPr="000107FD">
              <w:rPr>
                <w:sz w:val="20"/>
              </w:rPr>
              <w:t>treatment</w:t>
            </w:r>
            <w:r w:rsidRPr="000107FD">
              <w:rPr>
                <w:sz w:val="20"/>
                <w:vertAlign w:val="superscript"/>
              </w:rPr>
              <w:t>c</w:t>
            </w:r>
            <w:proofErr w:type="spellEnd"/>
          </w:p>
          <w:p w14:paraId="6CF0B92C" w14:textId="77777777" w:rsidR="00261F25" w:rsidRPr="000107FD" w:rsidRDefault="00261F25" w:rsidP="00F74876">
            <w:pPr>
              <w:pStyle w:val="Tabletext"/>
              <w:rPr>
                <w:sz w:val="20"/>
              </w:rPr>
            </w:pPr>
            <w:r w:rsidRPr="000107FD">
              <w:rPr>
                <w:sz w:val="20"/>
              </w:rPr>
              <w:t>(N=292)</w:t>
            </w:r>
          </w:p>
        </w:tc>
      </w:tr>
      <w:tr w:rsidR="00261F25" w:rsidRPr="00AA54CA" w14:paraId="0EF46B9D" w14:textId="77777777" w:rsidTr="002846C4">
        <w:tc>
          <w:tcPr>
            <w:tcW w:w="1295" w:type="pct"/>
          </w:tcPr>
          <w:p w14:paraId="1DCF306F"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Exclusion criteria</w:t>
            </w:r>
          </w:p>
          <w:p w14:paraId="3081DB9B" w14:textId="77777777" w:rsidR="00261F25" w:rsidRPr="000107FD" w:rsidRDefault="00261F25" w:rsidP="00F74876">
            <w:pPr>
              <w:spacing w:before="40" w:after="40"/>
              <w:ind w:left="113"/>
              <w:rPr>
                <w:rFonts w:ascii="Arial Narrow" w:hAnsi="Arial Narrow"/>
                <w:sz w:val="20"/>
              </w:rPr>
            </w:pPr>
            <w:r w:rsidRPr="000107FD">
              <w:rPr>
                <w:rFonts w:ascii="Arial Narrow" w:hAnsi="Arial Narrow"/>
                <w:sz w:val="20"/>
              </w:rPr>
              <w:t xml:space="preserve">Serum </w:t>
            </w:r>
            <w:proofErr w:type="spellStart"/>
            <w:r w:rsidRPr="000107FD">
              <w:rPr>
                <w:rFonts w:ascii="Arial Narrow" w:hAnsi="Arial Narrow"/>
                <w:sz w:val="20"/>
              </w:rPr>
              <w:t>bilorubin</w:t>
            </w:r>
            <w:proofErr w:type="spellEnd"/>
          </w:p>
        </w:tc>
        <w:tc>
          <w:tcPr>
            <w:tcW w:w="1852" w:type="pct"/>
          </w:tcPr>
          <w:p w14:paraId="00D29584"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 xml:space="preserve">32 </w:t>
            </w:r>
            <w:proofErr w:type="spellStart"/>
            <w:r w:rsidRPr="000107FD">
              <w:rPr>
                <w:rFonts w:ascii="Arial Narrow" w:hAnsi="Arial Narrow"/>
                <w:sz w:val="20"/>
              </w:rPr>
              <w:t>mmol</w:t>
            </w:r>
            <w:proofErr w:type="spellEnd"/>
            <w:r w:rsidRPr="000107FD">
              <w:rPr>
                <w:rFonts w:ascii="Arial Narrow" w:hAnsi="Arial Narrow"/>
                <w:sz w:val="20"/>
              </w:rPr>
              <w:t>/L</w:t>
            </w:r>
          </w:p>
        </w:tc>
        <w:tc>
          <w:tcPr>
            <w:tcW w:w="1853" w:type="pct"/>
          </w:tcPr>
          <w:p w14:paraId="29BE9204"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 xml:space="preserve">≤50 </w:t>
            </w:r>
            <w:proofErr w:type="spellStart"/>
            <w:r w:rsidRPr="000107FD">
              <w:rPr>
                <w:rFonts w:ascii="Arial Narrow" w:hAnsi="Arial Narrow"/>
                <w:sz w:val="20"/>
              </w:rPr>
              <w:t>mmol</w:t>
            </w:r>
            <w:proofErr w:type="spellEnd"/>
            <w:r w:rsidRPr="000107FD">
              <w:rPr>
                <w:rFonts w:ascii="Arial Narrow" w:hAnsi="Arial Narrow"/>
                <w:sz w:val="20"/>
              </w:rPr>
              <w:t>/L</w:t>
            </w:r>
          </w:p>
        </w:tc>
      </w:tr>
      <w:tr w:rsidR="00261F25" w:rsidRPr="00AA54CA" w14:paraId="2934C1E8" w14:textId="77777777" w:rsidTr="002846C4">
        <w:tc>
          <w:tcPr>
            <w:tcW w:w="1295" w:type="pct"/>
          </w:tcPr>
          <w:p w14:paraId="51D121F1"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Age, years, mean (SD)</w:t>
            </w:r>
          </w:p>
        </w:tc>
        <w:tc>
          <w:tcPr>
            <w:tcW w:w="1852" w:type="pct"/>
          </w:tcPr>
          <w:p w14:paraId="5F0FE9B6" w14:textId="77777777" w:rsidR="00261F25" w:rsidRPr="000107FD" w:rsidRDefault="00261F25" w:rsidP="00F74876">
            <w:pPr>
              <w:spacing w:before="40" w:after="40"/>
              <w:rPr>
                <w:rFonts w:ascii="Arial Narrow" w:hAnsi="Arial Narrow"/>
                <w:sz w:val="20"/>
                <w:vertAlign w:val="superscript"/>
              </w:rPr>
            </w:pPr>
            <w:r w:rsidRPr="000107FD">
              <w:rPr>
                <w:rFonts w:ascii="Arial Narrow" w:hAnsi="Arial Narrow"/>
                <w:sz w:val="20"/>
              </w:rPr>
              <w:t>TARE-Y arm: 66 (60-72)</w:t>
            </w:r>
            <w:r w:rsidRPr="000107FD">
              <w:rPr>
                <w:rFonts w:ascii="Arial Narrow" w:hAnsi="Arial Narrow"/>
                <w:sz w:val="20"/>
                <w:vertAlign w:val="superscript"/>
              </w:rPr>
              <w:t>a</w:t>
            </w:r>
          </w:p>
        </w:tc>
        <w:tc>
          <w:tcPr>
            <w:tcW w:w="1853" w:type="pct"/>
          </w:tcPr>
          <w:p w14:paraId="0085D478"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TARE-Y arm: 60 (12.9)</w:t>
            </w:r>
          </w:p>
        </w:tc>
      </w:tr>
      <w:tr w:rsidR="00261F25" w:rsidRPr="00AA54CA" w14:paraId="53473F9B" w14:textId="77777777" w:rsidTr="002846C4">
        <w:tc>
          <w:tcPr>
            <w:tcW w:w="1295" w:type="pct"/>
          </w:tcPr>
          <w:p w14:paraId="67FFB19A"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Advanced HCC (BCLC stage C)</w:t>
            </w:r>
          </w:p>
        </w:tc>
        <w:tc>
          <w:tcPr>
            <w:tcW w:w="1852" w:type="pct"/>
          </w:tcPr>
          <w:p w14:paraId="574D61DC"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68%</w:t>
            </w:r>
          </w:p>
        </w:tc>
        <w:tc>
          <w:tcPr>
            <w:tcW w:w="1853" w:type="pct"/>
          </w:tcPr>
          <w:p w14:paraId="4EB00F49"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47%</w:t>
            </w:r>
          </w:p>
        </w:tc>
      </w:tr>
      <w:tr w:rsidR="00261F25" w:rsidRPr="00AA54CA" w14:paraId="399317A1" w14:textId="77777777" w:rsidTr="002846C4">
        <w:tc>
          <w:tcPr>
            <w:tcW w:w="1295" w:type="pct"/>
          </w:tcPr>
          <w:p w14:paraId="6F600036"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Aetiology</w:t>
            </w:r>
          </w:p>
          <w:p w14:paraId="50F50ED4" w14:textId="77777777" w:rsidR="00261F25" w:rsidRPr="000107FD" w:rsidRDefault="00261F25" w:rsidP="00F74876">
            <w:pPr>
              <w:spacing w:before="40" w:after="40"/>
              <w:ind w:left="113"/>
              <w:rPr>
                <w:rFonts w:ascii="Arial Narrow" w:hAnsi="Arial Narrow"/>
                <w:sz w:val="20"/>
              </w:rPr>
            </w:pPr>
            <w:r w:rsidRPr="000107FD">
              <w:rPr>
                <w:rFonts w:ascii="Arial Narrow" w:hAnsi="Arial Narrow"/>
                <w:sz w:val="20"/>
              </w:rPr>
              <w:t>Alcohol</w:t>
            </w:r>
          </w:p>
          <w:p w14:paraId="6446B48E" w14:textId="77777777" w:rsidR="00261F25" w:rsidRPr="000107FD" w:rsidRDefault="00261F25" w:rsidP="00F74876">
            <w:pPr>
              <w:spacing w:before="40" w:after="40"/>
              <w:ind w:left="113"/>
              <w:rPr>
                <w:rFonts w:ascii="Arial Narrow" w:hAnsi="Arial Narrow"/>
                <w:sz w:val="20"/>
              </w:rPr>
            </w:pPr>
            <w:r w:rsidRPr="000107FD">
              <w:rPr>
                <w:rFonts w:ascii="Arial Narrow" w:hAnsi="Arial Narrow"/>
                <w:sz w:val="20"/>
              </w:rPr>
              <w:t>Hep B</w:t>
            </w:r>
          </w:p>
          <w:p w14:paraId="078987C0" w14:textId="77777777" w:rsidR="00261F25" w:rsidRPr="000107FD" w:rsidRDefault="00261F25" w:rsidP="00F74876">
            <w:pPr>
              <w:spacing w:before="40" w:after="40"/>
              <w:ind w:left="113"/>
              <w:rPr>
                <w:rFonts w:ascii="Arial Narrow" w:hAnsi="Arial Narrow"/>
                <w:sz w:val="20"/>
              </w:rPr>
            </w:pPr>
            <w:r w:rsidRPr="000107FD">
              <w:rPr>
                <w:rFonts w:ascii="Arial Narrow" w:hAnsi="Arial Narrow"/>
                <w:sz w:val="20"/>
              </w:rPr>
              <w:t>Hep C</w:t>
            </w:r>
          </w:p>
          <w:p w14:paraId="42299443" w14:textId="77777777" w:rsidR="00261F25" w:rsidRPr="000107FD" w:rsidRDefault="00261F25" w:rsidP="00F74876">
            <w:pPr>
              <w:spacing w:before="40" w:after="40"/>
              <w:ind w:left="113"/>
              <w:rPr>
                <w:rFonts w:ascii="Arial Narrow" w:hAnsi="Arial Narrow"/>
                <w:sz w:val="20"/>
              </w:rPr>
            </w:pPr>
            <w:proofErr w:type="spellStart"/>
            <w:r w:rsidRPr="000107FD">
              <w:rPr>
                <w:rFonts w:ascii="Arial Narrow" w:hAnsi="Arial Narrow"/>
                <w:sz w:val="20"/>
              </w:rPr>
              <w:t>Steatohepatitis</w:t>
            </w:r>
            <w:proofErr w:type="spellEnd"/>
          </w:p>
        </w:tc>
        <w:tc>
          <w:tcPr>
            <w:tcW w:w="1852" w:type="pct"/>
          </w:tcPr>
          <w:p w14:paraId="50299B11" w14:textId="77777777" w:rsidR="00261F25" w:rsidRPr="000107FD" w:rsidRDefault="00261F25" w:rsidP="00F74876">
            <w:pPr>
              <w:spacing w:before="40" w:after="40"/>
              <w:rPr>
                <w:rFonts w:ascii="Arial Narrow" w:hAnsi="Arial Narrow"/>
                <w:sz w:val="20"/>
              </w:rPr>
            </w:pPr>
          </w:p>
          <w:p w14:paraId="672EB503"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59%</w:t>
            </w:r>
          </w:p>
          <w:p w14:paraId="05E32C21"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6%</w:t>
            </w:r>
          </w:p>
          <w:p w14:paraId="7720A103"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23%</w:t>
            </w:r>
          </w:p>
          <w:p w14:paraId="39CDE4AE"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9%</w:t>
            </w:r>
          </w:p>
        </w:tc>
        <w:tc>
          <w:tcPr>
            <w:tcW w:w="1853" w:type="pct"/>
          </w:tcPr>
          <w:p w14:paraId="2ACAB2F7" w14:textId="77777777" w:rsidR="00261F25" w:rsidRPr="000107FD" w:rsidRDefault="00261F25" w:rsidP="00F74876">
            <w:pPr>
              <w:spacing w:before="40" w:after="40"/>
              <w:rPr>
                <w:rFonts w:ascii="Arial Narrow" w:hAnsi="Arial Narrow"/>
                <w:sz w:val="20"/>
              </w:rPr>
            </w:pPr>
          </w:p>
          <w:p w14:paraId="3D4079B5"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NR</w:t>
            </w:r>
          </w:p>
          <w:p w14:paraId="6D89F5A2"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55%</w:t>
            </w:r>
          </w:p>
          <w:p w14:paraId="60A142BB"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13%</w:t>
            </w:r>
          </w:p>
          <w:p w14:paraId="2589FBF1"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NR</w:t>
            </w:r>
          </w:p>
        </w:tc>
      </w:tr>
      <w:tr w:rsidR="00261F25" w:rsidRPr="00AA54CA" w14:paraId="2A5ABFBF" w14:textId="77777777" w:rsidTr="002846C4">
        <w:tc>
          <w:tcPr>
            <w:tcW w:w="1295" w:type="pct"/>
          </w:tcPr>
          <w:p w14:paraId="5AFE557A"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ECOG</w:t>
            </w:r>
          </w:p>
          <w:p w14:paraId="6A2208ED" w14:textId="77777777" w:rsidR="00261F25" w:rsidRPr="000107FD" w:rsidRDefault="00261F25" w:rsidP="00F74876">
            <w:pPr>
              <w:spacing w:before="40" w:after="40"/>
              <w:ind w:left="113"/>
              <w:rPr>
                <w:rFonts w:ascii="Arial Narrow" w:hAnsi="Arial Narrow"/>
                <w:sz w:val="20"/>
              </w:rPr>
            </w:pPr>
            <w:r w:rsidRPr="000107FD">
              <w:rPr>
                <w:rFonts w:ascii="Arial Narrow" w:hAnsi="Arial Narrow"/>
                <w:sz w:val="20"/>
              </w:rPr>
              <w:t>0</w:t>
            </w:r>
          </w:p>
          <w:p w14:paraId="36BD639C" w14:textId="77777777" w:rsidR="00261F25" w:rsidRPr="000107FD" w:rsidRDefault="00261F25" w:rsidP="00F74876">
            <w:pPr>
              <w:spacing w:before="40" w:after="40"/>
              <w:ind w:left="113"/>
              <w:rPr>
                <w:rFonts w:ascii="Arial Narrow" w:hAnsi="Arial Narrow"/>
                <w:sz w:val="20"/>
              </w:rPr>
            </w:pPr>
            <w:r w:rsidRPr="000107FD">
              <w:rPr>
                <w:rFonts w:ascii="Arial Narrow" w:hAnsi="Arial Narrow"/>
                <w:sz w:val="20"/>
              </w:rPr>
              <w:t>1</w:t>
            </w:r>
          </w:p>
        </w:tc>
        <w:tc>
          <w:tcPr>
            <w:tcW w:w="1852" w:type="pct"/>
          </w:tcPr>
          <w:p w14:paraId="1AA326A6" w14:textId="77777777" w:rsidR="00261F25" w:rsidRPr="000107FD" w:rsidRDefault="00261F25" w:rsidP="00F74876">
            <w:pPr>
              <w:spacing w:before="40" w:after="40"/>
              <w:rPr>
                <w:rFonts w:ascii="Arial Narrow" w:hAnsi="Arial Narrow"/>
                <w:sz w:val="20"/>
              </w:rPr>
            </w:pPr>
          </w:p>
          <w:p w14:paraId="000E7305"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63%</w:t>
            </w:r>
          </w:p>
          <w:p w14:paraId="455F2995"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38%</w:t>
            </w:r>
          </w:p>
        </w:tc>
        <w:tc>
          <w:tcPr>
            <w:tcW w:w="1853" w:type="pct"/>
          </w:tcPr>
          <w:p w14:paraId="6ECB1DC2" w14:textId="77777777" w:rsidR="00261F25" w:rsidRPr="000107FD" w:rsidRDefault="00261F25" w:rsidP="00F74876">
            <w:pPr>
              <w:spacing w:before="40" w:after="40"/>
              <w:rPr>
                <w:rFonts w:ascii="Arial Narrow" w:hAnsi="Arial Narrow"/>
                <w:sz w:val="20"/>
              </w:rPr>
            </w:pPr>
          </w:p>
          <w:p w14:paraId="014180C9"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77%</w:t>
            </w:r>
          </w:p>
          <w:p w14:paraId="48F6424F"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23%</w:t>
            </w:r>
          </w:p>
        </w:tc>
      </w:tr>
      <w:tr w:rsidR="00261F25" w:rsidRPr="00AA54CA" w14:paraId="3D5CA478" w14:textId="77777777" w:rsidTr="002846C4">
        <w:tc>
          <w:tcPr>
            <w:tcW w:w="1295" w:type="pct"/>
          </w:tcPr>
          <w:p w14:paraId="767AC8AB"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Previous treatment</w:t>
            </w:r>
          </w:p>
          <w:p w14:paraId="5F71307F" w14:textId="77777777" w:rsidR="00261F25" w:rsidRPr="000107FD" w:rsidRDefault="00261F25" w:rsidP="00F74876">
            <w:pPr>
              <w:spacing w:before="40" w:after="40"/>
              <w:ind w:left="113"/>
              <w:rPr>
                <w:rFonts w:ascii="Arial Narrow" w:hAnsi="Arial Narrow"/>
                <w:sz w:val="20"/>
              </w:rPr>
            </w:pPr>
            <w:r w:rsidRPr="000107FD">
              <w:rPr>
                <w:rFonts w:ascii="Arial Narrow" w:hAnsi="Arial Narrow"/>
                <w:sz w:val="20"/>
              </w:rPr>
              <w:t>TACE</w:t>
            </w:r>
          </w:p>
        </w:tc>
        <w:tc>
          <w:tcPr>
            <w:tcW w:w="1852" w:type="pct"/>
          </w:tcPr>
          <w:p w14:paraId="145E5307" w14:textId="77777777" w:rsidR="00261F25" w:rsidRPr="000107FD" w:rsidRDefault="00261F25" w:rsidP="00F74876">
            <w:pPr>
              <w:spacing w:before="40" w:after="40"/>
              <w:rPr>
                <w:rFonts w:ascii="Arial Narrow" w:hAnsi="Arial Narrow"/>
                <w:sz w:val="20"/>
              </w:rPr>
            </w:pPr>
          </w:p>
          <w:p w14:paraId="01A3F3B0"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44%</w:t>
            </w:r>
          </w:p>
        </w:tc>
        <w:tc>
          <w:tcPr>
            <w:tcW w:w="1853" w:type="pct"/>
          </w:tcPr>
          <w:p w14:paraId="09C846A3" w14:textId="77777777" w:rsidR="00261F25" w:rsidRPr="000107FD" w:rsidRDefault="00261F25" w:rsidP="00F74876">
            <w:pPr>
              <w:spacing w:before="40" w:after="40"/>
              <w:rPr>
                <w:rFonts w:ascii="Arial Narrow" w:hAnsi="Arial Narrow"/>
                <w:sz w:val="20"/>
              </w:rPr>
            </w:pPr>
          </w:p>
          <w:p w14:paraId="634A8852" w14:textId="77777777" w:rsidR="00261F25" w:rsidRPr="000107FD" w:rsidRDefault="00261F25" w:rsidP="00F74876">
            <w:pPr>
              <w:spacing w:before="40" w:after="40"/>
              <w:rPr>
                <w:rFonts w:ascii="Arial Narrow" w:hAnsi="Arial Narrow"/>
                <w:sz w:val="20"/>
              </w:rPr>
            </w:pPr>
            <w:r w:rsidRPr="000107FD">
              <w:rPr>
                <w:rFonts w:ascii="Arial Narrow" w:hAnsi="Arial Narrow"/>
                <w:sz w:val="20"/>
              </w:rPr>
              <w:t>NR</w:t>
            </w:r>
          </w:p>
        </w:tc>
      </w:tr>
    </w:tbl>
    <w:p w14:paraId="261E5654" w14:textId="77777777" w:rsidR="00261F25" w:rsidRDefault="00261F25" w:rsidP="00261F25">
      <w:pPr>
        <w:pStyle w:val="Tabletext"/>
        <w:rPr>
          <w:sz w:val="18"/>
        </w:rPr>
      </w:pPr>
      <w:r>
        <w:rPr>
          <w:sz w:val="18"/>
        </w:rPr>
        <w:t>Source: Table 8, pp17-18 of the Critique</w:t>
      </w:r>
    </w:p>
    <w:p w14:paraId="74E299F9" w14:textId="77777777" w:rsidR="00261F25" w:rsidRDefault="00261F25" w:rsidP="00261F25">
      <w:pPr>
        <w:pStyle w:val="TableNotes18"/>
        <w:spacing w:after="0"/>
        <w:rPr>
          <w:sz w:val="18"/>
        </w:rPr>
      </w:pPr>
      <w:r w:rsidRPr="00D84D93">
        <w:rPr>
          <w:sz w:val="18"/>
        </w:rPr>
        <w:t>Abbreviations: BCLC=Barcelona Clinic Liver Cancer; HCC=hepatocellular carcinoma; ITT=intention-to-treat; NR=not reported; PP=per-protocol; RCT=randomised controlled trial;</w:t>
      </w:r>
      <w:r>
        <w:rPr>
          <w:sz w:val="18"/>
        </w:rPr>
        <w:t xml:space="preserve"> SD = standard deviation; </w:t>
      </w:r>
      <w:proofErr w:type="spellStart"/>
      <w:r>
        <w:rPr>
          <w:sz w:val="18"/>
        </w:rPr>
        <w:t>SIRveNIB</w:t>
      </w:r>
      <w:proofErr w:type="spellEnd"/>
      <w:r>
        <w:rPr>
          <w:sz w:val="18"/>
        </w:rPr>
        <w:t xml:space="preserve"> = </w:t>
      </w:r>
      <w:r w:rsidRPr="00D153D6">
        <w:rPr>
          <w:sz w:val="18"/>
        </w:rPr>
        <w:t>Selective Internal Radiation Therapy Versus Sorafenib</w:t>
      </w:r>
      <w:r>
        <w:rPr>
          <w:sz w:val="18"/>
        </w:rPr>
        <w:t>;</w:t>
      </w:r>
      <w:r w:rsidRPr="00D153D6">
        <w:rPr>
          <w:sz w:val="20"/>
        </w:rPr>
        <w:t xml:space="preserve"> </w:t>
      </w:r>
      <w:r w:rsidRPr="00D84D93">
        <w:rPr>
          <w:sz w:val="18"/>
        </w:rPr>
        <w:t>TACE=</w:t>
      </w:r>
      <w:r>
        <w:rPr>
          <w:sz w:val="18"/>
        </w:rPr>
        <w:t xml:space="preserve"> </w:t>
      </w:r>
      <w:proofErr w:type="spellStart"/>
      <w:r w:rsidRPr="00D84D93">
        <w:rPr>
          <w:sz w:val="18"/>
        </w:rPr>
        <w:t>transarterial</w:t>
      </w:r>
      <w:proofErr w:type="spellEnd"/>
      <w:r w:rsidRPr="00D84D93">
        <w:rPr>
          <w:sz w:val="18"/>
        </w:rPr>
        <w:t xml:space="preserve"> </w:t>
      </w:r>
      <w:proofErr w:type="spellStart"/>
      <w:r w:rsidRPr="00D84D93">
        <w:rPr>
          <w:sz w:val="18"/>
        </w:rPr>
        <w:t>chemoembolisation</w:t>
      </w:r>
      <w:proofErr w:type="spellEnd"/>
      <w:r w:rsidRPr="00D84D93">
        <w:rPr>
          <w:sz w:val="18"/>
        </w:rPr>
        <w:t>; TARE-Y=</w:t>
      </w:r>
      <w:r>
        <w:rPr>
          <w:sz w:val="18"/>
        </w:rPr>
        <w:t xml:space="preserve"> </w:t>
      </w:r>
      <w:proofErr w:type="spellStart"/>
      <w:r w:rsidRPr="00D84D93">
        <w:rPr>
          <w:sz w:val="18"/>
        </w:rPr>
        <w:t>transarterial</w:t>
      </w:r>
      <w:proofErr w:type="spellEnd"/>
      <w:r w:rsidRPr="00D84D93">
        <w:rPr>
          <w:sz w:val="18"/>
        </w:rPr>
        <w:t xml:space="preserve"> </w:t>
      </w:r>
      <w:proofErr w:type="spellStart"/>
      <w:r w:rsidRPr="00D84D93">
        <w:rPr>
          <w:sz w:val="18"/>
        </w:rPr>
        <w:t>radioembolisation</w:t>
      </w:r>
      <w:proofErr w:type="spellEnd"/>
      <w:r w:rsidRPr="00D84D93">
        <w:rPr>
          <w:sz w:val="18"/>
        </w:rPr>
        <w:t xml:space="preserve"> using yttrium-90.</w:t>
      </w:r>
    </w:p>
    <w:p w14:paraId="3439CDE8" w14:textId="77777777" w:rsidR="00261F25" w:rsidRPr="007A0E4F" w:rsidRDefault="00261F25" w:rsidP="00261F25">
      <w:pPr>
        <w:pStyle w:val="TableNotes18"/>
        <w:spacing w:after="0"/>
        <w:rPr>
          <w:sz w:val="18"/>
          <w:vertAlign w:val="superscript"/>
        </w:rPr>
      </w:pPr>
      <w:proofErr w:type="spellStart"/>
      <w:proofErr w:type="gramStart"/>
      <w:r>
        <w:rPr>
          <w:sz w:val="18"/>
          <w:vertAlign w:val="superscript"/>
        </w:rPr>
        <w:t>a</w:t>
      </w:r>
      <w:proofErr w:type="spellEnd"/>
      <w:r>
        <w:rPr>
          <w:sz w:val="18"/>
          <w:vertAlign w:val="superscript"/>
        </w:rPr>
        <w:t xml:space="preserve">  </w:t>
      </w:r>
      <w:r w:rsidRPr="007A0E4F">
        <w:rPr>
          <w:sz w:val="18"/>
        </w:rPr>
        <w:t>Eight</w:t>
      </w:r>
      <w:proofErr w:type="gramEnd"/>
      <w:r w:rsidRPr="007A0E4F">
        <w:rPr>
          <w:sz w:val="18"/>
        </w:rPr>
        <w:t xml:space="preserve"> randomised patients excluded from intention-to-treat population (2 in TARE-Y group; 6 in sorafenib group).</w:t>
      </w:r>
    </w:p>
    <w:p w14:paraId="289D1F37" w14:textId="77777777" w:rsidR="00261F25" w:rsidRDefault="00261F25" w:rsidP="00261F25">
      <w:pPr>
        <w:pStyle w:val="Tabletext"/>
        <w:spacing w:before="0" w:after="0"/>
        <w:rPr>
          <w:sz w:val="18"/>
        </w:rPr>
      </w:pPr>
      <w:proofErr w:type="gramStart"/>
      <w:r>
        <w:rPr>
          <w:sz w:val="18"/>
          <w:vertAlign w:val="superscript"/>
        </w:rPr>
        <w:t>b</w:t>
      </w:r>
      <w:proofErr w:type="gramEnd"/>
      <w:r w:rsidRPr="007A0E4F">
        <w:rPr>
          <w:sz w:val="18"/>
        </w:rPr>
        <w:t xml:space="preserve"> 79 randomised patients excluded from per-protocol population (63 in TARE-Y group; 16 in sorafenib group).</w:t>
      </w:r>
    </w:p>
    <w:p w14:paraId="2EC343F8" w14:textId="77777777" w:rsidR="00261F25" w:rsidRPr="00890480" w:rsidRDefault="00261F25" w:rsidP="00261F25">
      <w:pPr>
        <w:pStyle w:val="Tabletext"/>
        <w:spacing w:before="0" w:after="0"/>
        <w:rPr>
          <w:sz w:val="18"/>
        </w:rPr>
      </w:pPr>
      <w:proofErr w:type="gramStart"/>
      <w:r>
        <w:rPr>
          <w:sz w:val="18"/>
          <w:vertAlign w:val="superscript"/>
        </w:rPr>
        <w:t>c</w:t>
      </w:r>
      <w:proofErr w:type="gramEnd"/>
      <w:r>
        <w:rPr>
          <w:sz w:val="18"/>
          <w:vertAlign w:val="superscript"/>
        </w:rPr>
        <w:t xml:space="preserve"> </w:t>
      </w:r>
      <w:r w:rsidRPr="00890480">
        <w:rPr>
          <w:sz w:val="18"/>
        </w:rPr>
        <w:t>68 randomised patients excluded from treated population (52 in TARE-Y group; 16 in sorafenib group).</w:t>
      </w:r>
    </w:p>
    <w:p w14:paraId="14134369" w14:textId="77777777" w:rsidR="00261F25" w:rsidRPr="00890480" w:rsidRDefault="00261F25" w:rsidP="00261F25">
      <w:pPr>
        <w:pStyle w:val="Tabletext"/>
        <w:spacing w:before="0" w:after="240"/>
        <w:rPr>
          <w:sz w:val="18"/>
        </w:rPr>
      </w:pPr>
      <w:proofErr w:type="gramStart"/>
      <w:r w:rsidRPr="00890480">
        <w:rPr>
          <w:sz w:val="18"/>
          <w:vertAlign w:val="superscript"/>
        </w:rPr>
        <w:t>d</w:t>
      </w:r>
      <w:proofErr w:type="gramEnd"/>
      <w:r w:rsidRPr="00890480">
        <w:rPr>
          <w:sz w:val="18"/>
          <w:vertAlign w:val="superscript"/>
        </w:rPr>
        <w:t xml:space="preserve"> </w:t>
      </w:r>
      <w:r w:rsidRPr="00890480">
        <w:rPr>
          <w:sz w:val="18"/>
        </w:rPr>
        <w:t>17 randomised patients excluded from safety population (11 in TARE-Y group; 6 in sorafenib group).</w:t>
      </w:r>
    </w:p>
    <w:p w14:paraId="241C83DC" w14:textId="49909A9F" w:rsidR="00261F25" w:rsidRDefault="00261F25" w:rsidP="00195B7E">
      <w:pPr>
        <w:spacing w:after="240"/>
      </w:pPr>
      <w:r>
        <w:t xml:space="preserve">One major difference in the conduct of the two trials was the number of treatments of TARE-Y allowed. In the SARAH trial, patients could have more than one treatment with TARE-Y </w:t>
      </w:r>
      <w:r w:rsidRPr="002B0CE6">
        <w:t>(63% of patients received one TARE-Y treatment, 31% received two treatments and 6% received three treatments</w:t>
      </w:r>
      <w:r>
        <w:t xml:space="preserve">) compared with in the </w:t>
      </w:r>
      <w:proofErr w:type="spellStart"/>
      <w:r>
        <w:t>SIRveNIB</w:t>
      </w:r>
      <w:proofErr w:type="spellEnd"/>
      <w:r>
        <w:t xml:space="preserve"> trial where patients were allowed only one treatment with TARE-Y.</w:t>
      </w:r>
    </w:p>
    <w:p w14:paraId="69CF8AF4" w14:textId="764358D2" w:rsidR="00261F25" w:rsidRDefault="00261F25" w:rsidP="00195B7E">
      <w:pPr>
        <w:spacing w:after="240"/>
      </w:pPr>
      <w:r>
        <w:t xml:space="preserve">Intention-to-treat (ITT) analyses and per protocol/treated analysis for overall survival </w:t>
      </w:r>
      <w:proofErr w:type="gramStart"/>
      <w:r>
        <w:t>were presented</w:t>
      </w:r>
      <w:proofErr w:type="gramEnd"/>
      <w:r>
        <w:t xml:space="preserve"> for both trials (Table 2). However, the submission argued that using the ITT analysis to determine the non-inferiority of TARE-Y over sorafenib is problematic due to the large proportion of patients randomised to TARE-Y who subsequently did not receive treatment, largely due to the results of a pre-treatment lung shunting study. For the ITT analyses in both the SARAH and </w:t>
      </w:r>
      <w:proofErr w:type="spellStart"/>
      <w:r>
        <w:t>SIRveNIB</w:t>
      </w:r>
      <w:proofErr w:type="spellEnd"/>
      <w:r>
        <w:t xml:space="preserve"> studies, there was no significant difference in overall survival. However, in the subgroup population with advanced HCC, there was a statistically significant overall survival benefit for TARE-Y over sorafenib for in </w:t>
      </w:r>
      <w:proofErr w:type="spellStart"/>
      <w:r>
        <w:t>SIRveNIB</w:t>
      </w:r>
      <w:proofErr w:type="spellEnd"/>
      <w:r>
        <w:t xml:space="preserve"> trial (hazard ratio (HR) 0.67; 95% CI 0.4, 1.0; P=0.0475). The submission stated this supports a finding of non-inferiority of TARE-Y over sorafenib.</w:t>
      </w:r>
    </w:p>
    <w:p w14:paraId="165348F6" w14:textId="02211EA0" w:rsidR="00261F25" w:rsidRDefault="00261F25" w:rsidP="00195B7E">
      <w:pPr>
        <w:autoSpaceDE w:val="0"/>
        <w:autoSpaceDN w:val="0"/>
        <w:adjustRightInd w:val="0"/>
        <w:spacing w:after="240"/>
      </w:pPr>
      <w:r>
        <w:lastRenderedPageBreak/>
        <w:t xml:space="preserve">However, the Critique noted that the </w:t>
      </w:r>
      <w:r w:rsidRPr="00AE4FC3">
        <w:t xml:space="preserve">per-protocol analysis </w:t>
      </w:r>
      <w:proofErr w:type="gramStart"/>
      <w:r w:rsidRPr="00AE4FC3">
        <w:t>can</w:t>
      </w:r>
      <w:proofErr w:type="gramEnd"/>
      <w:r w:rsidRPr="00AE4FC3">
        <w:t xml:space="preserve"> be subject to significant bias</w:t>
      </w:r>
      <w:r>
        <w:t xml:space="preserve"> (in either direction)</w:t>
      </w:r>
      <w:r w:rsidRPr="00AE4FC3">
        <w:t xml:space="preserve">. </w:t>
      </w:r>
      <w:r>
        <w:t xml:space="preserve">The Critique noted that </w:t>
      </w:r>
      <w:r w:rsidRPr="00AE4FC3">
        <w:t xml:space="preserve">TARE-Y achieved a marginally statistically significant result in the per-protocol analysis that </w:t>
      </w:r>
      <w:proofErr w:type="gramStart"/>
      <w:r w:rsidRPr="00AE4FC3">
        <w:t>was not confirmed</w:t>
      </w:r>
      <w:proofErr w:type="gramEnd"/>
      <w:r w:rsidRPr="00AE4FC3">
        <w:t xml:space="preserve"> in the ITT analysis, and in one subgroup only. The sample size of this subgroup was small (n=123) and the analysis was not adjusted for the multiplicity correction. The authors of the </w:t>
      </w:r>
      <w:proofErr w:type="spellStart"/>
      <w:r w:rsidRPr="00AE4FC3">
        <w:t>SIRveNIB</w:t>
      </w:r>
      <w:proofErr w:type="spellEnd"/>
      <w:r w:rsidRPr="00AE4FC3">
        <w:t xml:space="preserve"> study</w:t>
      </w:r>
      <w:r>
        <w:t xml:space="preserve"> (Chow et al. 2018)</w:t>
      </w:r>
      <w:r w:rsidRPr="00AE4FC3">
        <w:t xml:space="preserve"> </w:t>
      </w:r>
      <w:proofErr w:type="gramStart"/>
      <w:r w:rsidRPr="00AE4FC3">
        <w:t>themselves</w:t>
      </w:r>
      <w:proofErr w:type="gramEnd"/>
      <w:r w:rsidRPr="00AE4FC3">
        <w:t xml:space="preserve"> adv</w:t>
      </w:r>
      <w:r w:rsidR="00E26581">
        <w:t>is</w:t>
      </w:r>
      <w:r>
        <w:t>e</w:t>
      </w:r>
      <w:r w:rsidRPr="00AE4FC3">
        <w:t xml:space="preserve"> that this finding should be considered exploratory, requiring further confirmation in a sufficiently </w:t>
      </w:r>
      <w:r>
        <w:t>powered study [Critique 1493 p20].</w:t>
      </w:r>
    </w:p>
    <w:p w14:paraId="1422B40D" w14:textId="77777777" w:rsidR="00F37B9C" w:rsidRDefault="00F37B9C" w:rsidP="00195B7E">
      <w:pPr>
        <w:tabs>
          <w:tab w:val="left" w:pos="720"/>
          <w:tab w:val="left" w:pos="1140"/>
        </w:tabs>
        <w:spacing w:after="120"/>
        <w:rPr>
          <w:b/>
          <w:szCs w:val="24"/>
        </w:rPr>
      </w:pPr>
      <w:r w:rsidRPr="00F37B9C">
        <w:rPr>
          <w:b/>
          <w:szCs w:val="24"/>
        </w:rPr>
        <w:t>Clinical Claim</w:t>
      </w:r>
    </w:p>
    <w:p w14:paraId="1262106C" w14:textId="77777777" w:rsidR="00560653" w:rsidRPr="003A6D6E" w:rsidRDefault="00064371" w:rsidP="003A6D6E">
      <w:r>
        <w:t>This was unchanged; r</w:t>
      </w:r>
      <w:r w:rsidR="00560653">
        <w:t xml:space="preserve">efer to PSD, Application No.1493 2018. </w:t>
      </w:r>
    </w:p>
    <w:p w14:paraId="571CAD77" w14:textId="77777777" w:rsidR="00BC1364" w:rsidRPr="00F715D1" w:rsidRDefault="00BC1364" w:rsidP="00F715D1">
      <w:pPr>
        <w:pStyle w:val="Heading1"/>
      </w:pPr>
      <w:r w:rsidRPr="00F715D1">
        <w:t>Economic evaluation</w:t>
      </w:r>
    </w:p>
    <w:p w14:paraId="27D6476D" w14:textId="1C67BE25" w:rsidR="00064371" w:rsidRDefault="00064371" w:rsidP="00195B7E">
      <w:pPr>
        <w:spacing w:after="240"/>
      </w:pPr>
      <w:r>
        <w:t xml:space="preserve">The </w:t>
      </w:r>
      <w:r w:rsidR="00CD34C1">
        <w:t xml:space="preserve">SBAs </w:t>
      </w:r>
      <w:r>
        <w:t xml:space="preserve">revised economic </w:t>
      </w:r>
      <w:r w:rsidR="00895500">
        <w:t>evaluation was</w:t>
      </w:r>
      <w:r w:rsidR="00CD34C1">
        <w:t xml:space="preserve"> a cost-minimisation analysis</w:t>
      </w:r>
      <w:r w:rsidR="00895500">
        <w:t xml:space="preserve"> comparing TARE-Y and sorafenib in patients with advanced HCC (</w:t>
      </w:r>
      <w:r w:rsidR="00FD5A1B">
        <w:t>Table 4</w:t>
      </w:r>
      <w:r w:rsidR="00895500">
        <w:t xml:space="preserve">; </w:t>
      </w:r>
      <w:r>
        <w:t>as presented by the Critique).</w:t>
      </w:r>
    </w:p>
    <w:p w14:paraId="627EFAF6" w14:textId="77777777" w:rsidR="00064371" w:rsidRPr="00B839DF" w:rsidRDefault="00064371" w:rsidP="00152093">
      <w:pPr>
        <w:pStyle w:val="Caption"/>
      </w:pPr>
      <w:bookmarkStart w:id="8" w:name="_Ref404370956"/>
      <w:bookmarkStart w:id="9" w:name="_Ref394419656"/>
      <w:bookmarkStart w:id="10" w:name="_Toc399251123"/>
      <w:bookmarkStart w:id="11" w:name="_Toc2869550"/>
      <w:r w:rsidRPr="00B839DF">
        <w:t xml:space="preserve">Table </w:t>
      </w:r>
      <w:bookmarkEnd w:id="8"/>
      <w:r w:rsidR="00FD5A1B">
        <w:rPr>
          <w:noProof/>
        </w:rPr>
        <w:t>4</w:t>
      </w:r>
      <w:r w:rsidRPr="00B839DF">
        <w:tab/>
      </w:r>
      <w:r w:rsidRPr="00B839DF">
        <w:tab/>
        <w:t>Summary of the economic evaluation</w:t>
      </w:r>
      <w:bookmarkEnd w:id="9"/>
      <w:bookmarkEnd w:id="10"/>
      <w:r w:rsidRPr="00B839DF">
        <w:t>: CMA</w:t>
      </w:r>
      <w:bookmarkEnd w:id="11"/>
      <w:r w:rsidRPr="00B839DF">
        <w:t xml:space="preserve"> </w:t>
      </w:r>
    </w:p>
    <w:tbl>
      <w:tblPr>
        <w:tblStyle w:val="TableGrid"/>
        <w:tblW w:w="0" w:type="auto"/>
        <w:tblLook w:val="01E0" w:firstRow="1" w:lastRow="1" w:firstColumn="1" w:lastColumn="1" w:noHBand="0" w:noVBand="0"/>
        <w:tblCaption w:val="Summary of the economic evaluation"/>
        <w:tblDescription w:val="This table describes the key constructs of the economic evaluation that is provided in the assessment report."/>
      </w:tblPr>
      <w:tblGrid>
        <w:gridCol w:w="2130"/>
        <w:gridCol w:w="3389"/>
        <w:gridCol w:w="3389"/>
      </w:tblGrid>
      <w:tr w:rsidR="003A6D6E" w:rsidRPr="003A6D6E" w14:paraId="49ABE61E" w14:textId="77777777" w:rsidTr="002846C4">
        <w:trPr>
          <w:trHeight w:val="20"/>
          <w:tblHeader/>
        </w:trPr>
        <w:tc>
          <w:tcPr>
            <w:tcW w:w="2130" w:type="dxa"/>
          </w:tcPr>
          <w:p w14:paraId="3C6EA275" w14:textId="77777777" w:rsidR="00064371" w:rsidRPr="003A6D6E" w:rsidRDefault="00064371" w:rsidP="00076963">
            <w:pPr>
              <w:pStyle w:val="TableHeading"/>
            </w:pPr>
          </w:p>
        </w:tc>
        <w:tc>
          <w:tcPr>
            <w:tcW w:w="3389" w:type="dxa"/>
          </w:tcPr>
          <w:p w14:paraId="7B5B3C57" w14:textId="77777777" w:rsidR="00064371" w:rsidRPr="003A6D6E" w:rsidRDefault="00064371" w:rsidP="00076963">
            <w:pPr>
              <w:pStyle w:val="TableHeading"/>
            </w:pPr>
            <w:r w:rsidRPr="003A6D6E">
              <w:t>Previous SBA (Application 1493)</w:t>
            </w:r>
          </w:p>
        </w:tc>
        <w:tc>
          <w:tcPr>
            <w:tcW w:w="3389" w:type="dxa"/>
          </w:tcPr>
          <w:p w14:paraId="7626CDA3" w14:textId="77777777" w:rsidR="00064371" w:rsidRPr="003A6D6E" w:rsidRDefault="00064371" w:rsidP="00076963">
            <w:pPr>
              <w:pStyle w:val="TableHeading"/>
            </w:pPr>
            <w:r w:rsidRPr="003A6D6E">
              <w:t>Revised economic evaluation</w:t>
            </w:r>
          </w:p>
        </w:tc>
      </w:tr>
      <w:tr w:rsidR="003A6D6E" w:rsidRPr="003A6D6E" w14:paraId="63096BC7" w14:textId="77777777" w:rsidTr="002846C4">
        <w:trPr>
          <w:trHeight w:val="20"/>
        </w:trPr>
        <w:tc>
          <w:tcPr>
            <w:tcW w:w="2130" w:type="dxa"/>
          </w:tcPr>
          <w:p w14:paraId="62A7E922" w14:textId="77777777" w:rsidR="00064371" w:rsidRPr="003A6D6E" w:rsidRDefault="00064371" w:rsidP="00076963">
            <w:pPr>
              <w:pStyle w:val="Tabletext"/>
              <w:rPr>
                <w:sz w:val="20"/>
              </w:rPr>
            </w:pPr>
            <w:r w:rsidRPr="003A6D6E">
              <w:rPr>
                <w:sz w:val="20"/>
              </w:rPr>
              <w:t>Perspective</w:t>
            </w:r>
          </w:p>
        </w:tc>
        <w:tc>
          <w:tcPr>
            <w:tcW w:w="3389" w:type="dxa"/>
          </w:tcPr>
          <w:p w14:paraId="5EA7AE31" w14:textId="77777777" w:rsidR="00064371" w:rsidRPr="003A6D6E" w:rsidRDefault="00064371" w:rsidP="00076963">
            <w:pPr>
              <w:pStyle w:val="Tabletext"/>
              <w:rPr>
                <w:sz w:val="20"/>
              </w:rPr>
            </w:pPr>
            <w:r w:rsidRPr="003A6D6E">
              <w:rPr>
                <w:sz w:val="20"/>
              </w:rPr>
              <w:t>Health system</w:t>
            </w:r>
          </w:p>
        </w:tc>
        <w:tc>
          <w:tcPr>
            <w:tcW w:w="3389" w:type="dxa"/>
          </w:tcPr>
          <w:p w14:paraId="61D27CC5" w14:textId="77777777" w:rsidR="00064371" w:rsidRPr="003A6D6E" w:rsidRDefault="00064371" w:rsidP="00076963">
            <w:pPr>
              <w:pStyle w:val="Tabletext"/>
              <w:rPr>
                <w:sz w:val="20"/>
              </w:rPr>
            </w:pPr>
            <w:r w:rsidRPr="003A6D6E">
              <w:rPr>
                <w:sz w:val="20"/>
              </w:rPr>
              <w:t>Health system</w:t>
            </w:r>
          </w:p>
        </w:tc>
      </w:tr>
      <w:tr w:rsidR="003A6D6E" w:rsidRPr="003A6D6E" w14:paraId="4765CB31" w14:textId="77777777" w:rsidTr="002846C4">
        <w:trPr>
          <w:trHeight w:val="20"/>
        </w:trPr>
        <w:tc>
          <w:tcPr>
            <w:tcW w:w="2130" w:type="dxa"/>
          </w:tcPr>
          <w:p w14:paraId="7B78A5CE" w14:textId="77777777" w:rsidR="00064371" w:rsidRPr="003A6D6E" w:rsidRDefault="00064371" w:rsidP="00076963">
            <w:pPr>
              <w:pStyle w:val="Tabletext"/>
              <w:rPr>
                <w:sz w:val="20"/>
              </w:rPr>
            </w:pPr>
            <w:r w:rsidRPr="003A6D6E">
              <w:rPr>
                <w:sz w:val="20"/>
              </w:rPr>
              <w:t>Population</w:t>
            </w:r>
          </w:p>
        </w:tc>
        <w:tc>
          <w:tcPr>
            <w:tcW w:w="3389" w:type="dxa"/>
          </w:tcPr>
          <w:p w14:paraId="5E7DBAFB" w14:textId="77777777" w:rsidR="00064371" w:rsidRPr="003A6D6E" w:rsidRDefault="00064371" w:rsidP="00076963">
            <w:pPr>
              <w:pStyle w:val="Tabletext"/>
              <w:rPr>
                <w:sz w:val="20"/>
              </w:rPr>
            </w:pPr>
            <w:r w:rsidRPr="003A6D6E">
              <w:rPr>
                <w:sz w:val="20"/>
              </w:rPr>
              <w:t>Intermediate and advanced HCC (BCLC stage B and C)</w:t>
            </w:r>
          </w:p>
        </w:tc>
        <w:tc>
          <w:tcPr>
            <w:tcW w:w="3389" w:type="dxa"/>
          </w:tcPr>
          <w:p w14:paraId="187B25CC" w14:textId="77777777" w:rsidR="00064371" w:rsidRPr="003A6D6E" w:rsidRDefault="00064371" w:rsidP="00076963">
            <w:pPr>
              <w:pStyle w:val="Tabletext"/>
              <w:rPr>
                <w:sz w:val="20"/>
              </w:rPr>
            </w:pPr>
            <w:r w:rsidRPr="003A6D6E">
              <w:rPr>
                <w:sz w:val="20"/>
              </w:rPr>
              <w:t>Advanced HCC (BCLC stage C)</w:t>
            </w:r>
          </w:p>
        </w:tc>
      </w:tr>
      <w:tr w:rsidR="003A6D6E" w:rsidRPr="003A6D6E" w14:paraId="235C13A2" w14:textId="77777777" w:rsidTr="002846C4">
        <w:trPr>
          <w:trHeight w:val="20"/>
        </w:trPr>
        <w:tc>
          <w:tcPr>
            <w:tcW w:w="2130" w:type="dxa"/>
          </w:tcPr>
          <w:p w14:paraId="2730E69A" w14:textId="77777777" w:rsidR="00064371" w:rsidRPr="003A6D6E" w:rsidRDefault="00064371" w:rsidP="00076963">
            <w:pPr>
              <w:pStyle w:val="Tabletext"/>
              <w:rPr>
                <w:sz w:val="20"/>
              </w:rPr>
            </w:pPr>
            <w:r w:rsidRPr="003A6D6E">
              <w:rPr>
                <w:sz w:val="20"/>
              </w:rPr>
              <w:t>Comparator</w:t>
            </w:r>
          </w:p>
        </w:tc>
        <w:tc>
          <w:tcPr>
            <w:tcW w:w="3389" w:type="dxa"/>
          </w:tcPr>
          <w:p w14:paraId="1A0B6695" w14:textId="77777777" w:rsidR="00064371" w:rsidRPr="003A6D6E" w:rsidRDefault="00064371" w:rsidP="00076963">
            <w:pPr>
              <w:pStyle w:val="Tabletext"/>
              <w:rPr>
                <w:sz w:val="20"/>
              </w:rPr>
            </w:pPr>
            <w:r w:rsidRPr="003A6D6E">
              <w:rPr>
                <w:sz w:val="20"/>
              </w:rPr>
              <w:t>Sorafenib</w:t>
            </w:r>
          </w:p>
        </w:tc>
        <w:tc>
          <w:tcPr>
            <w:tcW w:w="3389" w:type="dxa"/>
          </w:tcPr>
          <w:p w14:paraId="426B244A" w14:textId="77777777" w:rsidR="00064371" w:rsidRPr="003A6D6E" w:rsidRDefault="00064371" w:rsidP="00076963">
            <w:pPr>
              <w:pStyle w:val="Tabletext"/>
              <w:rPr>
                <w:sz w:val="20"/>
              </w:rPr>
            </w:pPr>
            <w:r w:rsidRPr="003A6D6E">
              <w:rPr>
                <w:sz w:val="20"/>
              </w:rPr>
              <w:t>Sorafenib</w:t>
            </w:r>
          </w:p>
        </w:tc>
      </w:tr>
      <w:tr w:rsidR="003A6D6E" w:rsidRPr="003A6D6E" w14:paraId="77020329" w14:textId="77777777" w:rsidTr="002846C4">
        <w:trPr>
          <w:trHeight w:val="20"/>
        </w:trPr>
        <w:tc>
          <w:tcPr>
            <w:tcW w:w="2130" w:type="dxa"/>
          </w:tcPr>
          <w:p w14:paraId="1E6A0525" w14:textId="77777777" w:rsidR="00064371" w:rsidRPr="003A6D6E" w:rsidRDefault="00064371" w:rsidP="00076963">
            <w:pPr>
              <w:pStyle w:val="Tabletext"/>
              <w:rPr>
                <w:sz w:val="20"/>
              </w:rPr>
            </w:pPr>
            <w:r w:rsidRPr="003A6D6E">
              <w:rPr>
                <w:sz w:val="20"/>
              </w:rPr>
              <w:t>Type of economic evaluation</w:t>
            </w:r>
          </w:p>
        </w:tc>
        <w:tc>
          <w:tcPr>
            <w:tcW w:w="3389" w:type="dxa"/>
          </w:tcPr>
          <w:p w14:paraId="6454275E" w14:textId="77777777" w:rsidR="00064371" w:rsidRPr="003A6D6E" w:rsidRDefault="00064371" w:rsidP="00076963">
            <w:pPr>
              <w:pStyle w:val="Tabletext"/>
              <w:rPr>
                <w:sz w:val="20"/>
              </w:rPr>
            </w:pPr>
            <w:r w:rsidRPr="003A6D6E">
              <w:rPr>
                <w:sz w:val="20"/>
              </w:rPr>
              <w:t>Cost-minimisation</w:t>
            </w:r>
          </w:p>
        </w:tc>
        <w:tc>
          <w:tcPr>
            <w:tcW w:w="3389" w:type="dxa"/>
          </w:tcPr>
          <w:p w14:paraId="0B773391" w14:textId="77777777" w:rsidR="00064371" w:rsidRPr="003A6D6E" w:rsidRDefault="00064371" w:rsidP="00076963">
            <w:pPr>
              <w:pStyle w:val="Tabletext"/>
              <w:rPr>
                <w:sz w:val="20"/>
              </w:rPr>
            </w:pPr>
            <w:r w:rsidRPr="003A6D6E">
              <w:rPr>
                <w:sz w:val="20"/>
              </w:rPr>
              <w:t>Cost-minimisation</w:t>
            </w:r>
          </w:p>
        </w:tc>
      </w:tr>
      <w:tr w:rsidR="003A6D6E" w:rsidRPr="003A6D6E" w14:paraId="2C8A69F3" w14:textId="77777777" w:rsidTr="002846C4">
        <w:trPr>
          <w:trHeight w:val="20"/>
        </w:trPr>
        <w:tc>
          <w:tcPr>
            <w:tcW w:w="2130" w:type="dxa"/>
          </w:tcPr>
          <w:p w14:paraId="234032A8" w14:textId="77777777" w:rsidR="00064371" w:rsidRPr="003A6D6E" w:rsidRDefault="00064371" w:rsidP="00076963">
            <w:pPr>
              <w:pStyle w:val="Tabletext"/>
              <w:rPr>
                <w:sz w:val="20"/>
              </w:rPr>
            </w:pPr>
            <w:r w:rsidRPr="003A6D6E">
              <w:rPr>
                <w:sz w:val="20"/>
              </w:rPr>
              <w:t>Sources of evidence</w:t>
            </w:r>
          </w:p>
        </w:tc>
        <w:tc>
          <w:tcPr>
            <w:tcW w:w="3389" w:type="dxa"/>
          </w:tcPr>
          <w:p w14:paraId="70E42D1F" w14:textId="77777777" w:rsidR="00064371" w:rsidRPr="003A6D6E" w:rsidRDefault="00064371" w:rsidP="00076963">
            <w:pPr>
              <w:pStyle w:val="Tabletext"/>
              <w:rPr>
                <w:sz w:val="20"/>
              </w:rPr>
            </w:pPr>
            <w:proofErr w:type="spellStart"/>
            <w:r w:rsidRPr="003A6D6E">
              <w:rPr>
                <w:sz w:val="20"/>
              </w:rPr>
              <w:t>Equi</w:t>
            </w:r>
            <w:proofErr w:type="spellEnd"/>
            <w:r w:rsidRPr="003A6D6E">
              <w:rPr>
                <w:sz w:val="20"/>
              </w:rPr>
              <w:t xml:space="preserve">-effective dose: </w:t>
            </w:r>
          </w:p>
          <w:p w14:paraId="7CA3F325" w14:textId="669BCF27" w:rsidR="00064371" w:rsidRPr="003A6D6E" w:rsidRDefault="00064371" w:rsidP="00076963">
            <w:pPr>
              <w:pStyle w:val="Tabletext"/>
              <w:rPr>
                <w:sz w:val="20"/>
              </w:rPr>
            </w:pPr>
            <w:r w:rsidRPr="003A6D6E">
              <w:rPr>
                <w:sz w:val="20"/>
              </w:rPr>
              <w:t xml:space="preserve">TARE-Y: </w:t>
            </w:r>
            <w:r w:rsidR="00176C1C" w:rsidRPr="00176C1C">
              <w:rPr>
                <w:b/>
                <w:sz w:val="20"/>
              </w:rPr>
              <w:t>redacted</w:t>
            </w:r>
          </w:p>
          <w:p w14:paraId="38B3E06E" w14:textId="4D3E57B6" w:rsidR="00064371" w:rsidRPr="003A6D6E" w:rsidRDefault="00064371" w:rsidP="00076963">
            <w:pPr>
              <w:pStyle w:val="Tabletext"/>
              <w:rPr>
                <w:sz w:val="20"/>
              </w:rPr>
            </w:pPr>
            <w:r w:rsidRPr="003A6D6E">
              <w:rPr>
                <w:sz w:val="20"/>
              </w:rPr>
              <w:t xml:space="preserve">Sorafenib: </w:t>
            </w:r>
            <w:r w:rsidR="00176C1C" w:rsidRPr="00176C1C">
              <w:rPr>
                <w:b/>
                <w:sz w:val="20"/>
              </w:rPr>
              <w:t>redacted</w:t>
            </w:r>
          </w:p>
          <w:p w14:paraId="67B5BDE4" w14:textId="77777777" w:rsidR="00064371" w:rsidRPr="003A6D6E" w:rsidRDefault="00064371" w:rsidP="00076963">
            <w:pPr>
              <w:pStyle w:val="Tabletext"/>
              <w:rPr>
                <w:sz w:val="20"/>
              </w:rPr>
            </w:pPr>
            <w:r w:rsidRPr="003A6D6E">
              <w:rPr>
                <w:sz w:val="20"/>
              </w:rPr>
              <w:t>Adverse events: none</w:t>
            </w:r>
          </w:p>
        </w:tc>
        <w:tc>
          <w:tcPr>
            <w:tcW w:w="3389" w:type="dxa"/>
          </w:tcPr>
          <w:p w14:paraId="4242BD2D" w14:textId="77777777" w:rsidR="00064371" w:rsidRPr="003A6D6E" w:rsidRDefault="00064371" w:rsidP="00076963">
            <w:pPr>
              <w:pStyle w:val="Tabletext"/>
              <w:rPr>
                <w:sz w:val="20"/>
              </w:rPr>
            </w:pPr>
            <w:proofErr w:type="spellStart"/>
            <w:r w:rsidRPr="003A6D6E">
              <w:rPr>
                <w:sz w:val="20"/>
              </w:rPr>
              <w:t>Equi</w:t>
            </w:r>
            <w:proofErr w:type="spellEnd"/>
            <w:r w:rsidRPr="003A6D6E">
              <w:rPr>
                <w:sz w:val="20"/>
              </w:rPr>
              <w:t xml:space="preserve">-effective dose: </w:t>
            </w:r>
          </w:p>
          <w:p w14:paraId="15605007" w14:textId="77777777" w:rsidR="00064371" w:rsidRPr="003A6D6E" w:rsidRDefault="00064371" w:rsidP="00076963">
            <w:pPr>
              <w:pStyle w:val="Tabletext"/>
              <w:rPr>
                <w:sz w:val="20"/>
              </w:rPr>
            </w:pPr>
            <w:r w:rsidRPr="003A6D6E">
              <w:rPr>
                <w:sz w:val="20"/>
              </w:rPr>
              <w:t>TARE-Y: not provided</w:t>
            </w:r>
          </w:p>
          <w:p w14:paraId="2AEAC681" w14:textId="77777777" w:rsidR="00064371" w:rsidRPr="003A6D6E" w:rsidRDefault="00064371" w:rsidP="00076963">
            <w:pPr>
              <w:pStyle w:val="Tabletext"/>
              <w:rPr>
                <w:sz w:val="20"/>
              </w:rPr>
            </w:pPr>
            <w:r w:rsidRPr="003A6D6E">
              <w:rPr>
                <w:sz w:val="20"/>
              </w:rPr>
              <w:t>Sorafenib: not provided</w:t>
            </w:r>
          </w:p>
          <w:p w14:paraId="0BCE11EB" w14:textId="77777777" w:rsidR="00064371" w:rsidRPr="003A6D6E" w:rsidRDefault="00064371" w:rsidP="00076963">
            <w:pPr>
              <w:pStyle w:val="Tabletext"/>
              <w:rPr>
                <w:sz w:val="20"/>
              </w:rPr>
            </w:pPr>
            <w:r w:rsidRPr="003A6D6E">
              <w:rPr>
                <w:sz w:val="20"/>
              </w:rPr>
              <w:t xml:space="preserve">Adverse events: SARAH subgroup (per-protocol population, n=380) </w:t>
            </w:r>
          </w:p>
          <w:p w14:paraId="7B9209AF" w14:textId="77777777" w:rsidR="00064371" w:rsidRPr="003A6D6E" w:rsidRDefault="00064371" w:rsidP="00076963">
            <w:pPr>
              <w:pStyle w:val="Tabletext"/>
              <w:rPr>
                <w:sz w:val="20"/>
              </w:rPr>
            </w:pPr>
            <w:proofErr w:type="spellStart"/>
            <w:r w:rsidRPr="003A6D6E">
              <w:rPr>
                <w:sz w:val="20"/>
              </w:rPr>
              <w:t>SIRveNIB</w:t>
            </w:r>
            <w:proofErr w:type="spellEnd"/>
            <w:r w:rsidRPr="003A6D6E">
              <w:rPr>
                <w:sz w:val="20"/>
              </w:rPr>
              <w:t xml:space="preserve"> subgroup (as-treated population, n=292)</w:t>
            </w:r>
          </w:p>
        </w:tc>
      </w:tr>
      <w:tr w:rsidR="003A6D6E" w:rsidRPr="003A6D6E" w14:paraId="6B6A4FC8" w14:textId="77777777" w:rsidTr="002846C4">
        <w:trPr>
          <w:trHeight w:val="20"/>
        </w:trPr>
        <w:tc>
          <w:tcPr>
            <w:tcW w:w="2130" w:type="dxa"/>
            <w:hideMark/>
          </w:tcPr>
          <w:p w14:paraId="550F4DFE" w14:textId="77777777" w:rsidR="00064371" w:rsidRPr="003A6D6E" w:rsidRDefault="00064371" w:rsidP="00076963">
            <w:pPr>
              <w:pStyle w:val="Tabletext"/>
              <w:rPr>
                <w:sz w:val="20"/>
              </w:rPr>
            </w:pPr>
            <w:r w:rsidRPr="003A6D6E">
              <w:rPr>
                <w:sz w:val="20"/>
              </w:rPr>
              <w:t>Outcomes</w:t>
            </w:r>
          </w:p>
        </w:tc>
        <w:tc>
          <w:tcPr>
            <w:tcW w:w="3389" w:type="dxa"/>
          </w:tcPr>
          <w:p w14:paraId="472FE463" w14:textId="77777777" w:rsidR="00064371" w:rsidRPr="003A6D6E" w:rsidRDefault="00064371" w:rsidP="00076963">
            <w:pPr>
              <w:pStyle w:val="Tabletext"/>
              <w:rPr>
                <w:sz w:val="20"/>
              </w:rPr>
            </w:pPr>
            <w:r w:rsidRPr="003A6D6E">
              <w:rPr>
                <w:sz w:val="20"/>
              </w:rPr>
              <w:t>Incremental cost</w:t>
            </w:r>
          </w:p>
        </w:tc>
        <w:tc>
          <w:tcPr>
            <w:tcW w:w="3389" w:type="dxa"/>
          </w:tcPr>
          <w:p w14:paraId="13597F03" w14:textId="77777777" w:rsidR="00064371" w:rsidRPr="003A6D6E" w:rsidRDefault="00064371" w:rsidP="00076963">
            <w:pPr>
              <w:pStyle w:val="Tabletext"/>
              <w:rPr>
                <w:vanish/>
                <w:sz w:val="20"/>
              </w:rPr>
            </w:pPr>
            <w:r w:rsidRPr="003A6D6E">
              <w:rPr>
                <w:sz w:val="20"/>
              </w:rPr>
              <w:t>Incremental cost</w:t>
            </w:r>
          </w:p>
        </w:tc>
      </w:tr>
      <w:tr w:rsidR="003A6D6E" w:rsidRPr="003A6D6E" w14:paraId="3CBFF298" w14:textId="77777777" w:rsidTr="002846C4">
        <w:trPr>
          <w:trHeight w:val="20"/>
        </w:trPr>
        <w:tc>
          <w:tcPr>
            <w:tcW w:w="2130" w:type="dxa"/>
            <w:hideMark/>
          </w:tcPr>
          <w:p w14:paraId="6883A69D" w14:textId="77777777" w:rsidR="00064371" w:rsidRPr="003A6D6E" w:rsidRDefault="00064371" w:rsidP="00076963">
            <w:pPr>
              <w:pStyle w:val="Tabletext"/>
              <w:rPr>
                <w:sz w:val="20"/>
              </w:rPr>
            </w:pPr>
            <w:r w:rsidRPr="003A6D6E">
              <w:rPr>
                <w:sz w:val="20"/>
              </w:rPr>
              <w:t>Methods used to generate results</w:t>
            </w:r>
          </w:p>
        </w:tc>
        <w:tc>
          <w:tcPr>
            <w:tcW w:w="3389" w:type="dxa"/>
          </w:tcPr>
          <w:p w14:paraId="1D9BB1B9" w14:textId="77777777" w:rsidR="00064371" w:rsidRPr="003A6D6E" w:rsidRDefault="00064371" w:rsidP="00076963">
            <w:pPr>
              <w:pStyle w:val="Tabletext"/>
              <w:rPr>
                <w:sz w:val="20"/>
              </w:rPr>
            </w:pPr>
            <w:r w:rsidRPr="003A6D6E">
              <w:rPr>
                <w:sz w:val="20"/>
              </w:rPr>
              <w:t>Cost comparison</w:t>
            </w:r>
          </w:p>
        </w:tc>
        <w:tc>
          <w:tcPr>
            <w:tcW w:w="3389" w:type="dxa"/>
          </w:tcPr>
          <w:p w14:paraId="78FDD421" w14:textId="77777777" w:rsidR="00064371" w:rsidRPr="003A6D6E" w:rsidRDefault="00064371" w:rsidP="00076963">
            <w:pPr>
              <w:pStyle w:val="Tabletext"/>
              <w:rPr>
                <w:sz w:val="20"/>
              </w:rPr>
            </w:pPr>
            <w:r w:rsidRPr="003A6D6E">
              <w:rPr>
                <w:sz w:val="20"/>
              </w:rPr>
              <w:t>Cost comparison</w:t>
            </w:r>
          </w:p>
        </w:tc>
      </w:tr>
      <w:tr w:rsidR="003A6D6E" w:rsidRPr="003A6D6E" w14:paraId="30DDF232" w14:textId="77777777" w:rsidTr="002846C4">
        <w:trPr>
          <w:trHeight w:val="20"/>
        </w:trPr>
        <w:tc>
          <w:tcPr>
            <w:tcW w:w="2130" w:type="dxa"/>
            <w:hideMark/>
          </w:tcPr>
          <w:p w14:paraId="2ACA8DC2" w14:textId="77777777" w:rsidR="00064371" w:rsidRPr="003A6D6E" w:rsidRDefault="00064371" w:rsidP="00076963">
            <w:pPr>
              <w:pStyle w:val="Tabletext"/>
              <w:rPr>
                <w:sz w:val="20"/>
              </w:rPr>
            </w:pPr>
            <w:r w:rsidRPr="003A6D6E">
              <w:rPr>
                <w:sz w:val="20"/>
              </w:rPr>
              <w:t>Discount rate</w:t>
            </w:r>
          </w:p>
        </w:tc>
        <w:tc>
          <w:tcPr>
            <w:tcW w:w="3389" w:type="dxa"/>
          </w:tcPr>
          <w:p w14:paraId="37AD0B77" w14:textId="77777777" w:rsidR="00064371" w:rsidRPr="003A6D6E" w:rsidRDefault="00064371" w:rsidP="00076963">
            <w:pPr>
              <w:pStyle w:val="Tabletext"/>
              <w:rPr>
                <w:sz w:val="20"/>
              </w:rPr>
            </w:pPr>
            <w:r w:rsidRPr="003A6D6E">
              <w:rPr>
                <w:sz w:val="20"/>
              </w:rPr>
              <w:t>Not applied</w:t>
            </w:r>
          </w:p>
        </w:tc>
        <w:tc>
          <w:tcPr>
            <w:tcW w:w="3389" w:type="dxa"/>
          </w:tcPr>
          <w:p w14:paraId="049DB2B8" w14:textId="77777777" w:rsidR="00064371" w:rsidRPr="003A6D6E" w:rsidRDefault="00064371" w:rsidP="00076963">
            <w:pPr>
              <w:pStyle w:val="Tabletext"/>
              <w:rPr>
                <w:sz w:val="20"/>
              </w:rPr>
            </w:pPr>
            <w:r w:rsidRPr="003A6D6E">
              <w:rPr>
                <w:sz w:val="20"/>
              </w:rPr>
              <w:t>Not applied</w:t>
            </w:r>
          </w:p>
        </w:tc>
      </w:tr>
      <w:tr w:rsidR="003A6D6E" w:rsidRPr="003A6D6E" w14:paraId="5A2B87DE" w14:textId="77777777" w:rsidTr="002846C4">
        <w:trPr>
          <w:trHeight w:val="20"/>
        </w:trPr>
        <w:tc>
          <w:tcPr>
            <w:tcW w:w="2130" w:type="dxa"/>
            <w:hideMark/>
          </w:tcPr>
          <w:p w14:paraId="4DA1283A" w14:textId="77777777" w:rsidR="00064371" w:rsidRPr="003A6D6E" w:rsidRDefault="00064371" w:rsidP="00076963">
            <w:pPr>
              <w:pStyle w:val="Tabletext"/>
              <w:rPr>
                <w:sz w:val="20"/>
              </w:rPr>
            </w:pPr>
            <w:r w:rsidRPr="003A6D6E">
              <w:rPr>
                <w:sz w:val="20"/>
              </w:rPr>
              <w:t>Software packages used</w:t>
            </w:r>
          </w:p>
        </w:tc>
        <w:tc>
          <w:tcPr>
            <w:tcW w:w="3389" w:type="dxa"/>
          </w:tcPr>
          <w:p w14:paraId="3A911E86" w14:textId="77777777" w:rsidR="00064371" w:rsidRPr="003A6D6E" w:rsidRDefault="00064371" w:rsidP="00076963">
            <w:pPr>
              <w:pStyle w:val="Tabletext"/>
              <w:rPr>
                <w:sz w:val="20"/>
              </w:rPr>
            </w:pPr>
            <w:proofErr w:type="spellStart"/>
            <w:r w:rsidRPr="003A6D6E">
              <w:rPr>
                <w:sz w:val="20"/>
              </w:rPr>
              <w:t>Microsof</w:t>
            </w:r>
            <w:proofErr w:type="spellEnd"/>
            <w:r w:rsidRPr="003A6D6E">
              <w:rPr>
                <w:sz w:val="20"/>
              </w:rPr>
              <w:t xml:space="preserve"> Excel</w:t>
            </w:r>
          </w:p>
        </w:tc>
        <w:tc>
          <w:tcPr>
            <w:tcW w:w="3389" w:type="dxa"/>
          </w:tcPr>
          <w:p w14:paraId="6C4CD245" w14:textId="77777777" w:rsidR="00064371" w:rsidRPr="003A6D6E" w:rsidRDefault="00064371" w:rsidP="00076963">
            <w:pPr>
              <w:pStyle w:val="Tabletext"/>
              <w:rPr>
                <w:sz w:val="20"/>
              </w:rPr>
            </w:pPr>
            <w:r w:rsidRPr="003A6D6E">
              <w:rPr>
                <w:sz w:val="20"/>
              </w:rPr>
              <w:t>Microsoft Excel</w:t>
            </w:r>
          </w:p>
        </w:tc>
      </w:tr>
    </w:tbl>
    <w:p w14:paraId="53083194" w14:textId="77777777" w:rsidR="00064371" w:rsidRPr="003A6D6E" w:rsidRDefault="00064371" w:rsidP="00064371">
      <w:pPr>
        <w:pStyle w:val="Tablenotes"/>
        <w:rPr>
          <w:sz w:val="18"/>
        </w:rPr>
      </w:pPr>
      <w:r w:rsidRPr="003A6D6E">
        <w:rPr>
          <w:sz w:val="18"/>
        </w:rPr>
        <w:t>Source: Compiled during evaluation</w:t>
      </w:r>
    </w:p>
    <w:p w14:paraId="7C62E41D" w14:textId="77777777" w:rsidR="00064371" w:rsidRPr="003A6D6E" w:rsidRDefault="00064371" w:rsidP="00064371">
      <w:pPr>
        <w:pStyle w:val="Tablenotes"/>
        <w:rPr>
          <w:sz w:val="18"/>
        </w:rPr>
      </w:pPr>
      <w:r w:rsidRPr="003A6D6E">
        <w:rPr>
          <w:sz w:val="18"/>
        </w:rPr>
        <w:t>Abbreviations: BCLC=Barcelona Clinic Liver Cancer; CMA=cost-minimisation analysis; HCC=hepatocellular carcinoma; SBA=submission-based assessment; TARE-Y=</w:t>
      </w:r>
      <w:proofErr w:type="spellStart"/>
      <w:r w:rsidRPr="003A6D6E">
        <w:rPr>
          <w:sz w:val="18"/>
        </w:rPr>
        <w:t>transarterial</w:t>
      </w:r>
      <w:proofErr w:type="spellEnd"/>
      <w:r w:rsidRPr="003A6D6E">
        <w:rPr>
          <w:sz w:val="18"/>
        </w:rPr>
        <w:t xml:space="preserve"> </w:t>
      </w:r>
      <w:proofErr w:type="spellStart"/>
      <w:r w:rsidRPr="003A6D6E">
        <w:rPr>
          <w:sz w:val="18"/>
        </w:rPr>
        <w:t>radioembolisation</w:t>
      </w:r>
      <w:proofErr w:type="spellEnd"/>
      <w:r w:rsidRPr="003A6D6E">
        <w:rPr>
          <w:sz w:val="18"/>
        </w:rPr>
        <w:t xml:space="preserve"> using yttrium-90</w:t>
      </w:r>
    </w:p>
    <w:p w14:paraId="78D61535" w14:textId="77777777" w:rsidR="00364653" w:rsidRPr="00364653" w:rsidRDefault="00CD34C1">
      <w:r>
        <w:t>The</w:t>
      </w:r>
      <w:r w:rsidR="00895500">
        <w:t xml:space="preserve"> results from the </w:t>
      </w:r>
      <w:r>
        <w:t xml:space="preserve">SBAs revised economic </w:t>
      </w:r>
      <w:r w:rsidR="00895500">
        <w:t>evaluation</w:t>
      </w:r>
      <w:r>
        <w:t xml:space="preserve"> </w:t>
      </w:r>
      <w:proofErr w:type="gramStart"/>
      <w:r w:rsidR="00334E76">
        <w:t>are</w:t>
      </w:r>
      <w:r>
        <w:t xml:space="preserve"> presented</w:t>
      </w:r>
      <w:proofErr w:type="gramEnd"/>
      <w:r>
        <w:t xml:space="preserve"> </w:t>
      </w:r>
      <w:r w:rsidR="00E840F8">
        <w:t>in Table 5</w:t>
      </w:r>
      <w:r>
        <w:t>.</w:t>
      </w:r>
      <w:r w:rsidR="00364653">
        <w:br w:type="page"/>
      </w:r>
    </w:p>
    <w:p w14:paraId="47F88904" w14:textId="77777777" w:rsidR="00CD34C1" w:rsidRDefault="00CD34C1" w:rsidP="00152093">
      <w:pPr>
        <w:pStyle w:val="Caption"/>
      </w:pPr>
      <w:r>
        <w:lastRenderedPageBreak/>
        <w:t xml:space="preserve">Table </w:t>
      </w:r>
      <w:r w:rsidR="00FD5A1B">
        <w:rPr>
          <w:noProof/>
        </w:rPr>
        <w:t>5</w:t>
      </w:r>
      <w:r w:rsidR="00E840F8">
        <w:tab/>
      </w:r>
      <w:r w:rsidR="00E840F8">
        <w:tab/>
      </w:r>
      <w:r>
        <w:t>SBAs revised economic analysis (CMA)</w:t>
      </w:r>
    </w:p>
    <w:tbl>
      <w:tblPr>
        <w:tblW w:w="5000" w:type="pct"/>
        <w:tblCellMar>
          <w:left w:w="0" w:type="dxa"/>
          <w:right w:w="0" w:type="dxa"/>
        </w:tblCellMar>
        <w:tblLook w:val="04A0" w:firstRow="1" w:lastRow="0" w:firstColumn="1" w:lastColumn="0" w:noHBand="0" w:noVBand="1"/>
        <w:tblDescription w:val="Summary of the application's economic analysis showing that TARE-Y is dominant"/>
      </w:tblPr>
      <w:tblGrid>
        <w:gridCol w:w="2825"/>
        <w:gridCol w:w="1135"/>
        <w:gridCol w:w="994"/>
        <w:gridCol w:w="850"/>
        <w:gridCol w:w="992"/>
        <w:gridCol w:w="992"/>
        <w:gridCol w:w="1218"/>
      </w:tblGrid>
      <w:tr w:rsidR="00CD34C1" w:rsidRPr="00CD34C1" w14:paraId="568DCACF" w14:textId="77777777" w:rsidTr="00076963">
        <w:trPr>
          <w:tblHeader/>
        </w:trPr>
        <w:tc>
          <w:tcPr>
            <w:tcW w:w="15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AD348C" w14:textId="77777777" w:rsidR="00CD34C1" w:rsidRPr="00CD34C1" w:rsidRDefault="00CD34C1" w:rsidP="00076963">
            <w:pPr>
              <w:pStyle w:val="Tabletext"/>
              <w:rPr>
                <w:b/>
                <w:sz w:val="20"/>
              </w:rPr>
            </w:pPr>
            <w:r w:rsidRPr="00CD34C1">
              <w:rPr>
                <w:b/>
                <w:sz w:val="20"/>
              </w:rPr>
              <w:t>Analysis</w:t>
            </w:r>
          </w:p>
        </w:tc>
        <w:tc>
          <w:tcPr>
            <w:tcW w:w="63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C5AD63" w14:textId="77777777" w:rsidR="00CD34C1" w:rsidRPr="00CD34C1" w:rsidRDefault="00CD34C1" w:rsidP="00076963">
            <w:pPr>
              <w:pStyle w:val="Tabletext"/>
              <w:jc w:val="center"/>
              <w:rPr>
                <w:b/>
                <w:sz w:val="20"/>
              </w:rPr>
            </w:pPr>
            <w:r w:rsidRPr="00CD34C1">
              <w:rPr>
                <w:b/>
                <w:sz w:val="20"/>
              </w:rPr>
              <w:t>Efficacy</w:t>
            </w:r>
          </w:p>
        </w:tc>
        <w:tc>
          <w:tcPr>
            <w:tcW w:w="552" w:type="pct"/>
            <w:tcBorders>
              <w:top w:val="single" w:sz="8" w:space="0" w:color="auto"/>
              <w:left w:val="nil"/>
              <w:bottom w:val="single" w:sz="8" w:space="0" w:color="auto"/>
              <w:right w:val="single" w:sz="8" w:space="0" w:color="auto"/>
            </w:tcBorders>
          </w:tcPr>
          <w:p w14:paraId="7199703A" w14:textId="77777777" w:rsidR="00CD34C1" w:rsidRPr="00CD34C1" w:rsidRDefault="00CD34C1" w:rsidP="00076963">
            <w:pPr>
              <w:pStyle w:val="Tabletext"/>
              <w:jc w:val="center"/>
              <w:rPr>
                <w:b/>
                <w:sz w:val="20"/>
              </w:rPr>
            </w:pPr>
            <w:r w:rsidRPr="00CD34C1">
              <w:rPr>
                <w:b/>
                <w:sz w:val="20"/>
              </w:rPr>
              <w:t>Safety</w:t>
            </w:r>
          </w:p>
        </w:tc>
        <w:tc>
          <w:tcPr>
            <w:tcW w:w="472" w:type="pct"/>
            <w:tcBorders>
              <w:top w:val="single" w:sz="8" w:space="0" w:color="auto"/>
              <w:left w:val="nil"/>
              <w:bottom w:val="single" w:sz="8" w:space="0" w:color="auto"/>
              <w:right w:val="single" w:sz="8" w:space="0" w:color="auto"/>
            </w:tcBorders>
          </w:tcPr>
          <w:p w14:paraId="267342EE" w14:textId="77777777" w:rsidR="00CD34C1" w:rsidRPr="00CD34C1" w:rsidRDefault="00CD34C1" w:rsidP="00076963">
            <w:pPr>
              <w:pStyle w:val="Tabletext"/>
              <w:jc w:val="center"/>
              <w:rPr>
                <w:b/>
                <w:sz w:val="20"/>
              </w:rPr>
            </w:pPr>
            <w:r w:rsidRPr="00CD34C1">
              <w:rPr>
                <w:b/>
                <w:sz w:val="20"/>
              </w:rPr>
              <w:t>Quality of life</w:t>
            </w:r>
          </w:p>
        </w:tc>
        <w:tc>
          <w:tcPr>
            <w:tcW w:w="551" w:type="pct"/>
            <w:tcBorders>
              <w:top w:val="single" w:sz="8" w:space="0" w:color="auto"/>
              <w:left w:val="nil"/>
              <w:bottom w:val="single" w:sz="8" w:space="0" w:color="auto"/>
              <w:right w:val="single" w:sz="4" w:space="0" w:color="auto"/>
            </w:tcBorders>
          </w:tcPr>
          <w:p w14:paraId="2EDB60A1" w14:textId="77777777" w:rsidR="00CD34C1" w:rsidRPr="00CD34C1" w:rsidRDefault="00CD34C1" w:rsidP="00076963">
            <w:pPr>
              <w:pStyle w:val="Tabletext"/>
              <w:jc w:val="center"/>
              <w:rPr>
                <w:b/>
                <w:sz w:val="20"/>
              </w:rPr>
            </w:pPr>
            <w:r w:rsidRPr="00CD34C1">
              <w:rPr>
                <w:b/>
                <w:sz w:val="20"/>
              </w:rPr>
              <w:t>Cost of treatment</w:t>
            </w:r>
          </w:p>
        </w:tc>
        <w:tc>
          <w:tcPr>
            <w:tcW w:w="551" w:type="pct"/>
            <w:tcBorders>
              <w:top w:val="single" w:sz="8" w:space="0" w:color="auto"/>
              <w:left w:val="single" w:sz="4" w:space="0" w:color="auto"/>
              <w:bottom w:val="single" w:sz="8" w:space="0" w:color="auto"/>
              <w:right w:val="single" w:sz="8" w:space="0" w:color="auto"/>
            </w:tcBorders>
            <w:shd w:val="clear" w:color="auto" w:fill="F2F2F2" w:themeFill="background1" w:themeFillShade="F2"/>
          </w:tcPr>
          <w:p w14:paraId="3116D4DC" w14:textId="77777777" w:rsidR="00CD34C1" w:rsidRPr="00CD34C1" w:rsidRDefault="00CD34C1" w:rsidP="00076963">
            <w:pPr>
              <w:pStyle w:val="Tabletext"/>
              <w:jc w:val="center"/>
              <w:rPr>
                <w:b/>
                <w:sz w:val="20"/>
              </w:rPr>
            </w:pPr>
            <w:r w:rsidRPr="00CD34C1">
              <w:rPr>
                <w:b/>
                <w:sz w:val="20"/>
              </w:rPr>
              <w:t>Cost of AEs</w:t>
            </w:r>
          </w:p>
        </w:tc>
        <w:tc>
          <w:tcPr>
            <w:tcW w:w="676" w:type="pct"/>
            <w:tcBorders>
              <w:top w:val="single" w:sz="8" w:space="0" w:color="auto"/>
              <w:left w:val="nil"/>
              <w:bottom w:val="single" w:sz="8" w:space="0" w:color="auto"/>
              <w:right w:val="single" w:sz="8" w:space="0" w:color="auto"/>
            </w:tcBorders>
          </w:tcPr>
          <w:p w14:paraId="53F0C3A1" w14:textId="77777777" w:rsidR="00CD34C1" w:rsidRPr="00CD34C1" w:rsidRDefault="00CD34C1" w:rsidP="00076963">
            <w:pPr>
              <w:pStyle w:val="Tabletext"/>
              <w:jc w:val="center"/>
              <w:rPr>
                <w:b/>
                <w:sz w:val="20"/>
              </w:rPr>
            </w:pPr>
            <w:r w:rsidRPr="00CD34C1">
              <w:rPr>
                <w:b/>
                <w:sz w:val="20"/>
              </w:rPr>
              <w:t>Interpretation</w:t>
            </w:r>
          </w:p>
        </w:tc>
      </w:tr>
      <w:tr w:rsidR="00CD34C1" w:rsidRPr="00CD34C1" w14:paraId="2790ED55" w14:textId="77777777" w:rsidTr="00076963">
        <w:tc>
          <w:tcPr>
            <w:tcW w:w="15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A4071" w14:textId="77777777" w:rsidR="00CD34C1" w:rsidRPr="00CD34C1" w:rsidRDefault="00CD34C1" w:rsidP="00076963">
            <w:pPr>
              <w:pStyle w:val="Tabletext"/>
              <w:rPr>
                <w:sz w:val="20"/>
              </w:rPr>
            </w:pPr>
            <w:r w:rsidRPr="00CD34C1">
              <w:rPr>
                <w:sz w:val="20"/>
              </w:rPr>
              <w:t>Original in SBA</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14:paraId="5676EF57" w14:textId="77777777" w:rsidR="00CD34C1" w:rsidRPr="00CD34C1" w:rsidRDefault="00CD34C1" w:rsidP="00076963">
            <w:pPr>
              <w:pStyle w:val="Tabletext"/>
              <w:jc w:val="center"/>
              <w:rPr>
                <w:sz w:val="20"/>
              </w:rPr>
            </w:pPr>
            <w:r w:rsidRPr="00CD34C1">
              <w:rPr>
                <w:sz w:val="20"/>
              </w:rPr>
              <w:t>Non-inferior</w:t>
            </w:r>
          </w:p>
        </w:tc>
        <w:tc>
          <w:tcPr>
            <w:tcW w:w="552" w:type="pct"/>
            <w:tcBorders>
              <w:top w:val="nil"/>
              <w:left w:val="nil"/>
              <w:bottom w:val="single" w:sz="8" w:space="0" w:color="auto"/>
              <w:right w:val="single" w:sz="8" w:space="0" w:color="auto"/>
            </w:tcBorders>
          </w:tcPr>
          <w:p w14:paraId="2BC8B09A" w14:textId="77777777" w:rsidR="00CD34C1" w:rsidRPr="00CD34C1" w:rsidRDefault="00CD34C1" w:rsidP="00076963">
            <w:pPr>
              <w:pStyle w:val="Tabletext"/>
              <w:jc w:val="center"/>
              <w:rPr>
                <w:sz w:val="20"/>
              </w:rPr>
            </w:pPr>
            <w:r w:rsidRPr="00CD34C1">
              <w:rPr>
                <w:sz w:val="20"/>
              </w:rPr>
              <w:t>Superior</w:t>
            </w:r>
          </w:p>
        </w:tc>
        <w:tc>
          <w:tcPr>
            <w:tcW w:w="472" w:type="pct"/>
            <w:tcBorders>
              <w:top w:val="nil"/>
              <w:left w:val="nil"/>
              <w:bottom w:val="single" w:sz="8" w:space="0" w:color="auto"/>
              <w:right w:val="single" w:sz="8" w:space="0" w:color="auto"/>
            </w:tcBorders>
          </w:tcPr>
          <w:p w14:paraId="4D2BCF2C" w14:textId="77777777" w:rsidR="00CD34C1" w:rsidRPr="00CD34C1" w:rsidRDefault="00CD34C1" w:rsidP="00076963">
            <w:pPr>
              <w:pStyle w:val="Tabletext"/>
              <w:jc w:val="center"/>
              <w:rPr>
                <w:sz w:val="20"/>
              </w:rPr>
            </w:pPr>
            <w:r w:rsidRPr="00CD34C1">
              <w:rPr>
                <w:sz w:val="20"/>
              </w:rPr>
              <w:t>Superior</w:t>
            </w:r>
          </w:p>
        </w:tc>
        <w:tc>
          <w:tcPr>
            <w:tcW w:w="551" w:type="pct"/>
            <w:tcBorders>
              <w:top w:val="nil"/>
              <w:left w:val="nil"/>
              <w:bottom w:val="single" w:sz="8" w:space="0" w:color="auto"/>
              <w:right w:val="single" w:sz="4" w:space="0" w:color="auto"/>
            </w:tcBorders>
          </w:tcPr>
          <w:p w14:paraId="24B7B2E9" w14:textId="77777777" w:rsidR="00CD34C1" w:rsidRPr="00CD34C1" w:rsidRDefault="00CD34C1" w:rsidP="00076963">
            <w:pPr>
              <w:pStyle w:val="Tabletext"/>
              <w:jc w:val="center"/>
              <w:rPr>
                <w:sz w:val="20"/>
              </w:rPr>
            </w:pPr>
            <w:r w:rsidRPr="00CD34C1">
              <w:rPr>
                <w:sz w:val="20"/>
              </w:rPr>
              <w:t>Lower</w:t>
            </w:r>
          </w:p>
        </w:tc>
        <w:tc>
          <w:tcPr>
            <w:tcW w:w="551" w:type="pct"/>
            <w:tcBorders>
              <w:top w:val="single" w:sz="8" w:space="0" w:color="auto"/>
              <w:left w:val="single" w:sz="4" w:space="0" w:color="auto"/>
              <w:bottom w:val="single" w:sz="8" w:space="0" w:color="auto"/>
              <w:right w:val="single" w:sz="8" w:space="0" w:color="auto"/>
            </w:tcBorders>
            <w:shd w:val="clear" w:color="auto" w:fill="F2F2F2" w:themeFill="background1" w:themeFillShade="F2"/>
          </w:tcPr>
          <w:p w14:paraId="36576C03" w14:textId="77777777" w:rsidR="00CD34C1" w:rsidRPr="00CD34C1" w:rsidRDefault="00CD34C1" w:rsidP="00076963">
            <w:pPr>
              <w:pStyle w:val="Tabletext"/>
              <w:jc w:val="center"/>
              <w:rPr>
                <w:sz w:val="20"/>
              </w:rPr>
            </w:pPr>
            <w:r w:rsidRPr="00CD34C1">
              <w:rPr>
                <w:sz w:val="20"/>
              </w:rPr>
              <w:t>Not included</w:t>
            </w:r>
          </w:p>
          <w:p w14:paraId="52D780FC" w14:textId="77777777" w:rsidR="00CD34C1" w:rsidRPr="00CD34C1" w:rsidRDefault="00CD34C1" w:rsidP="00076963">
            <w:pPr>
              <w:pStyle w:val="Tabletext"/>
              <w:jc w:val="center"/>
              <w:rPr>
                <w:sz w:val="20"/>
              </w:rPr>
            </w:pPr>
            <w:r w:rsidRPr="00CD34C1">
              <w:rPr>
                <w:sz w:val="20"/>
              </w:rPr>
              <w:t>($0.00)</w:t>
            </w:r>
          </w:p>
        </w:tc>
        <w:tc>
          <w:tcPr>
            <w:tcW w:w="676" w:type="pct"/>
            <w:tcBorders>
              <w:top w:val="nil"/>
              <w:left w:val="nil"/>
              <w:bottom w:val="single" w:sz="8" w:space="0" w:color="auto"/>
              <w:right w:val="single" w:sz="8" w:space="0" w:color="auto"/>
            </w:tcBorders>
          </w:tcPr>
          <w:p w14:paraId="307C31D8" w14:textId="77777777" w:rsidR="00CD34C1" w:rsidRPr="00CD34C1" w:rsidRDefault="00CD34C1" w:rsidP="00076963">
            <w:pPr>
              <w:pStyle w:val="Tabletext"/>
              <w:jc w:val="center"/>
              <w:rPr>
                <w:sz w:val="20"/>
              </w:rPr>
            </w:pPr>
            <w:r w:rsidRPr="00CD34C1">
              <w:rPr>
                <w:sz w:val="20"/>
              </w:rPr>
              <w:t>TARE- Y dominant</w:t>
            </w:r>
          </w:p>
        </w:tc>
      </w:tr>
      <w:tr w:rsidR="00CD34C1" w:rsidRPr="00CD34C1" w14:paraId="2089ADE4" w14:textId="77777777" w:rsidTr="00076963">
        <w:tc>
          <w:tcPr>
            <w:tcW w:w="5000" w:type="pct"/>
            <w:gridSpan w:val="7"/>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tcPr>
          <w:p w14:paraId="7DEDA2C0" w14:textId="77777777" w:rsidR="00CD34C1" w:rsidRPr="00CD34C1" w:rsidRDefault="00CD34C1" w:rsidP="00076963">
            <w:pPr>
              <w:pStyle w:val="Tabletext"/>
              <w:rPr>
                <w:b/>
                <w:sz w:val="20"/>
              </w:rPr>
            </w:pPr>
            <w:r w:rsidRPr="00CD34C1">
              <w:rPr>
                <w:b/>
                <w:sz w:val="20"/>
              </w:rPr>
              <w:t>Requested revised economic evaluation – SARAH study</w:t>
            </w:r>
          </w:p>
        </w:tc>
      </w:tr>
      <w:tr w:rsidR="00CD34C1" w:rsidRPr="00CD34C1" w14:paraId="18D5C50B" w14:textId="77777777" w:rsidTr="00076963">
        <w:tc>
          <w:tcPr>
            <w:tcW w:w="15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0CD55" w14:textId="77777777" w:rsidR="00CD34C1" w:rsidRPr="00CD34C1" w:rsidRDefault="00CD34C1" w:rsidP="00CD34C1">
            <w:pPr>
              <w:pStyle w:val="Tabletext"/>
              <w:rPr>
                <w:sz w:val="20"/>
                <w:vertAlign w:val="superscript"/>
              </w:rPr>
            </w:pPr>
            <w:r w:rsidRPr="00CD34C1">
              <w:rPr>
                <w:sz w:val="20"/>
              </w:rPr>
              <w:t>+ AE costing (base case)</w:t>
            </w:r>
            <w:r>
              <w:rPr>
                <w:sz w:val="20"/>
                <w:vertAlign w:val="superscript"/>
              </w:rPr>
              <w:t>1</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14:paraId="373216FD" w14:textId="77777777" w:rsidR="00CD34C1" w:rsidRPr="00CD34C1" w:rsidRDefault="00CD34C1" w:rsidP="00076963">
            <w:pPr>
              <w:pStyle w:val="Tabletext"/>
              <w:jc w:val="center"/>
              <w:rPr>
                <w:sz w:val="20"/>
              </w:rPr>
            </w:pPr>
            <w:r w:rsidRPr="00CD34C1">
              <w:rPr>
                <w:sz w:val="20"/>
              </w:rPr>
              <w:t>Non-inferior</w:t>
            </w:r>
          </w:p>
        </w:tc>
        <w:tc>
          <w:tcPr>
            <w:tcW w:w="552" w:type="pct"/>
            <w:tcBorders>
              <w:top w:val="nil"/>
              <w:left w:val="nil"/>
              <w:bottom w:val="single" w:sz="8" w:space="0" w:color="auto"/>
              <w:right w:val="single" w:sz="8" w:space="0" w:color="auto"/>
            </w:tcBorders>
          </w:tcPr>
          <w:p w14:paraId="17A8AAF9" w14:textId="77777777" w:rsidR="00CD34C1" w:rsidRPr="00CD34C1" w:rsidRDefault="00CD34C1" w:rsidP="00076963">
            <w:pPr>
              <w:pStyle w:val="Tabletext"/>
              <w:jc w:val="center"/>
              <w:rPr>
                <w:sz w:val="20"/>
              </w:rPr>
            </w:pPr>
            <w:r w:rsidRPr="00CD34C1">
              <w:rPr>
                <w:sz w:val="20"/>
              </w:rPr>
              <w:t>Superior</w:t>
            </w:r>
          </w:p>
        </w:tc>
        <w:tc>
          <w:tcPr>
            <w:tcW w:w="472" w:type="pct"/>
            <w:tcBorders>
              <w:top w:val="nil"/>
              <w:left w:val="nil"/>
              <w:bottom w:val="single" w:sz="8" w:space="0" w:color="auto"/>
              <w:right w:val="single" w:sz="8" w:space="0" w:color="auto"/>
            </w:tcBorders>
          </w:tcPr>
          <w:p w14:paraId="3CB3DBBD" w14:textId="77777777" w:rsidR="00CD34C1" w:rsidRPr="00CD34C1" w:rsidRDefault="00CD34C1" w:rsidP="00076963">
            <w:pPr>
              <w:pStyle w:val="Tabletext"/>
              <w:jc w:val="center"/>
              <w:rPr>
                <w:sz w:val="20"/>
              </w:rPr>
            </w:pPr>
            <w:r w:rsidRPr="00CD34C1">
              <w:rPr>
                <w:sz w:val="20"/>
              </w:rPr>
              <w:t>Superior</w:t>
            </w:r>
          </w:p>
        </w:tc>
        <w:tc>
          <w:tcPr>
            <w:tcW w:w="551" w:type="pct"/>
            <w:tcBorders>
              <w:top w:val="nil"/>
              <w:left w:val="nil"/>
              <w:bottom w:val="single" w:sz="8" w:space="0" w:color="auto"/>
              <w:right w:val="single" w:sz="4" w:space="0" w:color="auto"/>
            </w:tcBorders>
          </w:tcPr>
          <w:p w14:paraId="5B01ADDC" w14:textId="77777777" w:rsidR="00CD34C1" w:rsidRPr="00CD34C1" w:rsidRDefault="00CD34C1" w:rsidP="00076963">
            <w:pPr>
              <w:pStyle w:val="Tabletext"/>
              <w:jc w:val="center"/>
              <w:rPr>
                <w:sz w:val="20"/>
              </w:rPr>
            </w:pPr>
            <w:r w:rsidRPr="00CD34C1">
              <w:rPr>
                <w:sz w:val="20"/>
              </w:rPr>
              <w:t>Lower</w:t>
            </w:r>
          </w:p>
        </w:tc>
        <w:tc>
          <w:tcPr>
            <w:tcW w:w="551" w:type="pct"/>
            <w:tcBorders>
              <w:top w:val="single" w:sz="8" w:space="0" w:color="auto"/>
              <w:left w:val="single" w:sz="4" w:space="0" w:color="auto"/>
              <w:bottom w:val="single" w:sz="8" w:space="0" w:color="auto"/>
              <w:right w:val="single" w:sz="8" w:space="0" w:color="auto"/>
            </w:tcBorders>
            <w:shd w:val="clear" w:color="auto" w:fill="F2F2F2" w:themeFill="background1" w:themeFillShade="F2"/>
          </w:tcPr>
          <w:p w14:paraId="6A77C6B5" w14:textId="77777777" w:rsidR="00CD34C1" w:rsidRPr="00CD34C1" w:rsidRDefault="00CD34C1" w:rsidP="00076963">
            <w:pPr>
              <w:pStyle w:val="Tabletext"/>
              <w:jc w:val="center"/>
              <w:rPr>
                <w:sz w:val="20"/>
              </w:rPr>
            </w:pPr>
            <w:r w:rsidRPr="00CD34C1">
              <w:rPr>
                <w:sz w:val="20"/>
              </w:rPr>
              <w:t>Lower</w:t>
            </w:r>
          </w:p>
          <w:p w14:paraId="100EFC47" w14:textId="77777777" w:rsidR="00CD34C1" w:rsidRPr="00CD34C1" w:rsidRDefault="00CD34C1" w:rsidP="00076963">
            <w:pPr>
              <w:pStyle w:val="Tabletext"/>
              <w:jc w:val="center"/>
              <w:rPr>
                <w:sz w:val="20"/>
              </w:rPr>
            </w:pPr>
            <w:r w:rsidRPr="00CD34C1">
              <w:rPr>
                <w:sz w:val="20"/>
              </w:rPr>
              <w:t>(-$1,664.51)</w:t>
            </w:r>
          </w:p>
        </w:tc>
        <w:tc>
          <w:tcPr>
            <w:tcW w:w="676" w:type="pct"/>
            <w:tcBorders>
              <w:top w:val="nil"/>
              <w:left w:val="nil"/>
              <w:bottom w:val="single" w:sz="8" w:space="0" w:color="auto"/>
              <w:right w:val="single" w:sz="8" w:space="0" w:color="auto"/>
            </w:tcBorders>
          </w:tcPr>
          <w:p w14:paraId="29F0E033" w14:textId="77777777" w:rsidR="00CD34C1" w:rsidRPr="00CD34C1" w:rsidRDefault="00CD34C1" w:rsidP="00076963">
            <w:pPr>
              <w:pStyle w:val="Tabletext"/>
              <w:jc w:val="center"/>
              <w:rPr>
                <w:sz w:val="20"/>
              </w:rPr>
            </w:pPr>
            <w:r w:rsidRPr="00CD34C1">
              <w:rPr>
                <w:sz w:val="20"/>
              </w:rPr>
              <w:t>TARE- Y remains dominant</w:t>
            </w:r>
          </w:p>
        </w:tc>
      </w:tr>
      <w:tr w:rsidR="00CD34C1" w:rsidRPr="00CD34C1" w14:paraId="34E9BFE3" w14:textId="77777777" w:rsidTr="00076963">
        <w:tc>
          <w:tcPr>
            <w:tcW w:w="1568" w:type="pct"/>
            <w:tcBorders>
              <w:top w:val="single" w:sz="8"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5BF4F988" w14:textId="77777777" w:rsidR="00CD34C1" w:rsidRPr="00CD34C1" w:rsidRDefault="00CD34C1" w:rsidP="00CD34C1">
            <w:pPr>
              <w:pStyle w:val="Tabletext"/>
              <w:rPr>
                <w:sz w:val="20"/>
                <w:vertAlign w:val="superscript"/>
              </w:rPr>
            </w:pPr>
            <w:r w:rsidRPr="00CD34C1">
              <w:rPr>
                <w:sz w:val="20"/>
              </w:rPr>
              <w:t>+ AE costing (base case) + AE costing (sensitivity analysis a)</w:t>
            </w:r>
            <w:r>
              <w:rPr>
                <w:sz w:val="20"/>
                <w:vertAlign w:val="superscript"/>
              </w:rPr>
              <w:t>2</w:t>
            </w:r>
          </w:p>
        </w:tc>
        <w:tc>
          <w:tcPr>
            <w:tcW w:w="630" w:type="pct"/>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6015BBA2" w14:textId="77777777" w:rsidR="00CD34C1" w:rsidRPr="00CD34C1" w:rsidRDefault="00CD34C1" w:rsidP="00076963">
            <w:pPr>
              <w:pStyle w:val="Tabletext"/>
              <w:jc w:val="center"/>
              <w:rPr>
                <w:sz w:val="20"/>
              </w:rPr>
            </w:pPr>
            <w:r w:rsidRPr="00CD34C1">
              <w:rPr>
                <w:sz w:val="20"/>
              </w:rPr>
              <w:t>Non-inferior</w:t>
            </w:r>
          </w:p>
        </w:tc>
        <w:tc>
          <w:tcPr>
            <w:tcW w:w="552" w:type="pct"/>
            <w:tcBorders>
              <w:top w:val="single" w:sz="8" w:space="0" w:color="auto"/>
              <w:left w:val="nil"/>
              <w:bottom w:val="dotted" w:sz="4" w:space="0" w:color="auto"/>
              <w:right w:val="single" w:sz="8" w:space="0" w:color="auto"/>
            </w:tcBorders>
          </w:tcPr>
          <w:p w14:paraId="3CCC1EE7" w14:textId="77777777" w:rsidR="00CD34C1" w:rsidRPr="00CD34C1" w:rsidRDefault="00CD34C1" w:rsidP="00076963">
            <w:pPr>
              <w:pStyle w:val="Tabletext"/>
              <w:jc w:val="center"/>
              <w:rPr>
                <w:sz w:val="20"/>
              </w:rPr>
            </w:pPr>
            <w:r w:rsidRPr="00CD34C1">
              <w:rPr>
                <w:sz w:val="20"/>
              </w:rPr>
              <w:t>Superior</w:t>
            </w:r>
          </w:p>
        </w:tc>
        <w:tc>
          <w:tcPr>
            <w:tcW w:w="472" w:type="pct"/>
            <w:tcBorders>
              <w:top w:val="single" w:sz="8" w:space="0" w:color="auto"/>
              <w:left w:val="nil"/>
              <w:bottom w:val="dotted" w:sz="4" w:space="0" w:color="auto"/>
              <w:right w:val="single" w:sz="8" w:space="0" w:color="auto"/>
            </w:tcBorders>
          </w:tcPr>
          <w:p w14:paraId="7DCA50B7" w14:textId="77777777" w:rsidR="00CD34C1" w:rsidRPr="00CD34C1" w:rsidRDefault="00CD34C1" w:rsidP="00076963">
            <w:pPr>
              <w:pStyle w:val="Tabletext"/>
              <w:jc w:val="center"/>
              <w:rPr>
                <w:sz w:val="20"/>
              </w:rPr>
            </w:pPr>
            <w:r w:rsidRPr="00CD34C1">
              <w:rPr>
                <w:sz w:val="20"/>
              </w:rPr>
              <w:t>Superior</w:t>
            </w:r>
          </w:p>
        </w:tc>
        <w:tc>
          <w:tcPr>
            <w:tcW w:w="551" w:type="pct"/>
            <w:tcBorders>
              <w:top w:val="single" w:sz="8" w:space="0" w:color="auto"/>
              <w:left w:val="nil"/>
              <w:bottom w:val="dotted" w:sz="4" w:space="0" w:color="auto"/>
              <w:right w:val="single" w:sz="4" w:space="0" w:color="auto"/>
            </w:tcBorders>
          </w:tcPr>
          <w:p w14:paraId="558783A6" w14:textId="77777777" w:rsidR="00CD34C1" w:rsidRPr="00CD34C1" w:rsidRDefault="00CD34C1" w:rsidP="00076963">
            <w:pPr>
              <w:pStyle w:val="Tabletext"/>
              <w:jc w:val="center"/>
              <w:rPr>
                <w:sz w:val="20"/>
              </w:rPr>
            </w:pPr>
            <w:r w:rsidRPr="00CD34C1">
              <w:rPr>
                <w:sz w:val="20"/>
              </w:rPr>
              <w:t>Lower</w:t>
            </w:r>
          </w:p>
        </w:tc>
        <w:tc>
          <w:tcPr>
            <w:tcW w:w="551" w:type="pct"/>
            <w:tcBorders>
              <w:top w:val="single" w:sz="8" w:space="0" w:color="auto"/>
              <w:left w:val="single" w:sz="4" w:space="0" w:color="auto"/>
              <w:bottom w:val="dotted" w:sz="4" w:space="0" w:color="auto"/>
              <w:right w:val="single" w:sz="8" w:space="0" w:color="auto"/>
            </w:tcBorders>
            <w:shd w:val="clear" w:color="auto" w:fill="F2F2F2" w:themeFill="background1" w:themeFillShade="F2"/>
          </w:tcPr>
          <w:p w14:paraId="4AD26B38" w14:textId="77777777" w:rsidR="00CD34C1" w:rsidRPr="00CD34C1" w:rsidRDefault="00CD34C1" w:rsidP="00076963">
            <w:pPr>
              <w:pStyle w:val="Tabletext"/>
              <w:jc w:val="center"/>
              <w:rPr>
                <w:sz w:val="20"/>
              </w:rPr>
            </w:pPr>
            <w:r w:rsidRPr="00CD34C1">
              <w:rPr>
                <w:sz w:val="20"/>
              </w:rPr>
              <w:t>Lower</w:t>
            </w:r>
          </w:p>
          <w:p w14:paraId="05681D1D" w14:textId="77777777" w:rsidR="00CD34C1" w:rsidRPr="00CD34C1" w:rsidRDefault="00CD34C1" w:rsidP="00076963">
            <w:pPr>
              <w:pStyle w:val="Tabletext"/>
              <w:jc w:val="center"/>
              <w:rPr>
                <w:sz w:val="20"/>
              </w:rPr>
            </w:pPr>
            <w:r w:rsidRPr="00CD34C1">
              <w:rPr>
                <w:sz w:val="20"/>
              </w:rPr>
              <w:t>(-$1,370.65)</w:t>
            </w:r>
          </w:p>
        </w:tc>
        <w:tc>
          <w:tcPr>
            <w:tcW w:w="676" w:type="pct"/>
            <w:tcBorders>
              <w:top w:val="single" w:sz="8" w:space="0" w:color="auto"/>
              <w:left w:val="nil"/>
              <w:bottom w:val="dotted" w:sz="4" w:space="0" w:color="auto"/>
              <w:right w:val="single" w:sz="8" w:space="0" w:color="auto"/>
            </w:tcBorders>
          </w:tcPr>
          <w:p w14:paraId="063185E1" w14:textId="77777777" w:rsidR="00CD34C1" w:rsidRPr="00CD34C1" w:rsidRDefault="00CD34C1" w:rsidP="00076963">
            <w:pPr>
              <w:pStyle w:val="Tabletext"/>
              <w:jc w:val="center"/>
              <w:rPr>
                <w:sz w:val="20"/>
              </w:rPr>
            </w:pPr>
            <w:r w:rsidRPr="00CD34C1">
              <w:rPr>
                <w:sz w:val="20"/>
              </w:rPr>
              <w:t>TARE- Y remains dominant</w:t>
            </w:r>
          </w:p>
        </w:tc>
      </w:tr>
      <w:tr w:rsidR="00CD34C1" w:rsidRPr="00CD34C1" w14:paraId="2B0116C6" w14:textId="77777777" w:rsidTr="00076963">
        <w:tc>
          <w:tcPr>
            <w:tcW w:w="1568" w:type="pct"/>
            <w:tcBorders>
              <w:top w:val="dotted" w:sz="4" w:space="0" w:color="auto"/>
              <w:left w:val="single" w:sz="4" w:space="0" w:color="auto"/>
              <w:bottom w:val="single" w:sz="8" w:space="0" w:color="auto"/>
              <w:right w:val="single" w:sz="8" w:space="0" w:color="auto"/>
            </w:tcBorders>
            <w:tcMar>
              <w:top w:w="0" w:type="dxa"/>
              <w:left w:w="108" w:type="dxa"/>
              <w:bottom w:w="0" w:type="dxa"/>
              <w:right w:w="108" w:type="dxa"/>
            </w:tcMar>
          </w:tcPr>
          <w:p w14:paraId="06733552" w14:textId="77777777" w:rsidR="00CD34C1" w:rsidRPr="00CD34C1" w:rsidRDefault="00CD34C1" w:rsidP="00CD34C1">
            <w:pPr>
              <w:pStyle w:val="Tabletext"/>
              <w:rPr>
                <w:sz w:val="20"/>
              </w:rPr>
            </w:pPr>
            <w:r w:rsidRPr="00CD34C1">
              <w:rPr>
                <w:sz w:val="20"/>
              </w:rPr>
              <w:t>+ AE costing (base case) + AE costing (sensitivity analysis a) + REILD</w:t>
            </w:r>
          </w:p>
        </w:tc>
        <w:tc>
          <w:tcPr>
            <w:tcW w:w="630" w:type="pct"/>
            <w:tcBorders>
              <w:top w:val="dotted" w:sz="4" w:space="0" w:color="auto"/>
              <w:left w:val="nil"/>
              <w:bottom w:val="single" w:sz="8" w:space="0" w:color="auto"/>
              <w:right w:val="single" w:sz="8" w:space="0" w:color="auto"/>
            </w:tcBorders>
            <w:tcMar>
              <w:top w:w="0" w:type="dxa"/>
              <w:left w:w="108" w:type="dxa"/>
              <w:bottom w:w="0" w:type="dxa"/>
              <w:right w:w="108" w:type="dxa"/>
            </w:tcMar>
          </w:tcPr>
          <w:p w14:paraId="0CD133B4" w14:textId="77777777" w:rsidR="00CD34C1" w:rsidRPr="00CD34C1" w:rsidRDefault="00CD34C1" w:rsidP="00076963">
            <w:pPr>
              <w:pStyle w:val="Tabletext"/>
              <w:jc w:val="center"/>
              <w:rPr>
                <w:sz w:val="20"/>
              </w:rPr>
            </w:pPr>
            <w:r w:rsidRPr="00CD34C1">
              <w:rPr>
                <w:sz w:val="20"/>
              </w:rPr>
              <w:t>Non-inferior</w:t>
            </w:r>
          </w:p>
        </w:tc>
        <w:tc>
          <w:tcPr>
            <w:tcW w:w="552" w:type="pct"/>
            <w:tcBorders>
              <w:top w:val="dotted" w:sz="4" w:space="0" w:color="auto"/>
              <w:left w:val="nil"/>
              <w:bottom w:val="single" w:sz="8" w:space="0" w:color="auto"/>
              <w:right w:val="single" w:sz="8" w:space="0" w:color="auto"/>
            </w:tcBorders>
          </w:tcPr>
          <w:p w14:paraId="50B93A9C" w14:textId="77777777" w:rsidR="00CD34C1" w:rsidRPr="00CD34C1" w:rsidRDefault="00CD34C1" w:rsidP="00076963">
            <w:pPr>
              <w:pStyle w:val="Tabletext"/>
              <w:jc w:val="center"/>
              <w:rPr>
                <w:sz w:val="20"/>
              </w:rPr>
            </w:pPr>
            <w:r w:rsidRPr="00CD34C1">
              <w:rPr>
                <w:sz w:val="20"/>
              </w:rPr>
              <w:t>Superior</w:t>
            </w:r>
          </w:p>
        </w:tc>
        <w:tc>
          <w:tcPr>
            <w:tcW w:w="472" w:type="pct"/>
            <w:tcBorders>
              <w:top w:val="dotted" w:sz="4" w:space="0" w:color="auto"/>
              <w:left w:val="nil"/>
              <w:bottom w:val="single" w:sz="8" w:space="0" w:color="auto"/>
              <w:right w:val="single" w:sz="8" w:space="0" w:color="auto"/>
            </w:tcBorders>
          </w:tcPr>
          <w:p w14:paraId="6D0A51AE" w14:textId="77777777" w:rsidR="00CD34C1" w:rsidRPr="00CD34C1" w:rsidRDefault="00CD34C1" w:rsidP="00076963">
            <w:pPr>
              <w:pStyle w:val="Tabletext"/>
              <w:jc w:val="center"/>
              <w:rPr>
                <w:sz w:val="20"/>
              </w:rPr>
            </w:pPr>
            <w:r w:rsidRPr="00CD34C1">
              <w:rPr>
                <w:sz w:val="20"/>
              </w:rPr>
              <w:t>Superior</w:t>
            </w:r>
          </w:p>
        </w:tc>
        <w:tc>
          <w:tcPr>
            <w:tcW w:w="551" w:type="pct"/>
            <w:tcBorders>
              <w:top w:val="dotted" w:sz="4" w:space="0" w:color="auto"/>
              <w:left w:val="nil"/>
              <w:bottom w:val="single" w:sz="8" w:space="0" w:color="auto"/>
              <w:right w:val="single" w:sz="4" w:space="0" w:color="auto"/>
            </w:tcBorders>
          </w:tcPr>
          <w:p w14:paraId="3FEC6657" w14:textId="77777777" w:rsidR="00CD34C1" w:rsidRPr="00CD34C1" w:rsidRDefault="00CD34C1" w:rsidP="00076963">
            <w:pPr>
              <w:pStyle w:val="Tabletext"/>
              <w:jc w:val="center"/>
              <w:rPr>
                <w:sz w:val="20"/>
              </w:rPr>
            </w:pPr>
            <w:r w:rsidRPr="00CD34C1">
              <w:rPr>
                <w:sz w:val="20"/>
              </w:rPr>
              <w:t>Lower</w:t>
            </w:r>
          </w:p>
        </w:tc>
        <w:tc>
          <w:tcPr>
            <w:tcW w:w="551" w:type="pct"/>
            <w:tcBorders>
              <w:top w:val="dotted" w:sz="4" w:space="0" w:color="auto"/>
              <w:left w:val="single" w:sz="4" w:space="0" w:color="auto"/>
              <w:bottom w:val="single" w:sz="8" w:space="0" w:color="auto"/>
              <w:right w:val="single" w:sz="8" w:space="0" w:color="auto"/>
            </w:tcBorders>
            <w:shd w:val="clear" w:color="auto" w:fill="F2F2F2" w:themeFill="background1" w:themeFillShade="F2"/>
          </w:tcPr>
          <w:p w14:paraId="6B1EE142" w14:textId="77777777" w:rsidR="00CD34C1" w:rsidRPr="00CD34C1" w:rsidRDefault="00CD34C1" w:rsidP="00076963">
            <w:pPr>
              <w:pStyle w:val="Tabletext"/>
              <w:jc w:val="center"/>
              <w:rPr>
                <w:sz w:val="20"/>
              </w:rPr>
            </w:pPr>
            <w:r w:rsidRPr="00CD34C1">
              <w:rPr>
                <w:sz w:val="20"/>
              </w:rPr>
              <w:t>Lower</w:t>
            </w:r>
          </w:p>
          <w:p w14:paraId="1AB49006" w14:textId="77777777" w:rsidR="00CD34C1" w:rsidRPr="00CD34C1" w:rsidRDefault="00CD34C1" w:rsidP="00076963">
            <w:pPr>
              <w:pStyle w:val="Tabletext"/>
              <w:jc w:val="center"/>
              <w:rPr>
                <w:sz w:val="20"/>
              </w:rPr>
            </w:pPr>
            <w:r w:rsidRPr="00CD34C1">
              <w:rPr>
                <w:sz w:val="20"/>
              </w:rPr>
              <w:t>(-$1,127.95)</w:t>
            </w:r>
          </w:p>
        </w:tc>
        <w:tc>
          <w:tcPr>
            <w:tcW w:w="676" w:type="pct"/>
            <w:tcBorders>
              <w:top w:val="dotted" w:sz="4" w:space="0" w:color="auto"/>
              <w:left w:val="nil"/>
              <w:bottom w:val="single" w:sz="8" w:space="0" w:color="auto"/>
              <w:right w:val="single" w:sz="8" w:space="0" w:color="auto"/>
            </w:tcBorders>
          </w:tcPr>
          <w:p w14:paraId="1C05F127" w14:textId="77777777" w:rsidR="00CD34C1" w:rsidRPr="00CD34C1" w:rsidRDefault="00CD34C1" w:rsidP="00076963">
            <w:pPr>
              <w:pStyle w:val="Tabletext"/>
              <w:jc w:val="center"/>
              <w:rPr>
                <w:sz w:val="20"/>
              </w:rPr>
            </w:pPr>
            <w:r w:rsidRPr="00CD34C1">
              <w:rPr>
                <w:sz w:val="20"/>
              </w:rPr>
              <w:t>TARE- Y remains dominant</w:t>
            </w:r>
          </w:p>
        </w:tc>
      </w:tr>
      <w:tr w:rsidR="00CD34C1" w:rsidRPr="00CD34C1" w14:paraId="1BA95D5C" w14:textId="77777777" w:rsidTr="00076963">
        <w:tc>
          <w:tcPr>
            <w:tcW w:w="1568" w:type="pct"/>
            <w:tcBorders>
              <w:top w:val="single" w:sz="8" w:space="0" w:color="auto"/>
              <w:left w:val="single" w:sz="4" w:space="0" w:color="auto"/>
              <w:bottom w:val="dotted" w:sz="4" w:space="0" w:color="auto"/>
              <w:right w:val="single" w:sz="8" w:space="0" w:color="auto"/>
            </w:tcBorders>
            <w:tcMar>
              <w:top w:w="0" w:type="dxa"/>
              <w:left w:w="108" w:type="dxa"/>
              <w:bottom w:w="0" w:type="dxa"/>
              <w:right w:w="108" w:type="dxa"/>
            </w:tcMar>
            <w:hideMark/>
          </w:tcPr>
          <w:p w14:paraId="63D366D8" w14:textId="77777777" w:rsidR="00CD34C1" w:rsidRPr="00CD34C1" w:rsidRDefault="00CD34C1" w:rsidP="00CD34C1">
            <w:pPr>
              <w:pStyle w:val="Tabletext"/>
              <w:rPr>
                <w:sz w:val="20"/>
                <w:vertAlign w:val="superscript"/>
              </w:rPr>
            </w:pPr>
            <w:r w:rsidRPr="00CD34C1">
              <w:rPr>
                <w:sz w:val="20"/>
              </w:rPr>
              <w:t>+ AE costing (sensitivity analysis b)</w:t>
            </w:r>
            <w:r>
              <w:rPr>
                <w:sz w:val="20"/>
                <w:vertAlign w:val="superscript"/>
              </w:rPr>
              <w:t>3</w:t>
            </w:r>
          </w:p>
        </w:tc>
        <w:tc>
          <w:tcPr>
            <w:tcW w:w="630" w:type="pct"/>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401D6029" w14:textId="77777777" w:rsidR="00CD34C1" w:rsidRPr="00CD34C1" w:rsidRDefault="00CD34C1" w:rsidP="00076963">
            <w:pPr>
              <w:pStyle w:val="Tabletext"/>
              <w:jc w:val="center"/>
              <w:rPr>
                <w:sz w:val="20"/>
              </w:rPr>
            </w:pPr>
            <w:r w:rsidRPr="00CD34C1">
              <w:rPr>
                <w:sz w:val="20"/>
              </w:rPr>
              <w:t>Non-inferior</w:t>
            </w:r>
          </w:p>
        </w:tc>
        <w:tc>
          <w:tcPr>
            <w:tcW w:w="552" w:type="pct"/>
            <w:tcBorders>
              <w:top w:val="single" w:sz="8" w:space="0" w:color="auto"/>
              <w:left w:val="nil"/>
              <w:bottom w:val="dotted" w:sz="4" w:space="0" w:color="auto"/>
              <w:right w:val="single" w:sz="8" w:space="0" w:color="auto"/>
            </w:tcBorders>
          </w:tcPr>
          <w:p w14:paraId="41FEC9C1" w14:textId="77777777" w:rsidR="00CD34C1" w:rsidRPr="00CD34C1" w:rsidRDefault="00CD34C1" w:rsidP="00076963">
            <w:pPr>
              <w:pStyle w:val="Tabletext"/>
              <w:jc w:val="center"/>
              <w:rPr>
                <w:sz w:val="20"/>
              </w:rPr>
            </w:pPr>
            <w:r w:rsidRPr="00CD34C1">
              <w:rPr>
                <w:sz w:val="20"/>
              </w:rPr>
              <w:t>Superior</w:t>
            </w:r>
          </w:p>
        </w:tc>
        <w:tc>
          <w:tcPr>
            <w:tcW w:w="472" w:type="pct"/>
            <w:tcBorders>
              <w:top w:val="single" w:sz="8" w:space="0" w:color="auto"/>
              <w:left w:val="nil"/>
              <w:bottom w:val="dotted" w:sz="4" w:space="0" w:color="auto"/>
              <w:right w:val="single" w:sz="8" w:space="0" w:color="auto"/>
            </w:tcBorders>
          </w:tcPr>
          <w:p w14:paraId="668EC82E" w14:textId="77777777" w:rsidR="00CD34C1" w:rsidRPr="00CD34C1" w:rsidRDefault="00CD34C1" w:rsidP="00076963">
            <w:pPr>
              <w:pStyle w:val="Tabletext"/>
              <w:jc w:val="center"/>
              <w:rPr>
                <w:sz w:val="20"/>
              </w:rPr>
            </w:pPr>
            <w:r w:rsidRPr="00CD34C1">
              <w:rPr>
                <w:sz w:val="20"/>
              </w:rPr>
              <w:t>Superior</w:t>
            </w:r>
          </w:p>
        </w:tc>
        <w:tc>
          <w:tcPr>
            <w:tcW w:w="551" w:type="pct"/>
            <w:tcBorders>
              <w:top w:val="single" w:sz="8" w:space="0" w:color="auto"/>
              <w:left w:val="nil"/>
              <w:bottom w:val="dotted" w:sz="4" w:space="0" w:color="auto"/>
              <w:right w:val="single" w:sz="4" w:space="0" w:color="auto"/>
            </w:tcBorders>
          </w:tcPr>
          <w:p w14:paraId="0EA2691A" w14:textId="77777777" w:rsidR="00CD34C1" w:rsidRPr="00CD34C1" w:rsidRDefault="00CD34C1" w:rsidP="00076963">
            <w:pPr>
              <w:pStyle w:val="Tabletext"/>
              <w:jc w:val="center"/>
              <w:rPr>
                <w:sz w:val="20"/>
              </w:rPr>
            </w:pPr>
            <w:r w:rsidRPr="00CD34C1">
              <w:rPr>
                <w:sz w:val="20"/>
              </w:rPr>
              <w:t>Lower</w:t>
            </w:r>
          </w:p>
        </w:tc>
        <w:tc>
          <w:tcPr>
            <w:tcW w:w="551" w:type="pct"/>
            <w:tcBorders>
              <w:top w:val="single" w:sz="8" w:space="0" w:color="auto"/>
              <w:left w:val="single" w:sz="4" w:space="0" w:color="auto"/>
              <w:bottom w:val="dotted" w:sz="4" w:space="0" w:color="auto"/>
              <w:right w:val="single" w:sz="8" w:space="0" w:color="auto"/>
            </w:tcBorders>
            <w:shd w:val="clear" w:color="auto" w:fill="F2F2F2" w:themeFill="background1" w:themeFillShade="F2"/>
          </w:tcPr>
          <w:p w14:paraId="07A6BC80" w14:textId="77777777" w:rsidR="00CD34C1" w:rsidRPr="00CD34C1" w:rsidRDefault="00CD34C1" w:rsidP="00076963">
            <w:pPr>
              <w:pStyle w:val="Tabletext"/>
              <w:jc w:val="center"/>
              <w:rPr>
                <w:sz w:val="20"/>
              </w:rPr>
            </w:pPr>
            <w:r w:rsidRPr="00CD34C1">
              <w:rPr>
                <w:sz w:val="20"/>
              </w:rPr>
              <w:t>Lower</w:t>
            </w:r>
          </w:p>
          <w:p w14:paraId="229A3ADE" w14:textId="77777777" w:rsidR="00CD34C1" w:rsidRPr="00CD34C1" w:rsidRDefault="00CD34C1" w:rsidP="00076963">
            <w:pPr>
              <w:pStyle w:val="Tabletext"/>
              <w:jc w:val="center"/>
              <w:rPr>
                <w:sz w:val="20"/>
              </w:rPr>
            </w:pPr>
            <w:r w:rsidRPr="00CD34C1">
              <w:rPr>
                <w:sz w:val="20"/>
              </w:rPr>
              <w:t>(-$312.57)</w:t>
            </w:r>
          </w:p>
        </w:tc>
        <w:tc>
          <w:tcPr>
            <w:tcW w:w="676" w:type="pct"/>
            <w:tcBorders>
              <w:top w:val="single" w:sz="8" w:space="0" w:color="auto"/>
              <w:left w:val="nil"/>
              <w:bottom w:val="dotted" w:sz="4" w:space="0" w:color="auto"/>
              <w:right w:val="single" w:sz="8" w:space="0" w:color="auto"/>
            </w:tcBorders>
          </w:tcPr>
          <w:p w14:paraId="11D10B40" w14:textId="77777777" w:rsidR="00CD34C1" w:rsidRPr="00CD34C1" w:rsidRDefault="00CD34C1" w:rsidP="00076963">
            <w:pPr>
              <w:pStyle w:val="Tabletext"/>
              <w:jc w:val="center"/>
              <w:rPr>
                <w:sz w:val="20"/>
              </w:rPr>
            </w:pPr>
            <w:r w:rsidRPr="00CD34C1">
              <w:rPr>
                <w:sz w:val="20"/>
              </w:rPr>
              <w:t>TARE- Y remains dominant</w:t>
            </w:r>
          </w:p>
        </w:tc>
      </w:tr>
      <w:tr w:rsidR="00CD34C1" w:rsidRPr="00CD34C1" w14:paraId="4D9FE06C" w14:textId="77777777" w:rsidTr="00076963">
        <w:tc>
          <w:tcPr>
            <w:tcW w:w="1568" w:type="pct"/>
            <w:tcBorders>
              <w:top w:val="dotted"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4B6F545C" w14:textId="77777777" w:rsidR="00CD34C1" w:rsidRPr="00CD34C1" w:rsidRDefault="00CD34C1" w:rsidP="00076963">
            <w:pPr>
              <w:pStyle w:val="Tabletext"/>
              <w:rPr>
                <w:sz w:val="20"/>
              </w:rPr>
            </w:pPr>
            <w:r w:rsidRPr="00CD34C1">
              <w:rPr>
                <w:sz w:val="20"/>
              </w:rPr>
              <w:t>+ AE costing (sensitivity analysis b) + REILD</w:t>
            </w:r>
          </w:p>
        </w:tc>
        <w:tc>
          <w:tcPr>
            <w:tcW w:w="630" w:type="pct"/>
            <w:tcBorders>
              <w:top w:val="dotted" w:sz="4" w:space="0" w:color="auto"/>
              <w:left w:val="nil"/>
              <w:bottom w:val="single" w:sz="8" w:space="0" w:color="auto"/>
              <w:right w:val="single" w:sz="8" w:space="0" w:color="auto"/>
            </w:tcBorders>
            <w:tcMar>
              <w:top w:w="0" w:type="dxa"/>
              <w:left w:w="108" w:type="dxa"/>
              <w:bottom w:w="0" w:type="dxa"/>
              <w:right w:w="108" w:type="dxa"/>
            </w:tcMar>
            <w:hideMark/>
          </w:tcPr>
          <w:p w14:paraId="09042145" w14:textId="77777777" w:rsidR="00CD34C1" w:rsidRPr="00CD34C1" w:rsidRDefault="00CD34C1" w:rsidP="00076963">
            <w:pPr>
              <w:pStyle w:val="Tabletext"/>
              <w:jc w:val="center"/>
              <w:rPr>
                <w:sz w:val="20"/>
              </w:rPr>
            </w:pPr>
            <w:r w:rsidRPr="00CD34C1">
              <w:rPr>
                <w:sz w:val="20"/>
              </w:rPr>
              <w:t>Non-inferior</w:t>
            </w:r>
          </w:p>
        </w:tc>
        <w:tc>
          <w:tcPr>
            <w:tcW w:w="552" w:type="pct"/>
            <w:tcBorders>
              <w:top w:val="dotted" w:sz="4" w:space="0" w:color="auto"/>
              <w:left w:val="nil"/>
              <w:bottom w:val="single" w:sz="8" w:space="0" w:color="auto"/>
              <w:right w:val="single" w:sz="8" w:space="0" w:color="auto"/>
            </w:tcBorders>
          </w:tcPr>
          <w:p w14:paraId="7E7D115B" w14:textId="77777777" w:rsidR="00CD34C1" w:rsidRPr="00CD34C1" w:rsidRDefault="00CD34C1" w:rsidP="00076963">
            <w:pPr>
              <w:pStyle w:val="Tabletext"/>
              <w:jc w:val="center"/>
              <w:rPr>
                <w:sz w:val="20"/>
              </w:rPr>
            </w:pPr>
            <w:r w:rsidRPr="00CD34C1">
              <w:rPr>
                <w:sz w:val="20"/>
              </w:rPr>
              <w:t>Superior</w:t>
            </w:r>
          </w:p>
        </w:tc>
        <w:tc>
          <w:tcPr>
            <w:tcW w:w="472" w:type="pct"/>
            <w:tcBorders>
              <w:top w:val="dotted" w:sz="4" w:space="0" w:color="auto"/>
              <w:left w:val="nil"/>
              <w:bottom w:val="single" w:sz="8" w:space="0" w:color="auto"/>
              <w:right w:val="single" w:sz="8" w:space="0" w:color="auto"/>
            </w:tcBorders>
          </w:tcPr>
          <w:p w14:paraId="1F0FC03B" w14:textId="77777777" w:rsidR="00CD34C1" w:rsidRPr="00CD34C1" w:rsidRDefault="00CD34C1" w:rsidP="00076963">
            <w:pPr>
              <w:pStyle w:val="Tabletext"/>
              <w:jc w:val="center"/>
              <w:rPr>
                <w:sz w:val="20"/>
              </w:rPr>
            </w:pPr>
            <w:r w:rsidRPr="00CD34C1">
              <w:rPr>
                <w:sz w:val="20"/>
              </w:rPr>
              <w:t>Superior</w:t>
            </w:r>
          </w:p>
        </w:tc>
        <w:tc>
          <w:tcPr>
            <w:tcW w:w="551" w:type="pct"/>
            <w:tcBorders>
              <w:top w:val="dotted" w:sz="4" w:space="0" w:color="auto"/>
              <w:left w:val="nil"/>
              <w:bottom w:val="single" w:sz="8" w:space="0" w:color="auto"/>
              <w:right w:val="single" w:sz="4" w:space="0" w:color="auto"/>
            </w:tcBorders>
          </w:tcPr>
          <w:p w14:paraId="3A4E47C3" w14:textId="77777777" w:rsidR="00CD34C1" w:rsidRPr="00CD34C1" w:rsidRDefault="00CD34C1" w:rsidP="00076963">
            <w:pPr>
              <w:pStyle w:val="Tabletext"/>
              <w:jc w:val="center"/>
              <w:rPr>
                <w:sz w:val="20"/>
              </w:rPr>
            </w:pPr>
            <w:r w:rsidRPr="00CD34C1">
              <w:rPr>
                <w:sz w:val="20"/>
              </w:rPr>
              <w:t>Lower</w:t>
            </w:r>
          </w:p>
        </w:tc>
        <w:tc>
          <w:tcPr>
            <w:tcW w:w="551" w:type="pct"/>
            <w:tcBorders>
              <w:top w:val="dotted" w:sz="4" w:space="0" w:color="auto"/>
              <w:left w:val="single" w:sz="4" w:space="0" w:color="auto"/>
              <w:bottom w:val="single" w:sz="8" w:space="0" w:color="auto"/>
              <w:right w:val="single" w:sz="8" w:space="0" w:color="auto"/>
            </w:tcBorders>
            <w:shd w:val="clear" w:color="auto" w:fill="F2F2F2" w:themeFill="background1" w:themeFillShade="F2"/>
          </w:tcPr>
          <w:p w14:paraId="6823E3BF" w14:textId="77777777" w:rsidR="00CD34C1" w:rsidRPr="00CD34C1" w:rsidRDefault="00CD34C1" w:rsidP="00076963">
            <w:pPr>
              <w:pStyle w:val="Tabletext"/>
              <w:jc w:val="center"/>
              <w:rPr>
                <w:sz w:val="20"/>
              </w:rPr>
            </w:pPr>
            <w:r w:rsidRPr="00CD34C1">
              <w:rPr>
                <w:sz w:val="20"/>
              </w:rPr>
              <w:t>Lower</w:t>
            </w:r>
          </w:p>
          <w:p w14:paraId="43E50368" w14:textId="77777777" w:rsidR="00CD34C1" w:rsidRPr="00CD34C1" w:rsidRDefault="00CD34C1" w:rsidP="00076963">
            <w:pPr>
              <w:pStyle w:val="Tabletext"/>
              <w:jc w:val="center"/>
              <w:rPr>
                <w:sz w:val="20"/>
              </w:rPr>
            </w:pPr>
            <w:r w:rsidRPr="00CD34C1">
              <w:rPr>
                <w:sz w:val="20"/>
              </w:rPr>
              <w:t>(-$69.87)</w:t>
            </w:r>
          </w:p>
        </w:tc>
        <w:tc>
          <w:tcPr>
            <w:tcW w:w="676" w:type="pct"/>
            <w:tcBorders>
              <w:top w:val="dotted" w:sz="4" w:space="0" w:color="auto"/>
              <w:left w:val="nil"/>
              <w:bottom w:val="single" w:sz="8" w:space="0" w:color="auto"/>
              <w:right w:val="single" w:sz="8" w:space="0" w:color="auto"/>
            </w:tcBorders>
          </w:tcPr>
          <w:p w14:paraId="43C091A3" w14:textId="77777777" w:rsidR="00CD34C1" w:rsidRPr="00CD34C1" w:rsidRDefault="00CD34C1" w:rsidP="00076963">
            <w:pPr>
              <w:pStyle w:val="Tabletext"/>
              <w:jc w:val="center"/>
              <w:rPr>
                <w:sz w:val="20"/>
              </w:rPr>
            </w:pPr>
            <w:r w:rsidRPr="00CD34C1">
              <w:rPr>
                <w:sz w:val="20"/>
              </w:rPr>
              <w:t>TARE- Y remains dominant</w:t>
            </w:r>
          </w:p>
        </w:tc>
      </w:tr>
      <w:tr w:rsidR="00CD34C1" w:rsidRPr="00CD34C1" w14:paraId="5FFB2283" w14:textId="77777777" w:rsidTr="00076963">
        <w:tc>
          <w:tcPr>
            <w:tcW w:w="5000" w:type="pct"/>
            <w:gridSpan w:val="7"/>
            <w:tcBorders>
              <w:top w:val="nil"/>
              <w:left w:val="single" w:sz="8" w:space="0" w:color="auto"/>
              <w:bottom w:val="single" w:sz="8" w:space="0" w:color="auto"/>
              <w:right w:val="single" w:sz="8" w:space="0" w:color="auto"/>
            </w:tcBorders>
            <w:shd w:val="clear" w:color="auto" w:fill="000000" w:themeFill="text1"/>
            <w:tcMar>
              <w:top w:w="0" w:type="dxa"/>
              <w:left w:w="108" w:type="dxa"/>
              <w:bottom w:w="0" w:type="dxa"/>
              <w:right w:w="108" w:type="dxa"/>
            </w:tcMar>
          </w:tcPr>
          <w:p w14:paraId="097170A5" w14:textId="77777777" w:rsidR="00CD34C1" w:rsidRPr="00CD34C1" w:rsidRDefault="00CD34C1" w:rsidP="00076963">
            <w:pPr>
              <w:pStyle w:val="Tabletext"/>
              <w:rPr>
                <w:b/>
                <w:sz w:val="20"/>
              </w:rPr>
            </w:pPr>
            <w:r w:rsidRPr="00CD34C1">
              <w:rPr>
                <w:b/>
                <w:sz w:val="20"/>
              </w:rPr>
              <w:t xml:space="preserve">Additional economic evaluation – </w:t>
            </w:r>
            <w:proofErr w:type="spellStart"/>
            <w:r w:rsidRPr="00CD34C1">
              <w:rPr>
                <w:b/>
                <w:sz w:val="20"/>
              </w:rPr>
              <w:t>SIRveNIB</w:t>
            </w:r>
            <w:proofErr w:type="spellEnd"/>
            <w:r w:rsidRPr="00CD34C1">
              <w:rPr>
                <w:b/>
                <w:sz w:val="20"/>
              </w:rPr>
              <w:t xml:space="preserve"> study</w:t>
            </w:r>
          </w:p>
        </w:tc>
      </w:tr>
      <w:tr w:rsidR="00CD34C1" w:rsidRPr="00CD34C1" w14:paraId="526E8A40" w14:textId="77777777" w:rsidTr="00076963">
        <w:tc>
          <w:tcPr>
            <w:tcW w:w="15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7DAC0" w14:textId="77777777" w:rsidR="00CD34C1" w:rsidRPr="00CD34C1" w:rsidRDefault="00CD34C1" w:rsidP="00CD34C1">
            <w:pPr>
              <w:pStyle w:val="Tabletext"/>
              <w:rPr>
                <w:sz w:val="20"/>
                <w:vertAlign w:val="superscript"/>
              </w:rPr>
            </w:pPr>
            <w:r w:rsidRPr="00CD34C1">
              <w:rPr>
                <w:sz w:val="20"/>
              </w:rPr>
              <w:t>+ AE costing (base case)</w:t>
            </w:r>
            <w:r>
              <w:rPr>
                <w:sz w:val="20"/>
                <w:vertAlign w:val="superscript"/>
              </w:rPr>
              <w:t>4</w:t>
            </w:r>
          </w:p>
        </w:tc>
        <w:tc>
          <w:tcPr>
            <w:tcW w:w="630" w:type="pct"/>
            <w:tcBorders>
              <w:top w:val="nil"/>
              <w:left w:val="nil"/>
              <w:bottom w:val="single" w:sz="8" w:space="0" w:color="auto"/>
              <w:right w:val="single" w:sz="8" w:space="0" w:color="auto"/>
            </w:tcBorders>
            <w:tcMar>
              <w:top w:w="0" w:type="dxa"/>
              <w:left w:w="108" w:type="dxa"/>
              <w:bottom w:w="0" w:type="dxa"/>
              <w:right w:w="108" w:type="dxa"/>
            </w:tcMar>
            <w:hideMark/>
          </w:tcPr>
          <w:p w14:paraId="6B3FC573" w14:textId="77777777" w:rsidR="00CD34C1" w:rsidRPr="00CD34C1" w:rsidRDefault="00CD34C1" w:rsidP="00076963">
            <w:pPr>
              <w:pStyle w:val="Tabletext"/>
              <w:jc w:val="center"/>
              <w:rPr>
                <w:sz w:val="20"/>
              </w:rPr>
            </w:pPr>
            <w:r w:rsidRPr="00CD34C1">
              <w:rPr>
                <w:sz w:val="20"/>
              </w:rPr>
              <w:t>Non-inferior</w:t>
            </w:r>
          </w:p>
        </w:tc>
        <w:tc>
          <w:tcPr>
            <w:tcW w:w="552" w:type="pct"/>
            <w:tcBorders>
              <w:top w:val="nil"/>
              <w:left w:val="nil"/>
              <w:bottom w:val="single" w:sz="8" w:space="0" w:color="auto"/>
              <w:right w:val="single" w:sz="8" w:space="0" w:color="auto"/>
            </w:tcBorders>
          </w:tcPr>
          <w:p w14:paraId="0886B47B" w14:textId="77777777" w:rsidR="00CD34C1" w:rsidRPr="00CD34C1" w:rsidRDefault="00CD34C1" w:rsidP="00076963">
            <w:pPr>
              <w:pStyle w:val="Tabletext"/>
              <w:jc w:val="center"/>
              <w:rPr>
                <w:sz w:val="20"/>
              </w:rPr>
            </w:pPr>
            <w:r w:rsidRPr="00CD34C1">
              <w:rPr>
                <w:sz w:val="20"/>
              </w:rPr>
              <w:t>Superior</w:t>
            </w:r>
          </w:p>
        </w:tc>
        <w:tc>
          <w:tcPr>
            <w:tcW w:w="472" w:type="pct"/>
            <w:tcBorders>
              <w:top w:val="nil"/>
              <w:left w:val="nil"/>
              <w:bottom w:val="single" w:sz="8" w:space="0" w:color="auto"/>
              <w:right w:val="single" w:sz="8" w:space="0" w:color="auto"/>
            </w:tcBorders>
          </w:tcPr>
          <w:p w14:paraId="32C69525" w14:textId="77777777" w:rsidR="00CD34C1" w:rsidRPr="00CD34C1" w:rsidRDefault="00CD34C1" w:rsidP="00076963">
            <w:pPr>
              <w:pStyle w:val="Tabletext"/>
              <w:jc w:val="center"/>
              <w:rPr>
                <w:sz w:val="20"/>
              </w:rPr>
            </w:pPr>
            <w:r w:rsidRPr="00CD34C1">
              <w:rPr>
                <w:sz w:val="20"/>
              </w:rPr>
              <w:t>Similar</w:t>
            </w:r>
          </w:p>
        </w:tc>
        <w:tc>
          <w:tcPr>
            <w:tcW w:w="551" w:type="pct"/>
            <w:tcBorders>
              <w:top w:val="nil"/>
              <w:left w:val="nil"/>
              <w:bottom w:val="single" w:sz="8" w:space="0" w:color="auto"/>
              <w:right w:val="single" w:sz="4" w:space="0" w:color="auto"/>
            </w:tcBorders>
          </w:tcPr>
          <w:p w14:paraId="07548AB4" w14:textId="77777777" w:rsidR="00CD34C1" w:rsidRPr="00CD34C1" w:rsidRDefault="00CD34C1" w:rsidP="00076963">
            <w:pPr>
              <w:pStyle w:val="Tabletext"/>
              <w:jc w:val="center"/>
              <w:rPr>
                <w:sz w:val="20"/>
              </w:rPr>
            </w:pPr>
            <w:r w:rsidRPr="00CD34C1">
              <w:rPr>
                <w:sz w:val="20"/>
              </w:rPr>
              <w:t>Lower</w:t>
            </w:r>
          </w:p>
        </w:tc>
        <w:tc>
          <w:tcPr>
            <w:tcW w:w="551" w:type="pct"/>
            <w:tcBorders>
              <w:top w:val="single" w:sz="8" w:space="0" w:color="auto"/>
              <w:left w:val="single" w:sz="4" w:space="0" w:color="auto"/>
              <w:bottom w:val="single" w:sz="8" w:space="0" w:color="auto"/>
              <w:right w:val="single" w:sz="8" w:space="0" w:color="auto"/>
            </w:tcBorders>
            <w:shd w:val="clear" w:color="auto" w:fill="F2F2F2" w:themeFill="background1" w:themeFillShade="F2"/>
          </w:tcPr>
          <w:p w14:paraId="5159E232" w14:textId="77777777" w:rsidR="00CD34C1" w:rsidRPr="00CD34C1" w:rsidRDefault="00CD34C1" w:rsidP="00076963">
            <w:pPr>
              <w:pStyle w:val="Tabletext"/>
              <w:jc w:val="center"/>
              <w:rPr>
                <w:sz w:val="20"/>
              </w:rPr>
            </w:pPr>
            <w:r w:rsidRPr="00CD34C1">
              <w:rPr>
                <w:sz w:val="20"/>
              </w:rPr>
              <w:t>Lower</w:t>
            </w:r>
          </w:p>
          <w:p w14:paraId="00478AF5" w14:textId="77777777" w:rsidR="00CD34C1" w:rsidRPr="00CD34C1" w:rsidRDefault="00CD34C1" w:rsidP="00076963">
            <w:pPr>
              <w:pStyle w:val="Tabletext"/>
              <w:jc w:val="center"/>
              <w:rPr>
                <w:sz w:val="20"/>
              </w:rPr>
            </w:pPr>
            <w:r w:rsidRPr="00CD34C1">
              <w:rPr>
                <w:sz w:val="20"/>
              </w:rPr>
              <w:t>(-$418.60)</w:t>
            </w:r>
          </w:p>
        </w:tc>
        <w:tc>
          <w:tcPr>
            <w:tcW w:w="676" w:type="pct"/>
            <w:tcBorders>
              <w:top w:val="nil"/>
              <w:left w:val="nil"/>
              <w:bottom w:val="single" w:sz="8" w:space="0" w:color="auto"/>
              <w:right w:val="single" w:sz="8" w:space="0" w:color="auto"/>
            </w:tcBorders>
          </w:tcPr>
          <w:p w14:paraId="53AA96F8" w14:textId="77777777" w:rsidR="00CD34C1" w:rsidRPr="00CD34C1" w:rsidRDefault="00CD34C1" w:rsidP="00076963">
            <w:pPr>
              <w:pStyle w:val="Tabletext"/>
              <w:jc w:val="center"/>
              <w:rPr>
                <w:sz w:val="20"/>
              </w:rPr>
            </w:pPr>
            <w:r w:rsidRPr="00CD34C1">
              <w:rPr>
                <w:sz w:val="20"/>
              </w:rPr>
              <w:t>TARE- Y remains dominant</w:t>
            </w:r>
          </w:p>
        </w:tc>
      </w:tr>
      <w:tr w:rsidR="00CD34C1" w:rsidRPr="00CD34C1" w14:paraId="1CB8B055" w14:textId="77777777" w:rsidTr="00076963">
        <w:tc>
          <w:tcPr>
            <w:tcW w:w="1568" w:type="pct"/>
            <w:tcBorders>
              <w:top w:val="single" w:sz="8" w:space="0" w:color="auto"/>
              <w:left w:val="single" w:sz="8" w:space="0" w:color="auto"/>
              <w:bottom w:val="dotted" w:sz="4" w:space="0" w:color="auto"/>
              <w:right w:val="single" w:sz="8" w:space="0" w:color="auto"/>
            </w:tcBorders>
            <w:tcMar>
              <w:top w:w="0" w:type="dxa"/>
              <w:left w:w="108" w:type="dxa"/>
              <w:bottom w:w="0" w:type="dxa"/>
              <w:right w:w="108" w:type="dxa"/>
            </w:tcMar>
            <w:hideMark/>
          </w:tcPr>
          <w:p w14:paraId="75BA9F86" w14:textId="77777777" w:rsidR="00CD34C1" w:rsidRPr="00CD34C1" w:rsidRDefault="00CD34C1" w:rsidP="00CD34C1">
            <w:pPr>
              <w:pStyle w:val="Tabletext"/>
              <w:rPr>
                <w:sz w:val="20"/>
                <w:vertAlign w:val="superscript"/>
              </w:rPr>
            </w:pPr>
            <w:r w:rsidRPr="00CD34C1">
              <w:rPr>
                <w:sz w:val="20"/>
              </w:rPr>
              <w:t>+ AE costing (base case) + AE costing (sensitivity analysis)</w:t>
            </w:r>
            <w:r>
              <w:rPr>
                <w:sz w:val="20"/>
                <w:vertAlign w:val="superscript"/>
              </w:rPr>
              <w:t>4</w:t>
            </w:r>
          </w:p>
        </w:tc>
        <w:tc>
          <w:tcPr>
            <w:tcW w:w="630" w:type="pct"/>
            <w:tcBorders>
              <w:top w:val="single" w:sz="8" w:space="0" w:color="auto"/>
              <w:left w:val="nil"/>
              <w:bottom w:val="dotted" w:sz="4" w:space="0" w:color="auto"/>
              <w:right w:val="single" w:sz="8" w:space="0" w:color="auto"/>
            </w:tcBorders>
            <w:tcMar>
              <w:top w:w="0" w:type="dxa"/>
              <w:left w:w="108" w:type="dxa"/>
              <w:bottom w:w="0" w:type="dxa"/>
              <w:right w:w="108" w:type="dxa"/>
            </w:tcMar>
            <w:hideMark/>
          </w:tcPr>
          <w:p w14:paraId="1386D590" w14:textId="77777777" w:rsidR="00CD34C1" w:rsidRPr="00CD34C1" w:rsidRDefault="00CD34C1" w:rsidP="00076963">
            <w:pPr>
              <w:pStyle w:val="Tabletext"/>
              <w:jc w:val="center"/>
              <w:rPr>
                <w:sz w:val="20"/>
              </w:rPr>
            </w:pPr>
            <w:r w:rsidRPr="00CD34C1">
              <w:rPr>
                <w:sz w:val="20"/>
              </w:rPr>
              <w:t>Non-inferior</w:t>
            </w:r>
          </w:p>
        </w:tc>
        <w:tc>
          <w:tcPr>
            <w:tcW w:w="552" w:type="pct"/>
            <w:tcBorders>
              <w:top w:val="single" w:sz="8" w:space="0" w:color="auto"/>
              <w:left w:val="nil"/>
              <w:bottom w:val="dotted" w:sz="4" w:space="0" w:color="auto"/>
              <w:right w:val="single" w:sz="8" w:space="0" w:color="auto"/>
            </w:tcBorders>
          </w:tcPr>
          <w:p w14:paraId="36BBAEC9" w14:textId="77777777" w:rsidR="00CD34C1" w:rsidRPr="00CD34C1" w:rsidRDefault="00CD34C1" w:rsidP="00076963">
            <w:pPr>
              <w:pStyle w:val="Tabletext"/>
              <w:jc w:val="center"/>
              <w:rPr>
                <w:sz w:val="20"/>
              </w:rPr>
            </w:pPr>
            <w:r w:rsidRPr="00CD34C1">
              <w:rPr>
                <w:sz w:val="20"/>
              </w:rPr>
              <w:t>Superior</w:t>
            </w:r>
          </w:p>
        </w:tc>
        <w:tc>
          <w:tcPr>
            <w:tcW w:w="472" w:type="pct"/>
            <w:tcBorders>
              <w:top w:val="single" w:sz="8" w:space="0" w:color="auto"/>
              <w:left w:val="nil"/>
              <w:bottom w:val="dotted" w:sz="4" w:space="0" w:color="auto"/>
              <w:right w:val="single" w:sz="8" w:space="0" w:color="auto"/>
            </w:tcBorders>
          </w:tcPr>
          <w:p w14:paraId="592D14B5" w14:textId="77777777" w:rsidR="00CD34C1" w:rsidRPr="00CD34C1" w:rsidRDefault="00CD34C1" w:rsidP="00076963">
            <w:pPr>
              <w:pStyle w:val="Tabletext"/>
              <w:jc w:val="center"/>
              <w:rPr>
                <w:sz w:val="20"/>
              </w:rPr>
            </w:pPr>
            <w:r w:rsidRPr="00CD34C1">
              <w:rPr>
                <w:sz w:val="20"/>
              </w:rPr>
              <w:t>Similar</w:t>
            </w:r>
          </w:p>
        </w:tc>
        <w:tc>
          <w:tcPr>
            <w:tcW w:w="551" w:type="pct"/>
            <w:tcBorders>
              <w:top w:val="single" w:sz="8" w:space="0" w:color="auto"/>
              <w:left w:val="nil"/>
              <w:bottom w:val="dotted" w:sz="4" w:space="0" w:color="auto"/>
              <w:right w:val="single" w:sz="4" w:space="0" w:color="auto"/>
            </w:tcBorders>
          </w:tcPr>
          <w:p w14:paraId="31804CBB" w14:textId="77777777" w:rsidR="00CD34C1" w:rsidRPr="00CD34C1" w:rsidRDefault="00CD34C1" w:rsidP="00076963">
            <w:pPr>
              <w:pStyle w:val="Tabletext"/>
              <w:jc w:val="center"/>
              <w:rPr>
                <w:sz w:val="20"/>
              </w:rPr>
            </w:pPr>
            <w:r w:rsidRPr="00CD34C1">
              <w:rPr>
                <w:sz w:val="20"/>
              </w:rPr>
              <w:t>Lower</w:t>
            </w:r>
          </w:p>
        </w:tc>
        <w:tc>
          <w:tcPr>
            <w:tcW w:w="551" w:type="pct"/>
            <w:tcBorders>
              <w:top w:val="single" w:sz="8" w:space="0" w:color="auto"/>
              <w:left w:val="single" w:sz="4" w:space="0" w:color="auto"/>
              <w:bottom w:val="dotted" w:sz="4" w:space="0" w:color="auto"/>
              <w:right w:val="single" w:sz="8" w:space="0" w:color="auto"/>
            </w:tcBorders>
            <w:shd w:val="clear" w:color="auto" w:fill="F2F2F2" w:themeFill="background1" w:themeFillShade="F2"/>
          </w:tcPr>
          <w:p w14:paraId="220C67C5" w14:textId="77777777" w:rsidR="00CD34C1" w:rsidRPr="00CD34C1" w:rsidRDefault="00CD34C1" w:rsidP="00076963">
            <w:pPr>
              <w:pStyle w:val="Tabletext"/>
              <w:jc w:val="center"/>
              <w:rPr>
                <w:sz w:val="20"/>
              </w:rPr>
            </w:pPr>
            <w:r w:rsidRPr="00CD34C1">
              <w:rPr>
                <w:sz w:val="20"/>
              </w:rPr>
              <w:t>Lower</w:t>
            </w:r>
          </w:p>
          <w:p w14:paraId="50F5AF21" w14:textId="77777777" w:rsidR="00CD34C1" w:rsidRPr="00CD34C1" w:rsidRDefault="00CD34C1" w:rsidP="00076963">
            <w:pPr>
              <w:pStyle w:val="Tabletext"/>
              <w:jc w:val="center"/>
              <w:rPr>
                <w:sz w:val="20"/>
              </w:rPr>
            </w:pPr>
            <w:r w:rsidRPr="00CD34C1">
              <w:rPr>
                <w:sz w:val="20"/>
              </w:rPr>
              <w:t>(-$1,370.65)</w:t>
            </w:r>
          </w:p>
        </w:tc>
        <w:tc>
          <w:tcPr>
            <w:tcW w:w="676" w:type="pct"/>
            <w:tcBorders>
              <w:top w:val="single" w:sz="8" w:space="0" w:color="auto"/>
              <w:left w:val="nil"/>
              <w:bottom w:val="dotted" w:sz="4" w:space="0" w:color="auto"/>
              <w:right w:val="single" w:sz="8" w:space="0" w:color="auto"/>
            </w:tcBorders>
          </w:tcPr>
          <w:p w14:paraId="7C4C7886" w14:textId="77777777" w:rsidR="00CD34C1" w:rsidRPr="00CD34C1" w:rsidRDefault="00CD34C1" w:rsidP="00076963">
            <w:pPr>
              <w:pStyle w:val="Tabletext"/>
              <w:jc w:val="center"/>
              <w:rPr>
                <w:sz w:val="20"/>
              </w:rPr>
            </w:pPr>
            <w:r w:rsidRPr="00CD34C1">
              <w:rPr>
                <w:sz w:val="20"/>
              </w:rPr>
              <w:t>TARE- Y remains dominant</w:t>
            </w:r>
          </w:p>
        </w:tc>
      </w:tr>
      <w:tr w:rsidR="00CD34C1" w:rsidRPr="00CD34C1" w14:paraId="04AF3F7F" w14:textId="77777777" w:rsidTr="00076963">
        <w:tc>
          <w:tcPr>
            <w:tcW w:w="1568" w:type="pct"/>
            <w:tcBorders>
              <w:top w:val="dotted" w:sz="4" w:space="0" w:color="auto"/>
              <w:left w:val="single" w:sz="8" w:space="0" w:color="auto"/>
              <w:bottom w:val="single" w:sz="8" w:space="0" w:color="auto"/>
              <w:right w:val="single" w:sz="8" w:space="0" w:color="auto"/>
            </w:tcBorders>
            <w:tcMar>
              <w:top w:w="0" w:type="dxa"/>
              <w:left w:w="108" w:type="dxa"/>
              <w:bottom w:w="0" w:type="dxa"/>
              <w:right w:w="108" w:type="dxa"/>
            </w:tcMar>
          </w:tcPr>
          <w:p w14:paraId="745165E5" w14:textId="77777777" w:rsidR="00CD34C1" w:rsidRPr="00CD34C1" w:rsidRDefault="00CD34C1" w:rsidP="00076963">
            <w:pPr>
              <w:pStyle w:val="Tabletext"/>
              <w:rPr>
                <w:sz w:val="20"/>
              </w:rPr>
            </w:pPr>
            <w:r w:rsidRPr="00CD34C1">
              <w:rPr>
                <w:sz w:val="20"/>
              </w:rPr>
              <w:t>+ AE costing (base case) + AE costing (sensitivity analysis) + REILD</w:t>
            </w:r>
          </w:p>
        </w:tc>
        <w:tc>
          <w:tcPr>
            <w:tcW w:w="630" w:type="pct"/>
            <w:tcBorders>
              <w:top w:val="dotted" w:sz="4" w:space="0" w:color="auto"/>
              <w:left w:val="nil"/>
              <w:bottom w:val="single" w:sz="8" w:space="0" w:color="auto"/>
              <w:right w:val="single" w:sz="8" w:space="0" w:color="auto"/>
            </w:tcBorders>
            <w:tcMar>
              <w:top w:w="0" w:type="dxa"/>
              <w:left w:w="108" w:type="dxa"/>
              <w:bottom w:w="0" w:type="dxa"/>
              <w:right w:w="108" w:type="dxa"/>
            </w:tcMar>
          </w:tcPr>
          <w:p w14:paraId="71BF0B28" w14:textId="77777777" w:rsidR="00CD34C1" w:rsidRPr="00CD34C1" w:rsidRDefault="00CD34C1" w:rsidP="00076963">
            <w:pPr>
              <w:pStyle w:val="Tabletext"/>
              <w:jc w:val="center"/>
              <w:rPr>
                <w:sz w:val="20"/>
              </w:rPr>
            </w:pPr>
            <w:r w:rsidRPr="00CD34C1">
              <w:rPr>
                <w:sz w:val="20"/>
              </w:rPr>
              <w:t>Non-inferior</w:t>
            </w:r>
          </w:p>
        </w:tc>
        <w:tc>
          <w:tcPr>
            <w:tcW w:w="552" w:type="pct"/>
            <w:tcBorders>
              <w:top w:val="dotted" w:sz="4" w:space="0" w:color="auto"/>
              <w:left w:val="nil"/>
              <w:bottom w:val="single" w:sz="8" w:space="0" w:color="auto"/>
              <w:right w:val="single" w:sz="8" w:space="0" w:color="auto"/>
            </w:tcBorders>
          </w:tcPr>
          <w:p w14:paraId="491BFF3B" w14:textId="77777777" w:rsidR="00CD34C1" w:rsidRPr="00CD34C1" w:rsidRDefault="00CD34C1" w:rsidP="00076963">
            <w:pPr>
              <w:pStyle w:val="Tabletext"/>
              <w:jc w:val="center"/>
              <w:rPr>
                <w:sz w:val="20"/>
              </w:rPr>
            </w:pPr>
            <w:r w:rsidRPr="00CD34C1">
              <w:rPr>
                <w:sz w:val="20"/>
              </w:rPr>
              <w:t>Superior</w:t>
            </w:r>
          </w:p>
        </w:tc>
        <w:tc>
          <w:tcPr>
            <w:tcW w:w="472" w:type="pct"/>
            <w:tcBorders>
              <w:top w:val="dotted" w:sz="4" w:space="0" w:color="auto"/>
              <w:left w:val="nil"/>
              <w:bottom w:val="single" w:sz="8" w:space="0" w:color="auto"/>
              <w:right w:val="single" w:sz="8" w:space="0" w:color="auto"/>
            </w:tcBorders>
          </w:tcPr>
          <w:p w14:paraId="521B6475" w14:textId="77777777" w:rsidR="00CD34C1" w:rsidRPr="00CD34C1" w:rsidRDefault="00CD34C1" w:rsidP="00076963">
            <w:pPr>
              <w:pStyle w:val="Tabletext"/>
              <w:jc w:val="center"/>
              <w:rPr>
                <w:sz w:val="20"/>
              </w:rPr>
            </w:pPr>
            <w:r w:rsidRPr="00CD34C1">
              <w:rPr>
                <w:sz w:val="20"/>
              </w:rPr>
              <w:t>Similar</w:t>
            </w:r>
          </w:p>
        </w:tc>
        <w:tc>
          <w:tcPr>
            <w:tcW w:w="551" w:type="pct"/>
            <w:tcBorders>
              <w:top w:val="dotted" w:sz="4" w:space="0" w:color="auto"/>
              <w:left w:val="nil"/>
              <w:bottom w:val="single" w:sz="8" w:space="0" w:color="auto"/>
              <w:right w:val="single" w:sz="4" w:space="0" w:color="auto"/>
            </w:tcBorders>
          </w:tcPr>
          <w:p w14:paraId="7FE9B72A" w14:textId="77777777" w:rsidR="00CD34C1" w:rsidRPr="00CD34C1" w:rsidRDefault="00CD34C1" w:rsidP="00076963">
            <w:pPr>
              <w:pStyle w:val="Tabletext"/>
              <w:jc w:val="center"/>
              <w:rPr>
                <w:sz w:val="20"/>
              </w:rPr>
            </w:pPr>
            <w:r w:rsidRPr="00CD34C1">
              <w:rPr>
                <w:sz w:val="20"/>
              </w:rPr>
              <w:t>Lower</w:t>
            </w:r>
          </w:p>
        </w:tc>
        <w:tc>
          <w:tcPr>
            <w:tcW w:w="551" w:type="pct"/>
            <w:tcBorders>
              <w:top w:val="dotted" w:sz="4" w:space="0" w:color="auto"/>
              <w:left w:val="single" w:sz="4" w:space="0" w:color="auto"/>
              <w:bottom w:val="single" w:sz="8" w:space="0" w:color="auto"/>
              <w:right w:val="single" w:sz="8" w:space="0" w:color="auto"/>
            </w:tcBorders>
            <w:shd w:val="clear" w:color="auto" w:fill="F2F2F2" w:themeFill="background1" w:themeFillShade="F2"/>
          </w:tcPr>
          <w:p w14:paraId="4424BE38" w14:textId="77777777" w:rsidR="00CD34C1" w:rsidRPr="00CD34C1" w:rsidRDefault="00CD34C1" w:rsidP="00076963">
            <w:pPr>
              <w:pStyle w:val="Tabletext"/>
              <w:jc w:val="center"/>
              <w:rPr>
                <w:sz w:val="20"/>
              </w:rPr>
            </w:pPr>
            <w:r w:rsidRPr="00CD34C1">
              <w:rPr>
                <w:sz w:val="20"/>
              </w:rPr>
              <w:t>Lower</w:t>
            </w:r>
          </w:p>
          <w:p w14:paraId="50A23CD7" w14:textId="77777777" w:rsidR="00CD34C1" w:rsidRPr="00CD34C1" w:rsidRDefault="00CD34C1" w:rsidP="00076963">
            <w:pPr>
              <w:pStyle w:val="Tabletext"/>
              <w:jc w:val="center"/>
              <w:rPr>
                <w:sz w:val="20"/>
              </w:rPr>
            </w:pPr>
            <w:r w:rsidRPr="00CD34C1">
              <w:rPr>
                <w:sz w:val="20"/>
              </w:rPr>
              <w:t>(-$191.78)</w:t>
            </w:r>
          </w:p>
        </w:tc>
        <w:tc>
          <w:tcPr>
            <w:tcW w:w="676" w:type="pct"/>
            <w:tcBorders>
              <w:top w:val="dotted" w:sz="4" w:space="0" w:color="auto"/>
              <w:left w:val="nil"/>
              <w:bottom w:val="single" w:sz="8" w:space="0" w:color="auto"/>
              <w:right w:val="single" w:sz="8" w:space="0" w:color="auto"/>
            </w:tcBorders>
          </w:tcPr>
          <w:p w14:paraId="7B04DD6B" w14:textId="77777777" w:rsidR="00CD34C1" w:rsidRPr="00CD34C1" w:rsidRDefault="00CD34C1" w:rsidP="00076963">
            <w:pPr>
              <w:pStyle w:val="Tabletext"/>
              <w:jc w:val="center"/>
              <w:rPr>
                <w:sz w:val="20"/>
              </w:rPr>
            </w:pPr>
            <w:r w:rsidRPr="00CD34C1">
              <w:rPr>
                <w:sz w:val="20"/>
              </w:rPr>
              <w:t>TARE-Y remains dominant</w:t>
            </w:r>
          </w:p>
        </w:tc>
      </w:tr>
    </w:tbl>
    <w:p w14:paraId="522394B9" w14:textId="77777777" w:rsidR="00CD34C1" w:rsidRPr="00CD34C1" w:rsidRDefault="00CD34C1" w:rsidP="00CD34C1">
      <w:pPr>
        <w:pStyle w:val="TableNotes18"/>
        <w:spacing w:after="0"/>
        <w:rPr>
          <w:sz w:val="18"/>
        </w:rPr>
      </w:pPr>
      <w:r w:rsidRPr="00CD34C1">
        <w:rPr>
          <w:sz w:val="18"/>
        </w:rPr>
        <w:t xml:space="preserve">Abbreviations: AE, adverse event; REILD, </w:t>
      </w:r>
      <w:proofErr w:type="spellStart"/>
      <w:r w:rsidRPr="00CD34C1">
        <w:rPr>
          <w:sz w:val="18"/>
        </w:rPr>
        <w:t>radioembolisation</w:t>
      </w:r>
      <w:proofErr w:type="spellEnd"/>
      <w:r w:rsidRPr="00CD34C1">
        <w:rPr>
          <w:sz w:val="18"/>
        </w:rPr>
        <w:t xml:space="preserve">-induced liver disease; SBA, submission-based assessment; TARE-Y, </w:t>
      </w:r>
      <w:proofErr w:type="spellStart"/>
      <w:r w:rsidRPr="00CD34C1">
        <w:rPr>
          <w:sz w:val="18"/>
        </w:rPr>
        <w:t>transarterial</w:t>
      </w:r>
      <w:proofErr w:type="spellEnd"/>
      <w:r w:rsidRPr="00CD34C1">
        <w:rPr>
          <w:sz w:val="18"/>
        </w:rPr>
        <w:t xml:space="preserve"> </w:t>
      </w:r>
      <w:proofErr w:type="spellStart"/>
      <w:r w:rsidRPr="00CD34C1">
        <w:rPr>
          <w:sz w:val="18"/>
        </w:rPr>
        <w:t>radioembolisation</w:t>
      </w:r>
      <w:proofErr w:type="spellEnd"/>
      <w:r w:rsidRPr="00CD34C1">
        <w:rPr>
          <w:sz w:val="18"/>
        </w:rPr>
        <w:t xml:space="preserve"> using yttrium-90.</w:t>
      </w:r>
    </w:p>
    <w:p w14:paraId="3A0D4FC7" w14:textId="77777777" w:rsidR="00CD34C1" w:rsidRPr="00CD34C1" w:rsidRDefault="00CD34C1" w:rsidP="00CD34C1">
      <w:pPr>
        <w:pStyle w:val="TableNotes18"/>
        <w:spacing w:after="0"/>
        <w:rPr>
          <w:sz w:val="18"/>
        </w:rPr>
      </w:pPr>
      <w:r>
        <w:rPr>
          <w:sz w:val="18"/>
          <w:vertAlign w:val="superscript"/>
        </w:rPr>
        <w:t>1</w:t>
      </w:r>
      <w:r w:rsidRPr="00CD34C1">
        <w:rPr>
          <w:sz w:val="18"/>
          <w:vertAlign w:val="superscript"/>
        </w:rPr>
        <w:t xml:space="preserve"> </w:t>
      </w:r>
      <w:r w:rsidRPr="00CD34C1">
        <w:rPr>
          <w:sz w:val="18"/>
        </w:rPr>
        <w:t xml:space="preserve">Any </w:t>
      </w:r>
      <w:r w:rsidRPr="00CD34C1">
        <w:rPr>
          <w:rFonts w:cs="Calibri"/>
          <w:sz w:val="18"/>
        </w:rPr>
        <w:t>≥</w:t>
      </w:r>
      <w:r w:rsidRPr="00CD34C1">
        <w:rPr>
          <w:sz w:val="18"/>
        </w:rPr>
        <w:t xml:space="preserve"> grade 3 adverse events in the </w:t>
      </w:r>
      <w:r w:rsidRPr="00CD34C1">
        <w:rPr>
          <w:i/>
          <w:sz w:val="18"/>
        </w:rPr>
        <w:t>per-protocol</w:t>
      </w:r>
      <w:r w:rsidRPr="00CD34C1">
        <w:rPr>
          <w:sz w:val="18"/>
        </w:rPr>
        <w:t xml:space="preserve"> population that show a statistically significant difference between TARE-Y and sorafenib</w:t>
      </w:r>
    </w:p>
    <w:p w14:paraId="2BBA6594" w14:textId="77777777" w:rsidR="00CD34C1" w:rsidRPr="00CD34C1" w:rsidRDefault="00CD34C1" w:rsidP="00CD34C1">
      <w:pPr>
        <w:pStyle w:val="TableNotes18"/>
        <w:spacing w:after="0"/>
        <w:rPr>
          <w:sz w:val="18"/>
        </w:rPr>
      </w:pPr>
      <w:proofErr w:type="gramStart"/>
      <w:r>
        <w:rPr>
          <w:sz w:val="18"/>
          <w:vertAlign w:val="superscript"/>
        </w:rPr>
        <w:t>2</w:t>
      </w:r>
      <w:proofErr w:type="gramEnd"/>
      <w:r w:rsidRPr="00CD34C1">
        <w:rPr>
          <w:sz w:val="18"/>
          <w:vertAlign w:val="superscript"/>
        </w:rPr>
        <w:t xml:space="preserve"> </w:t>
      </w:r>
      <w:r w:rsidRPr="00CD34C1">
        <w:rPr>
          <w:sz w:val="18"/>
        </w:rPr>
        <w:t xml:space="preserve">Non-significant treatment-related TARE-Y grade ≥ 3 adverse events of interest (gastrointestinal bleeding and liver dysfunction) in the </w:t>
      </w:r>
      <w:r w:rsidRPr="00CD34C1">
        <w:rPr>
          <w:i/>
          <w:sz w:val="18"/>
        </w:rPr>
        <w:t>per-protocol population</w:t>
      </w:r>
      <w:r w:rsidRPr="00CD34C1">
        <w:rPr>
          <w:sz w:val="18"/>
        </w:rPr>
        <w:t>.</w:t>
      </w:r>
    </w:p>
    <w:p w14:paraId="28D7A1E7" w14:textId="77777777" w:rsidR="00CD34C1" w:rsidRDefault="00CD34C1" w:rsidP="00CD34C1">
      <w:pPr>
        <w:pStyle w:val="TableNotes18"/>
        <w:spacing w:after="0"/>
        <w:rPr>
          <w:sz w:val="18"/>
        </w:rPr>
      </w:pPr>
      <w:r>
        <w:rPr>
          <w:sz w:val="18"/>
          <w:vertAlign w:val="superscript"/>
        </w:rPr>
        <w:t>3</w:t>
      </w:r>
      <w:r w:rsidRPr="00CD34C1">
        <w:rPr>
          <w:sz w:val="18"/>
          <w:vertAlign w:val="superscript"/>
        </w:rPr>
        <w:t xml:space="preserve"> </w:t>
      </w:r>
      <w:r w:rsidRPr="00CD34C1">
        <w:rPr>
          <w:sz w:val="18"/>
        </w:rPr>
        <w:t xml:space="preserve">Any ≥ grade 3 adverse events, according to </w:t>
      </w:r>
      <w:proofErr w:type="spellStart"/>
      <w:r w:rsidRPr="00CD34C1">
        <w:rPr>
          <w:sz w:val="18"/>
        </w:rPr>
        <w:t>MedDRA</w:t>
      </w:r>
      <w:proofErr w:type="spellEnd"/>
      <w:r w:rsidRPr="00CD34C1">
        <w:rPr>
          <w:sz w:val="18"/>
        </w:rPr>
        <w:t xml:space="preserve"> coding that occurred in at least 10% of patients in the </w:t>
      </w:r>
      <w:r w:rsidRPr="00CD34C1">
        <w:rPr>
          <w:i/>
          <w:sz w:val="18"/>
        </w:rPr>
        <w:t>safety</w:t>
      </w:r>
      <w:r w:rsidRPr="00CD34C1">
        <w:rPr>
          <w:sz w:val="18"/>
        </w:rPr>
        <w:t xml:space="preserve"> </w:t>
      </w:r>
      <w:proofErr w:type="gramStart"/>
      <w:r w:rsidRPr="00CD34C1">
        <w:rPr>
          <w:sz w:val="18"/>
        </w:rPr>
        <w:t>population, that</w:t>
      </w:r>
      <w:proofErr w:type="gramEnd"/>
      <w:r w:rsidRPr="00CD34C1">
        <w:rPr>
          <w:sz w:val="18"/>
        </w:rPr>
        <w:t xml:space="preserve"> showed a significant difference between TARE-Y and sorafenib.</w:t>
      </w:r>
    </w:p>
    <w:p w14:paraId="736AEB2A" w14:textId="77777777" w:rsidR="00CD34C1" w:rsidRDefault="00CD34C1" w:rsidP="00CD34C1">
      <w:pPr>
        <w:pStyle w:val="TableNotes18"/>
        <w:spacing w:after="0"/>
        <w:rPr>
          <w:sz w:val="18"/>
        </w:rPr>
      </w:pPr>
      <w:r>
        <w:rPr>
          <w:sz w:val="18"/>
          <w:vertAlign w:val="superscript"/>
        </w:rPr>
        <w:t xml:space="preserve">4 </w:t>
      </w:r>
      <w:r w:rsidRPr="00CD34C1">
        <w:rPr>
          <w:sz w:val="18"/>
        </w:rPr>
        <w:t xml:space="preserve">Any </w:t>
      </w:r>
      <w:r w:rsidRPr="00CD34C1">
        <w:rPr>
          <w:rFonts w:cs="Calibri"/>
          <w:sz w:val="18"/>
        </w:rPr>
        <w:t>≥</w:t>
      </w:r>
      <w:r w:rsidRPr="00CD34C1">
        <w:rPr>
          <w:sz w:val="18"/>
        </w:rPr>
        <w:t xml:space="preserve"> grade 3 adverse events in the </w:t>
      </w:r>
      <w:r w:rsidRPr="00CD34C1">
        <w:rPr>
          <w:i/>
          <w:sz w:val="18"/>
        </w:rPr>
        <w:t>treated</w:t>
      </w:r>
      <w:r w:rsidRPr="00CD34C1">
        <w:rPr>
          <w:sz w:val="18"/>
        </w:rPr>
        <w:t xml:space="preserve"> population that show a statistically significant difference between TARE-Y and sorafenib</w:t>
      </w:r>
    </w:p>
    <w:p w14:paraId="2F0B0157" w14:textId="07EF7FBF" w:rsidR="00CD34C1" w:rsidRPr="00195B7E" w:rsidRDefault="00CD34C1" w:rsidP="00195B7E">
      <w:pPr>
        <w:pStyle w:val="TableNotes18"/>
        <w:rPr>
          <w:sz w:val="20"/>
        </w:rPr>
      </w:pPr>
      <w:proofErr w:type="gramStart"/>
      <w:r>
        <w:rPr>
          <w:sz w:val="18"/>
          <w:vertAlign w:val="superscript"/>
        </w:rPr>
        <w:t>5</w:t>
      </w:r>
      <w:proofErr w:type="gramEnd"/>
      <w:r>
        <w:rPr>
          <w:sz w:val="18"/>
          <w:vertAlign w:val="superscript"/>
        </w:rPr>
        <w:t xml:space="preserve"> </w:t>
      </w:r>
      <w:r w:rsidRPr="00CD34C1">
        <w:rPr>
          <w:sz w:val="18"/>
        </w:rPr>
        <w:t xml:space="preserve">Non-significant TARE-Y-associated adverse events (as defined by the study authors) from the </w:t>
      </w:r>
      <w:r w:rsidRPr="00CD34C1">
        <w:rPr>
          <w:i/>
          <w:sz w:val="18"/>
        </w:rPr>
        <w:t>treated</w:t>
      </w:r>
      <w:r w:rsidRPr="00CD34C1">
        <w:rPr>
          <w:sz w:val="18"/>
        </w:rPr>
        <w:t xml:space="preserve"> population</w:t>
      </w:r>
      <w:r>
        <w:t>.</w:t>
      </w:r>
    </w:p>
    <w:p w14:paraId="543F392D" w14:textId="77777777" w:rsidR="00334E76" w:rsidRDefault="00334E76" w:rsidP="00334E76">
      <w:pPr>
        <w:spacing w:after="120"/>
      </w:pPr>
      <w:r>
        <w:t>The SBA also presented two sensitivity analyses, which looked at:</w:t>
      </w:r>
    </w:p>
    <w:p w14:paraId="188153A2" w14:textId="77777777" w:rsidR="00334E76" w:rsidRDefault="00334E76" w:rsidP="00334E76">
      <w:pPr>
        <w:pStyle w:val="ListParagraph"/>
        <w:numPr>
          <w:ilvl w:val="0"/>
          <w:numId w:val="28"/>
        </w:numPr>
        <w:spacing w:after="240"/>
      </w:pPr>
      <w:r>
        <w:t xml:space="preserve">non-significant treatment-related TARE-Y grade ≥3 AEs of interest (gastrointestinal [GI] bleeding and liver dysfunction) from the per-protocol population and inclusion of </w:t>
      </w:r>
      <w:proofErr w:type="spellStart"/>
      <w:r>
        <w:t>radioembolisation</w:t>
      </w:r>
      <w:proofErr w:type="spellEnd"/>
      <w:r>
        <w:t>-induced liver disease (REILD)</w:t>
      </w:r>
    </w:p>
    <w:p w14:paraId="347230FD" w14:textId="77777777" w:rsidR="00334E76" w:rsidRDefault="00334E76" w:rsidP="00334E76">
      <w:pPr>
        <w:pStyle w:val="ListParagraph"/>
        <w:numPr>
          <w:ilvl w:val="0"/>
          <w:numId w:val="28"/>
        </w:numPr>
        <w:spacing w:after="240"/>
      </w:pPr>
      <w:proofErr w:type="gramStart"/>
      <w:r>
        <w:t>any</w:t>
      </w:r>
      <w:proofErr w:type="gramEnd"/>
      <w:r>
        <w:t xml:space="preserve"> grade ≥3 AEs, according to </w:t>
      </w:r>
      <w:proofErr w:type="spellStart"/>
      <w:r>
        <w:t>MedDRA</w:t>
      </w:r>
      <w:proofErr w:type="spellEnd"/>
      <w:r>
        <w:t xml:space="preserve"> coding that occurred in at least 10% of patients in the safety population of the SARAH trial, considering only statistically significant events, and inclusion of REILD cost.</w:t>
      </w:r>
    </w:p>
    <w:p w14:paraId="4F342EFA" w14:textId="38F4D4AB" w:rsidR="00334E76" w:rsidRDefault="00334E76" w:rsidP="00195B7E">
      <w:pPr>
        <w:spacing w:after="240"/>
      </w:pPr>
      <w:r w:rsidRPr="00764EFD">
        <w:t xml:space="preserve">The Critique queried the applicant’s reasoning behind the addition of GI bleeding and liver dysfunction AEs to the first sensitivity analysis; considering that including both trial-reported AEs and REILD in the sensitivity analyses is likely causing some AEs to be double-counted. </w:t>
      </w:r>
      <w:proofErr w:type="gramStart"/>
      <w:r w:rsidRPr="00764EFD">
        <w:t>Also</w:t>
      </w:r>
      <w:proofErr w:type="gramEnd"/>
      <w:r w:rsidRPr="00764EFD">
        <w:t xml:space="preserve">, at least part of the liver dysfunction or GI bleeding cases could have been due to </w:t>
      </w:r>
      <w:r w:rsidRPr="00764EFD">
        <w:lastRenderedPageBreak/>
        <w:t>REILD. In the second sensitivity analysis, the applicant intended to only use AEs occurring</w:t>
      </w:r>
      <w:r w:rsidRPr="002D50C0">
        <w:t xml:space="preserve"> in at least 10% of patients in the safety population</w:t>
      </w:r>
      <w:r>
        <w:t xml:space="preserve">, but </w:t>
      </w:r>
      <w:r w:rsidRPr="002D50C0">
        <w:t xml:space="preserve">since </w:t>
      </w:r>
      <w:r>
        <w:t xml:space="preserve">it </w:t>
      </w:r>
      <w:r w:rsidRPr="002D50C0">
        <w:t>only included grade</w:t>
      </w:r>
      <w:r>
        <w:t> </w:t>
      </w:r>
      <w:r w:rsidRPr="002D50C0">
        <w:t>≥3</w:t>
      </w:r>
      <w:r w:rsidRPr="005F761E">
        <w:t xml:space="preserve"> </w:t>
      </w:r>
      <w:r w:rsidRPr="002D50C0">
        <w:t>AE</w:t>
      </w:r>
      <w:r>
        <w:t xml:space="preserve">s, this is not </w:t>
      </w:r>
      <w:proofErr w:type="gramStart"/>
      <w:r>
        <w:t>actually</w:t>
      </w:r>
      <w:proofErr w:type="gramEnd"/>
      <w:r>
        <w:t xml:space="preserve"> what is represented in the calculations. In addition, the Critique n</w:t>
      </w:r>
      <w:r w:rsidRPr="002D50C0">
        <w:t>ote</w:t>
      </w:r>
      <w:r>
        <w:t>d</w:t>
      </w:r>
      <w:r w:rsidRPr="002D50C0">
        <w:t xml:space="preserve"> </w:t>
      </w:r>
      <w:r>
        <w:t xml:space="preserve">the </w:t>
      </w:r>
      <w:r w:rsidRPr="002D50C0">
        <w:t xml:space="preserve">base-case analysis and first sensitivity analysis </w:t>
      </w:r>
      <w:r>
        <w:t xml:space="preserve">relate to the </w:t>
      </w:r>
      <w:r w:rsidRPr="002D50C0">
        <w:t xml:space="preserve">treatment-related AEs, </w:t>
      </w:r>
      <w:r>
        <w:t xml:space="preserve">while </w:t>
      </w:r>
      <w:r w:rsidRPr="002D50C0">
        <w:t>the second sensitivity analysis uses</w:t>
      </w:r>
      <w:r>
        <w:t xml:space="preserve"> </w:t>
      </w:r>
      <w:r w:rsidRPr="002D50C0">
        <w:t>data on all-cause AEs, both treatment-related and not.</w:t>
      </w:r>
    </w:p>
    <w:p w14:paraId="1FFAFC9F" w14:textId="77777777" w:rsidR="00364653" w:rsidRPr="00364653" w:rsidRDefault="00334E76">
      <w:r>
        <w:t xml:space="preserve">The applicant conducted an additional economic analysis based on the </w:t>
      </w:r>
      <w:proofErr w:type="spellStart"/>
      <w:r>
        <w:t>SIRveNIB</w:t>
      </w:r>
      <w:proofErr w:type="spellEnd"/>
      <w:r>
        <w:t xml:space="preserve"> trial, but the Critique identified similar issues with this analysis as for the one based on the SARAH trial.</w:t>
      </w:r>
    </w:p>
    <w:p w14:paraId="7ABA2465" w14:textId="77777777" w:rsidR="00BC1364" w:rsidRPr="00F715D1" w:rsidRDefault="00BC1364" w:rsidP="00F715D1">
      <w:pPr>
        <w:pStyle w:val="Heading1"/>
      </w:pPr>
      <w:r w:rsidRPr="00F715D1">
        <w:t>Financial/budgetary impacts</w:t>
      </w:r>
    </w:p>
    <w:p w14:paraId="52131F37" w14:textId="77777777" w:rsidR="00560653" w:rsidRPr="00560653" w:rsidRDefault="00560653" w:rsidP="00560653">
      <w:r>
        <w:t xml:space="preserve">Refer to PSD, Application No.1493 2018. </w:t>
      </w:r>
    </w:p>
    <w:p w14:paraId="42A169CE" w14:textId="77777777" w:rsidR="006A0D97" w:rsidRPr="00F715D1" w:rsidRDefault="006A0D97" w:rsidP="00F715D1">
      <w:pPr>
        <w:pStyle w:val="Heading1"/>
      </w:pPr>
      <w:r w:rsidRPr="00F715D1">
        <w:t>Key issues from ESC for MSAC</w:t>
      </w:r>
    </w:p>
    <w:p w14:paraId="4564E219" w14:textId="77777777" w:rsidR="00560653" w:rsidRPr="00560653" w:rsidRDefault="00560653" w:rsidP="00560653">
      <w:r>
        <w:t xml:space="preserve">Refer to PSD, Application No.1493 2018. </w:t>
      </w:r>
    </w:p>
    <w:p w14:paraId="4A429FE4" w14:textId="77777777" w:rsidR="00D90A38" w:rsidRPr="00F715D1" w:rsidRDefault="00BC1364" w:rsidP="00F715D1">
      <w:pPr>
        <w:pStyle w:val="Heading1"/>
      </w:pPr>
      <w:r w:rsidRPr="00F715D1">
        <w:t>Other significant factors</w:t>
      </w:r>
    </w:p>
    <w:p w14:paraId="78FCBA40" w14:textId="77777777" w:rsidR="00BC1364" w:rsidRPr="00152093" w:rsidRDefault="00BC1364" w:rsidP="00F715D1">
      <w:pPr>
        <w:spacing w:after="240"/>
        <w:rPr>
          <w:szCs w:val="24"/>
        </w:rPr>
      </w:pPr>
      <w:r w:rsidRPr="00152093">
        <w:rPr>
          <w:szCs w:val="24"/>
        </w:rPr>
        <w:t>Nil</w:t>
      </w:r>
    </w:p>
    <w:p w14:paraId="128233F2" w14:textId="77777777" w:rsidR="00BC1364" w:rsidRPr="00F715D1" w:rsidRDefault="00BC1364" w:rsidP="00F715D1">
      <w:pPr>
        <w:pStyle w:val="Heading1"/>
      </w:pPr>
      <w:r w:rsidRPr="00F715D1">
        <w:t xml:space="preserve">Applicant’s comments on MSAC’s </w:t>
      </w:r>
      <w:r w:rsidR="00DA56AA" w:rsidRPr="00F715D1">
        <w:t>Public Summary Document</w:t>
      </w:r>
    </w:p>
    <w:p w14:paraId="280F86C9" w14:textId="2E953466" w:rsidR="00BC1364" w:rsidRPr="00ED7048" w:rsidRDefault="00B61261" w:rsidP="00F715D1">
      <w:pPr>
        <w:spacing w:after="240"/>
        <w:rPr>
          <w:szCs w:val="24"/>
        </w:rPr>
      </w:pPr>
      <w:r w:rsidRPr="00ED7048">
        <w:rPr>
          <w:szCs w:val="24"/>
        </w:rPr>
        <w:t>The applicant had no comment.</w:t>
      </w:r>
    </w:p>
    <w:p w14:paraId="76B28583" w14:textId="77777777" w:rsidR="00BC1364" w:rsidRPr="00F715D1" w:rsidRDefault="00271F18" w:rsidP="00F715D1">
      <w:pPr>
        <w:pStyle w:val="Heading1"/>
      </w:pPr>
      <w:r w:rsidRPr="00F715D1">
        <w:t>Further information on MSAC</w:t>
      </w:r>
    </w:p>
    <w:p w14:paraId="39B8F125"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1"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2"/>
      <w:headerReference w:type="default" r:id="rId13"/>
      <w:footerReference w:type="even" r:id="rId14"/>
      <w:footerReference w:type="default" r:id="rId15"/>
      <w:headerReference w:type="first" r:id="rId16"/>
      <w:footerReference w:type="first" r:id="rId17"/>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231ED" w14:textId="77777777" w:rsidR="0000050C" w:rsidRDefault="0000050C" w:rsidP="00065623">
      <w:r>
        <w:separator/>
      </w:r>
    </w:p>
  </w:endnote>
  <w:endnote w:type="continuationSeparator" w:id="0">
    <w:p w14:paraId="10B444DB" w14:textId="77777777" w:rsidR="0000050C" w:rsidRDefault="0000050C"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8F4D" w14:textId="77777777" w:rsidR="00AF1618" w:rsidRDefault="00AF16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2F6B7967" w14:textId="1F22D8C4" w:rsidR="00216EAC" w:rsidRDefault="00216EAC">
        <w:pPr>
          <w:pStyle w:val="Footer"/>
          <w:jc w:val="right"/>
        </w:pPr>
        <w:r>
          <w:fldChar w:fldCharType="begin"/>
        </w:r>
        <w:r>
          <w:instrText xml:space="preserve"> PAGE   \* MERGEFORMAT </w:instrText>
        </w:r>
        <w:r>
          <w:fldChar w:fldCharType="separate"/>
        </w:r>
        <w:r w:rsidR="007F1D09">
          <w:rPr>
            <w:noProof/>
          </w:rPr>
          <w:t>6</w:t>
        </w:r>
        <w:r>
          <w:rPr>
            <w:noProof/>
          </w:rPr>
          <w:fldChar w:fldCharType="end"/>
        </w:r>
      </w:p>
    </w:sdtContent>
  </w:sdt>
  <w:p w14:paraId="491D3D5C" w14:textId="77777777" w:rsidR="00216EAC" w:rsidRDefault="00216E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872D" w14:textId="77777777" w:rsidR="00AF1618" w:rsidRDefault="00AF1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3BD90" w14:textId="77777777" w:rsidR="0000050C" w:rsidRDefault="0000050C" w:rsidP="00065623">
      <w:r>
        <w:separator/>
      </w:r>
    </w:p>
  </w:footnote>
  <w:footnote w:type="continuationSeparator" w:id="0">
    <w:p w14:paraId="32A993E6" w14:textId="77777777" w:rsidR="0000050C" w:rsidRDefault="0000050C"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AA6F" w14:textId="77777777" w:rsidR="00AF1618" w:rsidRDefault="00AF1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2DBD" w14:textId="77777777" w:rsidR="00AF1618" w:rsidRDefault="00AF1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BD7DC" w14:textId="77777777" w:rsidR="00AF1618" w:rsidRDefault="00AF1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19EA4DD8"/>
    <w:multiLevelType w:val="hybridMultilevel"/>
    <w:tmpl w:val="DE76F600"/>
    <w:lvl w:ilvl="0" w:tplc="0C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527888"/>
    <w:multiLevelType w:val="hybridMultilevel"/>
    <w:tmpl w:val="91EC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B653C7"/>
    <w:multiLevelType w:val="hybridMultilevel"/>
    <w:tmpl w:val="744E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404370B"/>
    <w:multiLevelType w:val="hybridMultilevel"/>
    <w:tmpl w:val="BEE00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85392"/>
    <w:multiLevelType w:val="hybridMultilevel"/>
    <w:tmpl w:val="996C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B57CA"/>
    <w:multiLevelType w:val="hybridMultilevel"/>
    <w:tmpl w:val="76CA9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8A5C9E"/>
    <w:multiLevelType w:val="hybridMultilevel"/>
    <w:tmpl w:val="CAC09DF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9"/>
  </w:num>
  <w:num w:numId="3">
    <w:abstractNumId w:val="1"/>
  </w:num>
  <w:num w:numId="4">
    <w:abstractNumId w:val="22"/>
  </w:num>
  <w:num w:numId="5">
    <w:abstractNumId w:val="13"/>
  </w:num>
  <w:num w:numId="6">
    <w:abstractNumId w:val="21"/>
  </w:num>
  <w:num w:numId="7">
    <w:abstractNumId w:val="25"/>
  </w:num>
  <w:num w:numId="8">
    <w:abstractNumId w:val="16"/>
  </w:num>
  <w:num w:numId="9">
    <w:abstractNumId w:val="31"/>
  </w:num>
  <w:num w:numId="10">
    <w:abstractNumId w:val="0"/>
  </w:num>
  <w:num w:numId="11">
    <w:abstractNumId w:val="24"/>
  </w:num>
  <w:num w:numId="12">
    <w:abstractNumId w:val="26"/>
  </w:num>
  <w:num w:numId="13">
    <w:abstractNumId w:val="5"/>
  </w:num>
  <w:num w:numId="14">
    <w:abstractNumId w:val="30"/>
  </w:num>
  <w:num w:numId="15">
    <w:abstractNumId w:val="23"/>
  </w:num>
  <w:num w:numId="16">
    <w:abstractNumId w:val="27"/>
  </w:num>
  <w:num w:numId="17">
    <w:abstractNumId w:val="17"/>
  </w:num>
  <w:num w:numId="18">
    <w:abstractNumId w:val="18"/>
  </w:num>
  <w:num w:numId="19">
    <w:abstractNumId w:val="29"/>
  </w:num>
  <w:num w:numId="20">
    <w:abstractNumId w:val="28"/>
  </w:num>
  <w:num w:numId="21">
    <w:abstractNumId w:val="3"/>
  </w:num>
  <w:num w:numId="22">
    <w:abstractNumId w:val="12"/>
  </w:num>
  <w:num w:numId="23">
    <w:abstractNumId w:val="2"/>
  </w:num>
  <w:num w:numId="24">
    <w:abstractNumId w:val="10"/>
  </w:num>
  <w:num w:numId="25">
    <w:abstractNumId w:val="6"/>
  </w:num>
  <w:num w:numId="26">
    <w:abstractNumId w:val="7"/>
  </w:num>
  <w:num w:numId="27">
    <w:abstractNumId w:val="15"/>
  </w:num>
  <w:num w:numId="28">
    <w:abstractNumId w:val="4"/>
  </w:num>
  <w:num w:numId="29">
    <w:abstractNumId w:val="14"/>
  </w:num>
  <w:num w:numId="30">
    <w:abstractNumId w:val="9"/>
  </w:num>
  <w:num w:numId="31">
    <w:abstractNumId w:val="1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050C"/>
    <w:rsid w:val="00007312"/>
    <w:rsid w:val="00011A36"/>
    <w:rsid w:val="000206A0"/>
    <w:rsid w:val="000317F2"/>
    <w:rsid w:val="00032929"/>
    <w:rsid w:val="00047606"/>
    <w:rsid w:val="00064371"/>
    <w:rsid w:val="00065623"/>
    <w:rsid w:val="0006603D"/>
    <w:rsid w:val="00070ECF"/>
    <w:rsid w:val="000756B9"/>
    <w:rsid w:val="00076963"/>
    <w:rsid w:val="00077DDF"/>
    <w:rsid w:val="000836AB"/>
    <w:rsid w:val="00084001"/>
    <w:rsid w:val="00096B67"/>
    <w:rsid w:val="00096DAF"/>
    <w:rsid w:val="000C2F47"/>
    <w:rsid w:val="000D2B9A"/>
    <w:rsid w:val="000D5856"/>
    <w:rsid w:val="000D6C00"/>
    <w:rsid w:val="000E4E04"/>
    <w:rsid w:val="000F0393"/>
    <w:rsid w:val="000F14B4"/>
    <w:rsid w:val="000F75DF"/>
    <w:rsid w:val="00102288"/>
    <w:rsid w:val="001023DC"/>
    <w:rsid w:val="00113400"/>
    <w:rsid w:val="00116F08"/>
    <w:rsid w:val="001238F4"/>
    <w:rsid w:val="0012439D"/>
    <w:rsid w:val="001328FA"/>
    <w:rsid w:val="00147AAF"/>
    <w:rsid w:val="00152093"/>
    <w:rsid w:val="001552C0"/>
    <w:rsid w:val="001640B1"/>
    <w:rsid w:val="001647C7"/>
    <w:rsid w:val="00176C1C"/>
    <w:rsid w:val="0018435E"/>
    <w:rsid w:val="00195B7E"/>
    <w:rsid w:val="001A0476"/>
    <w:rsid w:val="002041A1"/>
    <w:rsid w:val="002054F0"/>
    <w:rsid w:val="00216EAC"/>
    <w:rsid w:val="00230D6B"/>
    <w:rsid w:val="00232068"/>
    <w:rsid w:val="002330F2"/>
    <w:rsid w:val="00243D9E"/>
    <w:rsid w:val="00253B66"/>
    <w:rsid w:val="00261DF1"/>
    <w:rsid w:val="00261F25"/>
    <w:rsid w:val="00271F18"/>
    <w:rsid w:val="00272340"/>
    <w:rsid w:val="00282779"/>
    <w:rsid w:val="0028334D"/>
    <w:rsid w:val="002846C4"/>
    <w:rsid w:val="002A22BC"/>
    <w:rsid w:val="002B77DF"/>
    <w:rsid w:val="002B7FFA"/>
    <w:rsid w:val="002C2BCF"/>
    <w:rsid w:val="002C3D95"/>
    <w:rsid w:val="002D765B"/>
    <w:rsid w:val="002E0741"/>
    <w:rsid w:val="002F279D"/>
    <w:rsid w:val="002F43B8"/>
    <w:rsid w:val="003321D8"/>
    <w:rsid w:val="00334E76"/>
    <w:rsid w:val="00336856"/>
    <w:rsid w:val="0034554D"/>
    <w:rsid w:val="00352224"/>
    <w:rsid w:val="00355816"/>
    <w:rsid w:val="00360630"/>
    <w:rsid w:val="00364653"/>
    <w:rsid w:val="003671E6"/>
    <w:rsid w:val="00384272"/>
    <w:rsid w:val="0038482E"/>
    <w:rsid w:val="00386D67"/>
    <w:rsid w:val="0038715E"/>
    <w:rsid w:val="003945B8"/>
    <w:rsid w:val="003A6D6E"/>
    <w:rsid w:val="003B256F"/>
    <w:rsid w:val="003D59C8"/>
    <w:rsid w:val="003D7F29"/>
    <w:rsid w:val="003E7E89"/>
    <w:rsid w:val="00405A6B"/>
    <w:rsid w:val="00407B1F"/>
    <w:rsid w:val="0041184F"/>
    <w:rsid w:val="00413708"/>
    <w:rsid w:val="00414C57"/>
    <w:rsid w:val="0041758C"/>
    <w:rsid w:val="004539DE"/>
    <w:rsid w:val="00460F04"/>
    <w:rsid w:val="004A2B2F"/>
    <w:rsid w:val="004A2CF1"/>
    <w:rsid w:val="004B26F9"/>
    <w:rsid w:val="004C3035"/>
    <w:rsid w:val="004C307F"/>
    <w:rsid w:val="004E4BA8"/>
    <w:rsid w:val="004F340F"/>
    <w:rsid w:val="004F7B7C"/>
    <w:rsid w:val="0051407B"/>
    <w:rsid w:val="0051612F"/>
    <w:rsid w:val="0052243D"/>
    <w:rsid w:val="00532435"/>
    <w:rsid w:val="00550354"/>
    <w:rsid w:val="00554583"/>
    <w:rsid w:val="00560653"/>
    <w:rsid w:val="00571236"/>
    <w:rsid w:val="005953A1"/>
    <w:rsid w:val="005A4362"/>
    <w:rsid w:val="005B5434"/>
    <w:rsid w:val="005D0332"/>
    <w:rsid w:val="005D0D8C"/>
    <w:rsid w:val="006119D9"/>
    <w:rsid w:val="00634501"/>
    <w:rsid w:val="0064510B"/>
    <w:rsid w:val="00653F42"/>
    <w:rsid w:val="00657D96"/>
    <w:rsid w:val="0066098B"/>
    <w:rsid w:val="006776AE"/>
    <w:rsid w:val="006A0D97"/>
    <w:rsid w:val="006B1F86"/>
    <w:rsid w:val="006C0A91"/>
    <w:rsid w:val="006C19B2"/>
    <w:rsid w:val="006F21BB"/>
    <w:rsid w:val="007054BB"/>
    <w:rsid w:val="00707064"/>
    <w:rsid w:val="00730683"/>
    <w:rsid w:val="0075261F"/>
    <w:rsid w:val="00752EFD"/>
    <w:rsid w:val="0075468E"/>
    <w:rsid w:val="00764EFD"/>
    <w:rsid w:val="007665D8"/>
    <w:rsid w:val="00766E36"/>
    <w:rsid w:val="007765F4"/>
    <w:rsid w:val="00776633"/>
    <w:rsid w:val="00784D53"/>
    <w:rsid w:val="00797797"/>
    <w:rsid w:val="007A63C9"/>
    <w:rsid w:val="007A64EE"/>
    <w:rsid w:val="007B32D1"/>
    <w:rsid w:val="007B6C8A"/>
    <w:rsid w:val="007B7095"/>
    <w:rsid w:val="007D24E1"/>
    <w:rsid w:val="007D6288"/>
    <w:rsid w:val="007F1D09"/>
    <w:rsid w:val="007F4CE9"/>
    <w:rsid w:val="007F4E20"/>
    <w:rsid w:val="008054DB"/>
    <w:rsid w:val="008069F5"/>
    <w:rsid w:val="00822C7E"/>
    <w:rsid w:val="00847060"/>
    <w:rsid w:val="00847A36"/>
    <w:rsid w:val="00856A33"/>
    <w:rsid w:val="008746D1"/>
    <w:rsid w:val="00881481"/>
    <w:rsid w:val="00892620"/>
    <w:rsid w:val="00895500"/>
    <w:rsid w:val="008978CB"/>
    <w:rsid w:val="008B605E"/>
    <w:rsid w:val="008C7D37"/>
    <w:rsid w:val="008D5885"/>
    <w:rsid w:val="008E1520"/>
    <w:rsid w:val="008E4D34"/>
    <w:rsid w:val="00923FA2"/>
    <w:rsid w:val="00933ACA"/>
    <w:rsid w:val="00935999"/>
    <w:rsid w:val="00952B67"/>
    <w:rsid w:val="0096060D"/>
    <w:rsid w:val="00974A50"/>
    <w:rsid w:val="00974ECD"/>
    <w:rsid w:val="0097585A"/>
    <w:rsid w:val="009822E1"/>
    <w:rsid w:val="009924B0"/>
    <w:rsid w:val="009942C9"/>
    <w:rsid w:val="009B35C4"/>
    <w:rsid w:val="009C630A"/>
    <w:rsid w:val="009E0D98"/>
    <w:rsid w:val="00A068A1"/>
    <w:rsid w:val="00A1207D"/>
    <w:rsid w:val="00A12FD8"/>
    <w:rsid w:val="00A161DB"/>
    <w:rsid w:val="00A1637C"/>
    <w:rsid w:val="00A346FC"/>
    <w:rsid w:val="00A46D77"/>
    <w:rsid w:val="00A50B67"/>
    <w:rsid w:val="00A54339"/>
    <w:rsid w:val="00A60F8D"/>
    <w:rsid w:val="00A846F2"/>
    <w:rsid w:val="00A84F93"/>
    <w:rsid w:val="00A93B97"/>
    <w:rsid w:val="00A9593E"/>
    <w:rsid w:val="00AA006A"/>
    <w:rsid w:val="00AB1AC5"/>
    <w:rsid w:val="00AB3BFC"/>
    <w:rsid w:val="00AB6580"/>
    <w:rsid w:val="00AC4F2E"/>
    <w:rsid w:val="00AC5639"/>
    <w:rsid w:val="00AD0C37"/>
    <w:rsid w:val="00AD385F"/>
    <w:rsid w:val="00AE2F20"/>
    <w:rsid w:val="00AE6E2A"/>
    <w:rsid w:val="00AF1618"/>
    <w:rsid w:val="00B03EAB"/>
    <w:rsid w:val="00B2751B"/>
    <w:rsid w:val="00B31E9C"/>
    <w:rsid w:val="00B35595"/>
    <w:rsid w:val="00B51C6D"/>
    <w:rsid w:val="00B6009A"/>
    <w:rsid w:val="00B61261"/>
    <w:rsid w:val="00B715E7"/>
    <w:rsid w:val="00B775B3"/>
    <w:rsid w:val="00B77FB3"/>
    <w:rsid w:val="00B82153"/>
    <w:rsid w:val="00B83DD2"/>
    <w:rsid w:val="00B86D64"/>
    <w:rsid w:val="00BA4AC5"/>
    <w:rsid w:val="00BC1364"/>
    <w:rsid w:val="00BC2667"/>
    <w:rsid w:val="00BC7DE9"/>
    <w:rsid w:val="00BE24D7"/>
    <w:rsid w:val="00BE4C46"/>
    <w:rsid w:val="00BF479B"/>
    <w:rsid w:val="00C02577"/>
    <w:rsid w:val="00C204FB"/>
    <w:rsid w:val="00C20BEE"/>
    <w:rsid w:val="00C2158D"/>
    <w:rsid w:val="00C43AFF"/>
    <w:rsid w:val="00C55948"/>
    <w:rsid w:val="00C67DD2"/>
    <w:rsid w:val="00C725CB"/>
    <w:rsid w:val="00C76F5C"/>
    <w:rsid w:val="00C90C7A"/>
    <w:rsid w:val="00C963B0"/>
    <w:rsid w:val="00C96BAD"/>
    <w:rsid w:val="00CA6944"/>
    <w:rsid w:val="00CB0F8E"/>
    <w:rsid w:val="00CB7E7D"/>
    <w:rsid w:val="00CC2911"/>
    <w:rsid w:val="00CD34C1"/>
    <w:rsid w:val="00CF0C6D"/>
    <w:rsid w:val="00CF7307"/>
    <w:rsid w:val="00CF7C68"/>
    <w:rsid w:val="00D029A8"/>
    <w:rsid w:val="00D124FA"/>
    <w:rsid w:val="00D21284"/>
    <w:rsid w:val="00D340DE"/>
    <w:rsid w:val="00D55723"/>
    <w:rsid w:val="00D62840"/>
    <w:rsid w:val="00D62FAD"/>
    <w:rsid w:val="00D64355"/>
    <w:rsid w:val="00D70450"/>
    <w:rsid w:val="00D7538C"/>
    <w:rsid w:val="00D83BFD"/>
    <w:rsid w:val="00D90A38"/>
    <w:rsid w:val="00DA0515"/>
    <w:rsid w:val="00DA171E"/>
    <w:rsid w:val="00DA56AA"/>
    <w:rsid w:val="00DB5833"/>
    <w:rsid w:val="00DB78B4"/>
    <w:rsid w:val="00DD2858"/>
    <w:rsid w:val="00DD2C99"/>
    <w:rsid w:val="00DE39AB"/>
    <w:rsid w:val="00E03E33"/>
    <w:rsid w:val="00E059E0"/>
    <w:rsid w:val="00E26581"/>
    <w:rsid w:val="00E3642A"/>
    <w:rsid w:val="00E415C4"/>
    <w:rsid w:val="00E50016"/>
    <w:rsid w:val="00E50CFB"/>
    <w:rsid w:val="00E50EAA"/>
    <w:rsid w:val="00E656D6"/>
    <w:rsid w:val="00E65BDA"/>
    <w:rsid w:val="00E840F8"/>
    <w:rsid w:val="00E977EE"/>
    <w:rsid w:val="00EA2F24"/>
    <w:rsid w:val="00EA359A"/>
    <w:rsid w:val="00EA57D0"/>
    <w:rsid w:val="00EA67A2"/>
    <w:rsid w:val="00EA7117"/>
    <w:rsid w:val="00EB630F"/>
    <w:rsid w:val="00EB6B6F"/>
    <w:rsid w:val="00EC4F98"/>
    <w:rsid w:val="00ED7048"/>
    <w:rsid w:val="00F10B6F"/>
    <w:rsid w:val="00F12F02"/>
    <w:rsid w:val="00F25F5A"/>
    <w:rsid w:val="00F32E0D"/>
    <w:rsid w:val="00F35134"/>
    <w:rsid w:val="00F37B9C"/>
    <w:rsid w:val="00F41812"/>
    <w:rsid w:val="00F56902"/>
    <w:rsid w:val="00F715D1"/>
    <w:rsid w:val="00F72715"/>
    <w:rsid w:val="00F73333"/>
    <w:rsid w:val="00F95D8F"/>
    <w:rsid w:val="00F96CA9"/>
    <w:rsid w:val="00FB350A"/>
    <w:rsid w:val="00FB4C5D"/>
    <w:rsid w:val="00FC4887"/>
    <w:rsid w:val="00FD5A1B"/>
    <w:rsid w:val="00FE1C3F"/>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7C05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56F"/>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semiHidden/>
    <w:unhideWhenUsed/>
    <w:qFormat/>
    <w:locked/>
    <w:rsid w:val="00D7538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rsid w:val="00065623"/>
    <w:rPr>
      <w:sz w:val="20"/>
    </w:rPr>
  </w:style>
  <w:style w:type="character" w:customStyle="1" w:styleId="FootnoteTextChar">
    <w:name w:val="Footnote Text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autoRedefine/>
    <w:uiPriority w:val="35"/>
    <w:qFormat/>
    <w:locked/>
    <w:rsid w:val="00152093"/>
    <w:pPr>
      <w:keepNext/>
      <w:spacing w:after="120"/>
      <w:ind w:left="567" w:hanging="567"/>
    </w:pPr>
    <w:rPr>
      <w:rFonts w:ascii="Arial Narrow" w:hAnsi="Arial Narrow" w:cs="Tahoma"/>
      <w:b/>
      <w:bCs/>
      <w:sz w:val="20"/>
      <w:szCs w:val="22"/>
    </w:rPr>
  </w:style>
  <w:style w:type="paragraph" w:customStyle="1" w:styleId="Tabletext">
    <w:name w:val="Table text"/>
    <w:basedOn w:val="Normal"/>
    <w:link w:val="TabletextChar"/>
    <w:qFormat/>
    <w:rsid w:val="00AC5639"/>
    <w:pPr>
      <w:spacing w:before="40" w:after="40"/>
    </w:pPr>
    <w:rPr>
      <w:rFonts w:ascii="Arial Narrow" w:hAnsi="Arial Narrow" w:cs="Tahoma"/>
      <w:sz w:val="16"/>
    </w:rPr>
  </w:style>
  <w:style w:type="character" w:customStyle="1" w:styleId="TabletextChar">
    <w:name w:val="Table text Char"/>
    <w:link w:val="Tabletext"/>
    <w:rsid w:val="00AC5639"/>
    <w:rPr>
      <w:rFonts w:ascii="Arial Narrow" w:eastAsia="Times New Roman" w:hAnsi="Arial Narrow" w:cs="Tahoma"/>
      <w:sz w:val="16"/>
      <w:szCs w:val="20"/>
    </w:rPr>
  </w:style>
  <w:style w:type="table" w:styleId="TableGrid">
    <w:name w:val="Table Grid"/>
    <w:basedOn w:val="TableNormal"/>
    <w:uiPriority w:val="39"/>
    <w:locked/>
    <w:rsid w:val="00560653"/>
    <w:pPr>
      <w:spacing w:after="24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style>
  <w:style w:type="paragraph" w:customStyle="1" w:styleId="TableNotes18">
    <w:name w:val="TableNotes+18"/>
    <w:basedOn w:val="Normal"/>
    <w:uiPriority w:val="99"/>
    <w:rsid w:val="00560653"/>
    <w:pPr>
      <w:keepLines/>
      <w:spacing w:after="360"/>
    </w:pPr>
    <w:rPr>
      <w:rFonts w:ascii="Arial Narrow" w:hAnsi="Arial Narrow"/>
      <w:color w:val="000000"/>
      <w:sz w:val="16"/>
      <w:szCs w:val="21"/>
    </w:rPr>
  </w:style>
  <w:style w:type="paragraph" w:customStyle="1" w:styleId="TableHeading">
    <w:name w:val="TableHeading"/>
    <w:basedOn w:val="Normal"/>
    <w:link w:val="TableHeadingChar"/>
    <w:qFormat/>
    <w:rsid w:val="00064371"/>
    <w:pPr>
      <w:keepNext/>
      <w:spacing w:before="40" w:after="40"/>
    </w:pPr>
    <w:rPr>
      <w:rFonts w:ascii="Arial Narrow" w:hAnsi="Arial Narrow" w:cs="Tahoma"/>
      <w:b/>
      <w:sz w:val="20"/>
    </w:rPr>
  </w:style>
  <w:style w:type="character" w:customStyle="1" w:styleId="TableHeadingChar">
    <w:name w:val="TableHeading Char"/>
    <w:link w:val="TableHeading"/>
    <w:rsid w:val="00064371"/>
    <w:rPr>
      <w:rFonts w:ascii="Arial Narrow" w:eastAsia="Times New Roman" w:hAnsi="Arial Narrow" w:cs="Tahoma"/>
      <w:b/>
      <w:sz w:val="20"/>
      <w:szCs w:val="20"/>
    </w:rPr>
  </w:style>
  <w:style w:type="paragraph" w:customStyle="1" w:styleId="Tablenotes">
    <w:name w:val="Tablenotes"/>
    <w:basedOn w:val="Normal"/>
    <w:link w:val="TablenotesChar"/>
    <w:qFormat/>
    <w:rsid w:val="00064371"/>
    <w:pPr>
      <w:widowControl w:val="0"/>
      <w:spacing w:after="120"/>
    </w:pPr>
    <w:rPr>
      <w:rFonts w:ascii="Arial Narrow" w:hAnsi="Arial Narrow" w:cs="Arial"/>
      <w:snapToGrid w:val="0"/>
      <w:sz w:val="16"/>
      <w:lang w:eastAsia="en-US"/>
    </w:rPr>
  </w:style>
  <w:style w:type="character" w:customStyle="1" w:styleId="TablenotesChar">
    <w:name w:val="Tablenotes Char"/>
    <w:basedOn w:val="DefaultParagraphFont"/>
    <w:link w:val="Tablenotes"/>
    <w:rsid w:val="00064371"/>
    <w:rPr>
      <w:rFonts w:ascii="Arial Narrow" w:eastAsia="Times New Roman" w:hAnsi="Arial Narrow" w:cs="Arial"/>
      <w:snapToGrid w:val="0"/>
      <w:sz w:val="16"/>
      <w:szCs w:val="20"/>
      <w:lang w:eastAsia="en-US"/>
    </w:rPr>
  </w:style>
  <w:style w:type="character" w:customStyle="1" w:styleId="Heading4Char">
    <w:name w:val="Heading 4 Char"/>
    <w:basedOn w:val="DefaultParagraphFont"/>
    <w:link w:val="Heading4"/>
    <w:semiHidden/>
    <w:rsid w:val="00D7538C"/>
    <w:rPr>
      <w:rFonts w:asciiTheme="majorHAnsi" w:eastAsiaTheme="majorEastAsia" w:hAnsiTheme="majorHAnsi" w:cstheme="majorBidi"/>
      <w:i/>
      <w:iCs/>
      <w:color w:val="365F91" w:themeColor="accent1" w:themeShade="BF"/>
      <w:sz w:val="24"/>
      <w:szCs w:val="20"/>
    </w:rPr>
  </w:style>
  <w:style w:type="paragraph" w:customStyle="1" w:styleId="Char1">
    <w:name w:val="Char1"/>
    <w:basedOn w:val="Normal"/>
    <w:rsid w:val="00261F25"/>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C4D3-D64B-4B4B-BE99-983F6086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3479</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2019-07-29T03:03:00Z</dcterms:created>
  <dcterms:modified xsi:type="dcterms:W3CDTF">2019-08-06T23:19:00Z</dcterms:modified>
</cp:coreProperties>
</file>