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80" w:rsidRPr="00F637B3" w:rsidRDefault="00E44B80" w:rsidP="00E44B80">
      <w:pPr>
        <w:jc w:val="center"/>
        <w:rPr>
          <w:b/>
          <w:szCs w:val="20"/>
        </w:rPr>
      </w:pPr>
      <w:r w:rsidRPr="00F637B3">
        <w:rPr>
          <w:b/>
          <w:noProof/>
          <w:szCs w:val="20"/>
          <w:lang w:eastAsia="en-AU"/>
        </w:rPr>
        <w:drawing>
          <wp:inline distT="0" distB="0" distL="0" distR="0" wp14:anchorId="2981E07C" wp14:editId="768DBB07">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Pr="006F20CF" w:rsidRDefault="008B2610" w:rsidP="00F971CC">
      <w:pPr>
        <w:pStyle w:val="Title"/>
        <w:spacing w:before="2600"/>
      </w:pPr>
      <w:r w:rsidRPr="001906CD">
        <w:t>Application Form</w:t>
      </w:r>
    </w:p>
    <w:p w:rsidR="00E44B80" w:rsidRPr="00D73646" w:rsidRDefault="00E44B80" w:rsidP="00EB0182">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rsidR="00EB0182" w:rsidRDefault="003013A9" w:rsidP="006751A9">
      <w:pPr>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rsidR="00EB0182" w:rsidRDefault="00EB0182" w:rsidP="003F7CB9">
      <w:pPr>
        <w:rPr>
          <w:rFonts w:ascii="Arial" w:hAnsi="Arial" w:cs="Arial"/>
          <w:b/>
          <w:sz w:val="52"/>
          <w:szCs w:val="52"/>
        </w:rPr>
      </w:pPr>
    </w:p>
    <w:p w:rsidR="00EB0182" w:rsidRDefault="00EB0182" w:rsidP="003F7CB9">
      <w:pPr>
        <w:rPr>
          <w:rFonts w:ascii="Arial" w:hAnsi="Arial" w:cs="Arial"/>
          <w:b/>
          <w:sz w:val="52"/>
          <w:szCs w:val="52"/>
        </w:rPr>
      </w:pPr>
    </w:p>
    <w:p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rsidR="008B261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rsidR="00EB0182" w:rsidRDefault="00EB0182" w:rsidP="00EB0182">
      <w:pPr>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rsidR="008B2610" w:rsidRPr="00154B00" w:rsidRDefault="009F5758" w:rsidP="003F7CB9">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rsidR="008B2610" w:rsidRPr="00154B00" w:rsidRDefault="009F5758" w:rsidP="003F7CB9">
      <w:pPr>
        <w:spacing w:before="0" w:after="0"/>
      </w:pPr>
      <w:r w:rsidRPr="00154B00">
        <w:t>Phone:  +61 2 6289 7550</w:t>
      </w:r>
    </w:p>
    <w:p w:rsidR="009F5758" w:rsidRPr="00154B00" w:rsidRDefault="009F5758" w:rsidP="003F7CB9">
      <w:pPr>
        <w:spacing w:before="0" w:after="0"/>
      </w:pPr>
      <w:r w:rsidRPr="00154B00">
        <w:t>Fax:  +61 2 6289 5540</w:t>
      </w:r>
    </w:p>
    <w:p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rsidR="001D77ED" w:rsidRPr="003F7CB9" w:rsidRDefault="00D73646" w:rsidP="006751A9">
      <w:bookmarkStart w:id="0" w:name="_Toc443555803"/>
      <w:r>
        <w:rPr>
          <w:rStyle w:val="IntenseReference"/>
        </w:rPr>
        <w:br w:type="page"/>
      </w:r>
      <w:bookmarkEnd w:id="0"/>
    </w:p>
    <w:p w:rsidR="00E04FB3" w:rsidRPr="00C776B1" w:rsidRDefault="00494011" w:rsidP="00A8732C">
      <w:pPr>
        <w:pStyle w:val="Heading1"/>
      </w:pPr>
      <w:r>
        <w:lastRenderedPageBreak/>
        <w:t>PART 1</w:t>
      </w:r>
      <w:r w:rsidR="00F93784">
        <w:t xml:space="preserve"> – </w:t>
      </w:r>
      <w:r w:rsidR="00E04FB3" w:rsidRPr="00C776B1">
        <w:t>APPLICANT DETAILS</w:t>
      </w:r>
    </w:p>
    <w:p w:rsidR="00392F00" w:rsidRDefault="00D57F88" w:rsidP="004A0BF4">
      <w:pPr>
        <w:pStyle w:val="Heading2"/>
      </w:pPr>
      <w:r w:rsidRPr="00A8732C">
        <w:t>Applicant d</w:t>
      </w:r>
      <w:r w:rsidR="00392F00" w:rsidRPr="00A8732C">
        <w:t>etails</w:t>
      </w:r>
      <w:r w:rsidR="000D066E" w:rsidRPr="00A8732C">
        <w:t xml:space="preserve"> (primary and alternative contacts)</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BB1377" w:rsidRPr="00B126D7">
        <w:rPr>
          <w:color w:val="4F81BD" w:themeColor="accent1"/>
        </w:rPr>
        <w:t>BTG International Asia Limited</w:t>
      </w:r>
    </w:p>
    <w:p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574AB8">
        <w:rPr>
          <w:color w:val="4F81BD" w:themeColor="accent1"/>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BB1377" w:rsidRPr="00B126D7">
        <w:rPr>
          <w:color w:val="4F81BD" w:themeColor="accent1"/>
        </w:rPr>
        <w:t>BTG International Asia Limited</w:t>
      </w:r>
    </w:p>
    <w:p w:rsidR="00C171FB" w:rsidRPr="00C171FB" w:rsidRDefault="00C171FB" w:rsidP="00C171FB"/>
    <w:p w:rsidR="00922D42" w:rsidRDefault="00C171FB" w:rsidP="00C171FB">
      <w:pPr>
        <w:rPr>
          <w:b/>
        </w:rPr>
      </w:pPr>
      <w:r>
        <w:rPr>
          <w:b/>
        </w:rPr>
        <w:t xml:space="preserve">Primary contact name: </w:t>
      </w:r>
    </w:p>
    <w:p w:rsidR="00922D42" w:rsidRPr="00C171FB" w:rsidRDefault="004357DC" w:rsidP="00C171FB">
      <w:pPr>
        <w:rPr>
          <w:b/>
        </w:rPr>
      </w:pPr>
      <w:r>
        <w:rPr>
          <w:color w:val="4F81BD" w:themeColor="accent1"/>
        </w:rPr>
        <w:t>REDACTED</w:t>
      </w:r>
    </w:p>
    <w:p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rsidR="00771F95" w:rsidRDefault="00C171FB" w:rsidP="00C171FB">
      <w:pPr>
        <w:pBdr>
          <w:top w:val="single" w:sz="4" w:space="1" w:color="auto"/>
          <w:left w:val="single" w:sz="4" w:space="4" w:color="auto"/>
          <w:bottom w:val="single" w:sz="4" w:space="1" w:color="auto"/>
          <w:right w:val="single" w:sz="4" w:space="4" w:color="auto"/>
        </w:pBdr>
      </w:pPr>
      <w:r>
        <w:t xml:space="preserve">Business: </w:t>
      </w:r>
      <w:r w:rsidR="004357DC">
        <w:rPr>
          <w:color w:val="4F81BD" w:themeColor="accent1"/>
        </w:rPr>
        <w:t>REDACTED</w:t>
      </w:r>
    </w:p>
    <w:p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4357DC">
        <w:rPr>
          <w:color w:val="4F81BD" w:themeColor="accent1"/>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4357DC">
        <w:rPr>
          <w:color w:val="4F81BD" w:themeColor="accent1"/>
        </w:rPr>
        <w:t>REDACTED</w:t>
      </w:r>
    </w:p>
    <w:p w:rsidR="00C171FB" w:rsidRDefault="00C171FB" w:rsidP="00C171FB">
      <w:pPr>
        <w:rPr>
          <w:b/>
        </w:rPr>
      </w:pPr>
    </w:p>
    <w:p w:rsidR="00922D42" w:rsidRDefault="00C171FB" w:rsidP="00C171FB">
      <w:pPr>
        <w:rPr>
          <w:b/>
        </w:rPr>
      </w:pPr>
      <w:r>
        <w:rPr>
          <w:b/>
        </w:rPr>
        <w:t xml:space="preserve">Alternative contact name: </w:t>
      </w:r>
    </w:p>
    <w:p w:rsidR="00922D42" w:rsidRPr="00C171FB" w:rsidRDefault="004357DC" w:rsidP="00C171FB">
      <w:pPr>
        <w:rPr>
          <w:b/>
        </w:rPr>
      </w:pPr>
      <w:r>
        <w:rPr>
          <w:color w:val="4F81BD" w:themeColor="accent1"/>
        </w:rPr>
        <w:t>REDACTED</w:t>
      </w:r>
    </w:p>
    <w:p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4357DC">
        <w:rPr>
          <w:color w:val="4F81BD" w:themeColor="accent1"/>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4357DC">
        <w:rPr>
          <w:color w:val="4F81BD" w:themeColor="accent1"/>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4357DC">
        <w:rPr>
          <w:color w:val="4F81BD" w:themeColor="accent1"/>
        </w:rPr>
        <w:t>REDACTED</w:t>
      </w:r>
    </w:p>
    <w:p w:rsidR="00C171FB" w:rsidRDefault="00C171FB" w:rsidP="00C171FB"/>
    <w:p w:rsidR="00F34AEC" w:rsidRPr="00154B00" w:rsidRDefault="00F34AEC" w:rsidP="00F34AEC">
      <w:pPr>
        <w:pStyle w:val="Heading2"/>
      </w:pPr>
      <w:r>
        <w:t>(a) Are you a consultant acting on behalf of an Applicant?</w:t>
      </w:r>
    </w:p>
    <w:p w:rsidR="00F34AEC" w:rsidRPr="00922D42" w:rsidRDefault="00922D42" w:rsidP="00F34AEC">
      <w:pPr>
        <w:spacing w:before="0" w:after="0"/>
        <w:ind w:left="426"/>
        <w:rPr>
          <w:color w:val="4F81BD" w:themeColor="accent1"/>
          <w:szCs w:val="20"/>
        </w:rPr>
      </w:pPr>
      <w:r w:rsidRPr="00922D42">
        <w:rPr>
          <w:color w:val="4F81BD" w:themeColor="accent1"/>
          <w:szCs w:val="20"/>
        </w:rPr>
        <w:sym w:font="Wingdings" w:char="F078"/>
      </w:r>
      <w:r w:rsidR="00F34AEC" w:rsidRPr="00922D42">
        <w:rPr>
          <w:color w:val="4F81BD" w:themeColor="accent1"/>
          <w:szCs w:val="20"/>
        </w:rPr>
        <w:t xml:space="preserve"> Yes</w:t>
      </w:r>
      <w:r w:rsidRPr="00922D42">
        <w:rPr>
          <w:color w:val="4F81BD" w:themeColor="accent1"/>
          <w:szCs w:val="20"/>
        </w:rPr>
        <w:t xml:space="preserve"> – </w:t>
      </w:r>
      <w:r w:rsidR="004357DC">
        <w:rPr>
          <w:color w:val="4F81BD" w:themeColor="accent1"/>
          <w:szCs w:val="20"/>
        </w:rPr>
        <w:t>REDACTED</w:t>
      </w:r>
    </w:p>
    <w:p w:rsidR="00F34AEC" w:rsidRPr="00B126D7" w:rsidRDefault="00BB1377" w:rsidP="00F34AEC">
      <w:pPr>
        <w:spacing w:before="0" w:after="0"/>
        <w:ind w:left="426"/>
        <w:rPr>
          <w:color w:val="4F81BD" w:themeColor="accent1"/>
          <w:szCs w:val="20"/>
        </w:rPr>
      </w:pPr>
      <w:r w:rsidRPr="00B126D7">
        <w:rPr>
          <w:color w:val="4F81BD" w:themeColor="accent1"/>
          <w:szCs w:val="20"/>
        </w:rPr>
        <w:sym w:font="Wingdings" w:char="F078"/>
      </w:r>
      <w:r w:rsidR="00F34AEC" w:rsidRPr="00B126D7">
        <w:rPr>
          <w:color w:val="4F81BD" w:themeColor="accent1"/>
          <w:szCs w:val="20"/>
        </w:rPr>
        <w:t xml:space="preserve"> No</w:t>
      </w:r>
      <w:r w:rsidR="00352047" w:rsidRPr="00B126D7">
        <w:rPr>
          <w:color w:val="4F81BD" w:themeColor="accent1"/>
          <w:szCs w:val="20"/>
        </w:rPr>
        <w:t xml:space="preserve"> </w:t>
      </w:r>
      <w:r w:rsidR="00922D42">
        <w:rPr>
          <w:color w:val="4F81BD" w:themeColor="accent1"/>
          <w:szCs w:val="20"/>
        </w:rPr>
        <w:t xml:space="preserve">– </w:t>
      </w:r>
      <w:r w:rsidR="004357DC">
        <w:rPr>
          <w:color w:val="4F81BD" w:themeColor="accent1"/>
          <w:szCs w:val="20"/>
        </w:rPr>
        <w:t>REDACTED</w:t>
      </w:r>
    </w:p>
    <w:p w:rsidR="00F34AEC" w:rsidRDefault="00F34AEC" w:rsidP="00C171FB"/>
    <w:p w:rsidR="00F34AEC" w:rsidRPr="002F55EF" w:rsidRDefault="00F34AEC" w:rsidP="002F55EF">
      <w:pPr>
        <w:ind w:firstLine="360"/>
        <w:rPr>
          <w:b/>
        </w:rPr>
      </w:pPr>
      <w:r w:rsidRPr="002F55EF">
        <w:rPr>
          <w:b/>
        </w:rPr>
        <w:t>(b) If yes, what is the Applicant(s) name that you are acting on behalf of?</w:t>
      </w:r>
    </w:p>
    <w:p w:rsidR="00F34AEC" w:rsidRPr="00B126D7" w:rsidRDefault="00321FE2" w:rsidP="00F34AEC">
      <w:pPr>
        <w:ind w:left="284"/>
        <w:rPr>
          <w:noProof/>
          <w:color w:val="4F81BD" w:themeColor="accent1"/>
        </w:rPr>
      </w:pPr>
      <w:r>
        <w:rPr>
          <w:noProof/>
          <w:color w:val="4F81BD" w:themeColor="accent1"/>
        </w:rPr>
        <w:t>BTG International Asia Limited</w:t>
      </w:r>
    </w:p>
    <w:p w:rsidR="00F34AEC" w:rsidRPr="00C171FB" w:rsidRDefault="00F34AEC" w:rsidP="00C171FB"/>
    <w:p w:rsidR="00534C5F" w:rsidRPr="00154B00" w:rsidRDefault="00494011" w:rsidP="004A0BF4">
      <w:pPr>
        <w:pStyle w:val="Heading2"/>
      </w:pPr>
      <w:r>
        <w:t xml:space="preserve">(a) </w:t>
      </w:r>
      <w:r w:rsidR="00534C5F">
        <w:t>Are you a lobbyist acting on behalf of an Applicant?</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DE4ED7">
        <w:rPr>
          <w:szCs w:val="20"/>
        </w:rPr>
      </w:r>
      <w:r w:rsidR="00DE4ED7">
        <w:rPr>
          <w:szCs w:val="20"/>
        </w:rPr>
        <w:fldChar w:fldCharType="separate"/>
      </w:r>
      <w:r w:rsidRPr="00753C44">
        <w:rPr>
          <w:szCs w:val="20"/>
        </w:rPr>
        <w:fldChar w:fldCharType="end"/>
      </w:r>
      <w:r>
        <w:rPr>
          <w:szCs w:val="20"/>
        </w:rPr>
        <w:t xml:space="preserve"> Yes</w:t>
      </w:r>
    </w:p>
    <w:p w:rsidR="00A6491A" w:rsidRPr="00B126D7" w:rsidRDefault="00BB1377" w:rsidP="00A6491A">
      <w:pPr>
        <w:spacing w:before="0" w:after="0"/>
        <w:ind w:left="426"/>
        <w:rPr>
          <w:color w:val="4F81BD" w:themeColor="accent1"/>
          <w:szCs w:val="20"/>
        </w:rPr>
      </w:pPr>
      <w:r w:rsidRPr="00B126D7">
        <w:rPr>
          <w:color w:val="4F81BD" w:themeColor="accent1"/>
          <w:szCs w:val="20"/>
        </w:rPr>
        <w:sym w:font="Wingdings" w:char="F078"/>
      </w:r>
      <w:r w:rsidR="00A6491A" w:rsidRPr="00B126D7">
        <w:rPr>
          <w:color w:val="4F81BD" w:themeColor="accent1"/>
          <w:szCs w:val="20"/>
        </w:rPr>
        <w:t xml:space="preserve"> No  </w:t>
      </w:r>
    </w:p>
    <w:p w:rsidR="00534C5F" w:rsidRPr="00154B00" w:rsidRDefault="00534C5F" w:rsidP="005D05D5">
      <w:pPr>
        <w:pStyle w:val="Heading2"/>
        <w:numPr>
          <w:ilvl w:val="0"/>
          <w:numId w:val="2"/>
        </w:numPr>
      </w:pPr>
      <w:r w:rsidRPr="00154B00">
        <w:t xml:space="preserve">If yes, </w:t>
      </w:r>
      <w:r>
        <w:t xml:space="preserve">are </w:t>
      </w:r>
      <w:r w:rsidRPr="00FE33A6">
        <w:t>you</w:t>
      </w:r>
      <w:r>
        <w:t xml:space="preserve"> listed on the Register of Lobbyists?</w:t>
      </w:r>
    </w:p>
    <w:p w:rsidR="00A6491A" w:rsidRPr="00B126D7" w:rsidRDefault="00321FE2" w:rsidP="00A6491A">
      <w:pPr>
        <w:spacing w:before="0" w:after="0"/>
        <w:ind w:left="426"/>
        <w:rPr>
          <w:color w:val="4F81BD" w:themeColor="accent1"/>
          <w:szCs w:val="20"/>
        </w:rPr>
      </w:pPr>
      <w:r>
        <w:rPr>
          <w:color w:val="4F81BD" w:themeColor="accent1"/>
          <w:szCs w:val="20"/>
        </w:rPr>
        <w:t>Not applicable</w:t>
      </w:r>
    </w:p>
    <w:p w:rsidR="00E04FB3" w:rsidRDefault="00E04FB3" w:rsidP="005C333E">
      <w:pPr>
        <w:spacing w:before="0" w:after="0"/>
        <w:ind w:left="426"/>
        <w:rPr>
          <w:b/>
          <w:szCs w:val="20"/>
        </w:rPr>
      </w:pPr>
      <w:r w:rsidRPr="00154B00">
        <w:rPr>
          <w:b/>
          <w:szCs w:val="20"/>
        </w:rPr>
        <w:br w:type="page"/>
      </w:r>
    </w:p>
    <w:p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rsidR="000B3CD0" w:rsidRDefault="000B3CD0" w:rsidP="00730C04">
      <w:pPr>
        <w:pStyle w:val="Heading2"/>
      </w:pPr>
      <w:r w:rsidRPr="00154B00">
        <w:t>Application title</w:t>
      </w:r>
      <w:r w:rsidR="00A8732C">
        <w:t xml:space="preserve"> </w:t>
      </w:r>
    </w:p>
    <w:p w:rsidR="009056C5" w:rsidRDefault="00AC68A3" w:rsidP="00306150">
      <w:pPr>
        <w:ind w:left="360"/>
        <w:rPr>
          <w:color w:val="4F81BD" w:themeColor="accent1"/>
        </w:rPr>
      </w:pPr>
      <w:proofErr w:type="spellStart"/>
      <w:r>
        <w:rPr>
          <w:color w:val="4F81BD" w:themeColor="accent1"/>
        </w:rPr>
        <w:t>Transarterial</w:t>
      </w:r>
      <w:proofErr w:type="spellEnd"/>
      <w:r>
        <w:rPr>
          <w:color w:val="4F81BD" w:themeColor="accent1"/>
        </w:rPr>
        <w:t xml:space="preserve"> </w:t>
      </w:r>
      <w:proofErr w:type="spellStart"/>
      <w:r>
        <w:rPr>
          <w:color w:val="4F81BD" w:themeColor="accent1"/>
        </w:rPr>
        <w:t>radioembolisation</w:t>
      </w:r>
      <w:proofErr w:type="spellEnd"/>
      <w:r w:rsidR="00BB1377" w:rsidRPr="00E02A90">
        <w:rPr>
          <w:color w:val="4F81BD" w:themeColor="accent1"/>
        </w:rPr>
        <w:t xml:space="preserve"> with yttrium</w:t>
      </w:r>
      <w:r w:rsidR="00740EF3" w:rsidRPr="00740EF3">
        <w:rPr>
          <w:color w:val="4F81BD" w:themeColor="accent1"/>
        </w:rPr>
        <w:t>-90</w:t>
      </w:r>
      <w:r w:rsidR="00BB1377" w:rsidRPr="00E02A90">
        <w:rPr>
          <w:color w:val="4F81BD" w:themeColor="accent1"/>
        </w:rPr>
        <w:t xml:space="preserve"> </w:t>
      </w:r>
      <w:r w:rsidR="00E02A90" w:rsidRPr="00E02A90">
        <w:rPr>
          <w:color w:val="4F81BD" w:themeColor="accent1"/>
        </w:rPr>
        <w:t>(</w:t>
      </w:r>
      <w:r>
        <w:rPr>
          <w:color w:val="4F81BD" w:themeColor="accent1"/>
        </w:rPr>
        <w:t>TARE</w:t>
      </w:r>
      <w:r w:rsidR="00E02A90" w:rsidRPr="00E02A90">
        <w:rPr>
          <w:color w:val="4F81BD" w:themeColor="accent1"/>
        </w:rPr>
        <w:t xml:space="preserve">-Y) </w:t>
      </w:r>
      <w:r w:rsidR="00BB1377" w:rsidRPr="00E02A90">
        <w:rPr>
          <w:color w:val="4F81BD" w:themeColor="accent1"/>
        </w:rPr>
        <w:t xml:space="preserve">for the treatment of </w:t>
      </w:r>
      <w:r w:rsidR="000112CC" w:rsidRPr="00E02A90">
        <w:rPr>
          <w:color w:val="4F81BD" w:themeColor="accent1"/>
        </w:rPr>
        <w:t xml:space="preserve">unresectable </w:t>
      </w:r>
      <w:r w:rsidR="00BB1377" w:rsidRPr="00E02A90">
        <w:rPr>
          <w:color w:val="4F81BD" w:themeColor="accent1"/>
        </w:rPr>
        <w:t>hepatocellular carcinoma</w:t>
      </w:r>
      <w:r w:rsidR="00E7258A">
        <w:rPr>
          <w:color w:val="4F81BD" w:themeColor="accent1"/>
        </w:rPr>
        <w:t xml:space="preserve"> </w:t>
      </w:r>
    </w:p>
    <w:p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rsidR="00BB1377" w:rsidRPr="00B640D2" w:rsidRDefault="00BB1377" w:rsidP="00B640D2">
      <w:pPr>
        <w:ind w:left="360"/>
        <w:rPr>
          <w:color w:val="4F81BD" w:themeColor="accent1"/>
        </w:rPr>
      </w:pPr>
      <w:r w:rsidRPr="00B640D2">
        <w:rPr>
          <w:color w:val="4F81BD" w:themeColor="accent1"/>
        </w:rPr>
        <w:t xml:space="preserve">Hepatocellular carcinoma </w:t>
      </w:r>
      <w:r w:rsidR="002A0A4A" w:rsidRPr="00B640D2">
        <w:rPr>
          <w:color w:val="4F81BD" w:themeColor="accent1"/>
        </w:rPr>
        <w:t xml:space="preserve">(HCC) </w:t>
      </w:r>
      <w:r w:rsidRPr="00B640D2">
        <w:rPr>
          <w:color w:val="4F81BD" w:themeColor="accent1"/>
        </w:rPr>
        <w:t xml:space="preserve">is a type of primary liver cancer arising from hepatocytes, the main cell type found in the liver. </w:t>
      </w:r>
      <w:r w:rsidR="002A0A4A" w:rsidRPr="00B640D2">
        <w:rPr>
          <w:color w:val="4F81BD" w:themeColor="accent1"/>
        </w:rPr>
        <w:t xml:space="preserve">The main risk factors for developing HCC are alcohol abuse and hepatitis B </w:t>
      </w:r>
      <w:r w:rsidR="00FE0891">
        <w:rPr>
          <w:color w:val="4F81BD" w:themeColor="accent1"/>
        </w:rPr>
        <w:t xml:space="preserve">virus </w:t>
      </w:r>
      <w:r w:rsidR="00700333" w:rsidRPr="00B640D2">
        <w:rPr>
          <w:color w:val="4F81BD" w:themeColor="accent1"/>
        </w:rPr>
        <w:t xml:space="preserve">(HBV) </w:t>
      </w:r>
      <w:r w:rsidR="002A0A4A" w:rsidRPr="00B640D2">
        <w:rPr>
          <w:color w:val="4F81BD" w:themeColor="accent1"/>
        </w:rPr>
        <w:t xml:space="preserve">or C </w:t>
      </w:r>
      <w:r w:rsidR="00FE0891">
        <w:rPr>
          <w:color w:val="4F81BD" w:themeColor="accent1"/>
        </w:rPr>
        <w:t xml:space="preserve">virus </w:t>
      </w:r>
      <w:r w:rsidR="00700333" w:rsidRPr="00B640D2">
        <w:rPr>
          <w:color w:val="4F81BD" w:themeColor="accent1"/>
        </w:rPr>
        <w:t xml:space="preserve">(HCV) </w:t>
      </w:r>
      <w:r w:rsidR="002A0A4A" w:rsidRPr="00B640D2">
        <w:rPr>
          <w:color w:val="4F81BD" w:themeColor="accent1"/>
        </w:rPr>
        <w:t xml:space="preserve">infection. The causes of HCC vary across countries, with </w:t>
      </w:r>
      <w:r w:rsidR="00700333" w:rsidRPr="00B640D2">
        <w:rPr>
          <w:color w:val="4F81BD" w:themeColor="accent1"/>
        </w:rPr>
        <w:t>HBV</w:t>
      </w:r>
      <w:r w:rsidR="002A0A4A" w:rsidRPr="00B640D2">
        <w:rPr>
          <w:color w:val="4F81BD" w:themeColor="accent1"/>
        </w:rPr>
        <w:t xml:space="preserve"> being the main cause in regions where </w:t>
      </w:r>
      <w:r w:rsidR="00700333" w:rsidRPr="00B640D2">
        <w:rPr>
          <w:color w:val="4F81BD" w:themeColor="accent1"/>
        </w:rPr>
        <w:t>infection is endemic (</w:t>
      </w:r>
      <w:r w:rsidR="00B126D7" w:rsidRPr="00B640D2">
        <w:rPr>
          <w:color w:val="4F81BD" w:themeColor="accent1"/>
        </w:rPr>
        <w:t>e.g.</w:t>
      </w:r>
      <w:r w:rsidR="00700333" w:rsidRPr="00B640D2">
        <w:rPr>
          <w:color w:val="4F81BD" w:themeColor="accent1"/>
        </w:rPr>
        <w:t xml:space="preserve"> </w:t>
      </w:r>
      <w:r w:rsidR="00FE0891">
        <w:rPr>
          <w:color w:val="4F81BD" w:themeColor="accent1"/>
        </w:rPr>
        <w:t xml:space="preserve">parts of </w:t>
      </w:r>
      <w:r w:rsidR="00DF6F07">
        <w:rPr>
          <w:color w:val="4F81BD" w:themeColor="accent1"/>
        </w:rPr>
        <w:t>Asia</w:t>
      </w:r>
      <w:r w:rsidR="00700333" w:rsidRPr="00B640D2">
        <w:rPr>
          <w:color w:val="4F81BD" w:themeColor="accent1"/>
        </w:rPr>
        <w:t xml:space="preserve">) and cirrhosis due to alcohol abuse, </w:t>
      </w:r>
      <w:r w:rsidR="00DF6F07">
        <w:rPr>
          <w:color w:val="4F81BD" w:themeColor="accent1"/>
        </w:rPr>
        <w:t>HCV</w:t>
      </w:r>
      <w:r w:rsidR="00700333" w:rsidRPr="00B640D2">
        <w:rPr>
          <w:color w:val="4F81BD" w:themeColor="accent1"/>
        </w:rPr>
        <w:t xml:space="preserve"> or obesity being the main cause in regions where HBV in not endemic (</w:t>
      </w:r>
      <w:r w:rsidR="00B126D7" w:rsidRPr="00B640D2">
        <w:rPr>
          <w:color w:val="4F81BD" w:themeColor="accent1"/>
        </w:rPr>
        <w:t>e.g.</w:t>
      </w:r>
      <w:r w:rsidR="00700333" w:rsidRPr="00B640D2">
        <w:rPr>
          <w:color w:val="4F81BD" w:themeColor="accent1"/>
        </w:rPr>
        <w:t>, North Ame</w:t>
      </w:r>
      <w:r w:rsidR="00DF6F07">
        <w:rPr>
          <w:color w:val="4F81BD" w:themeColor="accent1"/>
        </w:rPr>
        <w:t>rica and Europe)</w:t>
      </w:r>
      <w:r w:rsidR="00700333" w:rsidRPr="00B640D2">
        <w:rPr>
          <w:color w:val="4F81BD" w:themeColor="accent1"/>
        </w:rPr>
        <w:t>.</w:t>
      </w:r>
      <w:r w:rsidR="00DF6F07">
        <w:rPr>
          <w:rStyle w:val="FootnoteReference"/>
          <w:color w:val="4F81BD" w:themeColor="accent1"/>
        </w:rPr>
        <w:footnoteReference w:id="1"/>
      </w:r>
      <w:r w:rsidR="00700333" w:rsidRPr="00B640D2">
        <w:rPr>
          <w:color w:val="4F81BD" w:themeColor="accent1"/>
        </w:rPr>
        <w:t xml:space="preserve"> </w:t>
      </w:r>
      <w:r w:rsidRPr="00B640D2">
        <w:rPr>
          <w:color w:val="4F81BD" w:themeColor="accent1"/>
        </w:rPr>
        <w:t xml:space="preserve">HCC is </w:t>
      </w:r>
      <w:r w:rsidR="002A0A4A" w:rsidRPr="00B640D2">
        <w:rPr>
          <w:color w:val="4F81BD" w:themeColor="accent1"/>
        </w:rPr>
        <w:t xml:space="preserve">the most common type of liver cancer, and </w:t>
      </w:r>
      <w:r w:rsidRPr="00B640D2">
        <w:rPr>
          <w:color w:val="4F81BD" w:themeColor="accent1"/>
        </w:rPr>
        <w:t>one of the most common types of cancers seen worldwide, being the fifth most common in men and the ninth most commo</w:t>
      </w:r>
      <w:r w:rsidR="00700333" w:rsidRPr="00B640D2">
        <w:rPr>
          <w:color w:val="4F81BD" w:themeColor="accent1"/>
        </w:rPr>
        <w:t>n in women</w:t>
      </w:r>
      <w:r w:rsidR="00922D42" w:rsidRPr="00B640D2">
        <w:rPr>
          <w:color w:val="4F81BD" w:themeColor="accent1"/>
        </w:rPr>
        <w:t>. D</w:t>
      </w:r>
      <w:r w:rsidR="00700333" w:rsidRPr="00B640D2">
        <w:rPr>
          <w:color w:val="4F81BD" w:themeColor="accent1"/>
        </w:rPr>
        <w:t xml:space="preserve">ue to its high mortality to incidence ratio (0.95) </w:t>
      </w:r>
      <w:r w:rsidR="002A0A4A" w:rsidRPr="00B640D2">
        <w:rPr>
          <w:color w:val="4F81BD" w:themeColor="accent1"/>
        </w:rPr>
        <w:t>it is the</w:t>
      </w:r>
      <w:r w:rsidRPr="00B640D2">
        <w:rPr>
          <w:color w:val="4F81BD" w:themeColor="accent1"/>
        </w:rPr>
        <w:t xml:space="preserve"> third largest contributor to cancer mortal</w:t>
      </w:r>
      <w:r w:rsidR="00DF6F07">
        <w:rPr>
          <w:color w:val="4F81BD" w:themeColor="accent1"/>
        </w:rPr>
        <w:t>ity overall</w:t>
      </w:r>
      <w:r w:rsidRPr="00B640D2">
        <w:rPr>
          <w:color w:val="4F81BD" w:themeColor="accent1"/>
        </w:rPr>
        <w:t>.</w:t>
      </w:r>
      <w:r w:rsidR="00DF6F07">
        <w:rPr>
          <w:rStyle w:val="FootnoteReference"/>
          <w:color w:val="4F81BD" w:themeColor="accent1"/>
        </w:rPr>
        <w:footnoteReference w:id="2"/>
      </w:r>
      <w:r w:rsidRPr="00B640D2">
        <w:rPr>
          <w:color w:val="4F81BD" w:themeColor="accent1"/>
        </w:rPr>
        <w:t xml:space="preserve"> </w:t>
      </w:r>
    </w:p>
    <w:p w:rsidR="000955E7" w:rsidRDefault="000955E7" w:rsidP="00BB1377">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CB12EC" w:rsidRPr="00E02A90" w:rsidRDefault="00AC68A3" w:rsidP="00B0305C">
      <w:pPr>
        <w:ind w:left="360"/>
        <w:rPr>
          <w:color w:val="4F81BD" w:themeColor="accent1"/>
        </w:rPr>
      </w:pPr>
      <w:r>
        <w:rPr>
          <w:color w:val="4F81BD" w:themeColor="accent1"/>
        </w:rPr>
        <w:t>TARE</w:t>
      </w:r>
      <w:r w:rsidR="00B0305C" w:rsidRPr="00E02A90">
        <w:rPr>
          <w:color w:val="4F81BD" w:themeColor="accent1"/>
        </w:rPr>
        <w:t xml:space="preserve">-Y </w:t>
      </w:r>
      <w:r>
        <w:rPr>
          <w:color w:val="4F81BD" w:themeColor="accent1"/>
        </w:rPr>
        <w:t>(also known as s</w:t>
      </w:r>
      <w:r w:rsidRPr="00E02A90">
        <w:rPr>
          <w:color w:val="4F81BD" w:themeColor="accent1"/>
        </w:rPr>
        <w:t>elective internal radiation therapy</w:t>
      </w:r>
      <w:r>
        <w:rPr>
          <w:color w:val="4F81BD" w:themeColor="accent1"/>
        </w:rPr>
        <w:t>; SIRT)</w:t>
      </w:r>
      <w:r w:rsidRPr="00E02A90">
        <w:rPr>
          <w:color w:val="4F81BD" w:themeColor="accent1"/>
        </w:rPr>
        <w:t xml:space="preserve"> </w:t>
      </w:r>
      <w:r w:rsidR="00B0305C" w:rsidRPr="00E02A90">
        <w:rPr>
          <w:color w:val="4F81BD" w:themeColor="accent1"/>
        </w:rPr>
        <w:t xml:space="preserve">is a medical procedure for the treatment </w:t>
      </w:r>
      <w:r w:rsidR="00DF6F07">
        <w:rPr>
          <w:color w:val="4F81BD" w:themeColor="accent1"/>
        </w:rPr>
        <w:t xml:space="preserve">of </w:t>
      </w:r>
      <w:r w:rsidR="00B0305C" w:rsidRPr="00E02A90">
        <w:rPr>
          <w:color w:val="4F81BD" w:themeColor="accent1"/>
        </w:rPr>
        <w:t>unresectable</w:t>
      </w:r>
      <w:r w:rsidR="00372C1F">
        <w:rPr>
          <w:color w:val="4F81BD" w:themeColor="accent1"/>
        </w:rPr>
        <w:t xml:space="preserve"> HCC</w:t>
      </w:r>
      <w:r w:rsidR="00B0305C" w:rsidRPr="00E02A90">
        <w:rPr>
          <w:color w:val="4F81BD" w:themeColor="accent1"/>
        </w:rPr>
        <w:t xml:space="preserve">. </w:t>
      </w:r>
      <w:r w:rsidR="00DF6F07">
        <w:rPr>
          <w:color w:val="4F81BD" w:themeColor="accent1"/>
        </w:rPr>
        <w:t>TARE-Y</w:t>
      </w:r>
      <w:r w:rsidR="00B0305C" w:rsidRPr="00E02A90">
        <w:rPr>
          <w:color w:val="4F81BD" w:themeColor="accent1"/>
        </w:rPr>
        <w:t xml:space="preserve"> utilises the differential </w:t>
      </w:r>
      <w:r w:rsidR="00922D42">
        <w:rPr>
          <w:color w:val="4F81BD" w:themeColor="accent1"/>
        </w:rPr>
        <w:t xml:space="preserve">blood </w:t>
      </w:r>
      <w:r w:rsidR="00B0305C" w:rsidRPr="00E02A90">
        <w:rPr>
          <w:color w:val="4F81BD" w:themeColor="accent1"/>
        </w:rPr>
        <w:t xml:space="preserve">supply of the healthy and tumorous liver (80% of the blood supply to the liver is via the portal vein and almost all the blood supply to liver tumours is via the hepatic artery), and involves the delivery of yttrium-90-containing microspheres of 20-60 </w:t>
      </w:r>
      <w:proofErr w:type="spellStart"/>
      <w:r w:rsidR="00B0305C" w:rsidRPr="00E02A90">
        <w:rPr>
          <w:color w:val="4F81BD" w:themeColor="accent1"/>
        </w:rPr>
        <w:t>μm</w:t>
      </w:r>
      <w:proofErr w:type="spellEnd"/>
      <w:r w:rsidR="00B0305C" w:rsidRPr="00E02A90">
        <w:rPr>
          <w:color w:val="4F81BD" w:themeColor="accent1"/>
        </w:rPr>
        <w:t xml:space="preserve"> diameter. </w:t>
      </w:r>
      <w:r w:rsidR="00CD3FFC" w:rsidRPr="00E02A90">
        <w:rPr>
          <w:color w:val="4F81BD" w:themeColor="accent1"/>
        </w:rPr>
        <w:t>Two types of microspheres are available: resin (SIR-Spheres/</w:t>
      </w:r>
      <w:proofErr w:type="spellStart"/>
      <w:r w:rsidR="00CD3FFC" w:rsidRPr="00E02A90">
        <w:rPr>
          <w:color w:val="4F81BD" w:themeColor="accent1"/>
        </w:rPr>
        <w:t>Sirtex</w:t>
      </w:r>
      <w:proofErr w:type="spellEnd"/>
      <w:r w:rsidR="00CD3FFC" w:rsidRPr="00E02A90">
        <w:rPr>
          <w:color w:val="4F81BD" w:themeColor="accent1"/>
        </w:rPr>
        <w:t xml:space="preserve"> Medical Products) </w:t>
      </w:r>
      <w:r w:rsidR="00372C1F">
        <w:rPr>
          <w:color w:val="4F81BD" w:themeColor="accent1"/>
        </w:rPr>
        <w:t>and</w:t>
      </w:r>
      <w:r w:rsidR="00CD3FFC" w:rsidRPr="00E02A90">
        <w:rPr>
          <w:color w:val="4F81BD" w:themeColor="accent1"/>
        </w:rPr>
        <w:t xml:space="preserve"> glass (</w:t>
      </w:r>
      <w:proofErr w:type="spellStart"/>
      <w:r w:rsidR="00CD3FFC" w:rsidRPr="00E02A90">
        <w:rPr>
          <w:color w:val="4F81BD" w:themeColor="accent1"/>
        </w:rPr>
        <w:t>TheraSphere</w:t>
      </w:r>
      <w:proofErr w:type="spellEnd"/>
      <w:r w:rsidR="00CD3FFC" w:rsidRPr="00E02A90">
        <w:rPr>
          <w:color w:val="4F81BD" w:themeColor="accent1"/>
        </w:rPr>
        <w:t xml:space="preserve">/BTG International Asia). </w:t>
      </w:r>
      <w:r w:rsidR="00B0305C" w:rsidRPr="00E02A90">
        <w:rPr>
          <w:color w:val="4F81BD" w:themeColor="accent1"/>
        </w:rPr>
        <w:t>The yttrium-90</w:t>
      </w:r>
      <w:r w:rsidR="00372C1F">
        <w:rPr>
          <w:color w:val="4F81BD" w:themeColor="accent1"/>
        </w:rPr>
        <w:t xml:space="preserve"> (Y-90)</w:t>
      </w:r>
      <w:r w:rsidR="00B0305C" w:rsidRPr="00E02A90">
        <w:rPr>
          <w:color w:val="4F81BD" w:themeColor="accent1"/>
        </w:rPr>
        <w:t xml:space="preserve"> emits high energy beta radiation with a mean tissue penetration of 2.5 mm (maximum 11 mm). Thus, the microspheres deliver a </w:t>
      </w:r>
      <w:proofErr w:type="spellStart"/>
      <w:r w:rsidR="00B0305C" w:rsidRPr="00E02A90">
        <w:rPr>
          <w:color w:val="4F81BD" w:themeColor="accent1"/>
        </w:rPr>
        <w:t>cytocidal</w:t>
      </w:r>
      <w:proofErr w:type="spellEnd"/>
      <w:r w:rsidR="00B0305C" w:rsidRPr="00E02A90">
        <w:rPr>
          <w:color w:val="4F81BD" w:themeColor="accent1"/>
        </w:rPr>
        <w:t xml:space="preserve"> dose of beta radiation to the cancer cells with minimal irradiation of normal healthy liver tissue. Because of the small size of the microspheres, tumour necrosis is largely caused by radiation, with only a minor contribution from </w:t>
      </w:r>
      <w:proofErr w:type="spellStart"/>
      <w:r w:rsidR="00B0305C" w:rsidRPr="00E02A90">
        <w:rPr>
          <w:color w:val="4F81BD" w:themeColor="accent1"/>
        </w:rPr>
        <w:t>embolisation</w:t>
      </w:r>
      <w:proofErr w:type="spellEnd"/>
      <w:r w:rsidR="00B0305C" w:rsidRPr="00E02A90">
        <w:rPr>
          <w:color w:val="4F81BD" w:themeColor="accent1"/>
        </w:rPr>
        <w:t xml:space="preserve"> due to the particles.</w:t>
      </w:r>
    </w:p>
    <w:p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Pr="00E02A90" w:rsidRDefault="00B0305C" w:rsidP="00A6491A">
      <w:pPr>
        <w:spacing w:before="0" w:after="0"/>
        <w:ind w:left="284"/>
        <w:rPr>
          <w:color w:val="4F81BD" w:themeColor="accent1"/>
          <w:szCs w:val="20"/>
        </w:rPr>
      </w:pPr>
      <w:r w:rsidRPr="00E02A90">
        <w:rPr>
          <w:color w:val="4F81BD" w:themeColor="accent1"/>
          <w:szCs w:val="20"/>
        </w:rPr>
        <w:sym w:font="Wingdings" w:char="F078"/>
      </w:r>
      <w:r w:rsidR="006B6390" w:rsidRPr="00E02A90">
        <w:rPr>
          <w:color w:val="4F81BD" w:themeColor="accent1"/>
          <w:szCs w:val="20"/>
        </w:rPr>
        <w:t xml:space="preserve"> Yes</w:t>
      </w:r>
    </w:p>
    <w:p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E4ED7">
        <w:rPr>
          <w:szCs w:val="20"/>
        </w:rPr>
      </w:r>
      <w:r w:rsidR="00DE4ED7">
        <w:rPr>
          <w:szCs w:val="20"/>
        </w:rPr>
        <w:fldChar w:fldCharType="separate"/>
      </w:r>
      <w:r w:rsidRPr="00753C44">
        <w:rPr>
          <w:szCs w:val="20"/>
        </w:rPr>
        <w:fldChar w:fldCharType="end"/>
      </w:r>
      <w:r>
        <w:rPr>
          <w:szCs w:val="20"/>
        </w:rPr>
        <w:t xml:space="preserve"> No</w:t>
      </w:r>
      <w:r w:rsidR="00753C44" w:rsidRPr="00753C44">
        <w:rPr>
          <w:szCs w:val="20"/>
        </w:rPr>
        <w:t xml:space="preserve">  </w:t>
      </w:r>
    </w:p>
    <w:p w:rsidR="000B3CD0" w:rsidRPr="0011036E" w:rsidRDefault="000B3CD0" w:rsidP="005D05D5">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E4ED7">
        <w:rPr>
          <w:szCs w:val="20"/>
        </w:rPr>
      </w:r>
      <w:r w:rsidR="00DE4ED7">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rsidR="00753C44" w:rsidRDefault="00B0305C" w:rsidP="00A6491A">
      <w:pPr>
        <w:spacing w:before="0" w:after="0"/>
        <w:ind w:left="284"/>
        <w:rPr>
          <w:color w:val="4F81BD" w:themeColor="accent1"/>
          <w:szCs w:val="20"/>
        </w:rPr>
      </w:pPr>
      <w:r w:rsidRPr="00E02A90">
        <w:rPr>
          <w:color w:val="4F81BD" w:themeColor="accent1"/>
          <w:szCs w:val="20"/>
        </w:rPr>
        <w:sym w:font="Wingdings" w:char="F078"/>
      </w:r>
      <w:r w:rsidR="006B6390" w:rsidRPr="00E02A90">
        <w:rPr>
          <w:color w:val="4F81BD" w:themeColor="accent1"/>
          <w:szCs w:val="20"/>
        </w:rPr>
        <w:t xml:space="preserve"> </w:t>
      </w:r>
      <w:r w:rsidR="00753C44" w:rsidRPr="00E02A90">
        <w:rPr>
          <w:color w:val="4F81BD" w:themeColor="accent1"/>
          <w:szCs w:val="20"/>
        </w:rPr>
        <w:t>New MBS item(s)</w:t>
      </w:r>
    </w:p>
    <w:p w:rsidR="00306150" w:rsidRDefault="00306150" w:rsidP="00A6491A">
      <w:pPr>
        <w:spacing w:before="0" w:after="0"/>
        <w:ind w:left="284"/>
        <w:rPr>
          <w:color w:val="4F81BD" w:themeColor="accent1"/>
          <w:szCs w:val="20"/>
        </w:rPr>
      </w:pPr>
    </w:p>
    <w:p w:rsidR="000B3CD0" w:rsidRPr="0011036E" w:rsidRDefault="000B3CD0" w:rsidP="005D05D5">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rsidR="003D795C" w:rsidRPr="00E02A90" w:rsidRDefault="00922D42" w:rsidP="00E95D81">
      <w:pPr>
        <w:ind w:left="720"/>
        <w:rPr>
          <w:color w:val="4F81BD" w:themeColor="accent1"/>
        </w:rPr>
      </w:pPr>
      <w:r>
        <w:rPr>
          <w:color w:val="4F81BD" w:themeColor="accent1"/>
        </w:rPr>
        <w:t>Not applicable</w:t>
      </w:r>
    </w:p>
    <w:p w:rsidR="006C0843" w:rsidRDefault="006C0843" w:rsidP="00DF6F07">
      <w:pPr>
        <w:pStyle w:val="Heading2"/>
        <w:keepNext/>
        <w:numPr>
          <w:ilvl w:val="0"/>
          <w:numId w:val="3"/>
        </w:numPr>
        <w:ind w:left="714" w:hanging="357"/>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rsidR="00E95D81" w:rsidRPr="00E02A90" w:rsidRDefault="00922D42" w:rsidP="00E95D81">
      <w:pPr>
        <w:ind w:left="720"/>
        <w:rPr>
          <w:color w:val="4F81BD" w:themeColor="accent1"/>
        </w:rPr>
      </w:pPr>
      <w:r>
        <w:rPr>
          <w:color w:val="4F81BD" w:themeColor="accent1"/>
        </w:rPr>
        <w:t>Not applicable</w:t>
      </w:r>
    </w:p>
    <w:p w:rsidR="002A270B" w:rsidRPr="004A263B" w:rsidRDefault="002A270B" w:rsidP="005D05D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E4ED7">
        <w:rPr>
          <w:b/>
          <w:szCs w:val="20"/>
        </w:rPr>
      </w:r>
      <w:r w:rsidR="00DE4ED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rsidR="002A270B" w:rsidRPr="004A263B" w:rsidRDefault="002A270B" w:rsidP="005D05D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E4ED7">
        <w:rPr>
          <w:b/>
          <w:szCs w:val="20"/>
        </w:rPr>
      </w:r>
      <w:r w:rsidR="00DE4ED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rsidR="002A270B" w:rsidRPr="004A263B" w:rsidRDefault="002A270B" w:rsidP="005D05D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E4ED7">
        <w:rPr>
          <w:b/>
          <w:szCs w:val="20"/>
        </w:rPr>
      </w:r>
      <w:r w:rsidR="00DE4ED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rsidR="002A270B" w:rsidRPr="004A263B" w:rsidRDefault="002A270B" w:rsidP="005D05D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E4ED7">
        <w:rPr>
          <w:b/>
          <w:szCs w:val="20"/>
        </w:rPr>
      </w:r>
      <w:r w:rsidR="00DE4ED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rsidR="002A270B" w:rsidRPr="004A263B" w:rsidRDefault="002A270B" w:rsidP="005D05D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E4ED7">
        <w:rPr>
          <w:b/>
          <w:szCs w:val="20"/>
        </w:rPr>
      </w:r>
      <w:r w:rsidR="00DE4ED7">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rsidR="002A270B" w:rsidRPr="004A263B" w:rsidRDefault="002A270B" w:rsidP="005D05D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E4ED7">
        <w:rPr>
          <w:b/>
          <w:szCs w:val="20"/>
        </w:rPr>
      </w:r>
      <w:r w:rsidR="00DE4ED7">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rsidR="002A270B" w:rsidRPr="004A263B" w:rsidRDefault="002A270B" w:rsidP="005D05D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E4ED7">
        <w:rPr>
          <w:b/>
          <w:szCs w:val="20"/>
        </w:rPr>
      </w:r>
      <w:r w:rsidR="00DE4ED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rsidR="002A270B" w:rsidRPr="004A263B" w:rsidRDefault="002A270B" w:rsidP="005D05D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E4ED7">
        <w:rPr>
          <w:b/>
          <w:szCs w:val="20"/>
        </w:rPr>
      </w:r>
      <w:r w:rsidR="00DE4ED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rsidR="002A270B" w:rsidRDefault="004A263B" w:rsidP="005D05D5">
      <w:pPr>
        <w:pStyle w:val="ListParagraph"/>
        <w:numPr>
          <w:ilvl w:val="0"/>
          <w:numId w:val="13"/>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E4ED7">
        <w:rPr>
          <w:b/>
          <w:szCs w:val="20"/>
        </w:rPr>
      </w:r>
      <w:r w:rsidR="00DE4ED7">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rsidR="00534C5F" w:rsidRPr="007E39E4" w:rsidRDefault="000770BA" w:rsidP="005D05D5">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5D05D5">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E4ED7">
        <w:rPr>
          <w:b/>
          <w:szCs w:val="20"/>
        </w:rPr>
      </w:r>
      <w:r w:rsidR="00DE4ED7">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6B6390" w:rsidRDefault="00E95D81" w:rsidP="005D05D5">
      <w:pPr>
        <w:pStyle w:val="ListParagraph"/>
        <w:numPr>
          <w:ilvl w:val="0"/>
          <w:numId w:val="14"/>
        </w:numPr>
        <w:spacing w:before="0" w:after="0"/>
        <w:ind w:left="851" w:hanging="425"/>
        <w:rPr>
          <w:rStyle w:val="Strong"/>
          <w:b w:val="0"/>
          <w:color w:val="4F81BD" w:themeColor="accent1"/>
        </w:rPr>
      </w:pPr>
      <w:r w:rsidRPr="00E02A90">
        <w:rPr>
          <w:b/>
          <w:color w:val="4F81BD" w:themeColor="accent1"/>
          <w:szCs w:val="20"/>
        </w:rPr>
        <w:sym w:font="Wingdings" w:char="F078"/>
      </w:r>
      <w:r w:rsidR="006B6390" w:rsidRPr="00E02A90">
        <w:rPr>
          <w:b/>
          <w:color w:val="4F81BD" w:themeColor="accent1"/>
          <w:szCs w:val="20"/>
        </w:rPr>
        <w:t xml:space="preserve"> </w:t>
      </w:r>
      <w:r w:rsidR="006B6390" w:rsidRPr="00E02A90">
        <w:rPr>
          <w:rStyle w:val="Strong"/>
          <w:b w:val="0"/>
          <w:color w:val="4F81BD" w:themeColor="accent1"/>
        </w:rPr>
        <w:t>A new item that is proposing a way of clinically delivering a service that is new to the MBS (in t</w:t>
      </w:r>
      <w:r w:rsidR="00DF6F07">
        <w:rPr>
          <w:rStyle w:val="Strong"/>
          <w:b w:val="0"/>
          <w:color w:val="4F81BD" w:themeColor="accent1"/>
        </w:rPr>
        <w:t>erms of new technology and/</w:t>
      </w:r>
      <w:r w:rsidR="006B6390" w:rsidRPr="00E02A90">
        <w:rPr>
          <w:rStyle w:val="Strong"/>
          <w:b w:val="0"/>
          <w:color w:val="4F81BD" w:themeColor="accent1"/>
        </w:rPr>
        <w:t>or population)</w:t>
      </w:r>
    </w:p>
    <w:p w:rsidR="006B6390" w:rsidRPr="00AA2CFE" w:rsidRDefault="006B6390" w:rsidP="005D05D5">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E4ED7">
        <w:rPr>
          <w:b/>
          <w:szCs w:val="20"/>
        </w:rPr>
      </w:r>
      <w:r w:rsidR="00DE4ED7">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6B6390" w:rsidRDefault="006B6390" w:rsidP="005D05D5">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E4ED7">
        <w:rPr>
          <w:b/>
          <w:szCs w:val="20"/>
        </w:rPr>
      </w:r>
      <w:r w:rsidR="00DE4ED7">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rsidR="000112CC" w:rsidRDefault="000112CC" w:rsidP="000112CC">
      <w:pPr>
        <w:spacing w:before="0" w:after="0"/>
        <w:rPr>
          <w:rStyle w:val="Strong"/>
          <w:b w:val="0"/>
        </w:rPr>
      </w:pPr>
    </w:p>
    <w:p w:rsidR="000112CC" w:rsidRDefault="000112CC" w:rsidP="000112CC">
      <w:pPr>
        <w:spacing w:before="0" w:after="0"/>
        <w:ind w:left="851"/>
        <w:rPr>
          <w:rStyle w:val="Strong"/>
          <w:b w:val="0"/>
          <w:color w:val="4F81BD" w:themeColor="accent1"/>
        </w:rPr>
      </w:pPr>
      <w:r w:rsidRPr="00CD3FFC">
        <w:rPr>
          <w:rStyle w:val="Strong"/>
          <w:b w:val="0"/>
          <w:color w:val="4F81BD" w:themeColor="accent1"/>
        </w:rPr>
        <w:t xml:space="preserve">There are currently interim MBS item numbers relating to the use of resin microspheres (SIR-Spheres) in patients with “hepatic metastases which are secondary to colorectal cancer and are not suitable for resection or ablation, used in combination with systemic chemotherapy using 5-fluorouracil (5FU) and </w:t>
      </w:r>
      <w:proofErr w:type="spellStart"/>
      <w:r w:rsidRPr="00CD3FFC">
        <w:rPr>
          <w:rStyle w:val="Strong"/>
          <w:b w:val="0"/>
          <w:color w:val="4F81BD" w:themeColor="accent1"/>
        </w:rPr>
        <w:t>leucovorin</w:t>
      </w:r>
      <w:proofErr w:type="spellEnd"/>
      <w:r w:rsidRPr="00CD3FFC">
        <w:rPr>
          <w:rStyle w:val="Strong"/>
          <w:b w:val="0"/>
          <w:color w:val="4F81BD" w:themeColor="accent1"/>
        </w:rPr>
        <w:t>”. The item numbers are:</w:t>
      </w:r>
    </w:p>
    <w:p w:rsidR="000B171B" w:rsidRPr="00CD3FFC" w:rsidRDefault="000B171B" w:rsidP="000112CC">
      <w:pPr>
        <w:spacing w:before="0" w:after="0"/>
        <w:ind w:left="851"/>
        <w:rPr>
          <w:rStyle w:val="Strong"/>
          <w:b w:val="0"/>
          <w:color w:val="4F81BD" w:themeColor="accent1"/>
        </w:rPr>
      </w:pPr>
    </w:p>
    <w:p w:rsidR="000112CC" w:rsidRPr="00CD3FFC" w:rsidRDefault="000112CC" w:rsidP="005D05D5">
      <w:pPr>
        <w:pStyle w:val="ListParagraph"/>
        <w:numPr>
          <w:ilvl w:val="0"/>
          <w:numId w:val="17"/>
        </w:numPr>
        <w:spacing w:before="0" w:after="0"/>
        <w:rPr>
          <w:rStyle w:val="Strong"/>
          <w:b w:val="0"/>
          <w:color w:val="4F81BD" w:themeColor="accent1"/>
        </w:rPr>
      </w:pPr>
      <w:r w:rsidRPr="00CD3FFC">
        <w:rPr>
          <w:rStyle w:val="Strong"/>
          <w:b w:val="0"/>
          <w:color w:val="4F81BD" w:themeColor="accent1"/>
        </w:rPr>
        <w:t>35404</w:t>
      </w:r>
      <w:r w:rsidR="000B171B">
        <w:rPr>
          <w:rStyle w:val="Strong"/>
          <w:b w:val="0"/>
          <w:color w:val="4F81BD" w:themeColor="accent1"/>
        </w:rPr>
        <w:t xml:space="preserve"> – </w:t>
      </w:r>
      <w:proofErr w:type="spellStart"/>
      <w:r w:rsidR="00990D69">
        <w:rPr>
          <w:rStyle w:val="Strong"/>
          <w:b w:val="0"/>
          <w:color w:val="4F81BD" w:themeColor="accent1"/>
        </w:rPr>
        <w:t>D</w:t>
      </w:r>
      <w:r w:rsidR="000B171B">
        <w:rPr>
          <w:rStyle w:val="Strong"/>
          <w:b w:val="0"/>
          <w:color w:val="4F81BD" w:themeColor="accent1"/>
        </w:rPr>
        <w:t>osimetry</w:t>
      </w:r>
      <w:proofErr w:type="spellEnd"/>
      <w:r w:rsidR="000B171B">
        <w:rPr>
          <w:rStyle w:val="Strong"/>
          <w:b w:val="0"/>
          <w:color w:val="4F81BD" w:themeColor="accent1"/>
        </w:rPr>
        <w:t>, handling and injection of SIR-Spheres</w:t>
      </w:r>
    </w:p>
    <w:p w:rsidR="000112CC" w:rsidRPr="00CD3FFC" w:rsidRDefault="000112CC" w:rsidP="000B171B">
      <w:pPr>
        <w:pStyle w:val="ListParagraph"/>
        <w:numPr>
          <w:ilvl w:val="0"/>
          <w:numId w:val="17"/>
        </w:numPr>
        <w:spacing w:before="0" w:after="0"/>
        <w:rPr>
          <w:rStyle w:val="Strong"/>
          <w:b w:val="0"/>
          <w:color w:val="4F81BD" w:themeColor="accent1"/>
        </w:rPr>
      </w:pPr>
      <w:r w:rsidRPr="00CD3FFC">
        <w:rPr>
          <w:rStyle w:val="Strong"/>
          <w:b w:val="0"/>
          <w:color w:val="4F81BD" w:themeColor="accent1"/>
        </w:rPr>
        <w:t>35406</w:t>
      </w:r>
      <w:r w:rsidR="000B171B">
        <w:rPr>
          <w:rStyle w:val="Strong"/>
          <w:b w:val="0"/>
          <w:color w:val="4F81BD" w:themeColor="accent1"/>
        </w:rPr>
        <w:t xml:space="preserve"> </w:t>
      </w:r>
      <w:r w:rsidR="00990D69">
        <w:rPr>
          <w:rStyle w:val="Strong"/>
          <w:b w:val="0"/>
          <w:color w:val="4F81BD" w:themeColor="accent1"/>
        </w:rPr>
        <w:t>–</w:t>
      </w:r>
      <w:r w:rsidR="000B171B">
        <w:rPr>
          <w:rStyle w:val="Strong"/>
          <w:b w:val="0"/>
          <w:color w:val="4F81BD" w:themeColor="accent1"/>
        </w:rPr>
        <w:t xml:space="preserve"> </w:t>
      </w:r>
      <w:r w:rsidR="00990D69">
        <w:rPr>
          <w:rStyle w:val="Strong"/>
          <w:b w:val="0"/>
          <w:color w:val="4F81BD" w:themeColor="accent1"/>
        </w:rPr>
        <w:t>T</w:t>
      </w:r>
      <w:r w:rsidR="000B171B" w:rsidRPr="000B171B">
        <w:rPr>
          <w:rStyle w:val="Strong"/>
          <w:b w:val="0"/>
          <w:color w:val="4F81BD" w:themeColor="accent1"/>
        </w:rPr>
        <w:t>rans-femoral catheterisation of the hepatic artery to administer SIR-Spheres</w:t>
      </w:r>
    </w:p>
    <w:p w:rsidR="000112CC" w:rsidRPr="00CD3FFC" w:rsidRDefault="000112CC" w:rsidP="000B171B">
      <w:pPr>
        <w:pStyle w:val="ListParagraph"/>
        <w:numPr>
          <w:ilvl w:val="0"/>
          <w:numId w:val="17"/>
        </w:numPr>
        <w:spacing w:before="0" w:after="0"/>
        <w:rPr>
          <w:rStyle w:val="Strong"/>
          <w:b w:val="0"/>
          <w:color w:val="4F81BD" w:themeColor="accent1"/>
        </w:rPr>
      </w:pPr>
      <w:r w:rsidRPr="00CD3FFC">
        <w:rPr>
          <w:rStyle w:val="Strong"/>
          <w:b w:val="0"/>
          <w:color w:val="4F81BD" w:themeColor="accent1"/>
        </w:rPr>
        <w:t>35408</w:t>
      </w:r>
      <w:r w:rsidR="000B171B">
        <w:rPr>
          <w:rStyle w:val="Strong"/>
          <w:b w:val="0"/>
          <w:color w:val="4F81BD" w:themeColor="accent1"/>
        </w:rPr>
        <w:t xml:space="preserve"> </w:t>
      </w:r>
      <w:r w:rsidR="00990D69">
        <w:rPr>
          <w:rStyle w:val="Strong"/>
          <w:b w:val="0"/>
          <w:color w:val="4F81BD" w:themeColor="accent1"/>
        </w:rPr>
        <w:t>–</w:t>
      </w:r>
      <w:r w:rsidR="000B171B">
        <w:rPr>
          <w:rStyle w:val="Strong"/>
          <w:b w:val="0"/>
          <w:color w:val="4F81BD" w:themeColor="accent1"/>
        </w:rPr>
        <w:t xml:space="preserve"> </w:t>
      </w:r>
      <w:r w:rsidR="000B171B" w:rsidRPr="000B171B">
        <w:rPr>
          <w:rStyle w:val="Strong"/>
          <w:b w:val="0"/>
          <w:color w:val="4F81BD" w:themeColor="accent1"/>
        </w:rPr>
        <w:t>Catheterisation of the hepatic artery via a permanently implanted hepatic artery port to administer SIR-Spheres</w:t>
      </w:r>
      <w:r w:rsidRPr="00CD3FFC">
        <w:rPr>
          <w:rStyle w:val="Strong"/>
          <w:b w:val="0"/>
          <w:color w:val="4F81BD" w:themeColor="accent1"/>
        </w:rPr>
        <w:t>.</w:t>
      </w:r>
    </w:p>
    <w:p w:rsidR="000112CC" w:rsidRPr="00CD3FFC" w:rsidRDefault="000112CC" w:rsidP="000112CC">
      <w:pPr>
        <w:spacing w:before="0" w:after="0"/>
        <w:ind w:left="851"/>
        <w:rPr>
          <w:rStyle w:val="Strong"/>
          <w:b w:val="0"/>
          <w:color w:val="4F81BD" w:themeColor="accent1"/>
        </w:rPr>
      </w:pPr>
    </w:p>
    <w:p w:rsidR="000112CC" w:rsidRDefault="000112CC" w:rsidP="00321FE2">
      <w:pPr>
        <w:spacing w:before="0" w:after="0"/>
        <w:ind w:left="851"/>
        <w:rPr>
          <w:rStyle w:val="Strong"/>
          <w:b w:val="0"/>
          <w:color w:val="4F81BD" w:themeColor="accent1"/>
        </w:rPr>
      </w:pPr>
      <w:r w:rsidRPr="00CD3FFC">
        <w:rPr>
          <w:rStyle w:val="Strong"/>
          <w:b w:val="0"/>
          <w:color w:val="4F81BD" w:themeColor="accent1"/>
        </w:rPr>
        <w:t xml:space="preserve">This application is </w:t>
      </w:r>
      <w:r w:rsidR="001964C7">
        <w:rPr>
          <w:rStyle w:val="Strong"/>
          <w:b w:val="0"/>
          <w:color w:val="4F81BD" w:themeColor="accent1"/>
        </w:rPr>
        <w:t>proposing</w:t>
      </w:r>
      <w:r w:rsidRPr="00CD3FFC">
        <w:rPr>
          <w:rStyle w:val="Strong"/>
          <w:b w:val="0"/>
          <w:color w:val="4F81BD" w:themeColor="accent1"/>
        </w:rPr>
        <w:t xml:space="preserve"> </w:t>
      </w:r>
      <w:r w:rsidR="004148BA">
        <w:rPr>
          <w:rStyle w:val="Strong"/>
          <w:b w:val="0"/>
          <w:color w:val="4F81BD" w:themeColor="accent1"/>
        </w:rPr>
        <w:t xml:space="preserve">two </w:t>
      </w:r>
      <w:r w:rsidRPr="00CD3FFC">
        <w:rPr>
          <w:rStyle w:val="Strong"/>
          <w:b w:val="0"/>
          <w:color w:val="4F81BD" w:themeColor="accent1"/>
        </w:rPr>
        <w:t xml:space="preserve">new </w:t>
      </w:r>
      <w:r w:rsidR="001964C7">
        <w:rPr>
          <w:rStyle w:val="Strong"/>
          <w:b w:val="0"/>
          <w:color w:val="4F81BD" w:themeColor="accent1"/>
        </w:rPr>
        <w:t xml:space="preserve">MBS </w:t>
      </w:r>
      <w:r w:rsidRPr="00CD3FFC">
        <w:rPr>
          <w:rStyle w:val="Strong"/>
          <w:b w:val="0"/>
          <w:color w:val="4F81BD" w:themeColor="accent1"/>
        </w:rPr>
        <w:t xml:space="preserve">item numbers relating to the use of </w:t>
      </w:r>
      <w:r w:rsidR="00AC68A3">
        <w:rPr>
          <w:rStyle w:val="Strong"/>
          <w:b w:val="0"/>
          <w:color w:val="4F81BD" w:themeColor="accent1"/>
        </w:rPr>
        <w:t>TARE</w:t>
      </w:r>
      <w:r w:rsidRPr="00CD3FFC">
        <w:rPr>
          <w:rStyle w:val="Strong"/>
          <w:b w:val="0"/>
          <w:color w:val="4F81BD" w:themeColor="accent1"/>
        </w:rPr>
        <w:t>-Y</w:t>
      </w:r>
      <w:r w:rsidR="001964C7">
        <w:rPr>
          <w:rStyle w:val="Strong"/>
          <w:b w:val="0"/>
          <w:color w:val="4F81BD" w:themeColor="accent1"/>
        </w:rPr>
        <w:t>. The two proposed item numbers are similar to MBS 35404 and 35406; the differences being that (</w:t>
      </w:r>
      <w:proofErr w:type="spellStart"/>
      <w:r w:rsidR="001964C7">
        <w:rPr>
          <w:rStyle w:val="Strong"/>
          <w:b w:val="0"/>
          <w:color w:val="4F81BD" w:themeColor="accent1"/>
        </w:rPr>
        <w:t>i</w:t>
      </w:r>
      <w:proofErr w:type="spellEnd"/>
      <w:r w:rsidR="001964C7">
        <w:rPr>
          <w:rStyle w:val="Strong"/>
          <w:b w:val="0"/>
          <w:color w:val="4F81BD" w:themeColor="accent1"/>
        </w:rPr>
        <w:t xml:space="preserve">) they are for treatment using resin </w:t>
      </w:r>
      <w:r w:rsidR="001964C7" w:rsidRPr="001964C7">
        <w:rPr>
          <w:rStyle w:val="Strong"/>
          <w:b w:val="0"/>
          <w:color w:val="4F81BD" w:themeColor="accent1"/>
          <w:u w:val="single"/>
        </w:rPr>
        <w:t>or</w:t>
      </w:r>
      <w:r w:rsidR="001964C7">
        <w:rPr>
          <w:rStyle w:val="Strong"/>
          <w:b w:val="0"/>
          <w:color w:val="4F81BD" w:themeColor="accent1"/>
        </w:rPr>
        <w:t xml:space="preserve"> glass microspheres and (ii) the indication is for patients with unresectable HCC. </w:t>
      </w:r>
    </w:p>
    <w:p w:rsidR="00321FE2" w:rsidRPr="00321FE2" w:rsidRDefault="00321FE2" w:rsidP="00321FE2">
      <w:pPr>
        <w:spacing w:before="0" w:after="0"/>
        <w:ind w:left="851"/>
        <w:rPr>
          <w:rStyle w:val="Strong"/>
          <w:b w:val="0"/>
          <w:color w:val="4F81BD" w:themeColor="accent1"/>
        </w:rPr>
      </w:pPr>
    </w:p>
    <w:p w:rsidR="003027BB" w:rsidRPr="007E39E4" w:rsidRDefault="00F30C22" w:rsidP="005D05D5">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rsidR="000A5B32" w:rsidRDefault="00E95D8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sidR="000A5B32" w:rsidRPr="000A5B32">
        <w:rPr>
          <w:szCs w:val="20"/>
        </w:rPr>
        <w:t xml:space="preserve"> Yes</w:t>
      </w:r>
    </w:p>
    <w:p w:rsidR="00626365" w:rsidRDefault="00E95D81" w:rsidP="00626365">
      <w:pPr>
        <w:spacing w:before="0" w:after="0"/>
        <w:ind w:left="284"/>
        <w:rPr>
          <w:color w:val="4F81BD" w:themeColor="accent1"/>
          <w:szCs w:val="20"/>
        </w:rPr>
      </w:pPr>
      <w:r w:rsidRPr="00E02A90">
        <w:rPr>
          <w:color w:val="4F81BD" w:themeColor="accent1"/>
          <w:szCs w:val="20"/>
        </w:rPr>
        <w:sym w:font="Wingdings" w:char="F078"/>
      </w:r>
      <w:r w:rsidR="000A5B32" w:rsidRPr="00E02A90">
        <w:rPr>
          <w:color w:val="4F81BD" w:themeColor="accent1"/>
          <w:szCs w:val="20"/>
        </w:rPr>
        <w:t xml:space="preserve"> No</w:t>
      </w:r>
    </w:p>
    <w:p w:rsidR="00321FE2" w:rsidRPr="00E02A90" w:rsidRDefault="00321FE2" w:rsidP="00626365">
      <w:pPr>
        <w:spacing w:before="0" w:after="0"/>
        <w:ind w:left="284"/>
        <w:rPr>
          <w:color w:val="4F81BD" w:themeColor="accent1"/>
          <w:szCs w:val="20"/>
        </w:rPr>
      </w:pPr>
    </w:p>
    <w:p w:rsidR="003027BB" w:rsidRPr="007E39E4" w:rsidRDefault="003027BB" w:rsidP="005D05D5">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rsidR="000A5B32" w:rsidRDefault="00B640D2" w:rsidP="00E95D81">
      <w:pPr>
        <w:ind w:left="720"/>
        <w:rPr>
          <w:color w:val="4F81BD" w:themeColor="accent1"/>
        </w:rPr>
      </w:pPr>
      <w:r>
        <w:rPr>
          <w:color w:val="4F81BD" w:themeColor="accent1"/>
        </w:rPr>
        <w:t>Not applicable</w:t>
      </w:r>
    </w:p>
    <w:p w:rsidR="00321FE2" w:rsidRDefault="00321FE2" w:rsidP="00E95D81">
      <w:pPr>
        <w:ind w:left="720"/>
        <w:rPr>
          <w:color w:val="4F81BD" w:themeColor="accent1"/>
        </w:rPr>
      </w:pPr>
      <w:r>
        <w:rPr>
          <w:color w:val="4F81BD" w:themeColor="accent1"/>
        </w:rPr>
        <w:br w:type="page"/>
      </w:r>
    </w:p>
    <w:p w:rsidR="000B3CD0" w:rsidRDefault="000B3CD0" w:rsidP="00730C04">
      <w:pPr>
        <w:pStyle w:val="Heading2"/>
      </w:pPr>
      <w:r w:rsidRPr="00154B00">
        <w:lastRenderedPageBreak/>
        <w:t xml:space="preserve">What is the type of </w:t>
      </w:r>
      <w:proofErr w:type="gramStart"/>
      <w:r w:rsidRPr="00154B00">
        <w:t>service:</w:t>
      </w:r>
      <w:proofErr w:type="gramEnd"/>
    </w:p>
    <w:p w:rsidR="00A6594E" w:rsidRPr="00E02A90" w:rsidRDefault="00E95D81" w:rsidP="00A6491A">
      <w:pPr>
        <w:spacing w:before="0" w:after="0"/>
        <w:ind w:left="284"/>
        <w:rPr>
          <w:color w:val="4F81BD" w:themeColor="accent1"/>
        </w:rPr>
      </w:pPr>
      <w:r w:rsidRPr="00E02A90">
        <w:rPr>
          <w:b/>
          <w:color w:val="4F81BD" w:themeColor="accent1"/>
          <w:szCs w:val="20"/>
        </w:rPr>
        <w:sym w:font="Wingdings" w:char="F078"/>
      </w:r>
      <w:r w:rsidR="00A6594E" w:rsidRPr="00E02A90">
        <w:rPr>
          <w:b/>
          <w:color w:val="4F81BD" w:themeColor="accent1"/>
          <w:szCs w:val="20"/>
        </w:rPr>
        <w:t xml:space="preserve"> </w:t>
      </w:r>
      <w:r w:rsidR="00A6594E" w:rsidRPr="00E02A90">
        <w:rPr>
          <w:color w:val="4F81BD" w:themeColor="accent1"/>
        </w:rPr>
        <w:t>Therapeutic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E4ED7">
        <w:rPr>
          <w:b/>
          <w:szCs w:val="20"/>
        </w:rPr>
      </w:r>
      <w:r w:rsidR="00DE4ED7">
        <w:rPr>
          <w:b/>
          <w:szCs w:val="20"/>
        </w:rPr>
        <w:fldChar w:fldCharType="separate"/>
      </w:r>
      <w:r w:rsidRPr="0027105F">
        <w:rPr>
          <w:b/>
          <w:szCs w:val="20"/>
        </w:rPr>
        <w:fldChar w:fldCharType="end"/>
      </w:r>
      <w:r w:rsidRPr="0027105F">
        <w:rPr>
          <w:b/>
          <w:szCs w:val="20"/>
        </w:rPr>
        <w:t xml:space="preserve"> </w:t>
      </w:r>
      <w:r>
        <w:t>Investigative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E4ED7">
        <w:rPr>
          <w:b/>
          <w:szCs w:val="20"/>
        </w:rPr>
      </w:r>
      <w:r w:rsidR="00DE4ED7">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E4ED7">
        <w:rPr>
          <w:b/>
          <w:szCs w:val="20"/>
        </w:rPr>
      </w:r>
      <w:r w:rsidR="00DE4ED7">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E4ED7">
        <w:rPr>
          <w:b/>
          <w:szCs w:val="20"/>
        </w:rPr>
      </w:r>
      <w:r w:rsidR="00DE4ED7">
        <w:rPr>
          <w:b/>
          <w:szCs w:val="20"/>
        </w:rPr>
        <w:fldChar w:fldCharType="separate"/>
      </w:r>
      <w:r w:rsidRPr="0027105F">
        <w:rPr>
          <w:b/>
          <w:szCs w:val="20"/>
        </w:rPr>
        <w:fldChar w:fldCharType="end"/>
      </w:r>
      <w:r w:rsidRPr="0027105F">
        <w:rPr>
          <w:b/>
          <w:szCs w:val="20"/>
        </w:rPr>
        <w:t xml:space="preserve"> </w:t>
      </w:r>
      <w:r>
        <w:t>Allied health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E4ED7">
        <w:rPr>
          <w:b/>
          <w:szCs w:val="20"/>
        </w:rPr>
      </w:r>
      <w:r w:rsidR="00DE4ED7">
        <w:rPr>
          <w:b/>
          <w:szCs w:val="20"/>
        </w:rPr>
        <w:fldChar w:fldCharType="separate"/>
      </w:r>
      <w:r w:rsidRPr="0027105F">
        <w:rPr>
          <w:b/>
          <w:szCs w:val="20"/>
        </w:rPr>
        <w:fldChar w:fldCharType="end"/>
      </w:r>
      <w:r w:rsidRPr="0027105F">
        <w:rPr>
          <w:b/>
          <w:szCs w:val="20"/>
        </w:rPr>
        <w:t xml:space="preserve"> </w:t>
      </w:r>
      <w:r>
        <w:t>Co-dependent technology</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E4ED7">
        <w:rPr>
          <w:b/>
          <w:szCs w:val="20"/>
        </w:rPr>
      </w:r>
      <w:r w:rsidR="00DE4ED7">
        <w:rPr>
          <w:b/>
          <w:szCs w:val="20"/>
        </w:rPr>
        <w:fldChar w:fldCharType="separate"/>
      </w:r>
      <w:r w:rsidRPr="0027105F">
        <w:rPr>
          <w:b/>
          <w:szCs w:val="20"/>
        </w:rPr>
        <w:fldChar w:fldCharType="end"/>
      </w:r>
      <w:r w:rsidRPr="0027105F">
        <w:rPr>
          <w:b/>
          <w:szCs w:val="20"/>
        </w:rPr>
        <w:t xml:space="preserve"> </w:t>
      </w:r>
      <w:r>
        <w:t>Hybrid health technology</w:t>
      </w:r>
    </w:p>
    <w:p w:rsidR="00124B00" w:rsidRPr="00A6594E" w:rsidRDefault="00124B00" w:rsidP="00A6491A">
      <w:pPr>
        <w:spacing w:before="0" w:after="0"/>
        <w:ind w:left="284"/>
      </w:pPr>
    </w:p>
    <w:p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E95D81" w:rsidRPr="00E02A90" w:rsidRDefault="00B640D2" w:rsidP="00E95D81">
      <w:pPr>
        <w:ind w:left="360"/>
        <w:rPr>
          <w:color w:val="4F81BD" w:themeColor="accent1"/>
        </w:rPr>
      </w:pPr>
      <w:r>
        <w:rPr>
          <w:color w:val="4F81BD" w:themeColor="accent1"/>
        </w:rPr>
        <w:t>Not applicable</w:t>
      </w:r>
    </w:p>
    <w:p w:rsidR="00A6594E" w:rsidRDefault="00A6594E" w:rsidP="005D05D5">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E4ED7">
        <w:rPr>
          <w:b/>
          <w:szCs w:val="20"/>
        </w:rPr>
      </w:r>
      <w:r w:rsidR="00DE4ED7">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rsidR="00A6594E" w:rsidRDefault="00A6594E" w:rsidP="005D05D5">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E4ED7">
        <w:rPr>
          <w:b/>
          <w:szCs w:val="20"/>
        </w:rPr>
      </w:r>
      <w:r w:rsidR="00DE4ED7">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rsidR="00A6594E" w:rsidRDefault="00A6594E" w:rsidP="005D05D5">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E4ED7">
        <w:rPr>
          <w:b/>
          <w:szCs w:val="20"/>
        </w:rPr>
      </w:r>
      <w:r w:rsidR="00DE4ED7">
        <w:rPr>
          <w:b/>
          <w:szCs w:val="20"/>
        </w:rPr>
        <w:fldChar w:fldCharType="separate"/>
      </w:r>
      <w:r w:rsidRPr="00AF4466">
        <w:rPr>
          <w:b/>
          <w:szCs w:val="20"/>
        </w:rPr>
        <w:fldChar w:fldCharType="end"/>
      </w:r>
      <w:r w:rsidRPr="00AF4466">
        <w:rPr>
          <w:b/>
          <w:szCs w:val="20"/>
        </w:rPr>
        <w:t xml:space="preserve"> </w:t>
      </w:r>
      <w:r>
        <w:t>Provides information about prognosis</w:t>
      </w:r>
    </w:p>
    <w:p w:rsidR="00A6594E" w:rsidRDefault="00A6594E" w:rsidP="005D05D5">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E4ED7">
        <w:rPr>
          <w:b/>
          <w:szCs w:val="20"/>
        </w:rPr>
      </w:r>
      <w:r w:rsidR="00DE4ED7">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rsidR="00F63A62" w:rsidRDefault="00A6594E" w:rsidP="005D05D5">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E4ED7">
        <w:rPr>
          <w:b/>
          <w:szCs w:val="20"/>
        </w:rPr>
      </w:r>
      <w:r w:rsidR="00DE4ED7">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rsidR="00A6594E" w:rsidRDefault="00F63A62" w:rsidP="005D05D5">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E4ED7">
        <w:rPr>
          <w:b/>
          <w:szCs w:val="20"/>
        </w:rPr>
      </w:r>
      <w:r w:rsidR="00DE4ED7">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 xml:space="preserve">mutations (and thus for which the Clinical Utility Card </w:t>
      </w:r>
      <w:proofErr w:type="spellStart"/>
      <w:r>
        <w:t>proforma</w:t>
      </w:r>
      <w:proofErr w:type="spellEnd"/>
      <w:r>
        <w:t xml:space="preserve"> might apply)</w:t>
      </w:r>
    </w:p>
    <w:p w:rsidR="002A40AE" w:rsidRDefault="002A40AE" w:rsidP="002F55EF">
      <w:pPr>
        <w:spacing w:before="0" w:after="0"/>
      </w:pPr>
    </w:p>
    <w:p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E4ED7">
        <w:rPr>
          <w:b/>
          <w:szCs w:val="20"/>
        </w:rPr>
      </w:r>
      <w:r w:rsidR="00DE4ED7">
        <w:rPr>
          <w:b/>
          <w:szCs w:val="20"/>
        </w:rPr>
        <w:fldChar w:fldCharType="separate"/>
      </w:r>
      <w:r w:rsidRPr="0027105F">
        <w:rPr>
          <w:b/>
          <w:szCs w:val="20"/>
        </w:rPr>
        <w:fldChar w:fldCharType="end"/>
      </w:r>
      <w:r w:rsidRPr="0027105F">
        <w:rPr>
          <w:b/>
          <w:szCs w:val="20"/>
        </w:rPr>
        <w:t xml:space="preserve"> </w:t>
      </w:r>
      <w:r>
        <w:t>Pharmaceutical / Biological</w:t>
      </w:r>
    </w:p>
    <w:p w:rsidR="00FE16C1" w:rsidRPr="00E02A90" w:rsidRDefault="00E95D81" w:rsidP="00A6491A">
      <w:pPr>
        <w:spacing w:before="0" w:after="0"/>
        <w:ind w:left="284"/>
        <w:rPr>
          <w:color w:val="4F81BD" w:themeColor="accent1"/>
        </w:rPr>
      </w:pPr>
      <w:r w:rsidRPr="00E02A90">
        <w:rPr>
          <w:b/>
          <w:color w:val="4F81BD" w:themeColor="accent1"/>
          <w:szCs w:val="20"/>
        </w:rPr>
        <w:sym w:font="Wingdings" w:char="F078"/>
      </w:r>
      <w:r w:rsidR="00FE16C1" w:rsidRPr="00E02A90">
        <w:rPr>
          <w:b/>
          <w:color w:val="4F81BD" w:themeColor="accent1"/>
          <w:szCs w:val="20"/>
        </w:rPr>
        <w:t xml:space="preserve"> </w:t>
      </w:r>
      <w:r w:rsidR="00FE16C1" w:rsidRPr="00E02A90">
        <w:rPr>
          <w:color w:val="4F81BD" w:themeColor="accent1"/>
        </w:rPr>
        <w:t>Prosthesis or device</w:t>
      </w:r>
    </w:p>
    <w:p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E4ED7">
        <w:rPr>
          <w:b/>
          <w:szCs w:val="20"/>
        </w:rPr>
      </w:r>
      <w:r w:rsidR="00DE4ED7">
        <w:rPr>
          <w:b/>
          <w:szCs w:val="20"/>
        </w:rPr>
        <w:fldChar w:fldCharType="separate"/>
      </w:r>
      <w:r w:rsidRPr="0027105F">
        <w:rPr>
          <w:b/>
          <w:szCs w:val="20"/>
        </w:rPr>
        <w:fldChar w:fldCharType="end"/>
      </w:r>
      <w:r w:rsidRPr="0027105F">
        <w:rPr>
          <w:b/>
          <w:szCs w:val="20"/>
        </w:rPr>
        <w:t xml:space="preserve"> </w:t>
      </w:r>
      <w:r>
        <w:t>No</w:t>
      </w:r>
    </w:p>
    <w:p w:rsidR="000E5439"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rsidR="00E95D81" w:rsidRPr="00E02A90" w:rsidRDefault="00B640D2" w:rsidP="00B640D2">
      <w:pPr>
        <w:ind w:left="720"/>
        <w:rPr>
          <w:color w:val="4F81BD" w:themeColor="accent1"/>
        </w:rPr>
      </w:pPr>
      <w:r>
        <w:rPr>
          <w:color w:val="4F81BD" w:themeColor="accent1"/>
        </w:rPr>
        <w:t>Not applicable</w:t>
      </w:r>
    </w:p>
    <w:p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sidRPr="000A5B32">
        <w:rPr>
          <w:szCs w:val="20"/>
        </w:rPr>
        <w:t xml:space="preserve"> Yes</w:t>
      </w:r>
    </w:p>
    <w:p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Pr>
          <w:szCs w:val="20"/>
        </w:rPr>
        <w:t xml:space="preserve"> No  </w:t>
      </w:r>
    </w:p>
    <w:p w:rsidR="00EC127A" w:rsidRPr="001E6958" w:rsidRDefault="000E5439" w:rsidP="005D05D5">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rsidR="007E39E4" w:rsidRPr="00E02A90" w:rsidRDefault="00B640D2" w:rsidP="00E95D81">
      <w:pPr>
        <w:ind w:left="720"/>
        <w:rPr>
          <w:b/>
          <w:color w:val="4F81BD" w:themeColor="accent1"/>
          <w:szCs w:val="20"/>
        </w:rPr>
      </w:pPr>
      <w:r>
        <w:rPr>
          <w:color w:val="4F81BD" w:themeColor="accent1"/>
        </w:rPr>
        <w:t>Not applicable</w:t>
      </w:r>
    </w:p>
    <w:p w:rsidR="00411735" w:rsidRDefault="00411735" w:rsidP="005D05D5">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rsidR="00E95D81" w:rsidRPr="00E02A90" w:rsidRDefault="00B640D2" w:rsidP="00E95D81">
      <w:pPr>
        <w:ind w:left="720"/>
        <w:rPr>
          <w:color w:val="4F81BD" w:themeColor="accent1"/>
        </w:rPr>
      </w:pPr>
      <w:r>
        <w:rPr>
          <w:color w:val="4F81BD" w:themeColor="accent1"/>
        </w:rPr>
        <w:t>Not applicable</w:t>
      </w:r>
    </w:p>
    <w:p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sidR="001E6919">
        <w:rPr>
          <w:szCs w:val="20"/>
        </w:rPr>
        <w:t xml:space="preserve"> No</w:t>
      </w:r>
    </w:p>
    <w:p w:rsidR="000E5439" w:rsidRDefault="000E5439" w:rsidP="005D05D5">
      <w:pPr>
        <w:pStyle w:val="Heading2"/>
        <w:numPr>
          <w:ilvl w:val="0"/>
          <w:numId w:val="4"/>
        </w:numPr>
      </w:pPr>
      <w:r w:rsidRPr="007E39E4">
        <w:t>If you are seeking both MBS and PBS listing</w:t>
      </w:r>
      <w:r w:rsidR="00B75965" w:rsidRPr="007E39E4">
        <w:t>, what is the trade name and generic name of the pharmaceutical?</w:t>
      </w:r>
    </w:p>
    <w:p w:rsidR="00E95D81" w:rsidRPr="00E02A90" w:rsidRDefault="00B640D2" w:rsidP="00E95D81">
      <w:pPr>
        <w:ind w:left="720"/>
        <w:rPr>
          <w:color w:val="4F81BD" w:themeColor="accent1"/>
        </w:rPr>
      </w:pPr>
      <w:r>
        <w:rPr>
          <w:color w:val="4F81BD" w:themeColor="accent1"/>
        </w:rPr>
        <w:t>Not applicable</w:t>
      </w:r>
    </w:p>
    <w:p w:rsidR="001E6958" w:rsidRDefault="001E6958" w:rsidP="00A6491A">
      <w:pPr>
        <w:spacing w:before="0" w:after="0"/>
        <w:ind w:left="284"/>
      </w:pPr>
      <w:r>
        <w:t xml:space="preserve">Trade name: </w:t>
      </w:r>
      <w:r>
        <w:fldChar w:fldCharType="begin">
          <w:ffData>
            <w:name w:val=""/>
            <w:enabled/>
            <w:calcOnExit w:val="0"/>
            <w:textInput>
              <w:default w:val="Insert trade name here"/>
            </w:textInput>
          </w:ffData>
        </w:fldChar>
      </w:r>
      <w:r>
        <w:instrText xml:space="preserve"> FORMTEXT </w:instrText>
      </w:r>
      <w:r>
        <w:fldChar w:fldCharType="separate"/>
      </w:r>
      <w:r>
        <w:rPr>
          <w:noProof/>
        </w:rPr>
        <w:t>Insert trade name here</w:t>
      </w:r>
      <w:r>
        <w:fldChar w:fldCharType="end"/>
      </w:r>
    </w:p>
    <w:p w:rsidR="001E6958" w:rsidRPr="001E6958" w:rsidRDefault="001E6958" w:rsidP="00A6491A">
      <w:pPr>
        <w:spacing w:before="0" w:after="0"/>
        <w:ind w:left="284"/>
      </w:pPr>
      <w:r>
        <w:t xml:space="preserve">Generic name: </w:t>
      </w:r>
      <w:r>
        <w:fldChar w:fldCharType="begin">
          <w:ffData>
            <w:name w:val=""/>
            <w:enabled/>
            <w:calcOnExit w:val="0"/>
            <w:textInput>
              <w:default w:val="Insert generic name here"/>
            </w:textInput>
          </w:ffData>
        </w:fldChar>
      </w:r>
      <w:r>
        <w:instrText xml:space="preserve"> FORMTEXT </w:instrText>
      </w:r>
      <w:r>
        <w:fldChar w:fldCharType="separate"/>
      </w:r>
      <w:r>
        <w:rPr>
          <w:noProof/>
        </w:rPr>
        <w:t>Insert generic name here</w:t>
      </w:r>
      <w:r>
        <w:fldChar w:fldCharType="end"/>
      </w:r>
    </w:p>
    <w:p w:rsidR="00B75965" w:rsidRDefault="00530204" w:rsidP="00530204">
      <w:pPr>
        <w:pStyle w:val="Heading2"/>
      </w:pPr>
      <w:r>
        <w:lastRenderedPageBreak/>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rsidR="001E6958" w:rsidRPr="00E02A90" w:rsidRDefault="000112CC" w:rsidP="00A6491A">
      <w:pPr>
        <w:spacing w:before="0" w:after="0"/>
        <w:ind w:left="284"/>
        <w:rPr>
          <w:color w:val="4F81BD" w:themeColor="accent1"/>
          <w:szCs w:val="20"/>
        </w:rPr>
      </w:pPr>
      <w:r w:rsidRPr="00E02A90">
        <w:rPr>
          <w:color w:val="4F81BD" w:themeColor="accent1"/>
          <w:szCs w:val="20"/>
        </w:rPr>
        <w:sym w:font="Wingdings" w:char="F078"/>
      </w:r>
      <w:r w:rsidR="001E6958" w:rsidRPr="00E02A90">
        <w:rPr>
          <w:color w:val="4F81BD" w:themeColor="accent1"/>
          <w:szCs w:val="20"/>
        </w:rPr>
        <w:t xml:space="preserve"> Yes</w:t>
      </w:r>
      <w:r w:rsidR="00CD3FFC" w:rsidRPr="00E02A90">
        <w:rPr>
          <w:color w:val="4F81BD" w:themeColor="accent1"/>
          <w:szCs w:val="20"/>
        </w:rPr>
        <w:t xml:space="preserve"> (resin microspheres/SIR-Spheres)</w:t>
      </w:r>
    </w:p>
    <w:p w:rsidR="000112CC" w:rsidRPr="00E02A90" w:rsidRDefault="000112CC" w:rsidP="00275D11">
      <w:pPr>
        <w:spacing w:before="0" w:after="0"/>
        <w:ind w:left="284"/>
        <w:rPr>
          <w:color w:val="4F81BD" w:themeColor="accent1"/>
          <w:szCs w:val="20"/>
        </w:rPr>
      </w:pPr>
      <w:r w:rsidRPr="00E02A90">
        <w:rPr>
          <w:color w:val="4F81BD" w:themeColor="accent1"/>
          <w:szCs w:val="20"/>
        </w:rPr>
        <w:sym w:font="Wingdings" w:char="F078"/>
      </w:r>
      <w:r w:rsidR="00CD3FFC" w:rsidRPr="00E02A90">
        <w:rPr>
          <w:color w:val="4F81BD" w:themeColor="accent1"/>
          <w:szCs w:val="20"/>
        </w:rPr>
        <w:t xml:space="preserve"> No (glass microspheres/</w:t>
      </w:r>
      <w:proofErr w:type="spellStart"/>
      <w:r w:rsidR="00CD3FFC" w:rsidRPr="00E02A90">
        <w:rPr>
          <w:color w:val="4F81BD" w:themeColor="accent1"/>
          <w:szCs w:val="20"/>
        </w:rPr>
        <w:t>TheraSphere</w:t>
      </w:r>
      <w:proofErr w:type="spellEnd"/>
      <w:r w:rsidR="00CD3FFC" w:rsidRPr="00E02A90">
        <w:rPr>
          <w:color w:val="4F81BD" w:themeColor="accent1"/>
          <w:szCs w:val="20"/>
        </w:rPr>
        <w:t>)</w:t>
      </w:r>
    </w:p>
    <w:p w:rsidR="001E6919" w:rsidRPr="001E6958" w:rsidRDefault="001E6919" w:rsidP="00CD3FFC">
      <w:pPr>
        <w:spacing w:before="0" w:after="0"/>
        <w:rPr>
          <w:szCs w:val="20"/>
        </w:rPr>
      </w:pPr>
    </w:p>
    <w:p w:rsidR="00B75965" w:rsidRDefault="00B75965" w:rsidP="005D05D5">
      <w:pPr>
        <w:pStyle w:val="Heading2"/>
        <w:numPr>
          <w:ilvl w:val="0"/>
          <w:numId w:val="5"/>
        </w:numPr>
      </w:pPr>
      <w:r w:rsidRPr="001E6958">
        <w:t xml:space="preserve">If yes, </w:t>
      </w:r>
      <w:r w:rsidR="00C73B62" w:rsidRPr="001E6958">
        <w:t xml:space="preserve">please provide the following information (where relevant): </w:t>
      </w:r>
    </w:p>
    <w:p w:rsidR="00B640D2" w:rsidRPr="00B640D2" w:rsidRDefault="00B640D2" w:rsidP="00A6491A">
      <w:pPr>
        <w:spacing w:before="0" w:after="0"/>
        <w:ind w:left="284"/>
        <w:rPr>
          <w:color w:val="4F81BD" w:themeColor="accent1"/>
          <w:u w:val="single"/>
        </w:rPr>
      </w:pPr>
      <w:r w:rsidRPr="00B640D2">
        <w:rPr>
          <w:color w:val="4F81BD" w:themeColor="accent1"/>
          <w:u w:val="single"/>
        </w:rPr>
        <w:t>Resin microspheres/SIR-Spheres</w:t>
      </w:r>
    </w:p>
    <w:p w:rsidR="001E6958" w:rsidRPr="00E02A90" w:rsidRDefault="001E6958" w:rsidP="00A6491A">
      <w:pPr>
        <w:spacing w:before="0" w:after="0"/>
        <w:ind w:left="284"/>
        <w:rPr>
          <w:color w:val="4F81BD" w:themeColor="accent1"/>
        </w:rPr>
      </w:pPr>
      <w:r w:rsidRPr="00E02A90">
        <w:rPr>
          <w:i/>
          <w:color w:val="4F81BD" w:themeColor="accent1"/>
        </w:rPr>
        <w:t>Billing code(s):</w:t>
      </w:r>
      <w:r w:rsidRPr="00E02A90">
        <w:rPr>
          <w:color w:val="4F81BD" w:themeColor="accent1"/>
        </w:rPr>
        <w:t xml:space="preserve"> </w:t>
      </w:r>
      <w:r w:rsidR="00CD3FFC" w:rsidRPr="00E02A90">
        <w:rPr>
          <w:color w:val="4F81BD" w:themeColor="accent1"/>
        </w:rPr>
        <w:t>SE001</w:t>
      </w:r>
    </w:p>
    <w:p w:rsidR="001E6958" w:rsidRPr="00E02A90" w:rsidRDefault="001E6958" w:rsidP="00A6491A">
      <w:pPr>
        <w:spacing w:before="0" w:after="0"/>
        <w:ind w:left="284"/>
        <w:rPr>
          <w:color w:val="4F81BD" w:themeColor="accent1"/>
        </w:rPr>
      </w:pPr>
      <w:r w:rsidRPr="00E02A90">
        <w:rPr>
          <w:i/>
          <w:color w:val="4F81BD" w:themeColor="accent1"/>
        </w:rPr>
        <w:t>Trade name of prostheses:</w:t>
      </w:r>
      <w:r w:rsidRPr="00E02A90">
        <w:rPr>
          <w:color w:val="4F81BD" w:themeColor="accent1"/>
        </w:rPr>
        <w:t xml:space="preserve"> </w:t>
      </w:r>
      <w:r w:rsidR="00CD3FFC" w:rsidRPr="00E02A90">
        <w:rPr>
          <w:color w:val="4F81BD" w:themeColor="accent1"/>
        </w:rPr>
        <w:t>SIR-Spheres including Delivery Apparatus</w:t>
      </w:r>
    </w:p>
    <w:p w:rsidR="001E6958" w:rsidRPr="00E02A90" w:rsidRDefault="001E6958" w:rsidP="00A6491A">
      <w:pPr>
        <w:spacing w:before="0" w:after="0"/>
        <w:ind w:left="284"/>
        <w:rPr>
          <w:color w:val="4F81BD" w:themeColor="accent1"/>
        </w:rPr>
      </w:pPr>
      <w:r w:rsidRPr="00E02A90">
        <w:rPr>
          <w:i/>
          <w:color w:val="4F81BD" w:themeColor="accent1"/>
        </w:rPr>
        <w:t>Clinical name of prostheses:</w:t>
      </w:r>
      <w:r w:rsidRPr="00E02A90">
        <w:rPr>
          <w:color w:val="4F81BD" w:themeColor="accent1"/>
        </w:rPr>
        <w:t xml:space="preserve"> </w:t>
      </w:r>
      <w:r w:rsidR="00CD3FFC" w:rsidRPr="00E02A90">
        <w:rPr>
          <w:color w:val="4F81BD" w:themeColor="accent1"/>
        </w:rPr>
        <w:t xml:space="preserve">Biocompatible microspheres 20-60mm (microns) in diameter containing yttrium-90. </w:t>
      </w:r>
    </w:p>
    <w:p w:rsidR="001E6958" w:rsidRPr="00E02A90" w:rsidRDefault="001E6958" w:rsidP="00A6491A">
      <w:pPr>
        <w:spacing w:before="0" w:after="0"/>
        <w:ind w:left="284"/>
        <w:rPr>
          <w:color w:val="4F81BD" w:themeColor="accent1"/>
        </w:rPr>
      </w:pPr>
      <w:r w:rsidRPr="00E02A90">
        <w:rPr>
          <w:i/>
          <w:color w:val="4F81BD" w:themeColor="accent1"/>
        </w:rPr>
        <w:t>Other device components delivered as part of the service:</w:t>
      </w:r>
      <w:r w:rsidRPr="00E02A90">
        <w:rPr>
          <w:color w:val="4F81BD" w:themeColor="accent1"/>
        </w:rPr>
        <w:t xml:space="preserve"> </w:t>
      </w:r>
      <w:r w:rsidR="00CD3FFC" w:rsidRPr="00E02A90">
        <w:rPr>
          <w:color w:val="4F81BD" w:themeColor="accent1"/>
        </w:rPr>
        <w:t>Delivery apparatus is PVC tubing, ABS stopcocks, acrylic holders and stainless steel needles with PE hubs</w:t>
      </w:r>
    </w:p>
    <w:p w:rsidR="009939DC" w:rsidRDefault="009939DC" w:rsidP="009939DC"/>
    <w:p w:rsidR="00411735" w:rsidRDefault="00411735" w:rsidP="005D05D5">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rsidR="009939DC" w:rsidRPr="00E02A90" w:rsidRDefault="009939DC" w:rsidP="00A6491A">
      <w:pPr>
        <w:spacing w:before="0" w:after="0"/>
        <w:ind w:left="284"/>
        <w:rPr>
          <w:color w:val="4F81BD" w:themeColor="accent1"/>
          <w:szCs w:val="20"/>
        </w:rPr>
      </w:pPr>
      <w:r w:rsidRPr="00E02A90">
        <w:rPr>
          <w:color w:val="4F81BD" w:themeColor="accent1"/>
          <w:szCs w:val="20"/>
        </w:rPr>
        <w:fldChar w:fldCharType="begin">
          <w:ffData>
            <w:name w:val="Check1"/>
            <w:enabled/>
            <w:calcOnExit w:val="0"/>
            <w:checkBox>
              <w:sizeAuto/>
              <w:default w:val="0"/>
            </w:checkBox>
          </w:ffData>
        </w:fldChar>
      </w:r>
      <w:r w:rsidRPr="00E02A90">
        <w:rPr>
          <w:color w:val="4F81BD" w:themeColor="accent1"/>
          <w:szCs w:val="20"/>
        </w:rPr>
        <w:instrText xml:space="preserve"> FORMCHECKBOX </w:instrText>
      </w:r>
      <w:r w:rsidR="00DE4ED7">
        <w:rPr>
          <w:color w:val="4F81BD" w:themeColor="accent1"/>
          <w:szCs w:val="20"/>
        </w:rPr>
      </w:r>
      <w:r w:rsidR="00DE4ED7">
        <w:rPr>
          <w:color w:val="4F81BD" w:themeColor="accent1"/>
          <w:szCs w:val="20"/>
        </w:rPr>
        <w:fldChar w:fldCharType="separate"/>
      </w:r>
      <w:r w:rsidRPr="00E02A90">
        <w:rPr>
          <w:color w:val="4F81BD" w:themeColor="accent1"/>
          <w:szCs w:val="20"/>
        </w:rPr>
        <w:fldChar w:fldCharType="end"/>
      </w:r>
      <w:r w:rsidRPr="00E02A90">
        <w:rPr>
          <w:color w:val="4F81BD" w:themeColor="accent1"/>
          <w:szCs w:val="20"/>
        </w:rPr>
        <w:t xml:space="preserve"> Yes</w:t>
      </w:r>
    </w:p>
    <w:p w:rsidR="00CD3FFC" w:rsidRPr="00E02A90" w:rsidRDefault="00CD3FFC" w:rsidP="00E02A90">
      <w:pPr>
        <w:spacing w:before="0" w:after="0"/>
        <w:ind w:left="284"/>
        <w:rPr>
          <w:color w:val="4F81BD" w:themeColor="accent1"/>
          <w:szCs w:val="20"/>
        </w:rPr>
      </w:pPr>
      <w:r w:rsidRPr="00E02A90">
        <w:rPr>
          <w:color w:val="4F81BD" w:themeColor="accent1"/>
          <w:szCs w:val="20"/>
        </w:rPr>
        <w:sym w:font="Wingdings" w:char="F078"/>
      </w:r>
      <w:r w:rsidR="00B640D2">
        <w:rPr>
          <w:color w:val="4F81BD" w:themeColor="accent1"/>
          <w:szCs w:val="20"/>
        </w:rPr>
        <w:t xml:space="preserve"> No</w:t>
      </w:r>
      <w:r w:rsidR="009939DC" w:rsidRPr="00E02A90">
        <w:rPr>
          <w:color w:val="4F81BD" w:themeColor="accent1"/>
          <w:szCs w:val="20"/>
        </w:rPr>
        <w:t xml:space="preserve"> </w:t>
      </w:r>
      <w:r w:rsidR="00321FE2">
        <w:rPr>
          <w:color w:val="4F81BD" w:themeColor="accent1"/>
          <w:szCs w:val="20"/>
        </w:rPr>
        <w:t>–</w:t>
      </w:r>
      <w:r w:rsidR="00B640D2">
        <w:rPr>
          <w:color w:val="4F81BD" w:themeColor="accent1"/>
          <w:szCs w:val="20"/>
        </w:rPr>
        <w:t xml:space="preserve"> glass microspheres/</w:t>
      </w:r>
      <w:proofErr w:type="spellStart"/>
      <w:r w:rsidR="00B640D2">
        <w:rPr>
          <w:color w:val="4F81BD" w:themeColor="accent1"/>
          <w:szCs w:val="20"/>
        </w:rPr>
        <w:t>TheraSphere</w:t>
      </w:r>
      <w:proofErr w:type="spellEnd"/>
      <w:r w:rsidR="00DF6F07">
        <w:rPr>
          <w:color w:val="4F81BD" w:themeColor="accent1"/>
          <w:szCs w:val="20"/>
        </w:rPr>
        <w:t>; a</w:t>
      </w:r>
      <w:r w:rsidRPr="00E02A90">
        <w:rPr>
          <w:color w:val="4F81BD" w:themeColor="accent1"/>
          <w:szCs w:val="20"/>
        </w:rPr>
        <w:t>n application will be made for inclusion</w:t>
      </w:r>
      <w:r w:rsidR="0059673C">
        <w:rPr>
          <w:color w:val="4F81BD" w:themeColor="accent1"/>
          <w:szCs w:val="20"/>
        </w:rPr>
        <w:t xml:space="preserve"> of glass microspheres/</w:t>
      </w:r>
      <w:proofErr w:type="spellStart"/>
      <w:r w:rsidR="0059673C">
        <w:rPr>
          <w:color w:val="4F81BD" w:themeColor="accent1"/>
          <w:szCs w:val="20"/>
        </w:rPr>
        <w:t>TheraSphere</w:t>
      </w:r>
      <w:proofErr w:type="spellEnd"/>
      <w:r w:rsidRPr="00E02A90">
        <w:rPr>
          <w:color w:val="4F81BD" w:themeColor="accent1"/>
          <w:szCs w:val="20"/>
        </w:rPr>
        <w:t xml:space="preserve"> on the Prostheses List in due course</w:t>
      </w:r>
      <w:r w:rsidR="00DF6F07">
        <w:rPr>
          <w:color w:val="4F81BD" w:themeColor="accent1"/>
          <w:szCs w:val="20"/>
        </w:rPr>
        <w:t>.</w:t>
      </w:r>
    </w:p>
    <w:p w:rsidR="00016B6E" w:rsidRPr="009939DC" w:rsidRDefault="00016B6E" w:rsidP="005D05D5">
      <w:pPr>
        <w:pStyle w:val="Heading2"/>
        <w:numPr>
          <w:ilvl w:val="0"/>
          <w:numId w:val="5"/>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rsidR="009939DC" w:rsidRPr="00E02A90" w:rsidRDefault="00B640D2" w:rsidP="00A6491A">
      <w:pPr>
        <w:spacing w:before="0" w:after="0"/>
        <w:ind w:left="284"/>
        <w:rPr>
          <w:color w:val="4F81BD" w:themeColor="accent1"/>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sidR="009939DC" w:rsidRPr="00B640D2">
        <w:rPr>
          <w:szCs w:val="20"/>
        </w:rPr>
        <w:t xml:space="preserve"> Yes</w:t>
      </w:r>
    </w:p>
    <w:p w:rsidR="009939DC" w:rsidRPr="00B640D2" w:rsidRDefault="00B640D2" w:rsidP="00A6491A">
      <w:pPr>
        <w:spacing w:before="0" w:after="0"/>
        <w:ind w:left="284"/>
        <w:rPr>
          <w:color w:val="4F81BD" w:themeColor="accent1"/>
          <w:szCs w:val="20"/>
        </w:rPr>
      </w:pPr>
      <w:r w:rsidRPr="00B640D2">
        <w:rPr>
          <w:color w:val="4F81BD" w:themeColor="accent1"/>
          <w:szCs w:val="20"/>
        </w:rPr>
        <w:sym w:font="Wingdings" w:char="F078"/>
      </w:r>
      <w:r w:rsidRPr="00B640D2">
        <w:rPr>
          <w:color w:val="4F81BD" w:themeColor="accent1"/>
          <w:szCs w:val="20"/>
        </w:rPr>
        <w:t xml:space="preserve"> </w:t>
      </w:r>
      <w:r w:rsidR="009939DC" w:rsidRPr="00B640D2">
        <w:rPr>
          <w:color w:val="4F81BD" w:themeColor="accent1"/>
          <w:szCs w:val="20"/>
        </w:rPr>
        <w:t>No</w:t>
      </w:r>
    </w:p>
    <w:p w:rsidR="00CD3FFC" w:rsidRPr="001E6958" w:rsidRDefault="00CD3FFC" w:rsidP="002C4AFD">
      <w:pPr>
        <w:spacing w:before="0" w:after="0"/>
        <w:rPr>
          <w:szCs w:val="20"/>
        </w:rPr>
      </w:pPr>
    </w:p>
    <w:p w:rsidR="009939DC" w:rsidRDefault="00016B6E" w:rsidP="005D05D5">
      <w:pPr>
        <w:pStyle w:val="Heading2"/>
        <w:numPr>
          <w:ilvl w:val="0"/>
          <w:numId w:val="5"/>
        </w:numPr>
      </w:pPr>
      <w:r w:rsidRPr="009939DC">
        <w:t>If yes, please provide the name(s) of the spon</w:t>
      </w:r>
      <w:r w:rsidR="009939DC">
        <w:t>sor(s) and / or manufacturer(s):</w:t>
      </w:r>
    </w:p>
    <w:p w:rsidR="00016B6E" w:rsidRPr="00E02A90" w:rsidRDefault="00B640D2" w:rsidP="00E02A90">
      <w:pPr>
        <w:ind w:left="360"/>
        <w:rPr>
          <w:color w:val="4F81BD" w:themeColor="accent1"/>
        </w:rPr>
      </w:pPr>
      <w:r>
        <w:rPr>
          <w:color w:val="4F81BD" w:themeColor="accent1"/>
        </w:rPr>
        <w:t>Not applicable</w:t>
      </w:r>
    </w:p>
    <w:p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rsidR="00B640D2" w:rsidRDefault="00B640D2" w:rsidP="00A6491A">
      <w:pPr>
        <w:spacing w:before="0" w:after="0"/>
        <w:ind w:left="284"/>
        <w:rPr>
          <w:color w:val="4F81BD" w:themeColor="accent1"/>
          <w:u w:val="single"/>
        </w:rPr>
      </w:pPr>
      <w:r>
        <w:rPr>
          <w:color w:val="4F81BD" w:themeColor="accent1"/>
          <w:u w:val="single"/>
        </w:rPr>
        <w:t>For TARE-Y using resin microspheres/SIR-Spheres</w:t>
      </w:r>
    </w:p>
    <w:p w:rsidR="00B640D2" w:rsidRDefault="00B640D2" w:rsidP="00A6491A">
      <w:pPr>
        <w:spacing w:before="0" w:after="0"/>
        <w:ind w:left="284"/>
        <w:rPr>
          <w:color w:val="4F81BD" w:themeColor="accent1"/>
        </w:rPr>
      </w:pPr>
      <w:r w:rsidRPr="00E02A90">
        <w:rPr>
          <w:color w:val="4F81BD" w:themeColor="accent1"/>
        </w:rPr>
        <w:t>PVC tubing, ABS stopcocks, acrylic holders and stainless steel needles with PE hubs</w:t>
      </w:r>
    </w:p>
    <w:p w:rsidR="00B640D2" w:rsidRPr="00B640D2" w:rsidRDefault="00B640D2" w:rsidP="00A6491A">
      <w:pPr>
        <w:spacing w:before="0" w:after="0"/>
        <w:ind w:left="284"/>
        <w:rPr>
          <w:color w:val="4F81BD" w:themeColor="accent1"/>
        </w:rPr>
      </w:pPr>
    </w:p>
    <w:p w:rsidR="00DE1C81" w:rsidRPr="00DE1C81" w:rsidRDefault="00DE1C81" w:rsidP="00A6491A">
      <w:pPr>
        <w:spacing w:before="0" w:after="0"/>
        <w:ind w:left="284"/>
        <w:rPr>
          <w:color w:val="4F81BD" w:themeColor="accent1"/>
          <w:u w:val="single"/>
        </w:rPr>
      </w:pPr>
      <w:r w:rsidRPr="00DE1C81">
        <w:rPr>
          <w:color w:val="4F81BD" w:themeColor="accent1"/>
          <w:u w:val="single"/>
        </w:rPr>
        <w:t xml:space="preserve">For </w:t>
      </w:r>
      <w:r w:rsidR="00AC68A3">
        <w:rPr>
          <w:color w:val="4F81BD" w:themeColor="accent1"/>
          <w:u w:val="single"/>
        </w:rPr>
        <w:t>TARE</w:t>
      </w:r>
      <w:r w:rsidRPr="00DE1C81">
        <w:rPr>
          <w:color w:val="4F81BD" w:themeColor="accent1"/>
          <w:u w:val="single"/>
        </w:rPr>
        <w:t>-Y using glass microspheres/</w:t>
      </w:r>
      <w:proofErr w:type="spellStart"/>
      <w:r w:rsidRPr="00DE1C81">
        <w:rPr>
          <w:color w:val="4F81BD" w:themeColor="accent1"/>
          <w:u w:val="single"/>
        </w:rPr>
        <w:t>TheraSphere</w:t>
      </w:r>
      <w:proofErr w:type="spellEnd"/>
    </w:p>
    <w:p w:rsidR="00D33063" w:rsidRPr="00D33063" w:rsidRDefault="00D33063" w:rsidP="00D33063">
      <w:pPr>
        <w:spacing w:before="0" w:after="0"/>
        <w:ind w:left="284"/>
        <w:rPr>
          <w:color w:val="4F81BD" w:themeColor="accent1"/>
        </w:rPr>
      </w:pPr>
      <w:proofErr w:type="spellStart"/>
      <w:r w:rsidRPr="00D33063">
        <w:rPr>
          <w:color w:val="4F81BD" w:themeColor="accent1"/>
        </w:rPr>
        <w:t>TheraSphere</w:t>
      </w:r>
      <w:proofErr w:type="spellEnd"/>
      <w:r w:rsidRPr="00D33063">
        <w:rPr>
          <w:color w:val="4F81BD" w:themeColor="accent1"/>
        </w:rPr>
        <w:t xml:space="preserve"> is supplied with the following accessories:  </w:t>
      </w:r>
    </w:p>
    <w:p w:rsidR="00594616" w:rsidRDefault="00594616" w:rsidP="005D05D5">
      <w:pPr>
        <w:pStyle w:val="ListParagraph"/>
        <w:numPr>
          <w:ilvl w:val="0"/>
          <w:numId w:val="23"/>
        </w:numPr>
        <w:spacing w:before="0" w:after="0"/>
        <w:rPr>
          <w:color w:val="4F81BD" w:themeColor="accent1"/>
        </w:rPr>
      </w:pPr>
      <w:r w:rsidRPr="00D33063">
        <w:rPr>
          <w:color w:val="4F81BD" w:themeColor="accent1"/>
        </w:rPr>
        <w:t xml:space="preserve">One </w:t>
      </w:r>
      <w:r w:rsidRPr="00D33063">
        <w:rPr>
          <w:color w:val="4F81BD" w:themeColor="accent1"/>
          <w:u w:val="single"/>
        </w:rPr>
        <w:t>multi-use</w:t>
      </w:r>
      <w:r>
        <w:rPr>
          <w:color w:val="4F81BD" w:themeColor="accent1"/>
        </w:rPr>
        <w:t xml:space="preserve"> non-</w:t>
      </w:r>
      <w:r w:rsidRPr="00D33063">
        <w:rPr>
          <w:color w:val="4F81BD" w:themeColor="accent1"/>
        </w:rPr>
        <w:t xml:space="preserve">sterile administration accessory kit (supplied to each site), including an acrylic box base, top shield, removable side shield and bag hook. This kit ensures optimal layout of the administration set and dose vial to facilitate monitoring of the infusion process and provides beta radiation shielding. </w:t>
      </w:r>
    </w:p>
    <w:p w:rsidR="00D33063" w:rsidRPr="00D33063" w:rsidRDefault="00D33063" w:rsidP="005D05D5">
      <w:pPr>
        <w:pStyle w:val="ListParagraph"/>
        <w:numPr>
          <w:ilvl w:val="0"/>
          <w:numId w:val="23"/>
        </w:numPr>
        <w:spacing w:before="0" w:after="0"/>
        <w:rPr>
          <w:color w:val="4F81BD" w:themeColor="accent1"/>
        </w:rPr>
      </w:pPr>
      <w:r w:rsidRPr="00D33063">
        <w:rPr>
          <w:color w:val="4F81BD" w:themeColor="accent1"/>
        </w:rPr>
        <w:t xml:space="preserve">One </w:t>
      </w:r>
      <w:r>
        <w:rPr>
          <w:color w:val="4F81BD" w:themeColor="accent1"/>
          <w:u w:val="single"/>
        </w:rPr>
        <w:t>single-</w:t>
      </w:r>
      <w:r w:rsidRPr="00D33063">
        <w:rPr>
          <w:color w:val="4F81BD" w:themeColor="accent1"/>
          <w:u w:val="single"/>
        </w:rPr>
        <w:t>use</w:t>
      </w:r>
      <w:r w:rsidRPr="00D33063">
        <w:rPr>
          <w:color w:val="4F81BD" w:themeColor="accent1"/>
        </w:rPr>
        <w:t xml:space="preserve"> </w:t>
      </w:r>
      <w:proofErr w:type="spellStart"/>
      <w:r w:rsidRPr="00D33063">
        <w:rPr>
          <w:color w:val="4F81BD" w:themeColor="accent1"/>
        </w:rPr>
        <w:t>TheraSphere</w:t>
      </w:r>
      <w:proofErr w:type="spellEnd"/>
      <w:r w:rsidRPr="00D33063">
        <w:rPr>
          <w:color w:val="4F81BD" w:themeColor="accent1"/>
        </w:rPr>
        <w:t xml:space="preserve"> administration set w</w:t>
      </w:r>
      <w:r w:rsidR="00594616">
        <w:rPr>
          <w:color w:val="4F81BD" w:themeColor="accent1"/>
        </w:rPr>
        <w:t xml:space="preserve">hich includes </w:t>
      </w:r>
      <w:proofErr w:type="gramStart"/>
      <w:r w:rsidR="00594616">
        <w:rPr>
          <w:color w:val="4F81BD" w:themeColor="accent1"/>
        </w:rPr>
        <w:t>a gamma</w:t>
      </w:r>
      <w:proofErr w:type="gramEnd"/>
      <w:r w:rsidR="00594616">
        <w:rPr>
          <w:color w:val="4F81BD" w:themeColor="accent1"/>
        </w:rPr>
        <w:t xml:space="preserve"> radiation-</w:t>
      </w:r>
      <w:r w:rsidRPr="00D33063">
        <w:rPr>
          <w:color w:val="4F81BD" w:themeColor="accent1"/>
        </w:rPr>
        <w:t>sterilised disposable tubing set and 1 empty sterile vial. The pre-assembled tubing set contains a needle plunger assembly and an integrated 20 ml syringe</w:t>
      </w:r>
      <w:r w:rsidR="00594616">
        <w:rPr>
          <w:color w:val="4F81BD" w:themeColor="accent1"/>
        </w:rPr>
        <w:t>, used to deliver the microspheres from the dose vial to the patient catheter</w:t>
      </w:r>
      <w:r w:rsidRPr="00D33063">
        <w:rPr>
          <w:color w:val="4F81BD" w:themeColor="accent1"/>
        </w:rPr>
        <w:t xml:space="preserve">. The </w:t>
      </w:r>
      <w:r w:rsidR="00594616">
        <w:rPr>
          <w:color w:val="4F81BD" w:themeColor="accent1"/>
        </w:rPr>
        <w:t>one-</w:t>
      </w:r>
      <w:r w:rsidRPr="00D33063">
        <w:rPr>
          <w:color w:val="4F81BD" w:themeColor="accent1"/>
        </w:rPr>
        <w:t>way valves incorporated in the administration set control the flow of liquid so that it will only flow in the appropriate direction (</w:t>
      </w:r>
      <w:r>
        <w:rPr>
          <w:color w:val="4F81BD" w:themeColor="accent1"/>
        </w:rPr>
        <w:t>one</w:t>
      </w:r>
      <w:r w:rsidRPr="00D33063">
        <w:rPr>
          <w:color w:val="4F81BD" w:themeColor="accent1"/>
        </w:rPr>
        <w:t xml:space="preserve"> set is needed for each dose vial infused and they are supplied in quantities of </w:t>
      </w:r>
      <w:r>
        <w:rPr>
          <w:color w:val="4F81BD" w:themeColor="accent1"/>
        </w:rPr>
        <w:t>five</w:t>
      </w:r>
      <w:r w:rsidRPr="00D33063">
        <w:rPr>
          <w:color w:val="4F81BD" w:themeColor="accent1"/>
        </w:rPr>
        <w:t>).</w:t>
      </w:r>
    </w:p>
    <w:p w:rsidR="00F301F1" w:rsidRPr="00855944" w:rsidRDefault="00F301F1" w:rsidP="005D05D5">
      <w:pPr>
        <w:pStyle w:val="ListParagraph"/>
        <w:numPr>
          <w:ilvl w:val="0"/>
          <w:numId w:val="23"/>
        </w:numPr>
        <w:spacing w:before="0" w:after="0"/>
      </w:pPr>
      <w:r w:rsidRPr="00855944">
        <w:br w:type="page"/>
      </w:r>
    </w:p>
    <w:p w:rsidR="00226777" w:rsidRPr="00C776B1" w:rsidRDefault="00530204" w:rsidP="00B5731D">
      <w:pPr>
        <w:pStyle w:val="Heading1"/>
      </w:pPr>
      <w:r>
        <w:lastRenderedPageBreak/>
        <w:t>PART 3</w:t>
      </w:r>
      <w:r w:rsidR="00F93784">
        <w:t xml:space="preserve"> – </w:t>
      </w:r>
      <w:r w:rsidR="00226777" w:rsidRPr="00C776B1">
        <w:t>INFORMATION ABOUT REGULATORY REQUIREMENTS</w:t>
      </w:r>
    </w:p>
    <w:p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2C4AFD" w:rsidRPr="00E02A90" w:rsidRDefault="002C4AFD" w:rsidP="002C4AFD">
      <w:pPr>
        <w:spacing w:before="0" w:after="0"/>
        <w:ind w:left="360"/>
        <w:rPr>
          <w:color w:val="4F81BD" w:themeColor="accent1"/>
          <w:szCs w:val="20"/>
          <w:u w:val="single"/>
        </w:rPr>
      </w:pPr>
      <w:r w:rsidRPr="00E02A90">
        <w:rPr>
          <w:color w:val="4F81BD" w:themeColor="accent1"/>
          <w:szCs w:val="20"/>
          <w:u w:val="single"/>
        </w:rPr>
        <w:t>Resin microsphere/SIR-Spheres</w:t>
      </w:r>
    </w:p>
    <w:p w:rsidR="00A26343" w:rsidRPr="00E02A90" w:rsidRDefault="00A26343" w:rsidP="002C4AFD">
      <w:pPr>
        <w:spacing w:before="0" w:after="0"/>
        <w:ind w:left="360"/>
        <w:rPr>
          <w:color w:val="4F81BD" w:themeColor="accent1"/>
          <w:szCs w:val="20"/>
        </w:rPr>
      </w:pPr>
      <w:r w:rsidRPr="00E02A90">
        <w:rPr>
          <w:i/>
          <w:color w:val="4F81BD" w:themeColor="accent1"/>
          <w:szCs w:val="20"/>
        </w:rPr>
        <w:t>Type of therapeutic good:</w:t>
      </w:r>
      <w:r w:rsidRPr="00E02A90">
        <w:rPr>
          <w:color w:val="4F81BD" w:themeColor="accent1"/>
          <w:szCs w:val="20"/>
        </w:rPr>
        <w:t xml:space="preserve"> </w:t>
      </w:r>
      <w:r w:rsidR="002C4AFD" w:rsidRPr="00E02A90">
        <w:rPr>
          <w:color w:val="4F81BD" w:themeColor="accent1"/>
        </w:rPr>
        <w:t>Biocompatible microspheres 20-60</w:t>
      </w:r>
      <w:r w:rsidR="00573504">
        <w:rPr>
          <w:rFonts w:cstheme="minorHAnsi"/>
          <w:color w:val="4F81BD" w:themeColor="accent1"/>
        </w:rPr>
        <w:t>μ</w:t>
      </w:r>
      <w:r w:rsidR="00573504">
        <w:rPr>
          <w:color w:val="4F81BD" w:themeColor="accent1"/>
        </w:rPr>
        <w:t>m</w:t>
      </w:r>
      <w:r w:rsidR="002C4AFD" w:rsidRPr="00E02A90">
        <w:rPr>
          <w:color w:val="4F81BD" w:themeColor="accent1"/>
        </w:rPr>
        <w:t xml:space="preserve"> in diameter containing yttrium-90.</w:t>
      </w:r>
    </w:p>
    <w:p w:rsidR="00A26343" w:rsidRPr="00E02A90" w:rsidRDefault="00A26343" w:rsidP="002C4AFD">
      <w:pPr>
        <w:spacing w:before="0" w:after="0"/>
        <w:ind w:left="360"/>
        <w:rPr>
          <w:color w:val="4F81BD" w:themeColor="accent1"/>
          <w:szCs w:val="20"/>
        </w:rPr>
      </w:pPr>
      <w:r w:rsidRPr="00E02A90">
        <w:rPr>
          <w:i/>
          <w:color w:val="4F81BD" w:themeColor="accent1"/>
          <w:szCs w:val="20"/>
        </w:rPr>
        <w:t>Manufacturer’s name</w:t>
      </w:r>
      <w:r w:rsidRPr="00E02A90">
        <w:rPr>
          <w:color w:val="4F81BD" w:themeColor="accent1"/>
          <w:szCs w:val="20"/>
        </w:rPr>
        <w:t xml:space="preserve">: </w:t>
      </w:r>
      <w:proofErr w:type="spellStart"/>
      <w:r w:rsidR="002C4AFD" w:rsidRPr="00E02A90">
        <w:rPr>
          <w:color w:val="4F81BD" w:themeColor="accent1"/>
        </w:rPr>
        <w:t>Sirtex</w:t>
      </w:r>
      <w:proofErr w:type="spellEnd"/>
      <w:r w:rsidR="002C4AFD" w:rsidRPr="00E02A90">
        <w:rPr>
          <w:color w:val="4F81BD" w:themeColor="accent1"/>
        </w:rPr>
        <w:t xml:space="preserve"> Medical Products</w:t>
      </w:r>
    </w:p>
    <w:p w:rsidR="00A26343" w:rsidRPr="00E02A90" w:rsidRDefault="00A26343" w:rsidP="002C4AFD">
      <w:pPr>
        <w:spacing w:before="0" w:after="0"/>
        <w:ind w:left="360"/>
        <w:rPr>
          <w:color w:val="4F81BD" w:themeColor="accent1"/>
        </w:rPr>
      </w:pPr>
      <w:r w:rsidRPr="00E02A90">
        <w:rPr>
          <w:i/>
          <w:color w:val="4F81BD" w:themeColor="accent1"/>
          <w:szCs w:val="20"/>
        </w:rPr>
        <w:t>Sponsor’s name:</w:t>
      </w:r>
      <w:r w:rsidRPr="00E02A90">
        <w:rPr>
          <w:color w:val="4F81BD" w:themeColor="accent1"/>
          <w:szCs w:val="20"/>
        </w:rPr>
        <w:t xml:space="preserve"> </w:t>
      </w:r>
      <w:proofErr w:type="spellStart"/>
      <w:r w:rsidR="002C4AFD" w:rsidRPr="00E02A90">
        <w:rPr>
          <w:color w:val="4F81BD" w:themeColor="accent1"/>
        </w:rPr>
        <w:t>Sirtex</w:t>
      </w:r>
      <w:proofErr w:type="spellEnd"/>
      <w:r w:rsidR="002C4AFD" w:rsidRPr="00E02A90">
        <w:rPr>
          <w:color w:val="4F81BD" w:themeColor="accent1"/>
        </w:rPr>
        <w:t xml:space="preserve"> Medical Products</w:t>
      </w:r>
    </w:p>
    <w:p w:rsidR="002C4AFD" w:rsidRPr="00E02A90" w:rsidRDefault="002C4AFD" w:rsidP="002C4AFD">
      <w:pPr>
        <w:spacing w:before="0" w:after="0"/>
        <w:ind w:left="360"/>
        <w:rPr>
          <w:color w:val="4F81BD" w:themeColor="accent1"/>
          <w:szCs w:val="20"/>
        </w:rPr>
      </w:pPr>
    </w:p>
    <w:p w:rsidR="002C4AFD" w:rsidRPr="00E02A90" w:rsidRDefault="002C4AFD" w:rsidP="002C4AFD">
      <w:pPr>
        <w:spacing w:before="0" w:after="0"/>
        <w:ind w:left="360"/>
        <w:rPr>
          <w:color w:val="4F81BD" w:themeColor="accent1"/>
          <w:szCs w:val="20"/>
          <w:u w:val="single"/>
        </w:rPr>
      </w:pPr>
      <w:r w:rsidRPr="00E02A90">
        <w:rPr>
          <w:color w:val="4F81BD" w:themeColor="accent1"/>
          <w:szCs w:val="20"/>
          <w:u w:val="single"/>
        </w:rPr>
        <w:t>Glass microspheres/</w:t>
      </w:r>
      <w:proofErr w:type="spellStart"/>
      <w:r w:rsidRPr="00E02A90">
        <w:rPr>
          <w:color w:val="4F81BD" w:themeColor="accent1"/>
          <w:szCs w:val="20"/>
          <w:u w:val="single"/>
        </w:rPr>
        <w:t>TheraSphere</w:t>
      </w:r>
      <w:proofErr w:type="spellEnd"/>
    </w:p>
    <w:p w:rsidR="002C4AFD" w:rsidRPr="000856FD" w:rsidRDefault="002C4AFD" w:rsidP="002C4AFD">
      <w:pPr>
        <w:spacing w:before="0" w:after="0"/>
        <w:ind w:left="360"/>
        <w:rPr>
          <w:color w:val="4F81BD" w:themeColor="accent1"/>
          <w:szCs w:val="20"/>
        </w:rPr>
      </w:pPr>
      <w:r w:rsidRPr="00E02A90">
        <w:rPr>
          <w:i/>
          <w:color w:val="4F81BD" w:themeColor="accent1"/>
          <w:szCs w:val="20"/>
        </w:rPr>
        <w:t>Type of therapeutic good:</w:t>
      </w:r>
      <w:r w:rsidRPr="00E02A90">
        <w:rPr>
          <w:color w:val="4F81BD" w:themeColor="accent1"/>
          <w:szCs w:val="20"/>
        </w:rPr>
        <w:t xml:space="preserve"> </w:t>
      </w:r>
      <w:proofErr w:type="gramStart"/>
      <w:r w:rsidR="00573504">
        <w:rPr>
          <w:color w:val="4F81BD" w:themeColor="accent1"/>
        </w:rPr>
        <w:t>I</w:t>
      </w:r>
      <w:r w:rsidR="00E7258A" w:rsidRPr="00E7258A">
        <w:rPr>
          <w:color w:val="4F81BD" w:themeColor="accent1"/>
        </w:rPr>
        <w:t>nsoluble glass microspheres where yttrium-90 is</w:t>
      </w:r>
      <w:proofErr w:type="gramEnd"/>
      <w:r w:rsidR="00E7258A" w:rsidRPr="00E7258A">
        <w:rPr>
          <w:color w:val="4F81BD" w:themeColor="accent1"/>
        </w:rPr>
        <w:t xml:space="preserve"> an integral constituent of the glass</w:t>
      </w:r>
      <w:r w:rsidR="00E7258A">
        <w:rPr>
          <w:color w:val="4F81BD" w:themeColor="accent1"/>
        </w:rPr>
        <w:t xml:space="preserve">. </w:t>
      </w:r>
      <w:r w:rsidR="00E7258A" w:rsidRPr="00E7258A">
        <w:rPr>
          <w:color w:val="4F81BD" w:themeColor="accent1"/>
        </w:rPr>
        <w:t xml:space="preserve">The mean sphere diameter ranges from 20 to 30 </w:t>
      </w:r>
      <w:proofErr w:type="spellStart"/>
      <w:r w:rsidR="00573504">
        <w:rPr>
          <w:rFonts w:cstheme="minorHAnsi"/>
          <w:color w:val="4F81BD" w:themeColor="accent1"/>
        </w:rPr>
        <w:t>μ</w:t>
      </w:r>
      <w:r w:rsidR="00573504">
        <w:rPr>
          <w:color w:val="4F81BD" w:themeColor="accent1"/>
        </w:rPr>
        <w:t>m</w:t>
      </w:r>
      <w:proofErr w:type="spellEnd"/>
      <w:r w:rsidR="00E7258A" w:rsidRPr="00E7258A">
        <w:rPr>
          <w:color w:val="4F81BD" w:themeColor="accent1"/>
        </w:rPr>
        <w:t>. Each milligram contains between 22,000 and 73,000</w:t>
      </w:r>
      <w:r w:rsidR="00F433A9">
        <w:rPr>
          <w:color w:val="4F81BD" w:themeColor="accent1"/>
        </w:rPr>
        <w:t xml:space="preserve"> </w:t>
      </w:r>
      <w:r w:rsidR="00E7258A" w:rsidRPr="00E7258A">
        <w:rPr>
          <w:color w:val="4F81BD" w:themeColor="accent1"/>
        </w:rPr>
        <w:t xml:space="preserve">microspheres. </w:t>
      </w:r>
      <w:proofErr w:type="spellStart"/>
      <w:r w:rsidR="00E7258A" w:rsidRPr="00E7258A">
        <w:rPr>
          <w:color w:val="4F81BD" w:themeColor="accent1"/>
        </w:rPr>
        <w:t>TheraSphere</w:t>
      </w:r>
      <w:proofErr w:type="spellEnd"/>
      <w:r w:rsidR="00E7258A" w:rsidRPr="00E7258A">
        <w:rPr>
          <w:color w:val="4F81BD" w:themeColor="accent1"/>
        </w:rPr>
        <w:t xml:space="preserve">® is supplied in 0.6 ml of sterile, </w:t>
      </w:r>
      <w:proofErr w:type="spellStart"/>
      <w:r w:rsidR="00E7258A" w:rsidRPr="00E7258A">
        <w:rPr>
          <w:color w:val="4F81BD" w:themeColor="accent1"/>
        </w:rPr>
        <w:t>pyrogen</w:t>
      </w:r>
      <w:proofErr w:type="spellEnd"/>
      <w:r w:rsidR="00E7258A" w:rsidRPr="00E7258A">
        <w:rPr>
          <w:color w:val="4F81BD" w:themeColor="accent1"/>
        </w:rPr>
        <w:t>-free</w:t>
      </w:r>
      <w:r w:rsidR="00573504">
        <w:rPr>
          <w:color w:val="4F81BD" w:themeColor="accent1"/>
        </w:rPr>
        <w:t xml:space="preserve"> water contained in a 1.0 ml v-</w:t>
      </w:r>
      <w:r w:rsidR="00E7258A" w:rsidRPr="00E7258A">
        <w:rPr>
          <w:color w:val="4F81BD" w:themeColor="accent1"/>
        </w:rPr>
        <w:t>bottom</w:t>
      </w:r>
      <w:r w:rsidR="00F433A9">
        <w:rPr>
          <w:color w:val="4F81BD" w:themeColor="accent1"/>
        </w:rPr>
        <w:t xml:space="preserve"> </w:t>
      </w:r>
      <w:r w:rsidR="00E7258A" w:rsidRPr="00E7258A">
        <w:rPr>
          <w:color w:val="4F81BD" w:themeColor="accent1"/>
        </w:rPr>
        <w:t xml:space="preserve">vial secured within a clear acrylic vial shield. </w:t>
      </w:r>
      <w:proofErr w:type="spellStart"/>
      <w:r w:rsidR="00E7258A" w:rsidRPr="00E7258A">
        <w:rPr>
          <w:color w:val="4F81BD" w:themeColor="accent1"/>
        </w:rPr>
        <w:t>TheraSphere</w:t>
      </w:r>
      <w:proofErr w:type="spellEnd"/>
      <w:r w:rsidR="00E7258A" w:rsidRPr="00E7258A">
        <w:rPr>
          <w:color w:val="4F81BD" w:themeColor="accent1"/>
        </w:rPr>
        <w:t xml:space="preserve">® is available in six dose sizes: 3 </w:t>
      </w:r>
      <w:proofErr w:type="spellStart"/>
      <w:r w:rsidR="00E7258A" w:rsidRPr="00E7258A">
        <w:rPr>
          <w:color w:val="4F81BD" w:themeColor="accent1"/>
        </w:rPr>
        <w:t>GBq</w:t>
      </w:r>
      <w:proofErr w:type="spellEnd"/>
      <w:r w:rsidR="00E7258A" w:rsidRPr="00E7258A">
        <w:rPr>
          <w:color w:val="4F81BD" w:themeColor="accent1"/>
        </w:rPr>
        <w:t xml:space="preserve"> (81 </w:t>
      </w:r>
      <w:proofErr w:type="spellStart"/>
      <w:r w:rsidR="00E7258A" w:rsidRPr="00E7258A">
        <w:rPr>
          <w:color w:val="4F81BD" w:themeColor="accent1"/>
        </w:rPr>
        <w:t>mCi</w:t>
      </w:r>
      <w:proofErr w:type="spellEnd"/>
      <w:r w:rsidR="00E7258A" w:rsidRPr="00E7258A">
        <w:rPr>
          <w:color w:val="4F81BD" w:themeColor="accent1"/>
        </w:rPr>
        <w:t>),</w:t>
      </w:r>
      <w:r w:rsidR="00573504">
        <w:rPr>
          <w:color w:val="4F81BD" w:themeColor="accent1"/>
        </w:rPr>
        <w:t xml:space="preserve"> </w:t>
      </w:r>
      <w:r w:rsidR="00E7258A" w:rsidRPr="00E7258A">
        <w:rPr>
          <w:color w:val="4F81BD" w:themeColor="accent1"/>
        </w:rPr>
        <w:t xml:space="preserve">5 </w:t>
      </w:r>
      <w:proofErr w:type="spellStart"/>
      <w:r w:rsidR="00E7258A" w:rsidRPr="00E7258A">
        <w:rPr>
          <w:color w:val="4F81BD" w:themeColor="accent1"/>
        </w:rPr>
        <w:t>GBq</w:t>
      </w:r>
      <w:proofErr w:type="spellEnd"/>
      <w:r w:rsidR="00E7258A" w:rsidRPr="00E7258A">
        <w:rPr>
          <w:color w:val="4F81BD" w:themeColor="accent1"/>
        </w:rPr>
        <w:t xml:space="preserve"> (135 </w:t>
      </w:r>
      <w:proofErr w:type="spellStart"/>
      <w:r w:rsidR="00E7258A" w:rsidRPr="00E7258A">
        <w:rPr>
          <w:color w:val="4F81BD" w:themeColor="accent1"/>
        </w:rPr>
        <w:t>mCi</w:t>
      </w:r>
      <w:proofErr w:type="spellEnd"/>
      <w:r w:rsidR="00E7258A" w:rsidRPr="00E7258A">
        <w:rPr>
          <w:color w:val="4F81BD" w:themeColor="accent1"/>
        </w:rPr>
        <w:t xml:space="preserve">), 7 </w:t>
      </w:r>
      <w:proofErr w:type="spellStart"/>
      <w:r w:rsidR="00E7258A" w:rsidRPr="00E7258A">
        <w:rPr>
          <w:color w:val="4F81BD" w:themeColor="accent1"/>
        </w:rPr>
        <w:t>GBq</w:t>
      </w:r>
      <w:proofErr w:type="spellEnd"/>
      <w:r w:rsidR="00E7258A" w:rsidRPr="00E7258A">
        <w:rPr>
          <w:color w:val="4F81BD" w:themeColor="accent1"/>
        </w:rPr>
        <w:t xml:space="preserve"> (189 </w:t>
      </w:r>
      <w:proofErr w:type="spellStart"/>
      <w:r w:rsidR="00E7258A" w:rsidRPr="00E7258A">
        <w:rPr>
          <w:color w:val="4F81BD" w:themeColor="accent1"/>
        </w:rPr>
        <w:t>mCi</w:t>
      </w:r>
      <w:proofErr w:type="spellEnd"/>
      <w:r w:rsidR="00E7258A" w:rsidRPr="00E7258A">
        <w:rPr>
          <w:color w:val="4F81BD" w:themeColor="accent1"/>
        </w:rPr>
        <w:t xml:space="preserve">), 10 </w:t>
      </w:r>
      <w:proofErr w:type="spellStart"/>
      <w:r w:rsidR="00E7258A" w:rsidRPr="00E7258A">
        <w:rPr>
          <w:color w:val="4F81BD" w:themeColor="accent1"/>
        </w:rPr>
        <w:t>GBq</w:t>
      </w:r>
      <w:proofErr w:type="spellEnd"/>
      <w:r w:rsidR="00E7258A" w:rsidRPr="00E7258A">
        <w:rPr>
          <w:color w:val="4F81BD" w:themeColor="accent1"/>
        </w:rPr>
        <w:t xml:space="preserve"> (270 </w:t>
      </w:r>
      <w:proofErr w:type="spellStart"/>
      <w:r w:rsidR="00E7258A" w:rsidRPr="00E7258A">
        <w:rPr>
          <w:color w:val="4F81BD" w:themeColor="accent1"/>
        </w:rPr>
        <w:t>mCi</w:t>
      </w:r>
      <w:proofErr w:type="spellEnd"/>
      <w:r w:rsidR="00E7258A" w:rsidRPr="00E7258A">
        <w:rPr>
          <w:color w:val="4F81BD" w:themeColor="accent1"/>
        </w:rPr>
        <w:t xml:space="preserve">), 15 </w:t>
      </w:r>
      <w:proofErr w:type="spellStart"/>
      <w:r w:rsidR="00E7258A" w:rsidRPr="00E7258A">
        <w:rPr>
          <w:color w:val="4F81BD" w:themeColor="accent1"/>
        </w:rPr>
        <w:t>GBq</w:t>
      </w:r>
      <w:proofErr w:type="spellEnd"/>
      <w:r w:rsidR="00E7258A" w:rsidRPr="00E7258A">
        <w:rPr>
          <w:color w:val="4F81BD" w:themeColor="accent1"/>
        </w:rPr>
        <w:t xml:space="preserve"> (405 </w:t>
      </w:r>
      <w:proofErr w:type="spellStart"/>
      <w:r w:rsidR="00E7258A" w:rsidRPr="00E7258A">
        <w:rPr>
          <w:color w:val="4F81BD" w:themeColor="accent1"/>
        </w:rPr>
        <w:t>mCi</w:t>
      </w:r>
      <w:proofErr w:type="spellEnd"/>
      <w:r w:rsidR="00E7258A" w:rsidRPr="00E7258A">
        <w:rPr>
          <w:color w:val="4F81BD" w:themeColor="accent1"/>
        </w:rPr>
        <w:t xml:space="preserve">) and 20 </w:t>
      </w:r>
      <w:proofErr w:type="spellStart"/>
      <w:r w:rsidR="00E7258A" w:rsidRPr="00E7258A">
        <w:rPr>
          <w:color w:val="4F81BD" w:themeColor="accent1"/>
        </w:rPr>
        <w:t>GBq</w:t>
      </w:r>
      <w:proofErr w:type="spellEnd"/>
      <w:r w:rsidR="00E7258A" w:rsidRPr="00E7258A">
        <w:rPr>
          <w:color w:val="4F81BD" w:themeColor="accent1"/>
        </w:rPr>
        <w:t xml:space="preserve"> (540 </w:t>
      </w:r>
      <w:proofErr w:type="spellStart"/>
      <w:r w:rsidR="00E7258A" w:rsidRPr="00E7258A">
        <w:rPr>
          <w:color w:val="4F81BD" w:themeColor="accent1"/>
        </w:rPr>
        <w:t>mCi</w:t>
      </w:r>
      <w:proofErr w:type="spellEnd"/>
      <w:r w:rsidR="00E7258A" w:rsidRPr="00E7258A">
        <w:rPr>
          <w:color w:val="4F81BD" w:themeColor="accent1"/>
        </w:rPr>
        <w:t>).</w:t>
      </w:r>
      <w:r w:rsidR="00573504" w:rsidRPr="00E02A90" w:rsidDel="00E7258A">
        <w:rPr>
          <w:color w:val="4F81BD" w:themeColor="accent1"/>
          <w:szCs w:val="20"/>
        </w:rPr>
        <w:t xml:space="preserve"> </w:t>
      </w:r>
      <w:r w:rsidRPr="000856FD">
        <w:rPr>
          <w:i/>
          <w:color w:val="4F81BD" w:themeColor="accent1"/>
          <w:szCs w:val="20"/>
        </w:rPr>
        <w:t>Manufacturer’s name</w:t>
      </w:r>
      <w:r w:rsidRPr="000856FD">
        <w:rPr>
          <w:color w:val="4F81BD" w:themeColor="accent1"/>
          <w:szCs w:val="20"/>
        </w:rPr>
        <w:t xml:space="preserve">: </w:t>
      </w:r>
      <w:r w:rsidRPr="000856FD">
        <w:rPr>
          <w:color w:val="4F81BD" w:themeColor="accent1"/>
        </w:rPr>
        <w:t xml:space="preserve">BTG International </w:t>
      </w:r>
      <w:r w:rsidR="00740EF3">
        <w:rPr>
          <w:color w:val="4F81BD" w:themeColor="accent1"/>
        </w:rPr>
        <w:t>Asia</w:t>
      </w:r>
    </w:p>
    <w:p w:rsidR="002C4AFD" w:rsidRPr="00E02A90" w:rsidRDefault="002C4AFD" w:rsidP="002C4AFD">
      <w:pPr>
        <w:spacing w:before="0" w:after="0"/>
        <w:ind w:left="360"/>
        <w:rPr>
          <w:color w:val="4F81BD" w:themeColor="accent1"/>
        </w:rPr>
      </w:pPr>
      <w:r w:rsidRPr="000856FD">
        <w:rPr>
          <w:i/>
          <w:color w:val="4F81BD" w:themeColor="accent1"/>
          <w:szCs w:val="20"/>
        </w:rPr>
        <w:t>Sponsor’s name:</w:t>
      </w:r>
      <w:r w:rsidRPr="000856FD">
        <w:rPr>
          <w:color w:val="4F81BD" w:themeColor="accent1"/>
          <w:szCs w:val="20"/>
        </w:rPr>
        <w:t xml:space="preserve"> </w:t>
      </w:r>
      <w:r w:rsidRPr="000856FD">
        <w:rPr>
          <w:color w:val="4F81BD" w:themeColor="accent1"/>
        </w:rPr>
        <w:t>BTG International</w:t>
      </w:r>
      <w:r w:rsidR="00740EF3">
        <w:rPr>
          <w:color w:val="4F81BD" w:themeColor="accent1"/>
        </w:rPr>
        <w:t xml:space="preserve"> Asia</w:t>
      </w:r>
    </w:p>
    <w:p w:rsidR="002C4AFD" w:rsidRPr="00A26343" w:rsidRDefault="002C4AFD" w:rsidP="002C4AFD">
      <w:pPr>
        <w:spacing w:before="0" w:after="0"/>
        <w:ind w:left="360"/>
        <w:rPr>
          <w:szCs w:val="20"/>
        </w:rPr>
      </w:pPr>
    </w:p>
    <w:p w:rsidR="005E2CE3" w:rsidRDefault="005E2CE3" w:rsidP="005D05D5">
      <w:pPr>
        <w:pStyle w:val="Heading2"/>
        <w:numPr>
          <w:ilvl w:val="0"/>
          <w:numId w:val="6"/>
        </w:numPr>
      </w:pPr>
      <w:r>
        <w:t xml:space="preserve">Is the </w:t>
      </w:r>
      <w:r w:rsidRPr="0043654D">
        <w:t>medical</w:t>
      </w:r>
      <w:r>
        <w:t xml:space="preserve"> device classified by the TGA as either a Class III or Active Implantable Medical Device (AIMD) against the TGA regulatory scheme for devices?</w:t>
      </w:r>
    </w:p>
    <w:p w:rsidR="00BE3319" w:rsidRPr="00E02A90" w:rsidRDefault="00BE3319" w:rsidP="00E02A90">
      <w:pPr>
        <w:spacing w:before="0" w:after="0"/>
        <w:ind w:left="284"/>
        <w:rPr>
          <w:color w:val="4F81BD" w:themeColor="accent1"/>
          <w:szCs w:val="20"/>
          <w:u w:val="single"/>
        </w:rPr>
      </w:pPr>
      <w:r w:rsidRPr="00E02A90">
        <w:rPr>
          <w:color w:val="4F81BD" w:themeColor="accent1"/>
          <w:szCs w:val="20"/>
          <w:u w:val="single"/>
        </w:rPr>
        <w:t>Resin microsphere/SIR-Spheres</w:t>
      </w:r>
    </w:p>
    <w:p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sidRPr="000A5B32">
        <w:rPr>
          <w:szCs w:val="20"/>
        </w:rPr>
        <w:t xml:space="preserve"> </w:t>
      </w:r>
      <w:r w:rsidRPr="00615F42">
        <w:rPr>
          <w:szCs w:val="20"/>
        </w:rPr>
        <w:t>Class III</w:t>
      </w:r>
    </w:p>
    <w:p w:rsidR="00615F42" w:rsidRPr="00E02A90" w:rsidRDefault="00BE3319" w:rsidP="00A6491A">
      <w:pPr>
        <w:spacing w:before="0" w:after="0"/>
        <w:ind w:left="284"/>
        <w:rPr>
          <w:color w:val="4F81BD" w:themeColor="accent1"/>
          <w:szCs w:val="20"/>
        </w:rPr>
      </w:pPr>
      <w:r w:rsidRPr="00E02A90">
        <w:rPr>
          <w:color w:val="4F81BD" w:themeColor="accent1"/>
          <w:szCs w:val="20"/>
        </w:rPr>
        <w:sym w:font="Wingdings" w:char="F078"/>
      </w:r>
      <w:r w:rsidR="00615F42" w:rsidRPr="00E02A90">
        <w:rPr>
          <w:color w:val="4F81BD" w:themeColor="accent1"/>
          <w:szCs w:val="20"/>
        </w:rPr>
        <w:t xml:space="preserve"> AIMD</w:t>
      </w:r>
    </w:p>
    <w:p w:rsidR="005E2CE3"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sidRPr="000A5B32">
        <w:rPr>
          <w:szCs w:val="20"/>
        </w:rPr>
        <w:t xml:space="preserve"> </w:t>
      </w:r>
      <w:r w:rsidRPr="00615F42">
        <w:rPr>
          <w:szCs w:val="20"/>
        </w:rPr>
        <w:t>N/A</w:t>
      </w:r>
    </w:p>
    <w:p w:rsidR="00BE3319" w:rsidRDefault="00BE3319" w:rsidP="00A6491A">
      <w:pPr>
        <w:spacing w:before="0" w:after="0"/>
        <w:ind w:left="284"/>
        <w:rPr>
          <w:szCs w:val="20"/>
        </w:rPr>
      </w:pPr>
    </w:p>
    <w:p w:rsidR="00BE3319" w:rsidRPr="00E02A90" w:rsidRDefault="00BE3319" w:rsidP="00E02A90">
      <w:pPr>
        <w:spacing w:before="0" w:after="0"/>
        <w:ind w:left="284"/>
        <w:rPr>
          <w:color w:val="4F81BD" w:themeColor="accent1"/>
          <w:szCs w:val="20"/>
          <w:u w:val="single"/>
        </w:rPr>
      </w:pPr>
      <w:r w:rsidRPr="00E02A90">
        <w:rPr>
          <w:color w:val="4F81BD" w:themeColor="accent1"/>
          <w:szCs w:val="20"/>
          <w:u w:val="single"/>
        </w:rPr>
        <w:t>Glass microsphere/</w:t>
      </w:r>
      <w:proofErr w:type="spellStart"/>
      <w:r w:rsidRPr="00E02A90">
        <w:rPr>
          <w:color w:val="4F81BD" w:themeColor="accent1"/>
          <w:szCs w:val="20"/>
          <w:u w:val="single"/>
        </w:rPr>
        <w:t>TheraSphere</w:t>
      </w:r>
      <w:proofErr w:type="spellEnd"/>
    </w:p>
    <w:p w:rsidR="00BE3319" w:rsidRPr="00615F42" w:rsidRDefault="00BE3319" w:rsidP="00BE3319">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sidRPr="000A5B32">
        <w:rPr>
          <w:szCs w:val="20"/>
        </w:rPr>
        <w:t xml:space="preserve"> </w:t>
      </w:r>
      <w:r w:rsidRPr="00615F42">
        <w:rPr>
          <w:szCs w:val="20"/>
        </w:rPr>
        <w:t>Class III</w:t>
      </w:r>
    </w:p>
    <w:p w:rsidR="00BE3319" w:rsidRPr="00615F42" w:rsidRDefault="00BE3319" w:rsidP="00BE3319">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sidRPr="000A5B32">
        <w:rPr>
          <w:szCs w:val="20"/>
        </w:rPr>
        <w:t xml:space="preserve"> </w:t>
      </w:r>
      <w:r w:rsidRPr="00615F42">
        <w:rPr>
          <w:szCs w:val="20"/>
        </w:rPr>
        <w:t>AIMD</w:t>
      </w:r>
    </w:p>
    <w:p w:rsidR="00BE3319" w:rsidRPr="00E02A90" w:rsidRDefault="00BE3319" w:rsidP="00BE3319">
      <w:pPr>
        <w:spacing w:before="0" w:after="0"/>
        <w:ind w:left="284"/>
        <w:rPr>
          <w:color w:val="4F81BD" w:themeColor="accent1"/>
          <w:szCs w:val="20"/>
        </w:rPr>
      </w:pPr>
      <w:r w:rsidRPr="00E02A90">
        <w:rPr>
          <w:color w:val="4F81BD" w:themeColor="accent1"/>
          <w:szCs w:val="20"/>
        </w:rPr>
        <w:sym w:font="Wingdings" w:char="F078"/>
      </w:r>
      <w:r w:rsidRPr="00E02A90">
        <w:rPr>
          <w:color w:val="4F81BD" w:themeColor="accent1"/>
          <w:szCs w:val="20"/>
        </w:rPr>
        <w:t xml:space="preserve"> N/A</w:t>
      </w:r>
      <w:r w:rsidR="0058339D">
        <w:rPr>
          <w:color w:val="4F81BD" w:themeColor="accent1"/>
          <w:szCs w:val="20"/>
        </w:rPr>
        <w:t>; n</w:t>
      </w:r>
      <w:r w:rsidRPr="00E02A90">
        <w:rPr>
          <w:color w:val="4F81BD" w:themeColor="accent1"/>
          <w:szCs w:val="20"/>
        </w:rPr>
        <w:t>ot yet registered</w:t>
      </w:r>
      <w:r w:rsidR="0059673C">
        <w:rPr>
          <w:color w:val="4F81BD" w:themeColor="accent1"/>
          <w:szCs w:val="20"/>
        </w:rPr>
        <w:t xml:space="preserve"> but would be classified as an AIMD</w:t>
      </w:r>
      <w:r w:rsidR="0058339D">
        <w:rPr>
          <w:color w:val="4F81BD" w:themeColor="accent1"/>
          <w:szCs w:val="20"/>
        </w:rPr>
        <w:t>.</w:t>
      </w:r>
    </w:p>
    <w:p w:rsidR="00BE3319" w:rsidRPr="00154B00" w:rsidRDefault="00BE3319" w:rsidP="00A6491A">
      <w:pPr>
        <w:spacing w:before="0" w:after="0"/>
        <w:ind w:left="284"/>
        <w:rPr>
          <w:szCs w:val="20"/>
        </w:rPr>
      </w:pPr>
    </w:p>
    <w:p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rsidR="003421AE" w:rsidRDefault="00BE3319" w:rsidP="00A6491A">
      <w:pPr>
        <w:spacing w:before="0" w:after="0"/>
        <w:ind w:left="284"/>
        <w:rPr>
          <w:color w:val="4F81BD" w:themeColor="accent1"/>
          <w:szCs w:val="20"/>
        </w:rPr>
      </w:pPr>
      <w:r w:rsidRPr="00E02A90">
        <w:rPr>
          <w:color w:val="4F81BD" w:themeColor="accent1"/>
          <w:szCs w:val="20"/>
        </w:rPr>
        <w:sym w:font="Wingdings" w:char="F078"/>
      </w:r>
      <w:r w:rsidR="00615F42" w:rsidRPr="00E02A90">
        <w:rPr>
          <w:color w:val="4F81BD" w:themeColor="accent1"/>
          <w:szCs w:val="20"/>
        </w:rPr>
        <w:t xml:space="preserve"> No</w:t>
      </w:r>
    </w:p>
    <w:p w:rsidR="00AF7388" w:rsidRPr="00E02A90" w:rsidRDefault="00AF7388" w:rsidP="00A6491A">
      <w:pPr>
        <w:spacing w:before="0" w:after="0"/>
        <w:ind w:left="284"/>
        <w:rPr>
          <w:b/>
          <w:color w:val="4F81BD" w:themeColor="accent1"/>
          <w:szCs w:val="20"/>
        </w:rPr>
      </w:pPr>
    </w:p>
    <w:p w:rsidR="00D85676" w:rsidRDefault="00D85676" w:rsidP="005D05D5">
      <w:pPr>
        <w:pStyle w:val="Heading2"/>
        <w:numPr>
          <w:ilvl w:val="0"/>
          <w:numId w:val="7"/>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BE3319" w:rsidRPr="00E02A90" w:rsidRDefault="00BE3319" w:rsidP="00E02A90">
      <w:pPr>
        <w:spacing w:before="0" w:after="0"/>
        <w:ind w:left="284"/>
        <w:rPr>
          <w:color w:val="4F81BD" w:themeColor="accent1"/>
          <w:szCs w:val="20"/>
          <w:u w:val="single"/>
        </w:rPr>
      </w:pPr>
      <w:r w:rsidRPr="00E02A90">
        <w:rPr>
          <w:color w:val="4F81BD" w:themeColor="accent1"/>
          <w:szCs w:val="20"/>
          <w:u w:val="single"/>
        </w:rPr>
        <w:t>Resin microsphere/SIR-Spheres</w:t>
      </w:r>
    </w:p>
    <w:p w:rsidR="0043654D" w:rsidRPr="00E02A90" w:rsidRDefault="00BE3319" w:rsidP="0043654D">
      <w:pPr>
        <w:spacing w:before="0" w:after="0"/>
        <w:ind w:left="284"/>
        <w:rPr>
          <w:color w:val="4F81BD" w:themeColor="accent1"/>
          <w:szCs w:val="20"/>
        </w:rPr>
      </w:pPr>
      <w:r w:rsidRPr="00E02A90">
        <w:rPr>
          <w:color w:val="4F81BD" w:themeColor="accent1"/>
          <w:szCs w:val="20"/>
        </w:rPr>
        <w:sym w:font="Wingdings" w:char="F078"/>
      </w:r>
      <w:r w:rsidR="0043654D" w:rsidRPr="00E02A90">
        <w:rPr>
          <w:color w:val="4F81BD" w:themeColor="accent1"/>
          <w:szCs w:val="20"/>
        </w:rPr>
        <w:t xml:space="preserve"> Yes (if yes, please provide details below)</w:t>
      </w:r>
    </w:p>
    <w:p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Pr>
          <w:szCs w:val="20"/>
        </w:rPr>
        <w:t xml:space="preserve"> No</w:t>
      </w:r>
    </w:p>
    <w:p w:rsidR="00097CFC" w:rsidRPr="00097CFC" w:rsidRDefault="00097CFC" w:rsidP="00097CFC">
      <w:pPr>
        <w:spacing w:before="0" w:after="0"/>
        <w:ind w:left="284"/>
        <w:rPr>
          <w:color w:val="4F81BD" w:themeColor="accent1"/>
          <w:szCs w:val="20"/>
        </w:rPr>
      </w:pPr>
    </w:p>
    <w:p w:rsidR="00097CFC" w:rsidRPr="00573504" w:rsidRDefault="00097CFC" w:rsidP="00573504">
      <w:pPr>
        <w:spacing w:before="0" w:after="0"/>
        <w:ind w:left="284"/>
        <w:rPr>
          <w:color w:val="4F81BD" w:themeColor="accent1"/>
          <w:szCs w:val="20"/>
        </w:rPr>
      </w:pPr>
      <w:r w:rsidRPr="00573504">
        <w:rPr>
          <w:color w:val="4F81BD" w:themeColor="accent1"/>
          <w:szCs w:val="20"/>
        </w:rPr>
        <w:t>SIR-Spheres – radionuclide source, therapeutic, brachytherapy, manual, permanent implant</w:t>
      </w:r>
    </w:p>
    <w:p w:rsidR="00097CFC" w:rsidRPr="00E02A90" w:rsidRDefault="00097CFC" w:rsidP="00573504">
      <w:pPr>
        <w:spacing w:before="0" w:after="0"/>
        <w:ind w:left="284"/>
        <w:rPr>
          <w:color w:val="4F81BD" w:themeColor="accent1"/>
          <w:szCs w:val="20"/>
        </w:rPr>
      </w:pPr>
      <w:r w:rsidRPr="00E02A90">
        <w:rPr>
          <w:i/>
          <w:color w:val="4F81BD" w:themeColor="accent1"/>
          <w:szCs w:val="20"/>
        </w:rPr>
        <w:t>ARTG listing, registration or inclusion number:</w:t>
      </w:r>
      <w:r w:rsidRPr="00E02A90">
        <w:rPr>
          <w:color w:val="4F81BD" w:themeColor="accent1"/>
          <w:szCs w:val="20"/>
        </w:rPr>
        <w:t xml:space="preserve">  </w:t>
      </w:r>
      <w:r w:rsidRPr="00E02A90">
        <w:rPr>
          <w:color w:val="4F81BD" w:themeColor="accent1"/>
        </w:rPr>
        <w:t>149332</w:t>
      </w:r>
    </w:p>
    <w:p w:rsidR="00097CFC" w:rsidRDefault="00097CFC" w:rsidP="00573504">
      <w:pPr>
        <w:spacing w:before="0" w:after="0"/>
        <w:ind w:left="284"/>
        <w:rPr>
          <w:color w:val="4F81BD" w:themeColor="accent1"/>
        </w:rPr>
      </w:pPr>
      <w:r w:rsidRPr="0059673C">
        <w:rPr>
          <w:i/>
          <w:color w:val="4F81BD" w:themeColor="accent1"/>
          <w:szCs w:val="20"/>
        </w:rPr>
        <w:t>TGA approved indication(s), if applicable:</w:t>
      </w:r>
      <w:r w:rsidRPr="0059673C">
        <w:rPr>
          <w:color w:val="4F81BD" w:themeColor="accent1"/>
          <w:szCs w:val="20"/>
        </w:rPr>
        <w:t xml:space="preserve">  </w:t>
      </w:r>
      <w:r w:rsidRPr="0059673C">
        <w:rPr>
          <w:color w:val="4F81BD" w:themeColor="accent1"/>
        </w:rPr>
        <w:t>Intended for the treatment of inoperable liver cancer</w:t>
      </w:r>
    </w:p>
    <w:p w:rsidR="00097CFC" w:rsidRDefault="00097CFC" w:rsidP="00573504">
      <w:pPr>
        <w:spacing w:before="0" w:after="0"/>
        <w:rPr>
          <w:color w:val="4F81BD" w:themeColor="accent1"/>
          <w:szCs w:val="20"/>
        </w:rPr>
      </w:pPr>
    </w:p>
    <w:p w:rsidR="0059673C" w:rsidRPr="0059673C" w:rsidRDefault="0059673C" w:rsidP="0043654D">
      <w:pPr>
        <w:spacing w:before="0" w:after="0"/>
        <w:ind w:left="284"/>
        <w:rPr>
          <w:color w:val="4F81BD" w:themeColor="accent1"/>
        </w:rPr>
      </w:pPr>
      <w:r>
        <w:rPr>
          <w:color w:val="4F81BD" w:themeColor="accent1"/>
          <w:szCs w:val="20"/>
        </w:rPr>
        <w:t xml:space="preserve">Thus, the </w:t>
      </w:r>
      <w:r w:rsidR="0058339D">
        <w:rPr>
          <w:color w:val="4F81BD" w:themeColor="accent1"/>
          <w:szCs w:val="20"/>
        </w:rPr>
        <w:t xml:space="preserve">current </w:t>
      </w:r>
      <w:r>
        <w:rPr>
          <w:color w:val="4F81BD" w:themeColor="accent1"/>
          <w:szCs w:val="20"/>
        </w:rPr>
        <w:t>TGA-approved indication encompass</w:t>
      </w:r>
      <w:r w:rsidR="00AF7388">
        <w:rPr>
          <w:color w:val="4F81BD" w:themeColor="accent1"/>
          <w:szCs w:val="20"/>
        </w:rPr>
        <w:t>es</w:t>
      </w:r>
      <w:r>
        <w:rPr>
          <w:color w:val="4F81BD" w:themeColor="accent1"/>
          <w:szCs w:val="20"/>
        </w:rPr>
        <w:t xml:space="preserve"> use for unresectable HCC</w:t>
      </w:r>
      <w:r w:rsidR="00900730">
        <w:rPr>
          <w:color w:val="4F81BD" w:themeColor="accent1"/>
          <w:szCs w:val="20"/>
        </w:rPr>
        <w:t>.</w:t>
      </w:r>
    </w:p>
    <w:p w:rsidR="00DE5D2D" w:rsidRDefault="00DE5D2D" w:rsidP="0043654D">
      <w:pPr>
        <w:spacing w:before="0" w:after="0"/>
        <w:ind w:left="284"/>
      </w:pPr>
    </w:p>
    <w:p w:rsidR="00DE5D2D" w:rsidRPr="00E02A90" w:rsidRDefault="00DE5D2D" w:rsidP="00AF7388">
      <w:pPr>
        <w:keepNext/>
        <w:spacing w:before="0" w:after="0"/>
        <w:ind w:left="284"/>
        <w:rPr>
          <w:color w:val="4F81BD" w:themeColor="accent1"/>
          <w:szCs w:val="20"/>
          <w:u w:val="single"/>
        </w:rPr>
      </w:pPr>
      <w:r w:rsidRPr="00E02A90">
        <w:rPr>
          <w:color w:val="4F81BD" w:themeColor="accent1"/>
          <w:szCs w:val="20"/>
          <w:u w:val="single"/>
        </w:rPr>
        <w:lastRenderedPageBreak/>
        <w:t>Glass microsphere/</w:t>
      </w:r>
      <w:proofErr w:type="spellStart"/>
      <w:r w:rsidRPr="00E02A90">
        <w:rPr>
          <w:color w:val="4F81BD" w:themeColor="accent1"/>
          <w:szCs w:val="20"/>
          <w:u w:val="single"/>
        </w:rPr>
        <w:t>TheraSphere</w:t>
      </w:r>
      <w:proofErr w:type="spellEnd"/>
    </w:p>
    <w:p w:rsidR="00DE5D2D" w:rsidRDefault="00DE5D2D" w:rsidP="00DE5D2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Pr>
          <w:szCs w:val="20"/>
        </w:rPr>
        <w:t xml:space="preserve"> Yes (if yes, please provide details below)</w:t>
      </w:r>
    </w:p>
    <w:p w:rsidR="00DE5D2D" w:rsidRPr="00E02A90" w:rsidRDefault="00DE5D2D" w:rsidP="00DE5D2D">
      <w:pPr>
        <w:spacing w:before="0" w:after="0"/>
        <w:ind w:left="284"/>
        <w:rPr>
          <w:color w:val="4F81BD" w:themeColor="accent1"/>
          <w:szCs w:val="20"/>
        </w:rPr>
      </w:pPr>
      <w:r w:rsidRPr="00E02A90">
        <w:rPr>
          <w:color w:val="4F81BD" w:themeColor="accent1"/>
          <w:szCs w:val="20"/>
        </w:rPr>
        <w:sym w:font="Wingdings" w:char="F078"/>
      </w:r>
      <w:r w:rsidRPr="00E02A90">
        <w:rPr>
          <w:color w:val="4F81BD" w:themeColor="accent1"/>
          <w:szCs w:val="20"/>
        </w:rPr>
        <w:t xml:space="preserve"> No</w:t>
      </w:r>
    </w:p>
    <w:p w:rsidR="00DE5D2D" w:rsidRPr="00615F42" w:rsidRDefault="00DE5D2D" w:rsidP="00DE5D2D">
      <w:pPr>
        <w:spacing w:before="0" w:after="0"/>
        <w:ind w:left="284"/>
        <w:rPr>
          <w:b/>
          <w:szCs w:val="20"/>
        </w:rPr>
      </w:pPr>
    </w:p>
    <w:p w:rsidR="00C0796F" w:rsidRDefault="00C0796F" w:rsidP="00530204">
      <w:pPr>
        <w:pStyle w:val="Heading2"/>
      </w:pPr>
      <w:r w:rsidRPr="0043654D">
        <w:t>If the therapeutic good has not been listed, registered or included in the ARTG, is the therapeutic good in the process of being considered for inclusion by the TGA?</w:t>
      </w:r>
    </w:p>
    <w:p w:rsidR="0059673C" w:rsidRDefault="0059673C" w:rsidP="0059673C">
      <w:pPr>
        <w:spacing w:before="0" w:after="0"/>
        <w:ind w:left="284"/>
        <w:rPr>
          <w:color w:val="4F81BD" w:themeColor="accent1"/>
          <w:szCs w:val="20"/>
          <w:u w:val="single"/>
        </w:rPr>
      </w:pPr>
      <w:r w:rsidRPr="00E02A90">
        <w:rPr>
          <w:color w:val="4F81BD" w:themeColor="accent1"/>
          <w:szCs w:val="20"/>
          <w:u w:val="single"/>
        </w:rPr>
        <w:t>Glass microsphere/</w:t>
      </w:r>
      <w:proofErr w:type="spellStart"/>
      <w:r w:rsidRPr="00E02A90">
        <w:rPr>
          <w:color w:val="4F81BD" w:themeColor="accent1"/>
          <w:szCs w:val="20"/>
          <w:u w:val="single"/>
        </w:rPr>
        <w:t>TheraSphere</w:t>
      </w:r>
      <w:proofErr w:type="spellEnd"/>
    </w:p>
    <w:p w:rsidR="0059673C" w:rsidRPr="0059673C" w:rsidRDefault="0059673C" w:rsidP="0059673C">
      <w:pPr>
        <w:spacing w:before="0" w:after="0"/>
        <w:ind w:left="284"/>
        <w:rPr>
          <w:color w:val="4F81BD" w:themeColor="accent1"/>
          <w:szCs w:val="20"/>
        </w:rPr>
      </w:pPr>
      <w:r w:rsidRPr="0059673C">
        <w:rPr>
          <w:color w:val="4F81BD" w:themeColor="accent1"/>
          <w:szCs w:val="20"/>
        </w:rPr>
        <w:sym w:font="Wingdings" w:char="F078"/>
      </w:r>
      <w:r w:rsidRPr="0059673C">
        <w:rPr>
          <w:color w:val="4F81BD" w:themeColor="accent1"/>
          <w:szCs w:val="20"/>
        </w:rPr>
        <w:t xml:space="preserve"> No</w:t>
      </w:r>
    </w:p>
    <w:p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Pr>
          <w:szCs w:val="20"/>
        </w:rPr>
        <w:t xml:space="preserve"> </w:t>
      </w:r>
      <w:r w:rsidR="0059673C">
        <w:rPr>
          <w:szCs w:val="20"/>
        </w:rPr>
        <w:t>Yes</w:t>
      </w:r>
    </w:p>
    <w:p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rsidR="0059673C" w:rsidRPr="00E02A90" w:rsidRDefault="0059673C" w:rsidP="0059673C">
      <w:pPr>
        <w:spacing w:before="0" w:after="0"/>
        <w:ind w:left="284"/>
        <w:rPr>
          <w:color w:val="4F81BD" w:themeColor="accent1"/>
          <w:szCs w:val="20"/>
          <w:u w:val="single"/>
        </w:rPr>
      </w:pPr>
      <w:r w:rsidRPr="00E02A90">
        <w:rPr>
          <w:color w:val="4F81BD" w:themeColor="accent1"/>
          <w:szCs w:val="20"/>
          <w:u w:val="single"/>
        </w:rPr>
        <w:t>Glass microsphere/</w:t>
      </w:r>
      <w:proofErr w:type="spellStart"/>
      <w:r w:rsidRPr="00E02A90">
        <w:rPr>
          <w:color w:val="4F81BD" w:themeColor="accent1"/>
          <w:szCs w:val="20"/>
          <w:u w:val="single"/>
        </w:rPr>
        <w:t>TheraSphere</w:t>
      </w:r>
      <w:proofErr w:type="spellEnd"/>
    </w:p>
    <w:p w:rsidR="000A110D" w:rsidRPr="00E02A90" w:rsidRDefault="0059673C" w:rsidP="000A110D">
      <w:pPr>
        <w:spacing w:before="0" w:after="0"/>
        <w:ind w:left="284"/>
        <w:rPr>
          <w:color w:val="4F81BD" w:themeColor="accent1"/>
          <w:szCs w:val="20"/>
        </w:rPr>
      </w:pPr>
      <w:r>
        <w:rPr>
          <w:color w:val="4F81BD" w:themeColor="accent1"/>
          <w:szCs w:val="20"/>
        </w:rPr>
        <w:sym w:font="Wingdings" w:char="F078"/>
      </w:r>
      <w:r w:rsidR="000A110D" w:rsidRPr="00E02A90">
        <w:rPr>
          <w:color w:val="4F81BD" w:themeColor="accent1"/>
          <w:szCs w:val="20"/>
        </w:rPr>
        <w:t xml:space="preserve"> Yes (please provide details below)</w:t>
      </w:r>
    </w:p>
    <w:p w:rsidR="000A110D" w:rsidRDefault="000A110D" w:rsidP="00E02A90">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Pr>
          <w:szCs w:val="20"/>
        </w:rPr>
        <w:t xml:space="preserve"> No</w:t>
      </w:r>
    </w:p>
    <w:p w:rsidR="0058339D" w:rsidRDefault="0058339D" w:rsidP="00E02A90">
      <w:pPr>
        <w:spacing w:before="0" w:after="0"/>
        <w:ind w:left="284"/>
        <w:rPr>
          <w:i/>
          <w:color w:val="4F81BD" w:themeColor="accent1"/>
          <w:szCs w:val="20"/>
        </w:rPr>
      </w:pPr>
    </w:p>
    <w:p w:rsidR="00971EDB" w:rsidRPr="00E02A90" w:rsidRDefault="00971EDB" w:rsidP="00E02A90">
      <w:pPr>
        <w:spacing w:before="0" w:after="0"/>
        <w:ind w:left="284"/>
        <w:rPr>
          <w:color w:val="4F81BD" w:themeColor="accent1"/>
          <w:szCs w:val="20"/>
        </w:rPr>
      </w:pPr>
      <w:r w:rsidRPr="00E02A90">
        <w:rPr>
          <w:i/>
          <w:color w:val="4F81BD" w:themeColor="accent1"/>
          <w:szCs w:val="20"/>
        </w:rPr>
        <w:t>Estimated date of submission to TGA:</w:t>
      </w:r>
      <w:r w:rsidRPr="00E02A90">
        <w:rPr>
          <w:color w:val="4F81BD" w:themeColor="accent1"/>
          <w:szCs w:val="20"/>
        </w:rPr>
        <w:t xml:space="preserve">  </w:t>
      </w:r>
      <w:r w:rsidR="00AF7388">
        <w:rPr>
          <w:color w:val="4F81BD" w:themeColor="accent1"/>
          <w:szCs w:val="20"/>
        </w:rPr>
        <w:t>end April 2017</w:t>
      </w:r>
    </w:p>
    <w:p w:rsidR="00971EDB" w:rsidRDefault="00971EDB" w:rsidP="00E02A90">
      <w:pPr>
        <w:spacing w:before="0" w:after="0"/>
        <w:ind w:left="284"/>
        <w:rPr>
          <w:color w:val="4F81BD" w:themeColor="accent1"/>
        </w:rPr>
      </w:pPr>
      <w:r w:rsidRPr="00E02A90">
        <w:rPr>
          <w:i/>
          <w:color w:val="4F81BD" w:themeColor="accent1"/>
          <w:szCs w:val="20"/>
        </w:rPr>
        <w:t>Proposed indication(s), if applicable:</w:t>
      </w:r>
      <w:r w:rsidRPr="00E02A90">
        <w:rPr>
          <w:color w:val="4F81BD" w:themeColor="accent1"/>
          <w:szCs w:val="20"/>
        </w:rPr>
        <w:t xml:space="preserve">  </w:t>
      </w:r>
      <w:proofErr w:type="spellStart"/>
      <w:r w:rsidR="004C5209" w:rsidRPr="004C5209">
        <w:rPr>
          <w:color w:val="4F81BD" w:themeColor="accent1"/>
        </w:rPr>
        <w:t>TheraSphere</w:t>
      </w:r>
      <w:proofErr w:type="spellEnd"/>
      <w:r w:rsidR="004C5209" w:rsidRPr="004C5209">
        <w:rPr>
          <w:color w:val="4F81BD" w:themeColor="accent1"/>
        </w:rPr>
        <w:t xml:space="preserve"> is used in the treatment of hepatic </w:t>
      </w:r>
      <w:proofErr w:type="spellStart"/>
      <w:r w:rsidR="004C5209" w:rsidRPr="004C5209">
        <w:rPr>
          <w:color w:val="4F81BD" w:themeColor="accent1"/>
        </w:rPr>
        <w:t>neoplasia</w:t>
      </w:r>
      <w:proofErr w:type="spellEnd"/>
      <w:r w:rsidR="0058339D">
        <w:rPr>
          <w:color w:val="4F81BD" w:themeColor="accent1"/>
        </w:rPr>
        <w:t>.</w:t>
      </w:r>
    </w:p>
    <w:p w:rsidR="00AF7388" w:rsidRDefault="00AF7388" w:rsidP="00E02A90">
      <w:pPr>
        <w:spacing w:before="0" w:after="0"/>
        <w:ind w:left="284"/>
        <w:rPr>
          <w:color w:val="4F81BD" w:themeColor="accent1"/>
          <w:szCs w:val="20"/>
        </w:rPr>
      </w:pPr>
    </w:p>
    <w:p w:rsidR="00AF7388" w:rsidRPr="00E02A90" w:rsidRDefault="00AF7388" w:rsidP="00E02A90">
      <w:pPr>
        <w:spacing w:before="0" w:after="0"/>
        <w:ind w:left="284"/>
        <w:rPr>
          <w:color w:val="4F81BD" w:themeColor="accent1"/>
          <w:szCs w:val="20"/>
        </w:rPr>
      </w:pPr>
      <w:r>
        <w:rPr>
          <w:color w:val="4F81BD" w:themeColor="accent1"/>
          <w:szCs w:val="20"/>
        </w:rPr>
        <w:t>Thus, the proposed TGA indication encompasses use for unresectable HCC.</w:t>
      </w:r>
    </w:p>
    <w:p w:rsidR="00971EDB" w:rsidRPr="00E02A90" w:rsidRDefault="00971EDB" w:rsidP="00E02A90">
      <w:pPr>
        <w:spacing w:before="0" w:after="0"/>
        <w:ind w:left="284"/>
        <w:rPr>
          <w:color w:val="4F81BD" w:themeColor="accent1"/>
          <w:szCs w:val="20"/>
        </w:rPr>
      </w:pPr>
    </w:p>
    <w:p w:rsidR="00F83A9D" w:rsidRPr="00154B00" w:rsidRDefault="00F83A9D" w:rsidP="00F83A9D">
      <w:pPr>
        <w:rPr>
          <w:szCs w:val="20"/>
        </w:rPr>
      </w:pPr>
    </w:p>
    <w:p w:rsidR="00DD308E" w:rsidRDefault="00DD308E">
      <w:pPr>
        <w:rPr>
          <w:b/>
          <w:sz w:val="32"/>
          <w:szCs w:val="32"/>
        </w:rPr>
        <w:sectPr w:rsidR="00DD308E" w:rsidSect="005401D7">
          <w:footerReference w:type="default" r:id="rId12"/>
          <w:pgSz w:w="11906" w:h="16838"/>
          <w:pgMar w:top="1440" w:right="1440" w:bottom="1440" w:left="1440" w:header="708" w:footer="708" w:gutter="0"/>
          <w:pgNumType w:start="0"/>
          <w:cols w:space="708"/>
          <w:titlePg/>
          <w:docGrid w:linePitch="360"/>
        </w:sectPr>
      </w:pPr>
    </w:p>
    <w:p w:rsidR="00DD308E" w:rsidRDefault="00B17CBE" w:rsidP="00F222BE">
      <w:pPr>
        <w:pStyle w:val="Heading1"/>
      </w:pPr>
      <w:r>
        <w:lastRenderedPageBreak/>
        <w:t>PART 4</w:t>
      </w:r>
      <w:r w:rsidR="00DD308E">
        <w:t xml:space="preserve"> – SUMMARY</w:t>
      </w:r>
      <w:r w:rsidR="00DD308E" w:rsidRPr="00C776B1">
        <w:t xml:space="preserve"> OF EVIDENCE</w:t>
      </w:r>
    </w:p>
    <w:p w:rsidR="0058339D" w:rsidRDefault="008B7675" w:rsidP="00CE1C45">
      <w:pPr>
        <w:rPr>
          <w:color w:val="4F81BD" w:themeColor="accent1"/>
        </w:rPr>
      </w:pPr>
      <w:r w:rsidRPr="000856FD">
        <w:rPr>
          <w:color w:val="4F81BD" w:themeColor="accent1"/>
        </w:rPr>
        <w:t>The following tables</w:t>
      </w:r>
      <w:r w:rsidR="00DE5D2D" w:rsidRPr="000856FD">
        <w:rPr>
          <w:color w:val="4F81BD" w:themeColor="accent1"/>
        </w:rPr>
        <w:t xml:space="preserve"> in Q</w:t>
      </w:r>
      <w:r w:rsidR="004849E7" w:rsidRPr="000856FD">
        <w:rPr>
          <w:color w:val="4F81BD" w:themeColor="accent1"/>
        </w:rPr>
        <w:t xml:space="preserve">18 and </w:t>
      </w:r>
      <w:r w:rsidR="00900730">
        <w:rPr>
          <w:color w:val="4F81BD" w:themeColor="accent1"/>
        </w:rPr>
        <w:t>Q</w:t>
      </w:r>
      <w:r w:rsidR="004849E7" w:rsidRPr="000856FD">
        <w:rPr>
          <w:color w:val="4F81BD" w:themeColor="accent1"/>
        </w:rPr>
        <w:t xml:space="preserve">19 </w:t>
      </w:r>
      <w:r w:rsidRPr="000856FD">
        <w:rPr>
          <w:color w:val="4F81BD" w:themeColor="accent1"/>
        </w:rPr>
        <w:t xml:space="preserve">provide a summary of the RCT (completed and ongoing) and </w:t>
      </w:r>
      <w:r w:rsidR="0059673C" w:rsidRPr="000856FD">
        <w:rPr>
          <w:color w:val="4F81BD" w:themeColor="accent1"/>
        </w:rPr>
        <w:t>‘</w:t>
      </w:r>
      <w:r w:rsidRPr="000856FD">
        <w:rPr>
          <w:color w:val="4F81BD" w:themeColor="accent1"/>
        </w:rPr>
        <w:t>high</w:t>
      </w:r>
      <w:r w:rsidR="0059673C" w:rsidRPr="000856FD">
        <w:rPr>
          <w:color w:val="4F81BD" w:themeColor="accent1"/>
        </w:rPr>
        <w:t>er</w:t>
      </w:r>
      <w:r w:rsidRPr="000856FD">
        <w:rPr>
          <w:color w:val="4F81BD" w:themeColor="accent1"/>
        </w:rPr>
        <w:t xml:space="preserve"> quality</w:t>
      </w:r>
      <w:r w:rsidR="0059673C" w:rsidRPr="000856FD">
        <w:rPr>
          <w:color w:val="4F81BD" w:themeColor="accent1"/>
        </w:rPr>
        <w:t>’</w:t>
      </w:r>
      <w:r w:rsidRPr="000856FD">
        <w:rPr>
          <w:color w:val="4F81BD" w:themeColor="accent1"/>
        </w:rPr>
        <w:t xml:space="preserve"> observational study evidence available for the comparison between </w:t>
      </w:r>
      <w:r w:rsidR="00AC68A3" w:rsidRPr="000856FD">
        <w:rPr>
          <w:color w:val="4F81BD" w:themeColor="accent1"/>
        </w:rPr>
        <w:t>TARE</w:t>
      </w:r>
      <w:r w:rsidRPr="000856FD">
        <w:rPr>
          <w:color w:val="4F81BD" w:themeColor="accent1"/>
        </w:rPr>
        <w:t>-Y</w:t>
      </w:r>
      <w:r w:rsidR="00FA4DE4">
        <w:rPr>
          <w:color w:val="4F81BD" w:themeColor="accent1"/>
        </w:rPr>
        <w:t>,</w:t>
      </w:r>
      <w:r w:rsidRPr="000856FD">
        <w:rPr>
          <w:color w:val="4F81BD" w:themeColor="accent1"/>
        </w:rPr>
        <w:t xml:space="preserve"> and TACE/DEB-TACE and </w:t>
      </w:r>
      <w:proofErr w:type="spellStart"/>
      <w:r w:rsidRPr="000856FD">
        <w:rPr>
          <w:color w:val="4F81BD" w:themeColor="accent1"/>
        </w:rPr>
        <w:t>sorafenib</w:t>
      </w:r>
      <w:proofErr w:type="spellEnd"/>
      <w:r w:rsidRPr="000856FD">
        <w:rPr>
          <w:color w:val="4F81BD" w:themeColor="accent1"/>
        </w:rPr>
        <w:t xml:space="preserve">. </w:t>
      </w:r>
      <w:r w:rsidR="0059673C" w:rsidRPr="000856FD">
        <w:rPr>
          <w:color w:val="4F81BD" w:themeColor="accent1"/>
        </w:rPr>
        <w:t xml:space="preserve">Higher quality observational evidence refers to </w:t>
      </w:r>
      <w:r w:rsidR="00D43547">
        <w:rPr>
          <w:color w:val="4F81BD" w:themeColor="accent1"/>
        </w:rPr>
        <w:t xml:space="preserve">non-randomised, </w:t>
      </w:r>
      <w:r w:rsidR="0059673C" w:rsidRPr="000856FD">
        <w:rPr>
          <w:color w:val="4F81BD" w:themeColor="accent1"/>
        </w:rPr>
        <w:t xml:space="preserve">comparative studies that have attempted to match </w:t>
      </w:r>
      <w:r w:rsidR="000856FD">
        <w:rPr>
          <w:color w:val="4F81BD" w:themeColor="accent1"/>
        </w:rPr>
        <w:t xml:space="preserve">on potential confounders, </w:t>
      </w:r>
      <w:r w:rsidR="0059673C" w:rsidRPr="000856FD">
        <w:rPr>
          <w:color w:val="4F81BD" w:themeColor="accent1"/>
        </w:rPr>
        <w:t xml:space="preserve">or adjust for potential confounding. </w:t>
      </w:r>
    </w:p>
    <w:p w:rsidR="00CE1C45" w:rsidRDefault="008B7675" w:rsidP="00CE1C45">
      <w:pPr>
        <w:rPr>
          <w:color w:val="4F81BD" w:themeColor="accent1"/>
        </w:rPr>
      </w:pPr>
      <w:r w:rsidRPr="000856FD">
        <w:rPr>
          <w:color w:val="4F81BD" w:themeColor="accent1"/>
        </w:rPr>
        <w:t xml:space="preserve">A number of </w:t>
      </w:r>
      <w:r w:rsidR="0058339D">
        <w:rPr>
          <w:color w:val="4F81BD" w:themeColor="accent1"/>
        </w:rPr>
        <w:t xml:space="preserve">published </w:t>
      </w:r>
      <w:r w:rsidRPr="000856FD">
        <w:rPr>
          <w:color w:val="4F81BD" w:themeColor="accent1"/>
        </w:rPr>
        <w:t>meta-analyses were also identified by the literature</w:t>
      </w:r>
      <w:r w:rsidR="00F74B19">
        <w:rPr>
          <w:color w:val="4F81BD" w:themeColor="accent1"/>
        </w:rPr>
        <w:t xml:space="preserve"> search</w:t>
      </w:r>
      <w:r w:rsidRPr="000856FD">
        <w:rPr>
          <w:color w:val="4F81BD" w:themeColor="accent1"/>
        </w:rPr>
        <w:t>; however, these are considered to be of poor methodological quality</w:t>
      </w:r>
      <w:r w:rsidR="0059673C" w:rsidRPr="000856FD">
        <w:rPr>
          <w:color w:val="4F81BD" w:themeColor="accent1"/>
        </w:rPr>
        <w:t xml:space="preserve"> due to inappropriate pooling of studies</w:t>
      </w:r>
      <w:r w:rsidR="00D43547">
        <w:rPr>
          <w:color w:val="4F81BD" w:themeColor="accent1"/>
        </w:rPr>
        <w:t>,</w:t>
      </w:r>
      <w:r w:rsidR="0059673C" w:rsidRPr="000856FD">
        <w:rPr>
          <w:color w:val="4F81BD" w:themeColor="accent1"/>
        </w:rPr>
        <w:t xml:space="preserve"> and would not be used as the basis of a clinical argument</w:t>
      </w:r>
      <w:r w:rsidRPr="000856FD">
        <w:rPr>
          <w:color w:val="4F81BD" w:themeColor="accent1"/>
        </w:rPr>
        <w:t xml:space="preserve">. </w:t>
      </w:r>
      <w:r w:rsidR="0058339D">
        <w:rPr>
          <w:color w:val="4F81BD" w:themeColor="accent1"/>
        </w:rPr>
        <w:t xml:space="preserve">There is, however, one ongoing prospective, individual patient meta-analysis currently underway; this would be very informative for a comparison between TARE-Y and </w:t>
      </w:r>
      <w:proofErr w:type="spellStart"/>
      <w:r w:rsidR="0058339D">
        <w:rPr>
          <w:color w:val="4F81BD" w:themeColor="accent1"/>
        </w:rPr>
        <w:t>sorafenib</w:t>
      </w:r>
      <w:proofErr w:type="spellEnd"/>
      <w:r w:rsidR="0058339D">
        <w:rPr>
          <w:color w:val="4F81BD" w:themeColor="accent1"/>
        </w:rPr>
        <w:t xml:space="preserve">. </w:t>
      </w:r>
      <w:r w:rsidRPr="000856FD">
        <w:rPr>
          <w:color w:val="4F81BD" w:themeColor="accent1"/>
        </w:rPr>
        <w:t>The identified meta-analyses are summarised following the RCT and observational study tables</w:t>
      </w:r>
      <w:r w:rsidR="00504913">
        <w:rPr>
          <w:color w:val="4F81BD" w:themeColor="accent1"/>
        </w:rPr>
        <w:t xml:space="preserve">, as is </w:t>
      </w:r>
      <w:r w:rsidR="0058339D">
        <w:rPr>
          <w:color w:val="4F81BD" w:themeColor="accent1"/>
        </w:rPr>
        <w:t>the</w:t>
      </w:r>
      <w:r w:rsidR="00504913">
        <w:rPr>
          <w:color w:val="4F81BD" w:themeColor="accent1"/>
        </w:rPr>
        <w:t xml:space="preserve"> ongoing prospective, individual patient data meta-analysis. </w:t>
      </w:r>
      <w:r w:rsidRPr="000856FD">
        <w:rPr>
          <w:color w:val="4F81BD" w:themeColor="accent1"/>
        </w:rPr>
        <w:t xml:space="preserve"> </w:t>
      </w:r>
    </w:p>
    <w:p w:rsidR="004114F1" w:rsidRPr="000856FD" w:rsidRDefault="004114F1" w:rsidP="00CE1C45">
      <w:pPr>
        <w:rPr>
          <w:color w:val="4F81BD" w:themeColor="accent1"/>
        </w:rPr>
      </w:pPr>
      <w:r>
        <w:rPr>
          <w:color w:val="4F81BD" w:themeColor="accent1"/>
        </w:rPr>
        <w:t>It should be noted there are also a number of single-arm case series that provide</w:t>
      </w:r>
      <w:r w:rsidR="00F74B19">
        <w:rPr>
          <w:color w:val="4F81BD" w:themeColor="accent1"/>
        </w:rPr>
        <w:t xml:space="preserve"> additional</w:t>
      </w:r>
      <w:r>
        <w:rPr>
          <w:color w:val="4F81BD" w:themeColor="accent1"/>
        </w:rPr>
        <w:t xml:space="preserve"> supportive evidence of the efficacy and safety of TARE-Y in HCC</w:t>
      </w:r>
      <w:r w:rsidR="00F74B19">
        <w:rPr>
          <w:color w:val="4F81BD" w:themeColor="accent1"/>
        </w:rPr>
        <w:t xml:space="preserve"> that have not been included here</w:t>
      </w:r>
      <w:r>
        <w:rPr>
          <w:color w:val="4F81BD" w:themeColor="accent1"/>
        </w:rPr>
        <w:t xml:space="preserve">. </w:t>
      </w:r>
    </w:p>
    <w:p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ayout w:type="fixed"/>
        <w:tblCellMar>
          <w:left w:w="57" w:type="dxa"/>
          <w:right w:w="57" w:type="dxa"/>
        </w:tblCellMar>
        <w:tblLook w:val="04A0" w:firstRow="1" w:lastRow="0" w:firstColumn="1" w:lastColumn="0" w:noHBand="0" w:noVBand="1"/>
        <w:tblCaption w:val="Summary of Evidence - Published"/>
      </w:tblPr>
      <w:tblGrid>
        <w:gridCol w:w="465"/>
        <w:gridCol w:w="1967"/>
        <w:gridCol w:w="4292"/>
        <w:gridCol w:w="3574"/>
        <w:gridCol w:w="2454"/>
        <w:gridCol w:w="1320"/>
      </w:tblGrid>
      <w:tr w:rsidR="00275706" w:rsidTr="00216126">
        <w:trPr>
          <w:cantSplit/>
          <w:tblHeader/>
        </w:trPr>
        <w:tc>
          <w:tcPr>
            <w:tcW w:w="165" w:type="pct"/>
          </w:tcPr>
          <w:p w:rsidR="00275706" w:rsidRPr="00275706" w:rsidRDefault="00275706" w:rsidP="00216126">
            <w:pPr>
              <w:pStyle w:val="TableHEADER"/>
              <w:rPr>
                <w:color w:val="4F81BD" w:themeColor="accent1"/>
              </w:rPr>
            </w:pPr>
          </w:p>
        </w:tc>
        <w:tc>
          <w:tcPr>
            <w:tcW w:w="699" w:type="pct"/>
          </w:tcPr>
          <w:p w:rsidR="00275706" w:rsidRDefault="00275706" w:rsidP="00216126">
            <w:pPr>
              <w:pStyle w:val="TableHEADER"/>
            </w:pPr>
            <w:r>
              <w:t>Type of study design</w:t>
            </w:r>
          </w:p>
        </w:tc>
        <w:tc>
          <w:tcPr>
            <w:tcW w:w="1525" w:type="pct"/>
          </w:tcPr>
          <w:p w:rsidR="00275706" w:rsidRDefault="00275706" w:rsidP="00216126">
            <w:pPr>
              <w:pStyle w:val="TableHEADER"/>
            </w:pPr>
            <w:r>
              <w:t>Title of journal article  or research project (including any trial identifier or study lead if relevant)</w:t>
            </w:r>
          </w:p>
        </w:tc>
        <w:tc>
          <w:tcPr>
            <w:tcW w:w="1270" w:type="pct"/>
          </w:tcPr>
          <w:p w:rsidR="00275706" w:rsidRDefault="00275706" w:rsidP="00216126">
            <w:pPr>
              <w:pStyle w:val="TableHEADER"/>
            </w:pPr>
            <w:r>
              <w:t>Short description of research  (max 50 words)</w:t>
            </w:r>
          </w:p>
        </w:tc>
        <w:tc>
          <w:tcPr>
            <w:tcW w:w="872" w:type="pct"/>
          </w:tcPr>
          <w:p w:rsidR="00275706" w:rsidRDefault="00275706" w:rsidP="00216126">
            <w:pPr>
              <w:pStyle w:val="TableHEADER"/>
            </w:pPr>
            <w:r w:rsidRPr="00E82F54">
              <w:t xml:space="preserve">Website link to </w:t>
            </w:r>
            <w:r>
              <w:t>journal article or research (if available)</w:t>
            </w:r>
          </w:p>
        </w:tc>
        <w:tc>
          <w:tcPr>
            <w:tcW w:w="469" w:type="pct"/>
          </w:tcPr>
          <w:p w:rsidR="00275706" w:rsidRDefault="00275706" w:rsidP="00216126">
            <w:pPr>
              <w:pStyle w:val="TableHEADER"/>
            </w:pPr>
            <w:r w:rsidRPr="00E82F54">
              <w:t>Date</w:t>
            </w:r>
            <w:r>
              <w:t xml:space="preserve"> of publication</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t>1.</w:t>
            </w:r>
          </w:p>
        </w:tc>
        <w:tc>
          <w:tcPr>
            <w:tcW w:w="699" w:type="pct"/>
          </w:tcPr>
          <w:p w:rsidR="00275706" w:rsidRPr="00E02A90" w:rsidRDefault="00275706" w:rsidP="00216126">
            <w:pPr>
              <w:spacing w:before="40" w:after="40"/>
              <w:rPr>
                <w:color w:val="4F81BD" w:themeColor="accent1"/>
              </w:rPr>
            </w:pPr>
            <w:r w:rsidRPr="00E02A90">
              <w:rPr>
                <w:color w:val="4F81BD" w:themeColor="accent1"/>
              </w:rPr>
              <w:t>Retrospective cohort study</w:t>
            </w:r>
            <w:r w:rsidRPr="00E02A90">
              <w:rPr>
                <w:rStyle w:val="FootnoteReference"/>
                <w:color w:val="4F81BD" w:themeColor="accent1"/>
              </w:rPr>
              <w:footnoteReference w:id="3"/>
            </w:r>
          </w:p>
          <w:p w:rsidR="00275706" w:rsidRPr="00E02A90" w:rsidRDefault="00275706" w:rsidP="00216126">
            <w:pPr>
              <w:spacing w:before="40" w:after="40"/>
              <w:rPr>
                <w:color w:val="4F81BD" w:themeColor="accent1"/>
              </w:rPr>
            </w:pPr>
            <w:r w:rsidRPr="00E02A90">
              <w:rPr>
                <w:color w:val="4F81BD" w:themeColor="accent1"/>
              </w:rPr>
              <w:t>Hong Kong/Queen Elizabeth Hospital</w:t>
            </w:r>
          </w:p>
          <w:p w:rsidR="00275706" w:rsidRDefault="00275706" w:rsidP="00216126">
            <w:pPr>
              <w:rPr>
                <w:b/>
                <w:szCs w:val="20"/>
              </w:rPr>
            </w:pPr>
            <w:r w:rsidRPr="00E02A90">
              <w:rPr>
                <w:color w:val="4F81BD" w:themeColor="accent1"/>
              </w:rPr>
              <w:t>2006-2012</w:t>
            </w:r>
          </w:p>
        </w:tc>
        <w:tc>
          <w:tcPr>
            <w:tcW w:w="1525" w:type="pct"/>
          </w:tcPr>
          <w:p w:rsidR="00275706" w:rsidRDefault="00275706" w:rsidP="00216126">
            <w:pPr>
              <w:rPr>
                <w:b/>
                <w:szCs w:val="20"/>
              </w:rPr>
            </w:pPr>
            <w:r w:rsidRPr="00E02A90">
              <w:rPr>
                <w:color w:val="4F81BD" w:themeColor="accent1"/>
              </w:rPr>
              <w:t xml:space="preserve">Kwok et al. (2014). "Survival benefit of </w:t>
            </w:r>
            <w:proofErr w:type="spellStart"/>
            <w:r w:rsidRPr="00E02A90">
              <w:rPr>
                <w:color w:val="4F81BD" w:themeColor="accent1"/>
              </w:rPr>
              <w:t>radioembolization</w:t>
            </w:r>
            <w:proofErr w:type="spellEnd"/>
            <w:r w:rsidRPr="00E02A90">
              <w:rPr>
                <w:color w:val="4F81BD" w:themeColor="accent1"/>
              </w:rPr>
              <w:t xml:space="preserve"> for inoperable hepatocellular carcinoma using yttrium-90 microspheres." J </w:t>
            </w:r>
            <w:proofErr w:type="spellStart"/>
            <w:r w:rsidRPr="00E02A90">
              <w:rPr>
                <w:color w:val="4F81BD" w:themeColor="accent1"/>
              </w:rPr>
              <w:t>Gastroenterol</w:t>
            </w:r>
            <w:proofErr w:type="spellEnd"/>
            <w:r w:rsidRPr="00E02A90">
              <w:rPr>
                <w:color w:val="4F81BD" w:themeColor="accent1"/>
              </w:rPr>
              <w:t xml:space="preserve"> </w:t>
            </w:r>
            <w:proofErr w:type="spellStart"/>
            <w:r w:rsidRPr="00E02A90">
              <w:rPr>
                <w:color w:val="4F81BD" w:themeColor="accent1"/>
              </w:rPr>
              <w:t>Hepatol</w:t>
            </w:r>
            <w:proofErr w:type="spellEnd"/>
            <w:r w:rsidRPr="00E02A90">
              <w:rPr>
                <w:color w:val="4F81BD" w:themeColor="accent1"/>
              </w:rPr>
              <w:t xml:space="preserve"> 29(11): 1897-1904.</w:t>
            </w:r>
          </w:p>
        </w:tc>
        <w:tc>
          <w:tcPr>
            <w:tcW w:w="1270" w:type="pct"/>
          </w:tcPr>
          <w:p w:rsidR="00275706" w:rsidRPr="00E02A90" w:rsidRDefault="00275706" w:rsidP="00216126">
            <w:pPr>
              <w:spacing w:before="40" w:after="40"/>
              <w:rPr>
                <w:color w:val="4F81BD" w:themeColor="accent1"/>
                <w:szCs w:val="20"/>
              </w:rPr>
            </w:pPr>
            <w:r w:rsidRPr="00E02A90">
              <w:rPr>
                <w:i/>
                <w:color w:val="4F81BD" w:themeColor="accent1"/>
                <w:szCs w:val="20"/>
              </w:rPr>
              <w:t>Population:</w:t>
            </w:r>
            <w:r w:rsidRPr="00E02A90">
              <w:rPr>
                <w:color w:val="4F81BD" w:themeColor="accent1"/>
                <w:szCs w:val="20"/>
              </w:rPr>
              <w:t xml:space="preserve"> inoperable HCC; N=46</w:t>
            </w:r>
          </w:p>
          <w:p w:rsidR="00275706" w:rsidRPr="00E02A90" w:rsidRDefault="00275706" w:rsidP="00216126">
            <w:pPr>
              <w:spacing w:before="40" w:after="40"/>
              <w:rPr>
                <w:color w:val="4F81BD" w:themeColor="accent1"/>
                <w:szCs w:val="20"/>
              </w:rPr>
            </w:pPr>
            <w:r w:rsidRPr="00E02A90">
              <w:rPr>
                <w:i/>
                <w:color w:val="4F81BD" w:themeColor="accent1"/>
                <w:szCs w:val="20"/>
              </w:rPr>
              <w:t>Comparison:</w:t>
            </w:r>
            <w:r w:rsidRPr="00E02A90">
              <w:rPr>
                <w:color w:val="4F81BD" w:themeColor="accent1"/>
                <w:szCs w:val="20"/>
              </w:rPr>
              <w:t xml:space="preserve"> </w:t>
            </w:r>
            <w:r>
              <w:rPr>
                <w:color w:val="4F81BD" w:themeColor="accent1"/>
                <w:szCs w:val="20"/>
              </w:rPr>
              <w:t>TARE</w:t>
            </w:r>
            <w:r w:rsidRPr="00E02A90">
              <w:rPr>
                <w:color w:val="4F81BD" w:themeColor="accent1"/>
                <w:szCs w:val="20"/>
              </w:rPr>
              <w:t xml:space="preserve">-Y (SIR-Spheres) versus no </w:t>
            </w:r>
            <w:r>
              <w:rPr>
                <w:color w:val="4F81BD" w:themeColor="accent1"/>
                <w:szCs w:val="20"/>
              </w:rPr>
              <w:t>TARE</w:t>
            </w:r>
            <w:r w:rsidRPr="00E02A90">
              <w:rPr>
                <w:color w:val="4F81BD" w:themeColor="accent1"/>
                <w:szCs w:val="20"/>
              </w:rPr>
              <w:t>-Y</w:t>
            </w:r>
          </w:p>
          <w:p w:rsidR="00275706" w:rsidRDefault="00275706" w:rsidP="00216126">
            <w:pPr>
              <w:rPr>
                <w:b/>
                <w:szCs w:val="20"/>
              </w:rPr>
            </w:pPr>
            <w:r w:rsidRPr="00E02A90">
              <w:rPr>
                <w:i/>
                <w:color w:val="4F81BD" w:themeColor="accent1"/>
                <w:szCs w:val="20"/>
              </w:rPr>
              <w:t>Outcomes:</w:t>
            </w:r>
            <w:r w:rsidRPr="00E02A90">
              <w:rPr>
                <w:color w:val="4F81BD" w:themeColor="accent1"/>
                <w:szCs w:val="20"/>
              </w:rPr>
              <w:t xml:space="preserve"> overall survival; tumour response; adverse events</w:t>
            </w:r>
          </w:p>
        </w:tc>
        <w:tc>
          <w:tcPr>
            <w:tcW w:w="872" w:type="pct"/>
          </w:tcPr>
          <w:p w:rsidR="00275706" w:rsidRPr="00E82F54" w:rsidRDefault="00275706" w:rsidP="00216126">
            <w:pPr>
              <w:rPr>
                <w:b/>
                <w:szCs w:val="20"/>
              </w:rPr>
            </w:pPr>
            <w:hyperlink r:id="rId13" w:history="1">
              <w:r w:rsidRPr="00E02A90">
                <w:rPr>
                  <w:rStyle w:val="Hyperlink"/>
                  <w:color w:val="4F81BD" w:themeColor="accent1"/>
                </w:rPr>
                <w:t>http://onlinelibrary.wiley.com/doi/10.1111/jgh.12621/abstract;jsessionid=099F60D1CEE0DC86CC9114714EFAE542.f04t04</w:t>
              </w:r>
            </w:hyperlink>
          </w:p>
        </w:tc>
        <w:tc>
          <w:tcPr>
            <w:tcW w:w="469" w:type="pct"/>
          </w:tcPr>
          <w:p w:rsidR="00275706" w:rsidRPr="00E82F54" w:rsidRDefault="00275706" w:rsidP="00216126">
            <w:pPr>
              <w:rPr>
                <w:b/>
                <w:szCs w:val="20"/>
              </w:rPr>
            </w:pPr>
            <w:r w:rsidRPr="00E02A90">
              <w:rPr>
                <w:color w:val="4F81BD" w:themeColor="accent1"/>
              </w:rPr>
              <w:t>2014</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t>2.</w:t>
            </w:r>
          </w:p>
        </w:tc>
        <w:tc>
          <w:tcPr>
            <w:tcW w:w="699" w:type="pct"/>
          </w:tcPr>
          <w:p w:rsidR="00275706" w:rsidRPr="00E02A90" w:rsidRDefault="00275706" w:rsidP="00216126">
            <w:pPr>
              <w:spacing w:before="40" w:after="40"/>
              <w:rPr>
                <w:color w:val="4F81BD" w:themeColor="accent1"/>
                <w:szCs w:val="20"/>
              </w:rPr>
            </w:pPr>
            <w:r w:rsidRPr="00E02A90">
              <w:rPr>
                <w:color w:val="4F81BD" w:themeColor="accent1"/>
                <w:szCs w:val="20"/>
              </w:rPr>
              <w:t>Retrospective cohort study</w:t>
            </w:r>
          </w:p>
          <w:p w:rsidR="00275706" w:rsidRPr="00E02A90" w:rsidRDefault="00275706" w:rsidP="00216126">
            <w:pPr>
              <w:spacing w:before="40" w:after="40"/>
              <w:rPr>
                <w:color w:val="4F81BD" w:themeColor="accent1"/>
                <w:szCs w:val="20"/>
              </w:rPr>
            </w:pPr>
            <w:r w:rsidRPr="00E02A90">
              <w:rPr>
                <w:color w:val="4F81BD" w:themeColor="accent1"/>
                <w:szCs w:val="20"/>
              </w:rPr>
              <w:t>Spain/</w:t>
            </w:r>
            <w:r w:rsidRPr="00E02A90">
              <w:rPr>
                <w:color w:val="4F81BD" w:themeColor="accent1"/>
              </w:rPr>
              <w:t xml:space="preserve"> </w:t>
            </w:r>
            <w:proofErr w:type="spellStart"/>
            <w:r w:rsidRPr="00E02A90">
              <w:rPr>
                <w:color w:val="4F81BD" w:themeColor="accent1"/>
                <w:szCs w:val="20"/>
              </w:rPr>
              <w:t>Clinica</w:t>
            </w:r>
            <w:proofErr w:type="spellEnd"/>
            <w:r w:rsidRPr="00E02A90">
              <w:rPr>
                <w:color w:val="4F81BD" w:themeColor="accent1"/>
                <w:szCs w:val="20"/>
              </w:rPr>
              <w:t xml:space="preserve"> </w:t>
            </w:r>
            <w:proofErr w:type="spellStart"/>
            <w:r w:rsidRPr="00E02A90">
              <w:rPr>
                <w:color w:val="4F81BD" w:themeColor="accent1"/>
                <w:szCs w:val="20"/>
              </w:rPr>
              <w:t>Universitaria</w:t>
            </w:r>
            <w:proofErr w:type="spellEnd"/>
            <w:r w:rsidRPr="00E02A90">
              <w:rPr>
                <w:color w:val="4F81BD" w:themeColor="accent1"/>
                <w:szCs w:val="20"/>
              </w:rPr>
              <w:t>, Pamplona</w:t>
            </w:r>
          </w:p>
          <w:p w:rsidR="00275706" w:rsidRDefault="00275706" w:rsidP="00216126">
            <w:pPr>
              <w:rPr>
                <w:b/>
                <w:szCs w:val="20"/>
              </w:rPr>
            </w:pPr>
            <w:r w:rsidRPr="00E02A90">
              <w:rPr>
                <w:color w:val="4F81BD" w:themeColor="accent1"/>
                <w:szCs w:val="20"/>
              </w:rPr>
              <w:t>1996-2008</w:t>
            </w:r>
          </w:p>
        </w:tc>
        <w:tc>
          <w:tcPr>
            <w:tcW w:w="1525" w:type="pct"/>
          </w:tcPr>
          <w:p w:rsidR="00275706" w:rsidRDefault="00275706" w:rsidP="00216126">
            <w:pPr>
              <w:rPr>
                <w:b/>
                <w:szCs w:val="20"/>
              </w:rPr>
            </w:pPr>
            <w:proofErr w:type="spellStart"/>
            <w:r w:rsidRPr="00E02A90">
              <w:rPr>
                <w:color w:val="4F81BD" w:themeColor="accent1"/>
                <w:szCs w:val="20"/>
              </w:rPr>
              <w:t>D'Avola</w:t>
            </w:r>
            <w:proofErr w:type="spellEnd"/>
            <w:r w:rsidRPr="00E02A90">
              <w:rPr>
                <w:color w:val="4F81BD" w:themeColor="accent1"/>
                <w:szCs w:val="20"/>
              </w:rPr>
              <w:t xml:space="preserve"> et al. (2009). "A retrospective comparative analysis of the effect of Y90-radioembolization on the survival of patients with unresectable hepatocellular carcinoma." </w:t>
            </w:r>
            <w:proofErr w:type="spellStart"/>
            <w:r w:rsidRPr="00E02A90">
              <w:rPr>
                <w:color w:val="4F81BD" w:themeColor="accent1"/>
                <w:szCs w:val="20"/>
              </w:rPr>
              <w:t>Hepatogastroenterology</w:t>
            </w:r>
            <w:proofErr w:type="spellEnd"/>
            <w:r w:rsidRPr="00E02A90">
              <w:rPr>
                <w:color w:val="4F81BD" w:themeColor="accent1"/>
                <w:szCs w:val="20"/>
              </w:rPr>
              <w:t xml:space="preserve"> 56(96): 1683-1688.</w:t>
            </w:r>
          </w:p>
        </w:tc>
        <w:tc>
          <w:tcPr>
            <w:tcW w:w="1270" w:type="pct"/>
          </w:tcPr>
          <w:p w:rsidR="00275706" w:rsidRPr="00E02A90" w:rsidRDefault="00275706" w:rsidP="00216126">
            <w:pPr>
              <w:spacing w:before="40" w:after="40"/>
              <w:rPr>
                <w:color w:val="4F81BD" w:themeColor="accent1"/>
                <w:szCs w:val="20"/>
              </w:rPr>
            </w:pPr>
            <w:r w:rsidRPr="00E02A90">
              <w:rPr>
                <w:i/>
                <w:color w:val="4F81BD" w:themeColor="accent1"/>
                <w:szCs w:val="20"/>
              </w:rPr>
              <w:t>Population:</w:t>
            </w:r>
            <w:r w:rsidRPr="00E02A90">
              <w:rPr>
                <w:color w:val="4F81BD" w:themeColor="accent1"/>
                <w:szCs w:val="20"/>
              </w:rPr>
              <w:t xml:space="preserve"> unresectable HCC; N=35</w:t>
            </w:r>
          </w:p>
          <w:p w:rsidR="00275706" w:rsidRPr="00E02A90" w:rsidRDefault="00275706" w:rsidP="00216126">
            <w:pPr>
              <w:spacing w:before="40" w:after="40"/>
              <w:rPr>
                <w:color w:val="4F81BD" w:themeColor="accent1"/>
                <w:szCs w:val="20"/>
              </w:rPr>
            </w:pPr>
            <w:r w:rsidRPr="00E02A90">
              <w:rPr>
                <w:i/>
                <w:color w:val="4F81BD" w:themeColor="accent1"/>
                <w:szCs w:val="20"/>
              </w:rPr>
              <w:t>Comparison:</w:t>
            </w:r>
            <w:r w:rsidRPr="00E02A90">
              <w:rPr>
                <w:color w:val="4F81BD" w:themeColor="accent1"/>
                <w:szCs w:val="20"/>
              </w:rPr>
              <w:t xml:space="preserve"> </w:t>
            </w:r>
            <w:r>
              <w:rPr>
                <w:color w:val="4F81BD" w:themeColor="accent1"/>
                <w:szCs w:val="20"/>
              </w:rPr>
              <w:t>TARE</w:t>
            </w:r>
            <w:r w:rsidRPr="00E02A90">
              <w:rPr>
                <w:color w:val="4F81BD" w:themeColor="accent1"/>
                <w:szCs w:val="20"/>
              </w:rPr>
              <w:t>-Y (SIR-Spheres) versus conventional care (active treatment or supportive care)</w:t>
            </w:r>
          </w:p>
          <w:p w:rsidR="00275706" w:rsidRDefault="00275706" w:rsidP="00216126">
            <w:pPr>
              <w:rPr>
                <w:b/>
                <w:szCs w:val="20"/>
              </w:rPr>
            </w:pPr>
            <w:r w:rsidRPr="00E02A90">
              <w:rPr>
                <w:i/>
                <w:color w:val="4F81BD" w:themeColor="accent1"/>
                <w:szCs w:val="20"/>
              </w:rPr>
              <w:t>Outcomes:</w:t>
            </w:r>
            <w:r w:rsidRPr="00E02A90">
              <w:rPr>
                <w:color w:val="4F81BD" w:themeColor="accent1"/>
                <w:szCs w:val="20"/>
              </w:rPr>
              <w:t xml:space="preserve"> overall survival</w:t>
            </w:r>
          </w:p>
        </w:tc>
        <w:tc>
          <w:tcPr>
            <w:tcW w:w="872" w:type="pct"/>
          </w:tcPr>
          <w:p w:rsidR="00275706" w:rsidRPr="00E82F54" w:rsidRDefault="00275706" w:rsidP="00216126">
            <w:pPr>
              <w:rPr>
                <w:b/>
                <w:szCs w:val="20"/>
              </w:rPr>
            </w:pPr>
            <w:hyperlink r:id="rId14" w:history="1">
              <w:r w:rsidRPr="00E02A90">
                <w:rPr>
                  <w:rStyle w:val="Hyperlink"/>
                  <w:color w:val="4F81BD" w:themeColor="accent1"/>
                </w:rPr>
                <w:t>https://www.ncbi.nlm.nih.gov/pubmed/20214218</w:t>
              </w:r>
            </w:hyperlink>
          </w:p>
        </w:tc>
        <w:tc>
          <w:tcPr>
            <w:tcW w:w="469" w:type="pct"/>
          </w:tcPr>
          <w:p w:rsidR="00275706" w:rsidRPr="00E82F54" w:rsidRDefault="00275706" w:rsidP="00216126">
            <w:pPr>
              <w:rPr>
                <w:b/>
                <w:szCs w:val="20"/>
              </w:rPr>
            </w:pPr>
            <w:r w:rsidRPr="00E02A90">
              <w:rPr>
                <w:color w:val="4F81BD" w:themeColor="accent1"/>
                <w:szCs w:val="20"/>
              </w:rPr>
              <w:t>2009</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lastRenderedPageBreak/>
              <w:t>3.</w:t>
            </w:r>
          </w:p>
        </w:tc>
        <w:tc>
          <w:tcPr>
            <w:tcW w:w="699" w:type="pct"/>
          </w:tcPr>
          <w:p w:rsidR="00275706" w:rsidRPr="00E02A90" w:rsidRDefault="00275706" w:rsidP="00216126">
            <w:pPr>
              <w:spacing w:before="40" w:after="40"/>
              <w:rPr>
                <w:color w:val="4F81BD" w:themeColor="accent1"/>
              </w:rPr>
            </w:pPr>
            <w:r w:rsidRPr="00E02A90">
              <w:rPr>
                <w:color w:val="4F81BD" w:themeColor="accent1"/>
              </w:rPr>
              <w:t>RCT – phase II</w:t>
            </w:r>
          </w:p>
          <w:p w:rsidR="00275706" w:rsidRPr="00E02A90" w:rsidRDefault="00275706" w:rsidP="00216126">
            <w:pPr>
              <w:spacing w:before="40" w:after="40"/>
              <w:rPr>
                <w:color w:val="4F81BD" w:themeColor="accent1"/>
              </w:rPr>
            </w:pPr>
            <w:r w:rsidRPr="00E02A90">
              <w:rPr>
                <w:color w:val="4F81BD" w:themeColor="accent1"/>
              </w:rPr>
              <w:t>Single-centre</w:t>
            </w:r>
          </w:p>
          <w:p w:rsidR="00275706" w:rsidRDefault="00275706" w:rsidP="00216126">
            <w:pPr>
              <w:rPr>
                <w:b/>
                <w:szCs w:val="20"/>
              </w:rPr>
            </w:pPr>
            <w:r w:rsidRPr="00E02A90">
              <w:rPr>
                <w:color w:val="4F81BD" w:themeColor="accent1"/>
              </w:rPr>
              <w:t>US</w:t>
            </w:r>
          </w:p>
        </w:tc>
        <w:tc>
          <w:tcPr>
            <w:tcW w:w="1525" w:type="pct"/>
          </w:tcPr>
          <w:p w:rsidR="00275706" w:rsidRPr="00E02A90" w:rsidRDefault="00275706" w:rsidP="00216126">
            <w:pPr>
              <w:spacing w:before="40" w:after="40"/>
              <w:rPr>
                <w:color w:val="4F81BD" w:themeColor="accent1"/>
              </w:rPr>
            </w:pPr>
            <w:r w:rsidRPr="00E02A90">
              <w:rPr>
                <w:color w:val="4F81BD" w:themeColor="accent1"/>
              </w:rPr>
              <w:t xml:space="preserve">Salem et al. (2016). "Y90 </w:t>
            </w:r>
            <w:proofErr w:type="spellStart"/>
            <w:r w:rsidRPr="00E02A90">
              <w:rPr>
                <w:color w:val="4F81BD" w:themeColor="accent1"/>
              </w:rPr>
              <w:t>Radioembolization</w:t>
            </w:r>
            <w:proofErr w:type="spellEnd"/>
            <w:r w:rsidRPr="00E02A90">
              <w:rPr>
                <w:color w:val="4F81BD" w:themeColor="accent1"/>
              </w:rPr>
              <w:t xml:space="preserve"> Significantly Prolongs Time to Progression Compared with Chemoembolization in Patients with Hepatocellular Carcinoma." Gastroenterology.</w:t>
            </w:r>
          </w:p>
          <w:p w:rsidR="00275706" w:rsidRPr="00E02A90" w:rsidRDefault="00275706" w:rsidP="00216126">
            <w:pPr>
              <w:spacing w:before="40" w:after="40"/>
              <w:rPr>
                <w:color w:val="4F81BD" w:themeColor="accent1"/>
              </w:rPr>
            </w:pPr>
            <w:r w:rsidRPr="00E02A90">
              <w:rPr>
                <w:i/>
                <w:color w:val="4F81BD" w:themeColor="accent1"/>
              </w:rPr>
              <w:t>Trial ID:</w:t>
            </w:r>
            <w:r w:rsidRPr="00E02A90">
              <w:rPr>
                <w:color w:val="4F81BD" w:themeColor="accent1"/>
              </w:rPr>
              <w:t xml:space="preserve"> PREMIERE</w:t>
            </w:r>
          </w:p>
          <w:p w:rsidR="00275706" w:rsidRDefault="00275706" w:rsidP="00216126">
            <w:pPr>
              <w:rPr>
                <w:b/>
                <w:szCs w:val="20"/>
              </w:rPr>
            </w:pPr>
            <w:r w:rsidRPr="00E02A90">
              <w:rPr>
                <w:i/>
                <w:color w:val="4F81BD" w:themeColor="accent1"/>
              </w:rPr>
              <w:t>Registration no.:</w:t>
            </w:r>
            <w:r w:rsidRPr="00E02A90">
              <w:rPr>
                <w:color w:val="4F81BD" w:themeColor="accent1"/>
              </w:rPr>
              <w:t xml:space="preserve"> NCT00956930</w:t>
            </w:r>
          </w:p>
        </w:tc>
        <w:tc>
          <w:tcPr>
            <w:tcW w:w="1270" w:type="pct"/>
          </w:tcPr>
          <w:p w:rsidR="00275706" w:rsidRPr="00E02A90" w:rsidRDefault="00275706" w:rsidP="00216126">
            <w:pPr>
              <w:spacing w:before="40" w:after="40"/>
              <w:rPr>
                <w:color w:val="4F81BD" w:themeColor="accent1"/>
                <w:szCs w:val="20"/>
              </w:rPr>
            </w:pPr>
            <w:r w:rsidRPr="00E02A90">
              <w:rPr>
                <w:i/>
                <w:color w:val="4F81BD" w:themeColor="accent1"/>
                <w:szCs w:val="20"/>
              </w:rPr>
              <w:t>Population:</w:t>
            </w:r>
            <w:r w:rsidRPr="00E02A90">
              <w:rPr>
                <w:color w:val="4F81BD" w:themeColor="accent1"/>
                <w:szCs w:val="20"/>
              </w:rPr>
              <w:t xml:space="preserve"> HCC; N=43</w:t>
            </w:r>
          </w:p>
          <w:p w:rsidR="00275706" w:rsidRPr="00E02A90" w:rsidRDefault="00275706" w:rsidP="00216126">
            <w:pPr>
              <w:spacing w:before="40" w:after="40"/>
              <w:rPr>
                <w:color w:val="4F81BD" w:themeColor="accent1"/>
                <w:szCs w:val="20"/>
              </w:rPr>
            </w:pPr>
            <w:r w:rsidRPr="00E02A90">
              <w:rPr>
                <w:i/>
                <w:color w:val="4F81BD" w:themeColor="accent1"/>
                <w:szCs w:val="20"/>
              </w:rPr>
              <w:t>Comparison:</w:t>
            </w:r>
            <w:r w:rsidRPr="00E02A90">
              <w:rPr>
                <w:color w:val="4F81BD" w:themeColor="accent1"/>
                <w:szCs w:val="20"/>
              </w:rPr>
              <w:t xml:space="preserve"> </w:t>
            </w:r>
            <w:r>
              <w:rPr>
                <w:color w:val="4F81BD" w:themeColor="accent1"/>
                <w:szCs w:val="20"/>
              </w:rPr>
              <w:t>TARE</w:t>
            </w:r>
            <w:r w:rsidRPr="00E02A90">
              <w:rPr>
                <w:color w:val="4F81BD" w:themeColor="accent1"/>
                <w:szCs w:val="20"/>
              </w:rPr>
              <w:t>-Y (</w:t>
            </w:r>
            <w:proofErr w:type="spellStart"/>
            <w:r w:rsidRPr="00E02A90">
              <w:rPr>
                <w:color w:val="4F81BD" w:themeColor="accent1"/>
                <w:szCs w:val="20"/>
              </w:rPr>
              <w:t>TheraSphere</w:t>
            </w:r>
            <w:proofErr w:type="spellEnd"/>
            <w:r w:rsidRPr="00E02A90">
              <w:rPr>
                <w:color w:val="4F81BD" w:themeColor="accent1"/>
                <w:szCs w:val="20"/>
              </w:rPr>
              <w:t xml:space="preserve">) versus TACE </w:t>
            </w:r>
          </w:p>
          <w:p w:rsidR="00275706" w:rsidRPr="00E02A90" w:rsidRDefault="00275706" w:rsidP="00216126">
            <w:pPr>
              <w:spacing w:before="40" w:after="40"/>
              <w:rPr>
                <w:color w:val="4F81BD" w:themeColor="accent1"/>
              </w:rPr>
            </w:pPr>
            <w:r w:rsidRPr="00E02A90">
              <w:rPr>
                <w:i/>
                <w:color w:val="4F81BD" w:themeColor="accent1"/>
                <w:szCs w:val="20"/>
              </w:rPr>
              <w:t>Outcomes:</w:t>
            </w:r>
            <w:r w:rsidRPr="00E02A90">
              <w:rPr>
                <w:color w:val="4F81BD" w:themeColor="accent1"/>
                <w:szCs w:val="20"/>
              </w:rPr>
              <w:t xml:space="preserve">  overall survival; time to progression; tumour response</w:t>
            </w:r>
            <w:r w:rsidRPr="00E02A90">
              <w:rPr>
                <w:color w:val="4F81BD" w:themeColor="accent1"/>
              </w:rPr>
              <w:t xml:space="preserve"> </w:t>
            </w:r>
          </w:p>
          <w:p w:rsidR="00275706" w:rsidRDefault="00275706" w:rsidP="00216126">
            <w:pPr>
              <w:rPr>
                <w:b/>
                <w:szCs w:val="20"/>
              </w:rPr>
            </w:pPr>
            <w:r w:rsidRPr="00E02A90">
              <w:rPr>
                <w:i/>
                <w:color w:val="4F81BD" w:themeColor="accent1"/>
              </w:rPr>
              <w:t>Status:</w:t>
            </w:r>
            <w:r w:rsidRPr="00E02A90">
              <w:rPr>
                <w:color w:val="4F81BD" w:themeColor="accent1"/>
              </w:rPr>
              <w:t xml:space="preserve"> </w:t>
            </w:r>
            <w:r>
              <w:rPr>
                <w:color w:val="4F81BD" w:themeColor="accent1"/>
              </w:rPr>
              <w:t>Completed</w:t>
            </w:r>
          </w:p>
        </w:tc>
        <w:tc>
          <w:tcPr>
            <w:tcW w:w="872" w:type="pct"/>
          </w:tcPr>
          <w:p w:rsidR="00275706" w:rsidRPr="00E82F54" w:rsidRDefault="00275706" w:rsidP="00216126">
            <w:pPr>
              <w:rPr>
                <w:b/>
                <w:szCs w:val="20"/>
              </w:rPr>
            </w:pPr>
            <w:hyperlink r:id="rId15" w:history="1">
              <w:r w:rsidRPr="00E02A90">
                <w:rPr>
                  <w:rStyle w:val="Hyperlink"/>
                  <w:color w:val="4F81BD" w:themeColor="accent1"/>
                </w:rPr>
                <w:t>http://www.gastrojournal.org/article/S0016-5085(16)34971-X/abstract?referrer=https%3A%2F%2Fwww.ncbi.nlm.nih.gov%2Fpubmed%2F27575820</w:t>
              </w:r>
            </w:hyperlink>
          </w:p>
        </w:tc>
        <w:tc>
          <w:tcPr>
            <w:tcW w:w="469" w:type="pct"/>
          </w:tcPr>
          <w:p w:rsidR="00275706" w:rsidRPr="00E82F54" w:rsidRDefault="00275706" w:rsidP="00216126">
            <w:pPr>
              <w:rPr>
                <w:b/>
                <w:szCs w:val="20"/>
              </w:rPr>
            </w:pPr>
            <w:r w:rsidRPr="00E02A90">
              <w:rPr>
                <w:color w:val="4F81BD" w:themeColor="accent1"/>
              </w:rPr>
              <w:t>2016</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t>4.</w:t>
            </w:r>
          </w:p>
        </w:tc>
        <w:tc>
          <w:tcPr>
            <w:tcW w:w="699" w:type="pct"/>
          </w:tcPr>
          <w:p w:rsidR="00275706" w:rsidRPr="00E02A90" w:rsidRDefault="00275706" w:rsidP="00216126">
            <w:pPr>
              <w:spacing w:before="40" w:after="40"/>
              <w:rPr>
                <w:color w:val="4F81BD" w:themeColor="accent1"/>
              </w:rPr>
            </w:pPr>
            <w:r w:rsidRPr="00E02A90">
              <w:rPr>
                <w:color w:val="4F81BD" w:themeColor="accent1"/>
              </w:rPr>
              <w:t>RCT – pilot study</w:t>
            </w:r>
          </w:p>
          <w:p w:rsidR="00275706" w:rsidRPr="00E02A90" w:rsidRDefault="00275706" w:rsidP="00216126">
            <w:pPr>
              <w:spacing w:before="40" w:after="40"/>
              <w:rPr>
                <w:color w:val="4F81BD" w:themeColor="accent1"/>
              </w:rPr>
            </w:pPr>
            <w:r w:rsidRPr="00E02A90">
              <w:rPr>
                <w:color w:val="4F81BD" w:themeColor="accent1"/>
              </w:rPr>
              <w:t>2 centres</w:t>
            </w:r>
          </w:p>
          <w:p w:rsidR="00275706" w:rsidRDefault="00275706" w:rsidP="00216126">
            <w:pPr>
              <w:rPr>
                <w:b/>
                <w:szCs w:val="20"/>
              </w:rPr>
            </w:pPr>
            <w:r w:rsidRPr="00E02A90">
              <w:rPr>
                <w:color w:val="4F81BD" w:themeColor="accent1"/>
              </w:rPr>
              <w:t>France/Spain</w:t>
            </w:r>
          </w:p>
        </w:tc>
        <w:tc>
          <w:tcPr>
            <w:tcW w:w="1525" w:type="pct"/>
          </w:tcPr>
          <w:p w:rsidR="00275706" w:rsidRPr="00E02A90" w:rsidRDefault="00275706" w:rsidP="00216126">
            <w:pPr>
              <w:spacing w:before="40" w:after="40"/>
              <w:rPr>
                <w:color w:val="4F81BD" w:themeColor="accent1"/>
              </w:rPr>
            </w:pPr>
            <w:proofErr w:type="spellStart"/>
            <w:r w:rsidRPr="00E02A90">
              <w:rPr>
                <w:color w:val="4F81BD" w:themeColor="accent1"/>
              </w:rPr>
              <w:t>Kolligs</w:t>
            </w:r>
            <w:proofErr w:type="spellEnd"/>
            <w:r w:rsidRPr="00E02A90">
              <w:rPr>
                <w:color w:val="4F81BD" w:themeColor="accent1"/>
              </w:rPr>
              <w:t xml:space="preserve"> et al. (2015). "Pilot randomized trial of selective internal radiation therapy vs. chemoembolization in unresectable hepatocellular carcinoma." Liver </w:t>
            </w:r>
            <w:proofErr w:type="spellStart"/>
            <w:r w:rsidRPr="00E02A90">
              <w:rPr>
                <w:color w:val="4F81BD" w:themeColor="accent1"/>
              </w:rPr>
              <w:t>Int</w:t>
            </w:r>
            <w:proofErr w:type="spellEnd"/>
            <w:r w:rsidRPr="00E02A90">
              <w:rPr>
                <w:color w:val="4F81BD" w:themeColor="accent1"/>
              </w:rPr>
              <w:t xml:space="preserve"> 35(6): 1715-1721. </w:t>
            </w:r>
          </w:p>
          <w:p w:rsidR="00275706" w:rsidRPr="00E02A90" w:rsidRDefault="00275706" w:rsidP="00216126">
            <w:pPr>
              <w:spacing w:before="40" w:after="40"/>
              <w:rPr>
                <w:color w:val="4F81BD" w:themeColor="accent1"/>
                <w:szCs w:val="20"/>
              </w:rPr>
            </w:pPr>
            <w:r w:rsidRPr="00E02A90">
              <w:rPr>
                <w:i/>
                <w:color w:val="4F81BD" w:themeColor="accent1"/>
                <w:szCs w:val="20"/>
              </w:rPr>
              <w:t xml:space="preserve">Trial ID: </w:t>
            </w:r>
            <w:r w:rsidRPr="00E02A90">
              <w:rPr>
                <w:color w:val="4F81BD" w:themeColor="accent1"/>
                <w:szCs w:val="20"/>
              </w:rPr>
              <w:t>SIRTACE</w:t>
            </w:r>
          </w:p>
          <w:p w:rsidR="00275706" w:rsidRDefault="00275706" w:rsidP="00216126">
            <w:pPr>
              <w:rPr>
                <w:b/>
                <w:szCs w:val="20"/>
              </w:rPr>
            </w:pPr>
            <w:r w:rsidRPr="00E02A90">
              <w:rPr>
                <w:i/>
                <w:color w:val="4F81BD" w:themeColor="accent1"/>
                <w:szCs w:val="20"/>
              </w:rPr>
              <w:t xml:space="preserve">Registration no.: </w:t>
            </w:r>
            <w:r w:rsidRPr="00E02A90">
              <w:rPr>
                <w:color w:val="4F81BD" w:themeColor="accent1"/>
                <w:szCs w:val="20"/>
              </w:rPr>
              <w:t>EUCTR2006-006478-79-DE/NCT00867750</w:t>
            </w:r>
          </w:p>
        </w:tc>
        <w:tc>
          <w:tcPr>
            <w:tcW w:w="1270" w:type="pct"/>
          </w:tcPr>
          <w:p w:rsidR="00275706" w:rsidRPr="00E02A90" w:rsidRDefault="00275706" w:rsidP="00216126">
            <w:pPr>
              <w:spacing w:before="40" w:after="40"/>
              <w:rPr>
                <w:color w:val="4F81BD" w:themeColor="accent1"/>
              </w:rPr>
            </w:pPr>
            <w:r w:rsidRPr="00E02A90">
              <w:rPr>
                <w:color w:val="4F81BD" w:themeColor="accent1"/>
              </w:rPr>
              <w:t>Population: unresectable HCC; N=28</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 xml:space="preserve">-Y (SIR-Spheres) versus TACE </w:t>
            </w:r>
          </w:p>
          <w:p w:rsidR="00275706" w:rsidRPr="00E02A90" w:rsidRDefault="00275706" w:rsidP="00216126">
            <w:pPr>
              <w:spacing w:before="40" w:after="40"/>
              <w:rPr>
                <w:i/>
                <w:color w:val="4F81BD" w:themeColor="accent1"/>
              </w:rPr>
            </w:pPr>
            <w:r w:rsidRPr="00E02A90">
              <w:rPr>
                <w:i/>
                <w:color w:val="4F81BD" w:themeColor="accent1"/>
              </w:rPr>
              <w:t>Outcomes:</w:t>
            </w:r>
            <w:r w:rsidRPr="00E02A90">
              <w:rPr>
                <w:color w:val="4F81BD" w:themeColor="accent1"/>
              </w:rPr>
              <w:t xml:space="preserve"> progression-free survival; tumour response; time to response; health-related quality of life; </w:t>
            </w:r>
            <w:proofErr w:type="spellStart"/>
            <w:r w:rsidRPr="00E02A90">
              <w:rPr>
                <w:color w:val="4F81BD" w:themeColor="accent1"/>
              </w:rPr>
              <w:t>downstaging</w:t>
            </w:r>
            <w:proofErr w:type="spellEnd"/>
            <w:r w:rsidRPr="00E02A90">
              <w:rPr>
                <w:color w:val="4F81BD" w:themeColor="accent1"/>
              </w:rPr>
              <w:t>; adverse events</w:t>
            </w:r>
          </w:p>
          <w:p w:rsidR="00275706" w:rsidRPr="00E02A90" w:rsidRDefault="00275706" w:rsidP="00216126">
            <w:pPr>
              <w:spacing w:before="40" w:after="40"/>
              <w:rPr>
                <w:color w:val="4F81BD" w:themeColor="accent1"/>
              </w:rPr>
            </w:pPr>
            <w:r w:rsidRPr="00E02A90">
              <w:rPr>
                <w:i/>
                <w:color w:val="4F81BD" w:themeColor="accent1"/>
              </w:rPr>
              <w:t>Status:</w:t>
            </w:r>
            <w:r w:rsidRPr="00E02A90">
              <w:rPr>
                <w:color w:val="4F81BD" w:themeColor="accent1"/>
              </w:rPr>
              <w:t xml:space="preserve"> completed</w:t>
            </w:r>
          </w:p>
          <w:p w:rsidR="00275706" w:rsidRPr="00E02A90" w:rsidRDefault="00275706" w:rsidP="00216126">
            <w:pPr>
              <w:spacing w:before="40" w:after="40"/>
              <w:rPr>
                <w:b/>
                <w:color w:val="4F81BD" w:themeColor="accent1"/>
                <w:szCs w:val="20"/>
              </w:rPr>
            </w:pPr>
          </w:p>
        </w:tc>
        <w:tc>
          <w:tcPr>
            <w:tcW w:w="872" w:type="pct"/>
          </w:tcPr>
          <w:p w:rsidR="00275706" w:rsidRPr="00E82F54" w:rsidRDefault="00275706" w:rsidP="00216126">
            <w:pPr>
              <w:rPr>
                <w:b/>
                <w:szCs w:val="20"/>
              </w:rPr>
            </w:pPr>
            <w:hyperlink r:id="rId16" w:history="1">
              <w:r w:rsidRPr="00E02A90">
                <w:rPr>
                  <w:rStyle w:val="Hyperlink"/>
                  <w:color w:val="4F81BD" w:themeColor="accent1"/>
                  <w:szCs w:val="20"/>
                </w:rPr>
                <w:t>http://onlinelibrary.wiley.com/doi/10.1111/liv.12750/abstract</w:t>
              </w:r>
            </w:hyperlink>
          </w:p>
        </w:tc>
        <w:tc>
          <w:tcPr>
            <w:tcW w:w="469" w:type="pct"/>
          </w:tcPr>
          <w:p w:rsidR="00275706" w:rsidRPr="00E82F54" w:rsidRDefault="00275706" w:rsidP="00216126">
            <w:pPr>
              <w:rPr>
                <w:b/>
                <w:szCs w:val="20"/>
              </w:rPr>
            </w:pPr>
            <w:r w:rsidRPr="00E02A90">
              <w:rPr>
                <w:color w:val="4F81BD" w:themeColor="accent1"/>
              </w:rPr>
              <w:t>2015</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t>5.</w:t>
            </w:r>
          </w:p>
        </w:tc>
        <w:tc>
          <w:tcPr>
            <w:tcW w:w="699" w:type="pct"/>
          </w:tcPr>
          <w:p w:rsidR="00275706" w:rsidRPr="00E02A90" w:rsidRDefault="00275706" w:rsidP="00216126">
            <w:pPr>
              <w:spacing w:before="40" w:after="40"/>
              <w:rPr>
                <w:color w:val="4F81BD" w:themeColor="accent1"/>
              </w:rPr>
            </w:pPr>
            <w:r w:rsidRPr="00E02A90">
              <w:rPr>
                <w:color w:val="4F81BD" w:themeColor="accent1"/>
              </w:rPr>
              <w:t>RCT – pilot study</w:t>
            </w:r>
          </w:p>
          <w:p w:rsidR="00275706" w:rsidRPr="00E02A90" w:rsidRDefault="00275706" w:rsidP="00216126">
            <w:pPr>
              <w:spacing w:before="40" w:after="40"/>
              <w:rPr>
                <w:color w:val="4F81BD" w:themeColor="accent1"/>
              </w:rPr>
            </w:pPr>
            <w:r w:rsidRPr="00E02A90">
              <w:rPr>
                <w:color w:val="4F81BD" w:themeColor="accent1"/>
              </w:rPr>
              <w:t>Single-centre</w:t>
            </w:r>
          </w:p>
          <w:p w:rsidR="00275706" w:rsidRDefault="00275706" w:rsidP="00216126">
            <w:pPr>
              <w:rPr>
                <w:b/>
                <w:szCs w:val="20"/>
              </w:rPr>
            </w:pPr>
            <w:r w:rsidRPr="00E02A90">
              <w:rPr>
                <w:color w:val="4F81BD" w:themeColor="accent1"/>
              </w:rPr>
              <w:t>Germany</w:t>
            </w:r>
          </w:p>
        </w:tc>
        <w:tc>
          <w:tcPr>
            <w:tcW w:w="1525" w:type="pct"/>
          </w:tcPr>
          <w:p w:rsidR="00275706" w:rsidRPr="00E02A90" w:rsidRDefault="00275706" w:rsidP="00216126">
            <w:pPr>
              <w:spacing w:before="40" w:after="40"/>
              <w:rPr>
                <w:color w:val="4F81BD" w:themeColor="accent1"/>
              </w:rPr>
            </w:pPr>
            <w:proofErr w:type="spellStart"/>
            <w:r w:rsidRPr="00E02A90">
              <w:rPr>
                <w:color w:val="4F81BD" w:themeColor="accent1"/>
              </w:rPr>
              <w:t>Pitton</w:t>
            </w:r>
            <w:proofErr w:type="spellEnd"/>
            <w:r w:rsidRPr="00E02A90">
              <w:rPr>
                <w:color w:val="4F81BD" w:themeColor="accent1"/>
              </w:rPr>
              <w:t xml:space="preserve"> et al. (2015). "Randomized comparison of selective internal radiotherapy (SIRT) versus drug-eluting bead </w:t>
            </w:r>
            <w:proofErr w:type="spellStart"/>
            <w:r w:rsidRPr="00E02A90">
              <w:rPr>
                <w:color w:val="4F81BD" w:themeColor="accent1"/>
              </w:rPr>
              <w:t>transarterial</w:t>
            </w:r>
            <w:proofErr w:type="spellEnd"/>
            <w:r w:rsidRPr="00E02A90">
              <w:rPr>
                <w:color w:val="4F81BD" w:themeColor="accent1"/>
              </w:rPr>
              <w:t xml:space="preserve"> chemoembolization (DEB-TACE) for the treatment of hepatocellular carcinoma." </w:t>
            </w:r>
            <w:proofErr w:type="spellStart"/>
            <w:r w:rsidRPr="00E02A90">
              <w:rPr>
                <w:color w:val="4F81BD" w:themeColor="accent1"/>
              </w:rPr>
              <w:t>Cardiovasc</w:t>
            </w:r>
            <w:proofErr w:type="spellEnd"/>
            <w:r w:rsidRPr="00E02A90">
              <w:rPr>
                <w:color w:val="4F81BD" w:themeColor="accent1"/>
              </w:rPr>
              <w:t xml:space="preserve"> </w:t>
            </w:r>
            <w:proofErr w:type="spellStart"/>
            <w:r w:rsidRPr="00E02A90">
              <w:rPr>
                <w:color w:val="4F81BD" w:themeColor="accent1"/>
              </w:rPr>
              <w:t>Intervent</w:t>
            </w:r>
            <w:proofErr w:type="spellEnd"/>
            <w:r w:rsidRPr="00E02A90">
              <w:rPr>
                <w:color w:val="4F81BD" w:themeColor="accent1"/>
              </w:rPr>
              <w:t xml:space="preserve"> </w:t>
            </w:r>
            <w:proofErr w:type="spellStart"/>
            <w:r w:rsidRPr="00E02A90">
              <w:rPr>
                <w:color w:val="4F81BD" w:themeColor="accent1"/>
              </w:rPr>
              <w:t>Radiol</w:t>
            </w:r>
            <w:proofErr w:type="spellEnd"/>
            <w:r w:rsidRPr="00E02A90">
              <w:rPr>
                <w:color w:val="4F81BD" w:themeColor="accent1"/>
              </w:rPr>
              <w:t xml:space="preserve"> 38(2): 352-360.</w:t>
            </w:r>
          </w:p>
          <w:p w:rsidR="00275706" w:rsidRPr="00E02A90" w:rsidRDefault="00275706" w:rsidP="00216126">
            <w:pPr>
              <w:spacing w:before="40" w:after="40"/>
              <w:rPr>
                <w:color w:val="4F81BD" w:themeColor="accent1"/>
              </w:rPr>
            </w:pPr>
            <w:r w:rsidRPr="00E02A90">
              <w:rPr>
                <w:i/>
                <w:color w:val="4F81BD" w:themeColor="accent1"/>
              </w:rPr>
              <w:t>Trial ID:</w:t>
            </w:r>
            <w:r w:rsidRPr="00E02A90">
              <w:rPr>
                <w:color w:val="4F81BD" w:themeColor="accent1"/>
              </w:rPr>
              <w:t xml:space="preserve"> SIRT-TACE-HCC-Mainz-1</w:t>
            </w:r>
          </w:p>
          <w:p w:rsidR="00275706" w:rsidRDefault="00275706" w:rsidP="00216126">
            <w:pPr>
              <w:rPr>
                <w:b/>
                <w:szCs w:val="20"/>
              </w:rPr>
            </w:pPr>
            <w:r w:rsidRPr="00E02A90">
              <w:rPr>
                <w:i/>
                <w:color w:val="4F81BD" w:themeColor="accent1"/>
              </w:rPr>
              <w:t>Registration no.:</w:t>
            </w:r>
            <w:r w:rsidRPr="00E02A90">
              <w:rPr>
                <w:color w:val="4F81BD" w:themeColor="accent1"/>
              </w:rPr>
              <w:t xml:space="preserve"> NCT01798160</w:t>
            </w:r>
          </w:p>
        </w:tc>
        <w:tc>
          <w:tcPr>
            <w:tcW w:w="1270" w:type="pct"/>
          </w:tcPr>
          <w:p w:rsidR="00275706" w:rsidRPr="00E02A90" w:rsidRDefault="00275706" w:rsidP="00216126">
            <w:pPr>
              <w:spacing w:before="40" w:after="40"/>
              <w:rPr>
                <w:color w:val="4F81BD" w:themeColor="accent1"/>
              </w:rPr>
            </w:pPr>
            <w:r w:rsidRPr="00E02A90">
              <w:rPr>
                <w:i/>
                <w:color w:val="4F81BD" w:themeColor="accent1"/>
              </w:rPr>
              <w:t>Population:</w:t>
            </w:r>
            <w:r w:rsidRPr="00E02A90">
              <w:rPr>
                <w:color w:val="4F81BD" w:themeColor="accent1"/>
              </w:rPr>
              <w:t xml:space="preserve"> HCC; N=24</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 xml:space="preserve">-Y (SIR-Spheres) versus DEB-TACE </w:t>
            </w:r>
          </w:p>
          <w:p w:rsidR="00275706" w:rsidRPr="00E02A90" w:rsidRDefault="00275706" w:rsidP="00216126">
            <w:pPr>
              <w:spacing w:before="40" w:after="40"/>
              <w:rPr>
                <w:color w:val="4F81BD" w:themeColor="accent1"/>
              </w:rPr>
            </w:pPr>
            <w:r w:rsidRPr="00E02A90">
              <w:rPr>
                <w:i/>
                <w:color w:val="4F81BD" w:themeColor="accent1"/>
              </w:rPr>
              <w:t xml:space="preserve">Outcomes: </w:t>
            </w:r>
            <w:r w:rsidRPr="00E02A90">
              <w:rPr>
                <w:color w:val="4F81BD" w:themeColor="accent1"/>
              </w:rPr>
              <w:t>overall survival; progression-free survival; time to progression; adverse events</w:t>
            </w:r>
          </w:p>
          <w:p w:rsidR="00275706" w:rsidRPr="00E02A90" w:rsidRDefault="00275706" w:rsidP="00216126">
            <w:pPr>
              <w:spacing w:before="40" w:after="40"/>
              <w:rPr>
                <w:color w:val="4F81BD" w:themeColor="accent1"/>
              </w:rPr>
            </w:pPr>
            <w:r w:rsidRPr="00E02A90">
              <w:rPr>
                <w:i/>
                <w:color w:val="4F81BD" w:themeColor="accent1"/>
              </w:rPr>
              <w:t>Status:</w:t>
            </w:r>
            <w:r w:rsidRPr="00E02A90">
              <w:rPr>
                <w:color w:val="4F81BD" w:themeColor="accent1"/>
              </w:rPr>
              <w:t xml:space="preserve"> completed</w:t>
            </w:r>
          </w:p>
        </w:tc>
        <w:tc>
          <w:tcPr>
            <w:tcW w:w="872" w:type="pct"/>
          </w:tcPr>
          <w:p w:rsidR="00275706" w:rsidRPr="00E82F54" w:rsidRDefault="00275706" w:rsidP="00216126">
            <w:pPr>
              <w:rPr>
                <w:b/>
                <w:szCs w:val="20"/>
              </w:rPr>
            </w:pPr>
            <w:hyperlink r:id="rId17" w:history="1">
              <w:r w:rsidRPr="00E02A90">
                <w:rPr>
                  <w:rStyle w:val="Hyperlink"/>
                  <w:color w:val="4F81BD" w:themeColor="accent1"/>
                  <w:szCs w:val="20"/>
                </w:rPr>
                <w:t>https://www.ncbi.nlm.nih.gov/pmc/articles/PMC4355443/pdf/270_2014_Article_1012.pdf</w:t>
              </w:r>
            </w:hyperlink>
          </w:p>
        </w:tc>
        <w:tc>
          <w:tcPr>
            <w:tcW w:w="469" w:type="pct"/>
          </w:tcPr>
          <w:p w:rsidR="00275706" w:rsidRPr="00E82F54" w:rsidRDefault="00275706" w:rsidP="00216126">
            <w:pPr>
              <w:rPr>
                <w:b/>
                <w:szCs w:val="20"/>
              </w:rPr>
            </w:pPr>
            <w:r w:rsidRPr="00E02A90">
              <w:rPr>
                <w:color w:val="4F81BD" w:themeColor="accent1"/>
              </w:rPr>
              <w:t>2015</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t>6.</w:t>
            </w:r>
          </w:p>
        </w:tc>
        <w:tc>
          <w:tcPr>
            <w:tcW w:w="699" w:type="pct"/>
          </w:tcPr>
          <w:p w:rsidR="00275706" w:rsidRPr="00E02A90" w:rsidRDefault="00275706" w:rsidP="00216126">
            <w:pPr>
              <w:spacing w:before="40" w:after="40"/>
              <w:rPr>
                <w:color w:val="4F81BD" w:themeColor="accent1"/>
              </w:rPr>
            </w:pPr>
            <w:r w:rsidRPr="00E02A90">
              <w:rPr>
                <w:color w:val="4F81BD" w:themeColor="accent1"/>
              </w:rPr>
              <w:t>Retrospective cohort study</w:t>
            </w:r>
          </w:p>
          <w:p w:rsidR="00275706" w:rsidRPr="00E02A90" w:rsidRDefault="00275706" w:rsidP="00216126">
            <w:pPr>
              <w:spacing w:before="40" w:after="40"/>
              <w:rPr>
                <w:color w:val="4F81BD" w:themeColor="accent1"/>
              </w:rPr>
            </w:pPr>
            <w:r w:rsidRPr="00E02A90">
              <w:rPr>
                <w:color w:val="4F81BD" w:themeColor="accent1"/>
              </w:rPr>
              <w:t>US/SEER database</w:t>
            </w:r>
          </w:p>
          <w:p w:rsidR="00275706" w:rsidRPr="00E02A90" w:rsidRDefault="00275706" w:rsidP="00216126">
            <w:pPr>
              <w:spacing w:before="40" w:after="40"/>
              <w:rPr>
                <w:color w:val="4F81BD" w:themeColor="accent1"/>
              </w:rPr>
            </w:pPr>
            <w:r w:rsidRPr="00E02A90">
              <w:rPr>
                <w:color w:val="4F81BD" w:themeColor="accent1"/>
              </w:rPr>
              <w:t>2004-2009</w:t>
            </w:r>
          </w:p>
        </w:tc>
        <w:tc>
          <w:tcPr>
            <w:tcW w:w="1525" w:type="pct"/>
          </w:tcPr>
          <w:p w:rsidR="00275706" w:rsidRPr="00E02A90" w:rsidRDefault="00275706" w:rsidP="00216126">
            <w:pPr>
              <w:spacing w:before="40" w:after="40"/>
              <w:rPr>
                <w:color w:val="4F81BD" w:themeColor="accent1"/>
              </w:rPr>
            </w:pPr>
            <w:proofErr w:type="spellStart"/>
            <w:r w:rsidRPr="00E02A90">
              <w:rPr>
                <w:color w:val="4F81BD" w:themeColor="accent1"/>
              </w:rPr>
              <w:t>Massani</w:t>
            </w:r>
            <w:proofErr w:type="spellEnd"/>
            <w:r w:rsidRPr="00E02A90">
              <w:rPr>
                <w:color w:val="4F81BD" w:themeColor="accent1"/>
              </w:rPr>
              <w:t xml:space="preserve"> et al. (2016). "Yttrium-90 </w:t>
            </w:r>
            <w:proofErr w:type="spellStart"/>
            <w:r w:rsidRPr="00E02A90">
              <w:rPr>
                <w:color w:val="4F81BD" w:themeColor="accent1"/>
              </w:rPr>
              <w:t>radioembolization</w:t>
            </w:r>
            <w:proofErr w:type="spellEnd"/>
            <w:r w:rsidRPr="00E02A90">
              <w:rPr>
                <w:color w:val="4F81BD" w:themeColor="accent1"/>
              </w:rPr>
              <w:t xml:space="preserve"> versus </w:t>
            </w:r>
            <w:proofErr w:type="spellStart"/>
            <w:r w:rsidRPr="00E02A90">
              <w:rPr>
                <w:color w:val="4F81BD" w:themeColor="accent1"/>
              </w:rPr>
              <w:t>transarterial</w:t>
            </w:r>
            <w:proofErr w:type="spellEnd"/>
            <w:r w:rsidRPr="00E02A90">
              <w:rPr>
                <w:color w:val="4F81BD" w:themeColor="accent1"/>
              </w:rPr>
              <w:t xml:space="preserve"> chemoembolization for unresectable hepatocellular carcinoma: A comparative analysis." HPB 18: e200-e201.</w:t>
            </w:r>
          </w:p>
        </w:tc>
        <w:tc>
          <w:tcPr>
            <w:tcW w:w="1270" w:type="pct"/>
          </w:tcPr>
          <w:p w:rsidR="00275706" w:rsidRPr="00E02A90" w:rsidRDefault="00275706" w:rsidP="00216126">
            <w:pPr>
              <w:spacing w:before="40" w:after="40"/>
              <w:rPr>
                <w:color w:val="4F81BD" w:themeColor="accent1"/>
              </w:rPr>
            </w:pPr>
            <w:r w:rsidRPr="00E02A90">
              <w:rPr>
                <w:i/>
                <w:color w:val="4F81BD" w:themeColor="accent1"/>
              </w:rPr>
              <w:t xml:space="preserve">Population: </w:t>
            </w:r>
            <w:r w:rsidRPr="00E02A90">
              <w:rPr>
                <w:color w:val="4F81BD" w:themeColor="accent1"/>
              </w:rPr>
              <w:t>unresectable HCC; N=73</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-Y (not stated) versus TACE in patients with unresectable HCC</w:t>
            </w:r>
          </w:p>
          <w:p w:rsidR="00275706" w:rsidRPr="00E02A90" w:rsidRDefault="00275706" w:rsidP="00216126">
            <w:pPr>
              <w:spacing w:before="40" w:after="40"/>
              <w:rPr>
                <w:i/>
                <w:color w:val="4F81BD" w:themeColor="accent1"/>
              </w:rPr>
            </w:pPr>
            <w:r w:rsidRPr="00E02A90">
              <w:rPr>
                <w:color w:val="4F81BD" w:themeColor="accent1"/>
              </w:rPr>
              <w:t>Outcomes: overall survival</w:t>
            </w:r>
          </w:p>
        </w:tc>
        <w:tc>
          <w:tcPr>
            <w:tcW w:w="872" w:type="pct"/>
          </w:tcPr>
          <w:p w:rsidR="00275706" w:rsidRPr="00E82F54" w:rsidRDefault="00275706" w:rsidP="00216126">
            <w:pPr>
              <w:rPr>
                <w:b/>
                <w:szCs w:val="20"/>
              </w:rPr>
            </w:pPr>
            <w:hyperlink r:id="rId18" w:history="1">
              <w:r w:rsidRPr="00E02A90">
                <w:rPr>
                  <w:rStyle w:val="Hyperlink"/>
                  <w:color w:val="4F81BD" w:themeColor="accent1"/>
                  <w:szCs w:val="20"/>
                </w:rPr>
                <w:t>http://www.hpbonline.org/article/S1365-182X(16)30506-8/pdf</w:t>
              </w:r>
            </w:hyperlink>
          </w:p>
        </w:tc>
        <w:tc>
          <w:tcPr>
            <w:tcW w:w="469" w:type="pct"/>
          </w:tcPr>
          <w:p w:rsidR="00275706" w:rsidRPr="00E82F54" w:rsidRDefault="00275706" w:rsidP="00216126">
            <w:pPr>
              <w:rPr>
                <w:b/>
                <w:szCs w:val="20"/>
              </w:rPr>
            </w:pPr>
            <w:r w:rsidRPr="00E02A90">
              <w:rPr>
                <w:color w:val="4F81BD" w:themeColor="accent1"/>
              </w:rPr>
              <w:t>2016</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lastRenderedPageBreak/>
              <w:t>7.</w:t>
            </w:r>
          </w:p>
        </w:tc>
        <w:tc>
          <w:tcPr>
            <w:tcW w:w="699" w:type="pct"/>
          </w:tcPr>
          <w:p w:rsidR="00275706" w:rsidRPr="00E02A90" w:rsidRDefault="00275706" w:rsidP="00216126">
            <w:pPr>
              <w:spacing w:before="40" w:after="40"/>
              <w:rPr>
                <w:color w:val="4F81BD" w:themeColor="accent1"/>
              </w:rPr>
            </w:pPr>
            <w:r w:rsidRPr="00E02A90">
              <w:rPr>
                <w:color w:val="4F81BD" w:themeColor="accent1"/>
              </w:rPr>
              <w:t>Retrospective cohort study</w:t>
            </w:r>
          </w:p>
          <w:p w:rsidR="00275706" w:rsidRPr="00E02A90" w:rsidRDefault="00275706" w:rsidP="00216126">
            <w:pPr>
              <w:spacing w:before="40" w:after="40"/>
              <w:rPr>
                <w:color w:val="4F81BD" w:themeColor="accent1"/>
              </w:rPr>
            </w:pPr>
            <w:r w:rsidRPr="00E02A90">
              <w:rPr>
                <w:color w:val="4F81BD" w:themeColor="accent1"/>
              </w:rPr>
              <w:t>US/SEER database</w:t>
            </w:r>
          </w:p>
          <w:p w:rsidR="00275706" w:rsidRDefault="00275706" w:rsidP="00216126">
            <w:pPr>
              <w:rPr>
                <w:b/>
                <w:szCs w:val="20"/>
              </w:rPr>
            </w:pPr>
            <w:r w:rsidRPr="00E02A90">
              <w:rPr>
                <w:color w:val="4F81BD" w:themeColor="accent1"/>
              </w:rPr>
              <w:t>2004-2009</w:t>
            </w:r>
          </w:p>
        </w:tc>
        <w:tc>
          <w:tcPr>
            <w:tcW w:w="1525" w:type="pct"/>
          </w:tcPr>
          <w:p w:rsidR="00275706" w:rsidRDefault="00275706" w:rsidP="00216126">
            <w:pPr>
              <w:rPr>
                <w:b/>
                <w:szCs w:val="20"/>
              </w:rPr>
            </w:pPr>
            <w:proofErr w:type="spellStart"/>
            <w:r w:rsidRPr="00E02A90">
              <w:rPr>
                <w:color w:val="4F81BD" w:themeColor="accent1"/>
              </w:rPr>
              <w:t>Sanoff</w:t>
            </w:r>
            <w:proofErr w:type="spellEnd"/>
            <w:r w:rsidRPr="00E02A90">
              <w:rPr>
                <w:color w:val="4F81BD" w:themeColor="accent1"/>
              </w:rPr>
              <w:t xml:space="preserve"> et al. (2015). "Effectiveness of Initial </w:t>
            </w:r>
            <w:proofErr w:type="spellStart"/>
            <w:r w:rsidRPr="00E02A90">
              <w:rPr>
                <w:color w:val="4F81BD" w:themeColor="accent1"/>
              </w:rPr>
              <w:t>Transarterial</w:t>
            </w:r>
            <w:proofErr w:type="spellEnd"/>
            <w:r w:rsidRPr="00E02A90">
              <w:rPr>
                <w:color w:val="4F81BD" w:themeColor="accent1"/>
              </w:rPr>
              <w:t xml:space="preserve"> Chemoembolization for Hepatocellular Carcinoma Among Medicare Beneficiaries." J </w:t>
            </w:r>
            <w:proofErr w:type="spellStart"/>
            <w:r w:rsidRPr="00E02A90">
              <w:rPr>
                <w:color w:val="4F81BD" w:themeColor="accent1"/>
              </w:rPr>
              <w:t>Natl</w:t>
            </w:r>
            <w:proofErr w:type="spellEnd"/>
            <w:r w:rsidRPr="00E02A90">
              <w:rPr>
                <w:color w:val="4F81BD" w:themeColor="accent1"/>
              </w:rPr>
              <w:t xml:space="preserve"> </w:t>
            </w:r>
            <w:proofErr w:type="spellStart"/>
            <w:r w:rsidRPr="00E02A90">
              <w:rPr>
                <w:color w:val="4F81BD" w:themeColor="accent1"/>
              </w:rPr>
              <w:t>Compr</w:t>
            </w:r>
            <w:proofErr w:type="spellEnd"/>
            <w:r w:rsidRPr="00E02A90">
              <w:rPr>
                <w:color w:val="4F81BD" w:themeColor="accent1"/>
              </w:rPr>
              <w:t xml:space="preserve"> </w:t>
            </w:r>
            <w:proofErr w:type="spellStart"/>
            <w:r w:rsidRPr="00E02A90">
              <w:rPr>
                <w:color w:val="4F81BD" w:themeColor="accent1"/>
              </w:rPr>
              <w:t>Canc</w:t>
            </w:r>
            <w:proofErr w:type="spellEnd"/>
            <w:r w:rsidRPr="00E02A90">
              <w:rPr>
                <w:color w:val="4F81BD" w:themeColor="accent1"/>
              </w:rPr>
              <w:t xml:space="preserve"> </w:t>
            </w:r>
            <w:proofErr w:type="spellStart"/>
            <w:r w:rsidRPr="00E02A90">
              <w:rPr>
                <w:color w:val="4F81BD" w:themeColor="accent1"/>
              </w:rPr>
              <w:t>Netw</w:t>
            </w:r>
            <w:proofErr w:type="spellEnd"/>
            <w:r w:rsidRPr="00E02A90">
              <w:rPr>
                <w:color w:val="4F81BD" w:themeColor="accent1"/>
              </w:rPr>
              <w:t xml:space="preserve"> 13(9): 1102-1110.</w:t>
            </w:r>
          </w:p>
        </w:tc>
        <w:tc>
          <w:tcPr>
            <w:tcW w:w="1270" w:type="pct"/>
          </w:tcPr>
          <w:p w:rsidR="00275706" w:rsidRPr="00E02A90" w:rsidRDefault="00275706" w:rsidP="00216126">
            <w:pPr>
              <w:spacing w:before="40" w:after="40"/>
              <w:rPr>
                <w:i/>
                <w:color w:val="4F81BD" w:themeColor="accent1"/>
              </w:rPr>
            </w:pPr>
            <w:r w:rsidRPr="00E02A90">
              <w:rPr>
                <w:i/>
                <w:color w:val="4F81BD" w:themeColor="accent1"/>
              </w:rPr>
              <w:t xml:space="preserve">Population: </w:t>
            </w:r>
            <w:r w:rsidRPr="00E02A90">
              <w:rPr>
                <w:color w:val="4F81BD" w:themeColor="accent1"/>
              </w:rPr>
              <w:t>HCC; N=NR</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-Y (not stated) versus TACE</w:t>
            </w:r>
          </w:p>
          <w:p w:rsidR="00275706" w:rsidRPr="00E02A90" w:rsidRDefault="00275706" w:rsidP="00216126">
            <w:pPr>
              <w:spacing w:before="40" w:after="40"/>
              <w:rPr>
                <w:color w:val="4F81BD" w:themeColor="accent1"/>
              </w:rPr>
            </w:pPr>
            <w:r w:rsidRPr="00E02A90">
              <w:rPr>
                <w:i/>
                <w:color w:val="4F81BD" w:themeColor="accent1"/>
              </w:rPr>
              <w:t>Outcomes:</w:t>
            </w:r>
            <w:r w:rsidRPr="00E02A90">
              <w:rPr>
                <w:color w:val="4F81BD" w:themeColor="accent1"/>
              </w:rPr>
              <w:t xml:space="preserve"> overall survival; 90-day mortality</w:t>
            </w:r>
          </w:p>
        </w:tc>
        <w:tc>
          <w:tcPr>
            <w:tcW w:w="872" w:type="pct"/>
          </w:tcPr>
          <w:p w:rsidR="00275706" w:rsidRPr="00E82F54" w:rsidRDefault="00275706" w:rsidP="00216126">
            <w:pPr>
              <w:rPr>
                <w:b/>
                <w:szCs w:val="20"/>
              </w:rPr>
            </w:pPr>
            <w:hyperlink r:id="rId19" w:history="1">
              <w:r w:rsidRPr="00E02A90">
                <w:rPr>
                  <w:rStyle w:val="Hyperlink"/>
                  <w:color w:val="4F81BD" w:themeColor="accent1"/>
                  <w:szCs w:val="20"/>
                </w:rPr>
                <w:t>https://www.ncbi.nlm.nih.gov/pmc/articles/PMC4861995/pdf/nihms781895.pdf</w:t>
              </w:r>
            </w:hyperlink>
          </w:p>
        </w:tc>
        <w:tc>
          <w:tcPr>
            <w:tcW w:w="469" w:type="pct"/>
          </w:tcPr>
          <w:p w:rsidR="00275706" w:rsidRPr="00E82F54" w:rsidRDefault="00275706" w:rsidP="00216126">
            <w:pPr>
              <w:rPr>
                <w:b/>
                <w:szCs w:val="20"/>
              </w:rPr>
            </w:pPr>
            <w:r w:rsidRPr="00E02A90">
              <w:rPr>
                <w:color w:val="4F81BD" w:themeColor="accent1"/>
              </w:rPr>
              <w:t>2015</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t>8.</w:t>
            </w:r>
          </w:p>
        </w:tc>
        <w:tc>
          <w:tcPr>
            <w:tcW w:w="699" w:type="pct"/>
          </w:tcPr>
          <w:p w:rsidR="00275706" w:rsidRPr="00E02A90" w:rsidRDefault="00275706" w:rsidP="00216126">
            <w:pPr>
              <w:spacing w:before="40" w:after="40"/>
              <w:rPr>
                <w:color w:val="4F81BD" w:themeColor="accent1"/>
              </w:rPr>
            </w:pPr>
            <w:r w:rsidRPr="00E02A90">
              <w:rPr>
                <w:color w:val="4F81BD" w:themeColor="accent1"/>
              </w:rPr>
              <w:t>Case-control study</w:t>
            </w:r>
          </w:p>
          <w:p w:rsidR="00275706" w:rsidRPr="00E02A90" w:rsidRDefault="00275706" w:rsidP="00216126">
            <w:pPr>
              <w:spacing w:before="40" w:after="40"/>
              <w:rPr>
                <w:color w:val="4F81BD" w:themeColor="accent1"/>
              </w:rPr>
            </w:pPr>
            <w:r w:rsidRPr="00E02A90">
              <w:rPr>
                <w:color w:val="4F81BD" w:themeColor="accent1"/>
              </w:rPr>
              <w:t>US/Mayo Clinic</w:t>
            </w:r>
          </w:p>
          <w:p w:rsidR="00275706" w:rsidRPr="00E02A90" w:rsidRDefault="00275706" w:rsidP="00216126">
            <w:pPr>
              <w:spacing w:before="40" w:after="40"/>
              <w:rPr>
                <w:color w:val="4F81BD" w:themeColor="accent1"/>
              </w:rPr>
            </w:pPr>
            <w:r w:rsidRPr="00E02A90">
              <w:rPr>
                <w:color w:val="4F81BD" w:themeColor="accent1"/>
              </w:rPr>
              <w:t>2005-2008</w:t>
            </w:r>
          </w:p>
        </w:tc>
        <w:tc>
          <w:tcPr>
            <w:tcW w:w="1525" w:type="pct"/>
          </w:tcPr>
          <w:p w:rsidR="00275706" w:rsidRPr="00E02A90" w:rsidRDefault="00275706" w:rsidP="00216126">
            <w:pPr>
              <w:spacing w:before="40" w:after="40"/>
              <w:rPr>
                <w:color w:val="4F81BD" w:themeColor="accent1"/>
              </w:rPr>
            </w:pPr>
            <w:r w:rsidRPr="00E02A90">
              <w:rPr>
                <w:color w:val="4F81BD" w:themeColor="accent1"/>
              </w:rPr>
              <w:t xml:space="preserve">Moreno-Luna et al. (2013). "Efficacy and safety of </w:t>
            </w:r>
            <w:proofErr w:type="spellStart"/>
            <w:r w:rsidRPr="00E02A90">
              <w:rPr>
                <w:color w:val="4F81BD" w:themeColor="accent1"/>
              </w:rPr>
              <w:t>transarterial</w:t>
            </w:r>
            <w:proofErr w:type="spellEnd"/>
            <w:r w:rsidRPr="00E02A90">
              <w:rPr>
                <w:color w:val="4F81BD" w:themeColor="accent1"/>
              </w:rPr>
              <w:t xml:space="preserve"> </w:t>
            </w:r>
            <w:proofErr w:type="spellStart"/>
            <w:r w:rsidRPr="00E02A90">
              <w:rPr>
                <w:color w:val="4F81BD" w:themeColor="accent1"/>
              </w:rPr>
              <w:t>radioembolization</w:t>
            </w:r>
            <w:proofErr w:type="spellEnd"/>
            <w:r w:rsidRPr="00E02A90">
              <w:rPr>
                <w:color w:val="4F81BD" w:themeColor="accent1"/>
              </w:rPr>
              <w:t xml:space="preserve"> versus chemoembolization in patients with hepatocellular carcinoma." </w:t>
            </w:r>
            <w:proofErr w:type="spellStart"/>
            <w:r w:rsidRPr="00E02A90">
              <w:rPr>
                <w:color w:val="4F81BD" w:themeColor="accent1"/>
              </w:rPr>
              <w:t>Cardiovasc</w:t>
            </w:r>
            <w:proofErr w:type="spellEnd"/>
            <w:r w:rsidRPr="00E02A90">
              <w:rPr>
                <w:color w:val="4F81BD" w:themeColor="accent1"/>
              </w:rPr>
              <w:t xml:space="preserve"> </w:t>
            </w:r>
            <w:proofErr w:type="spellStart"/>
            <w:r w:rsidRPr="00E02A90">
              <w:rPr>
                <w:color w:val="4F81BD" w:themeColor="accent1"/>
              </w:rPr>
              <w:t>Intervent</w:t>
            </w:r>
            <w:proofErr w:type="spellEnd"/>
            <w:r w:rsidRPr="00E02A90">
              <w:rPr>
                <w:color w:val="4F81BD" w:themeColor="accent1"/>
              </w:rPr>
              <w:t xml:space="preserve"> </w:t>
            </w:r>
            <w:proofErr w:type="spellStart"/>
            <w:r w:rsidRPr="00E02A90">
              <w:rPr>
                <w:color w:val="4F81BD" w:themeColor="accent1"/>
              </w:rPr>
              <w:t>Radiol</w:t>
            </w:r>
            <w:proofErr w:type="spellEnd"/>
            <w:r w:rsidRPr="00E02A90">
              <w:rPr>
                <w:color w:val="4F81BD" w:themeColor="accent1"/>
              </w:rPr>
              <w:t xml:space="preserve"> 36(3): 714-723.</w:t>
            </w:r>
          </w:p>
        </w:tc>
        <w:tc>
          <w:tcPr>
            <w:tcW w:w="1270" w:type="pct"/>
          </w:tcPr>
          <w:p w:rsidR="00275706" w:rsidRPr="00E02A90" w:rsidRDefault="00275706" w:rsidP="00216126">
            <w:pPr>
              <w:spacing w:before="40" w:after="40"/>
              <w:rPr>
                <w:color w:val="4F81BD" w:themeColor="accent1"/>
              </w:rPr>
            </w:pPr>
            <w:r w:rsidRPr="00E02A90">
              <w:rPr>
                <w:i/>
                <w:color w:val="4F81BD" w:themeColor="accent1"/>
              </w:rPr>
              <w:t xml:space="preserve">Population: </w:t>
            </w:r>
            <w:r w:rsidRPr="00E02A90">
              <w:rPr>
                <w:color w:val="4F81BD" w:themeColor="accent1"/>
              </w:rPr>
              <w:t>unresectable HCC without PVT; N=116</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-Y (</w:t>
            </w:r>
            <w:proofErr w:type="spellStart"/>
            <w:r w:rsidRPr="00E02A90">
              <w:rPr>
                <w:color w:val="4F81BD" w:themeColor="accent1"/>
              </w:rPr>
              <w:t>TheraSphere</w:t>
            </w:r>
            <w:proofErr w:type="spellEnd"/>
            <w:r w:rsidRPr="00E02A90">
              <w:rPr>
                <w:color w:val="4F81BD" w:themeColor="accent1"/>
              </w:rPr>
              <w:t xml:space="preserve">) versus TACE </w:t>
            </w:r>
          </w:p>
          <w:p w:rsidR="00275706" w:rsidRPr="00E02A90" w:rsidRDefault="00275706" w:rsidP="00216126">
            <w:pPr>
              <w:spacing w:before="40" w:after="40"/>
              <w:rPr>
                <w:color w:val="4F81BD" w:themeColor="accent1"/>
              </w:rPr>
            </w:pPr>
            <w:r w:rsidRPr="00E02A90">
              <w:rPr>
                <w:i/>
                <w:color w:val="4F81BD" w:themeColor="accent1"/>
              </w:rPr>
              <w:t>Outcomes:</w:t>
            </w:r>
            <w:r w:rsidRPr="00E02A90">
              <w:rPr>
                <w:color w:val="4F81BD" w:themeColor="accent1"/>
              </w:rPr>
              <w:t xml:space="preserve"> overall survival; tumour response; hospitalisation; treatment days; adverse events</w:t>
            </w:r>
          </w:p>
        </w:tc>
        <w:tc>
          <w:tcPr>
            <w:tcW w:w="872" w:type="pct"/>
          </w:tcPr>
          <w:p w:rsidR="00275706" w:rsidRPr="00E82F54" w:rsidRDefault="00275706" w:rsidP="00216126">
            <w:pPr>
              <w:rPr>
                <w:b/>
                <w:szCs w:val="20"/>
              </w:rPr>
            </w:pPr>
            <w:hyperlink r:id="rId20" w:history="1">
              <w:r w:rsidRPr="00E02A90">
                <w:rPr>
                  <w:rStyle w:val="Hyperlink"/>
                  <w:color w:val="4F81BD" w:themeColor="accent1"/>
                </w:rPr>
                <w:t>https://www.ncbi.nlm.nih.gov/pmc/articles/PMC3594060/pdf/nihms417150.pdf</w:t>
              </w:r>
            </w:hyperlink>
          </w:p>
        </w:tc>
        <w:tc>
          <w:tcPr>
            <w:tcW w:w="469" w:type="pct"/>
          </w:tcPr>
          <w:p w:rsidR="00275706" w:rsidRPr="00E02A90" w:rsidRDefault="00275706" w:rsidP="00216126">
            <w:pPr>
              <w:spacing w:before="40" w:after="40"/>
              <w:rPr>
                <w:color w:val="4F81BD" w:themeColor="accent1"/>
              </w:rPr>
            </w:pPr>
            <w:r w:rsidRPr="00E02A90">
              <w:rPr>
                <w:color w:val="4F81BD" w:themeColor="accent1"/>
              </w:rPr>
              <w:t>2013</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t>9</w:t>
            </w:r>
          </w:p>
        </w:tc>
        <w:tc>
          <w:tcPr>
            <w:tcW w:w="699" w:type="pct"/>
          </w:tcPr>
          <w:p w:rsidR="00275706" w:rsidRPr="00E02A90" w:rsidRDefault="00275706" w:rsidP="00216126">
            <w:pPr>
              <w:spacing w:before="40" w:after="40"/>
              <w:rPr>
                <w:color w:val="4F81BD" w:themeColor="accent1"/>
              </w:rPr>
            </w:pPr>
            <w:r w:rsidRPr="00E02A90">
              <w:rPr>
                <w:color w:val="4F81BD" w:themeColor="accent1"/>
              </w:rPr>
              <w:t>Prospective cohort study</w:t>
            </w:r>
          </w:p>
          <w:p w:rsidR="00275706" w:rsidRPr="00E02A90" w:rsidRDefault="00275706" w:rsidP="00216126">
            <w:pPr>
              <w:spacing w:before="40" w:after="40"/>
              <w:rPr>
                <w:color w:val="4F81BD" w:themeColor="accent1"/>
              </w:rPr>
            </w:pPr>
            <w:r w:rsidRPr="00E02A90">
              <w:rPr>
                <w:color w:val="4F81BD" w:themeColor="accent1"/>
              </w:rPr>
              <w:t>Hong Kong/Queen Mary Hospital</w:t>
            </w:r>
          </w:p>
          <w:p w:rsidR="00275706" w:rsidRPr="00E02A90" w:rsidRDefault="00275706" w:rsidP="00216126">
            <w:pPr>
              <w:spacing w:before="40" w:after="40"/>
              <w:rPr>
                <w:color w:val="4F81BD" w:themeColor="accent1"/>
              </w:rPr>
            </w:pPr>
            <w:r w:rsidRPr="00E02A90">
              <w:rPr>
                <w:color w:val="4F81BD" w:themeColor="accent1"/>
              </w:rPr>
              <w:t>2009-2013</w:t>
            </w:r>
          </w:p>
        </w:tc>
        <w:tc>
          <w:tcPr>
            <w:tcW w:w="1525" w:type="pct"/>
          </w:tcPr>
          <w:p w:rsidR="00275706" w:rsidRPr="00E02A90" w:rsidRDefault="00275706" w:rsidP="00216126">
            <w:pPr>
              <w:spacing w:before="40" w:after="40"/>
              <w:rPr>
                <w:color w:val="4F81BD" w:themeColor="accent1"/>
              </w:rPr>
            </w:pPr>
            <w:r w:rsidRPr="00E02A90">
              <w:rPr>
                <w:color w:val="4F81BD" w:themeColor="accent1"/>
              </w:rPr>
              <w:t xml:space="preserve">She et al. (2014). "Survival analysis of </w:t>
            </w:r>
            <w:proofErr w:type="spellStart"/>
            <w:r w:rsidRPr="00E02A90">
              <w:rPr>
                <w:color w:val="4F81BD" w:themeColor="accent1"/>
              </w:rPr>
              <w:t>transarterial</w:t>
            </w:r>
            <w:proofErr w:type="spellEnd"/>
            <w:r w:rsidRPr="00E02A90">
              <w:rPr>
                <w:color w:val="4F81BD" w:themeColor="accent1"/>
              </w:rPr>
              <w:t xml:space="preserve"> </w:t>
            </w:r>
            <w:proofErr w:type="spellStart"/>
            <w:r w:rsidRPr="00E02A90">
              <w:rPr>
                <w:color w:val="4F81BD" w:themeColor="accent1"/>
              </w:rPr>
              <w:t>radioembolization</w:t>
            </w:r>
            <w:proofErr w:type="spellEnd"/>
            <w:r w:rsidRPr="00E02A90">
              <w:rPr>
                <w:color w:val="4F81BD" w:themeColor="accent1"/>
              </w:rPr>
              <w:t xml:space="preserve"> with yttrium-90 for hepatocellular carcinoma patients with HBV infection." </w:t>
            </w:r>
            <w:proofErr w:type="spellStart"/>
            <w:r w:rsidRPr="00E02A90">
              <w:rPr>
                <w:color w:val="4F81BD" w:themeColor="accent1"/>
              </w:rPr>
              <w:t>Hepatobiliary</w:t>
            </w:r>
            <w:proofErr w:type="spellEnd"/>
            <w:r w:rsidRPr="00E02A90">
              <w:rPr>
                <w:color w:val="4F81BD" w:themeColor="accent1"/>
              </w:rPr>
              <w:t xml:space="preserve"> </w:t>
            </w:r>
            <w:proofErr w:type="spellStart"/>
            <w:r w:rsidRPr="00E02A90">
              <w:rPr>
                <w:color w:val="4F81BD" w:themeColor="accent1"/>
              </w:rPr>
              <w:t>Surg</w:t>
            </w:r>
            <w:proofErr w:type="spellEnd"/>
            <w:r w:rsidRPr="00E02A90">
              <w:rPr>
                <w:color w:val="4F81BD" w:themeColor="accent1"/>
              </w:rPr>
              <w:t xml:space="preserve"> </w:t>
            </w:r>
            <w:proofErr w:type="spellStart"/>
            <w:r w:rsidRPr="00E02A90">
              <w:rPr>
                <w:color w:val="4F81BD" w:themeColor="accent1"/>
              </w:rPr>
              <w:t>Nutr</w:t>
            </w:r>
            <w:proofErr w:type="spellEnd"/>
            <w:r w:rsidRPr="00E02A90">
              <w:rPr>
                <w:color w:val="4F81BD" w:themeColor="accent1"/>
              </w:rPr>
              <w:t xml:space="preserve"> 3(4): 185-193.</w:t>
            </w:r>
          </w:p>
        </w:tc>
        <w:tc>
          <w:tcPr>
            <w:tcW w:w="1270" w:type="pct"/>
          </w:tcPr>
          <w:p w:rsidR="00275706" w:rsidRPr="00E02A90" w:rsidRDefault="00275706" w:rsidP="00216126">
            <w:pPr>
              <w:spacing w:before="40" w:after="40"/>
              <w:rPr>
                <w:color w:val="4F81BD" w:themeColor="accent1"/>
              </w:rPr>
            </w:pPr>
            <w:r w:rsidRPr="00E02A90">
              <w:rPr>
                <w:i/>
                <w:color w:val="4F81BD" w:themeColor="accent1"/>
              </w:rPr>
              <w:t>Population:</w:t>
            </w:r>
            <w:r w:rsidRPr="00E02A90">
              <w:rPr>
                <w:color w:val="4F81BD" w:themeColor="accent1"/>
              </w:rPr>
              <w:t xml:space="preserve"> HCC with HBV infection; N=32</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 xml:space="preserve">-Y (SIR-Spheres) versus TACE </w:t>
            </w:r>
          </w:p>
          <w:p w:rsidR="00275706" w:rsidRPr="00E02A90" w:rsidRDefault="00275706" w:rsidP="00216126">
            <w:pPr>
              <w:spacing w:before="40" w:after="40"/>
              <w:rPr>
                <w:color w:val="4F81BD" w:themeColor="accent1"/>
              </w:rPr>
            </w:pPr>
            <w:r w:rsidRPr="00E02A90">
              <w:rPr>
                <w:i/>
                <w:color w:val="4F81BD" w:themeColor="accent1"/>
              </w:rPr>
              <w:t xml:space="preserve">Outcomes: </w:t>
            </w:r>
            <w:r w:rsidRPr="00E02A90">
              <w:rPr>
                <w:color w:val="4F81BD" w:themeColor="accent1"/>
              </w:rPr>
              <w:t>overall survival; treatment response</w:t>
            </w:r>
          </w:p>
        </w:tc>
        <w:tc>
          <w:tcPr>
            <w:tcW w:w="872" w:type="pct"/>
          </w:tcPr>
          <w:p w:rsidR="00275706" w:rsidRPr="00E82F54" w:rsidRDefault="00275706" w:rsidP="00216126">
            <w:pPr>
              <w:rPr>
                <w:b/>
                <w:szCs w:val="20"/>
              </w:rPr>
            </w:pPr>
            <w:hyperlink r:id="rId21" w:history="1">
              <w:r w:rsidRPr="00E02A90">
                <w:rPr>
                  <w:rStyle w:val="Hyperlink"/>
                  <w:color w:val="4F81BD" w:themeColor="accent1"/>
                  <w:szCs w:val="20"/>
                </w:rPr>
                <w:t>https://www.ncbi.nlm.nih.gov/pmc/articles/PMC4141294/pdf/hbsn-03-04-185.pdf</w:t>
              </w:r>
            </w:hyperlink>
          </w:p>
        </w:tc>
        <w:tc>
          <w:tcPr>
            <w:tcW w:w="469" w:type="pct"/>
          </w:tcPr>
          <w:p w:rsidR="00275706" w:rsidRPr="00E02A90" w:rsidRDefault="00275706" w:rsidP="00216126">
            <w:pPr>
              <w:spacing w:before="40" w:after="40"/>
              <w:rPr>
                <w:color w:val="4F81BD" w:themeColor="accent1"/>
              </w:rPr>
            </w:pPr>
            <w:r w:rsidRPr="00E02A90">
              <w:rPr>
                <w:color w:val="4F81BD" w:themeColor="accent1"/>
              </w:rPr>
              <w:t>2014</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t>10.</w:t>
            </w:r>
          </w:p>
        </w:tc>
        <w:tc>
          <w:tcPr>
            <w:tcW w:w="699" w:type="pct"/>
          </w:tcPr>
          <w:p w:rsidR="00275706" w:rsidRPr="00E02A90" w:rsidRDefault="00275706" w:rsidP="00216126">
            <w:pPr>
              <w:spacing w:before="40" w:after="40"/>
              <w:rPr>
                <w:color w:val="4F81BD" w:themeColor="accent1"/>
              </w:rPr>
            </w:pPr>
            <w:r w:rsidRPr="00E02A90">
              <w:rPr>
                <w:color w:val="4F81BD" w:themeColor="accent1"/>
              </w:rPr>
              <w:t>Prospective cohort study</w:t>
            </w:r>
          </w:p>
          <w:p w:rsidR="00275706" w:rsidRPr="00E02A90" w:rsidRDefault="00275706" w:rsidP="00216126">
            <w:pPr>
              <w:spacing w:before="40" w:after="40"/>
              <w:rPr>
                <w:color w:val="4F81BD" w:themeColor="accent1"/>
              </w:rPr>
            </w:pPr>
            <w:r w:rsidRPr="00E02A90">
              <w:rPr>
                <w:color w:val="4F81BD" w:themeColor="accent1"/>
              </w:rPr>
              <w:t>Italy/NR</w:t>
            </w:r>
          </w:p>
          <w:p w:rsidR="00275706" w:rsidRPr="00E02A90" w:rsidRDefault="00275706" w:rsidP="00216126">
            <w:pPr>
              <w:spacing w:before="40" w:after="40"/>
              <w:rPr>
                <w:color w:val="4F81BD" w:themeColor="accent1"/>
              </w:rPr>
            </w:pPr>
            <w:r w:rsidRPr="00E02A90">
              <w:rPr>
                <w:color w:val="4F81BD" w:themeColor="accent1"/>
              </w:rPr>
              <w:t>NR</w:t>
            </w:r>
          </w:p>
        </w:tc>
        <w:tc>
          <w:tcPr>
            <w:tcW w:w="1525" w:type="pct"/>
          </w:tcPr>
          <w:p w:rsidR="00275706" w:rsidRPr="00E02A90" w:rsidRDefault="00275706" w:rsidP="00216126">
            <w:pPr>
              <w:spacing w:before="40" w:after="40"/>
              <w:rPr>
                <w:color w:val="4F81BD" w:themeColor="accent1"/>
              </w:rPr>
            </w:pPr>
            <w:r w:rsidRPr="00E02A90">
              <w:rPr>
                <w:color w:val="4F81BD" w:themeColor="accent1"/>
              </w:rPr>
              <w:t xml:space="preserve">Carr, (2013). "Repeated </w:t>
            </w:r>
            <w:proofErr w:type="spellStart"/>
            <w:r w:rsidRPr="00E02A90">
              <w:rPr>
                <w:color w:val="4F81BD" w:themeColor="accent1"/>
              </w:rPr>
              <w:t>chemoembolizations</w:t>
            </w:r>
            <w:proofErr w:type="spellEnd"/>
            <w:r w:rsidRPr="00E02A90">
              <w:rPr>
                <w:color w:val="4F81BD" w:themeColor="accent1"/>
              </w:rPr>
              <w:t xml:space="preserve"> and single hepatic artery 90Yttrium particle therapy confer similar benefits for unresectable HCC." </w:t>
            </w:r>
            <w:proofErr w:type="spellStart"/>
            <w:r w:rsidRPr="00E02A90">
              <w:rPr>
                <w:color w:val="4F81BD" w:themeColor="accent1"/>
              </w:rPr>
              <w:t>Hepatology</w:t>
            </w:r>
            <w:proofErr w:type="spellEnd"/>
            <w:r w:rsidRPr="00E02A90">
              <w:rPr>
                <w:color w:val="4F81BD" w:themeColor="accent1"/>
              </w:rPr>
              <w:t xml:space="preserve"> International 7: S584.</w:t>
            </w:r>
          </w:p>
        </w:tc>
        <w:tc>
          <w:tcPr>
            <w:tcW w:w="1270" w:type="pct"/>
          </w:tcPr>
          <w:p w:rsidR="00275706" w:rsidRPr="00E02A90" w:rsidRDefault="00275706" w:rsidP="00216126">
            <w:pPr>
              <w:spacing w:before="40" w:after="40"/>
              <w:rPr>
                <w:color w:val="4F81BD" w:themeColor="accent1"/>
              </w:rPr>
            </w:pPr>
            <w:r w:rsidRPr="00E02A90">
              <w:rPr>
                <w:i/>
                <w:color w:val="4F81BD" w:themeColor="accent1"/>
              </w:rPr>
              <w:t>Population:</w:t>
            </w:r>
            <w:r w:rsidRPr="00E02A90">
              <w:rPr>
                <w:color w:val="4F81BD" w:themeColor="accent1"/>
              </w:rPr>
              <w:t xml:space="preserve"> unresectable HCC; N=932</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-Y (</w:t>
            </w:r>
            <w:proofErr w:type="spellStart"/>
            <w:r w:rsidRPr="00E02A90">
              <w:rPr>
                <w:color w:val="4F81BD" w:themeColor="accent1"/>
              </w:rPr>
              <w:t>TheraSphere</w:t>
            </w:r>
            <w:proofErr w:type="spellEnd"/>
            <w:r w:rsidRPr="00E02A90">
              <w:rPr>
                <w:color w:val="4F81BD" w:themeColor="accent1"/>
              </w:rPr>
              <w:t>) versus TACE</w:t>
            </w:r>
          </w:p>
          <w:p w:rsidR="00275706" w:rsidRPr="00E02A90" w:rsidRDefault="00275706" w:rsidP="00216126">
            <w:pPr>
              <w:spacing w:before="40" w:after="40"/>
              <w:rPr>
                <w:color w:val="4F81BD" w:themeColor="accent1"/>
              </w:rPr>
            </w:pPr>
            <w:r w:rsidRPr="00E02A90">
              <w:rPr>
                <w:i/>
                <w:color w:val="4F81BD" w:themeColor="accent1"/>
              </w:rPr>
              <w:t xml:space="preserve">Outcomes: </w:t>
            </w:r>
            <w:r w:rsidRPr="00E02A90">
              <w:rPr>
                <w:color w:val="4F81BD" w:themeColor="accent1"/>
              </w:rPr>
              <w:t>overall survival; tumour response; adverse events</w:t>
            </w:r>
          </w:p>
        </w:tc>
        <w:tc>
          <w:tcPr>
            <w:tcW w:w="872" w:type="pct"/>
          </w:tcPr>
          <w:p w:rsidR="00275706" w:rsidRPr="00E82F54" w:rsidRDefault="00275706" w:rsidP="00216126">
            <w:pPr>
              <w:rPr>
                <w:b/>
                <w:szCs w:val="20"/>
              </w:rPr>
            </w:pPr>
            <w:r w:rsidRPr="00E02A90">
              <w:rPr>
                <w:color w:val="4F81BD" w:themeColor="accent1"/>
              </w:rPr>
              <w:t>Not available (conference abstract only)</w:t>
            </w:r>
          </w:p>
        </w:tc>
        <w:tc>
          <w:tcPr>
            <w:tcW w:w="469" w:type="pct"/>
          </w:tcPr>
          <w:p w:rsidR="00275706" w:rsidRPr="00E02A90" w:rsidRDefault="00275706" w:rsidP="00216126">
            <w:pPr>
              <w:spacing w:before="40" w:after="40"/>
              <w:rPr>
                <w:color w:val="4F81BD" w:themeColor="accent1"/>
              </w:rPr>
            </w:pPr>
            <w:r w:rsidRPr="00E02A90">
              <w:rPr>
                <w:color w:val="4F81BD" w:themeColor="accent1"/>
              </w:rPr>
              <w:t>2013</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t>11.</w:t>
            </w:r>
          </w:p>
        </w:tc>
        <w:tc>
          <w:tcPr>
            <w:tcW w:w="699" w:type="pct"/>
          </w:tcPr>
          <w:p w:rsidR="00275706" w:rsidRPr="00E02A90" w:rsidRDefault="00275706" w:rsidP="00216126">
            <w:pPr>
              <w:spacing w:before="40" w:after="40"/>
              <w:rPr>
                <w:color w:val="4F81BD" w:themeColor="accent1"/>
              </w:rPr>
            </w:pPr>
            <w:r w:rsidRPr="00E02A90">
              <w:rPr>
                <w:color w:val="4F81BD" w:themeColor="accent1"/>
              </w:rPr>
              <w:t>Retrospective cohort study</w:t>
            </w:r>
          </w:p>
          <w:p w:rsidR="00275706" w:rsidRPr="00E02A90" w:rsidRDefault="00275706" w:rsidP="00216126">
            <w:pPr>
              <w:spacing w:before="40" w:after="40"/>
              <w:rPr>
                <w:color w:val="4F81BD" w:themeColor="accent1"/>
              </w:rPr>
            </w:pPr>
            <w:r w:rsidRPr="00E02A90">
              <w:rPr>
                <w:color w:val="4F81BD" w:themeColor="accent1"/>
              </w:rPr>
              <w:t>South Korea/St Mary’s Hospital</w:t>
            </w:r>
          </w:p>
          <w:p w:rsidR="00275706" w:rsidRPr="00E02A90" w:rsidRDefault="00275706" w:rsidP="00216126">
            <w:pPr>
              <w:spacing w:before="40" w:after="40"/>
              <w:rPr>
                <w:color w:val="4F81BD" w:themeColor="accent1"/>
              </w:rPr>
            </w:pPr>
            <w:r w:rsidRPr="00E02A90">
              <w:rPr>
                <w:color w:val="4F81BD" w:themeColor="accent1"/>
              </w:rPr>
              <w:t>2009-2012</w:t>
            </w:r>
          </w:p>
        </w:tc>
        <w:tc>
          <w:tcPr>
            <w:tcW w:w="1525" w:type="pct"/>
          </w:tcPr>
          <w:p w:rsidR="00275706" w:rsidRPr="00E02A90" w:rsidRDefault="00275706" w:rsidP="00216126">
            <w:pPr>
              <w:spacing w:before="40" w:after="40"/>
              <w:rPr>
                <w:color w:val="4F81BD" w:themeColor="accent1"/>
              </w:rPr>
            </w:pPr>
            <w:r w:rsidRPr="00E02A90">
              <w:rPr>
                <w:color w:val="4F81BD" w:themeColor="accent1"/>
              </w:rPr>
              <w:t xml:space="preserve">Yang et al. (2013). "Comparative analysis of treatment response for unresectable hepatocellular carcinoma: </w:t>
            </w:r>
            <w:proofErr w:type="spellStart"/>
            <w:r w:rsidRPr="00E02A90">
              <w:rPr>
                <w:color w:val="4F81BD" w:themeColor="accent1"/>
              </w:rPr>
              <w:t>Radioembolization</w:t>
            </w:r>
            <w:proofErr w:type="spellEnd"/>
            <w:r w:rsidRPr="00E02A90">
              <w:rPr>
                <w:color w:val="4F81BD" w:themeColor="accent1"/>
              </w:rPr>
              <w:t xml:space="preserve"> versus 3D-CRT combined with TACE." </w:t>
            </w:r>
            <w:proofErr w:type="spellStart"/>
            <w:r w:rsidRPr="00E02A90">
              <w:rPr>
                <w:color w:val="4F81BD" w:themeColor="accent1"/>
              </w:rPr>
              <w:t>Hepatology</w:t>
            </w:r>
            <w:proofErr w:type="spellEnd"/>
            <w:r w:rsidRPr="00E02A90">
              <w:rPr>
                <w:color w:val="4F81BD" w:themeColor="accent1"/>
              </w:rPr>
              <w:t xml:space="preserve"> 58(4 SUPPL. 1): 1275A.</w:t>
            </w:r>
          </w:p>
        </w:tc>
        <w:tc>
          <w:tcPr>
            <w:tcW w:w="1270" w:type="pct"/>
          </w:tcPr>
          <w:p w:rsidR="00275706" w:rsidRPr="00E02A90" w:rsidRDefault="00275706" w:rsidP="00216126">
            <w:pPr>
              <w:spacing w:before="40" w:after="40"/>
              <w:rPr>
                <w:color w:val="4F81BD" w:themeColor="accent1"/>
              </w:rPr>
            </w:pPr>
            <w:r w:rsidRPr="00E02A90">
              <w:rPr>
                <w:i/>
                <w:color w:val="4F81BD" w:themeColor="accent1"/>
              </w:rPr>
              <w:t>Population:</w:t>
            </w:r>
            <w:r w:rsidRPr="00E02A90">
              <w:rPr>
                <w:color w:val="4F81BD" w:themeColor="accent1"/>
              </w:rPr>
              <w:t xml:space="preserve"> Intermediate to advanced HCC; N=38</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 xml:space="preserve">-Y (not stated) versus TACE + 3D-CRT </w:t>
            </w:r>
          </w:p>
          <w:p w:rsidR="00275706" w:rsidRPr="00E02A90" w:rsidRDefault="00275706" w:rsidP="00216126">
            <w:pPr>
              <w:spacing w:before="40" w:after="40"/>
              <w:rPr>
                <w:i/>
                <w:color w:val="4F81BD" w:themeColor="accent1"/>
              </w:rPr>
            </w:pPr>
            <w:r w:rsidRPr="00E02A90">
              <w:rPr>
                <w:i/>
                <w:color w:val="4F81BD" w:themeColor="accent1"/>
              </w:rPr>
              <w:t xml:space="preserve">Outcomes: </w:t>
            </w:r>
            <w:r w:rsidRPr="00E02A90">
              <w:rPr>
                <w:color w:val="4F81BD" w:themeColor="accent1"/>
              </w:rPr>
              <w:t>overall survival; treatment response</w:t>
            </w:r>
          </w:p>
        </w:tc>
        <w:tc>
          <w:tcPr>
            <w:tcW w:w="872" w:type="pct"/>
          </w:tcPr>
          <w:p w:rsidR="00275706" w:rsidRPr="00E82F54" w:rsidRDefault="00275706" w:rsidP="00216126">
            <w:pPr>
              <w:rPr>
                <w:b/>
                <w:szCs w:val="20"/>
              </w:rPr>
            </w:pPr>
            <w:r w:rsidRPr="00E02A90">
              <w:rPr>
                <w:color w:val="4F81BD" w:themeColor="accent1"/>
              </w:rPr>
              <w:t>Not available (conference abstract only)</w:t>
            </w:r>
          </w:p>
        </w:tc>
        <w:tc>
          <w:tcPr>
            <w:tcW w:w="469" w:type="pct"/>
          </w:tcPr>
          <w:p w:rsidR="00275706" w:rsidRPr="00E02A90" w:rsidRDefault="00275706" w:rsidP="00216126">
            <w:pPr>
              <w:spacing w:before="40" w:after="40"/>
              <w:rPr>
                <w:color w:val="4F81BD" w:themeColor="accent1"/>
              </w:rPr>
            </w:pPr>
            <w:r w:rsidRPr="00E02A90">
              <w:rPr>
                <w:color w:val="4F81BD" w:themeColor="accent1"/>
              </w:rPr>
              <w:t>2013</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lastRenderedPageBreak/>
              <w:t>12.</w:t>
            </w:r>
          </w:p>
        </w:tc>
        <w:tc>
          <w:tcPr>
            <w:tcW w:w="699" w:type="pct"/>
          </w:tcPr>
          <w:p w:rsidR="00275706" w:rsidRPr="00E02A90" w:rsidRDefault="00275706" w:rsidP="00216126">
            <w:pPr>
              <w:spacing w:before="40" w:after="40"/>
              <w:rPr>
                <w:color w:val="4F81BD" w:themeColor="accent1"/>
              </w:rPr>
            </w:pPr>
            <w:r w:rsidRPr="00E02A90">
              <w:rPr>
                <w:color w:val="4F81BD" w:themeColor="accent1"/>
              </w:rPr>
              <w:t>Retrospective cohort study</w:t>
            </w:r>
          </w:p>
          <w:p w:rsidR="00275706" w:rsidRPr="00E02A90" w:rsidRDefault="00275706" w:rsidP="00216126">
            <w:pPr>
              <w:spacing w:before="40" w:after="40"/>
              <w:rPr>
                <w:color w:val="4F81BD" w:themeColor="accent1"/>
              </w:rPr>
            </w:pPr>
            <w:r w:rsidRPr="00E02A90">
              <w:rPr>
                <w:color w:val="4F81BD" w:themeColor="accent1"/>
              </w:rPr>
              <w:t>US/Case Western Reserve University School of Medicine</w:t>
            </w:r>
          </w:p>
          <w:p w:rsidR="00275706" w:rsidRPr="00E02A90" w:rsidRDefault="00275706" w:rsidP="00216126">
            <w:pPr>
              <w:spacing w:before="40" w:after="40"/>
              <w:rPr>
                <w:color w:val="4F81BD" w:themeColor="accent1"/>
              </w:rPr>
            </w:pPr>
            <w:r w:rsidRPr="00E02A90">
              <w:rPr>
                <w:color w:val="4F81BD" w:themeColor="accent1"/>
              </w:rPr>
              <w:t>2007 -2010</w:t>
            </w:r>
          </w:p>
        </w:tc>
        <w:tc>
          <w:tcPr>
            <w:tcW w:w="1525" w:type="pct"/>
          </w:tcPr>
          <w:p w:rsidR="00275706" w:rsidRPr="00E02A90" w:rsidRDefault="00275706" w:rsidP="00216126">
            <w:pPr>
              <w:spacing w:before="40" w:after="40"/>
              <w:rPr>
                <w:color w:val="4F81BD" w:themeColor="accent1"/>
              </w:rPr>
            </w:pPr>
            <w:r w:rsidRPr="00E02A90">
              <w:rPr>
                <w:color w:val="4F81BD" w:themeColor="accent1"/>
              </w:rPr>
              <w:t xml:space="preserve">Lance et al. (2011). "Comparative analysis of the safety and efficacy of </w:t>
            </w:r>
            <w:proofErr w:type="spellStart"/>
            <w:r w:rsidRPr="00E02A90">
              <w:rPr>
                <w:color w:val="4F81BD" w:themeColor="accent1"/>
              </w:rPr>
              <w:t>transcatheter</w:t>
            </w:r>
            <w:proofErr w:type="spellEnd"/>
            <w:r w:rsidRPr="00E02A90">
              <w:rPr>
                <w:color w:val="4F81BD" w:themeColor="accent1"/>
              </w:rPr>
              <w:t xml:space="preserve"> arterial chemoembolization and yttrium-90 </w:t>
            </w:r>
            <w:proofErr w:type="spellStart"/>
            <w:r w:rsidRPr="00E02A90">
              <w:rPr>
                <w:color w:val="4F81BD" w:themeColor="accent1"/>
              </w:rPr>
              <w:t>radioembolization</w:t>
            </w:r>
            <w:proofErr w:type="spellEnd"/>
            <w:r w:rsidRPr="00E02A90">
              <w:rPr>
                <w:color w:val="4F81BD" w:themeColor="accent1"/>
              </w:rPr>
              <w:t xml:space="preserve"> in patients with unresectable hepatocellular carcinoma." J </w:t>
            </w:r>
            <w:proofErr w:type="spellStart"/>
            <w:r w:rsidRPr="00E02A90">
              <w:rPr>
                <w:color w:val="4F81BD" w:themeColor="accent1"/>
              </w:rPr>
              <w:t>Vasc</w:t>
            </w:r>
            <w:proofErr w:type="spellEnd"/>
            <w:r w:rsidRPr="00E02A90">
              <w:rPr>
                <w:color w:val="4F81BD" w:themeColor="accent1"/>
              </w:rPr>
              <w:t xml:space="preserve"> </w:t>
            </w:r>
            <w:proofErr w:type="spellStart"/>
            <w:r w:rsidRPr="00E02A90">
              <w:rPr>
                <w:color w:val="4F81BD" w:themeColor="accent1"/>
              </w:rPr>
              <w:t>Interv</w:t>
            </w:r>
            <w:proofErr w:type="spellEnd"/>
            <w:r w:rsidRPr="00E02A90">
              <w:rPr>
                <w:color w:val="4F81BD" w:themeColor="accent1"/>
              </w:rPr>
              <w:t xml:space="preserve"> </w:t>
            </w:r>
            <w:proofErr w:type="spellStart"/>
            <w:r w:rsidRPr="00E02A90">
              <w:rPr>
                <w:color w:val="4F81BD" w:themeColor="accent1"/>
              </w:rPr>
              <w:t>Radiol</w:t>
            </w:r>
            <w:proofErr w:type="spellEnd"/>
            <w:r w:rsidRPr="00E02A90">
              <w:rPr>
                <w:color w:val="4F81BD" w:themeColor="accent1"/>
              </w:rPr>
              <w:t xml:space="preserve"> 22(12): 1697-1705.</w:t>
            </w:r>
          </w:p>
        </w:tc>
        <w:tc>
          <w:tcPr>
            <w:tcW w:w="1270" w:type="pct"/>
          </w:tcPr>
          <w:p w:rsidR="00275706" w:rsidRPr="00E02A90" w:rsidRDefault="00275706" w:rsidP="00216126">
            <w:pPr>
              <w:spacing w:before="40" w:after="40"/>
              <w:rPr>
                <w:color w:val="4F81BD" w:themeColor="accent1"/>
              </w:rPr>
            </w:pPr>
            <w:r w:rsidRPr="00E02A90">
              <w:rPr>
                <w:i/>
                <w:color w:val="4F81BD" w:themeColor="accent1"/>
              </w:rPr>
              <w:t xml:space="preserve">Population: </w:t>
            </w:r>
            <w:r w:rsidRPr="00E02A90">
              <w:rPr>
                <w:color w:val="4F81BD" w:themeColor="accent1"/>
              </w:rPr>
              <w:t>unresectable HCC; N=73</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 xml:space="preserve">-Y (any) with TACE </w:t>
            </w:r>
          </w:p>
          <w:p w:rsidR="00275706" w:rsidRPr="00E02A90" w:rsidRDefault="00275706" w:rsidP="00216126">
            <w:pPr>
              <w:spacing w:before="40" w:after="40"/>
              <w:rPr>
                <w:i/>
                <w:color w:val="4F81BD" w:themeColor="accent1"/>
              </w:rPr>
            </w:pPr>
            <w:r w:rsidRPr="00E02A90">
              <w:rPr>
                <w:i/>
                <w:color w:val="4F81BD" w:themeColor="accent1"/>
              </w:rPr>
              <w:t xml:space="preserve">Outcomes: </w:t>
            </w:r>
            <w:r w:rsidRPr="00E02A90">
              <w:rPr>
                <w:color w:val="4F81BD" w:themeColor="accent1"/>
              </w:rPr>
              <w:t>overall survival; tumour response; adverse events</w:t>
            </w:r>
          </w:p>
        </w:tc>
        <w:tc>
          <w:tcPr>
            <w:tcW w:w="872" w:type="pct"/>
          </w:tcPr>
          <w:p w:rsidR="00275706" w:rsidRPr="00E82F54" w:rsidRDefault="00275706" w:rsidP="00216126">
            <w:pPr>
              <w:rPr>
                <w:b/>
                <w:szCs w:val="20"/>
              </w:rPr>
            </w:pPr>
            <w:hyperlink r:id="rId22" w:history="1">
              <w:r w:rsidRPr="00E02A90">
                <w:rPr>
                  <w:rStyle w:val="Hyperlink"/>
                  <w:color w:val="4F81BD" w:themeColor="accent1"/>
                  <w:szCs w:val="20"/>
                </w:rPr>
                <w:t>http://www.jvir.org/article/S1051-0443(11)01180-8/abstract</w:t>
              </w:r>
            </w:hyperlink>
          </w:p>
        </w:tc>
        <w:tc>
          <w:tcPr>
            <w:tcW w:w="469" w:type="pct"/>
          </w:tcPr>
          <w:p w:rsidR="00275706" w:rsidRPr="00E02A90" w:rsidRDefault="00275706" w:rsidP="00216126">
            <w:pPr>
              <w:spacing w:before="40" w:after="40"/>
              <w:rPr>
                <w:color w:val="4F81BD" w:themeColor="accent1"/>
              </w:rPr>
            </w:pPr>
            <w:r w:rsidRPr="00E02A90">
              <w:rPr>
                <w:color w:val="4F81BD" w:themeColor="accent1"/>
              </w:rPr>
              <w:t>2011</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t>13.</w:t>
            </w:r>
          </w:p>
        </w:tc>
        <w:tc>
          <w:tcPr>
            <w:tcW w:w="699" w:type="pct"/>
          </w:tcPr>
          <w:p w:rsidR="00275706" w:rsidRPr="00E02A90" w:rsidRDefault="00275706" w:rsidP="00216126">
            <w:pPr>
              <w:spacing w:before="40" w:after="40"/>
              <w:rPr>
                <w:color w:val="4F81BD" w:themeColor="accent1"/>
              </w:rPr>
            </w:pPr>
            <w:r w:rsidRPr="00E02A90">
              <w:rPr>
                <w:color w:val="4F81BD" w:themeColor="accent1"/>
              </w:rPr>
              <w:t>Retrospective cohort study</w:t>
            </w:r>
          </w:p>
          <w:p w:rsidR="00275706" w:rsidRPr="00E02A90" w:rsidRDefault="00275706" w:rsidP="00216126">
            <w:pPr>
              <w:spacing w:before="40" w:after="40"/>
              <w:rPr>
                <w:color w:val="4F81BD" w:themeColor="accent1"/>
              </w:rPr>
            </w:pPr>
            <w:r w:rsidRPr="00E02A90">
              <w:rPr>
                <w:color w:val="4F81BD" w:themeColor="accent1"/>
              </w:rPr>
              <w:t>US/</w:t>
            </w:r>
            <w:proofErr w:type="spellStart"/>
            <w:r w:rsidRPr="00E02A90">
              <w:rPr>
                <w:color w:val="4F81BD" w:themeColor="accent1"/>
              </w:rPr>
              <w:t>Northwestern</w:t>
            </w:r>
            <w:proofErr w:type="spellEnd"/>
            <w:r w:rsidRPr="00E02A90">
              <w:rPr>
                <w:color w:val="4F81BD" w:themeColor="accent1"/>
              </w:rPr>
              <w:t xml:space="preserve"> University</w:t>
            </w:r>
          </w:p>
          <w:p w:rsidR="00275706" w:rsidRPr="00E02A90" w:rsidRDefault="00275706" w:rsidP="00216126">
            <w:pPr>
              <w:spacing w:before="40" w:after="40"/>
              <w:rPr>
                <w:color w:val="4F81BD" w:themeColor="accent1"/>
              </w:rPr>
            </w:pPr>
            <w:r w:rsidRPr="00E02A90">
              <w:rPr>
                <w:color w:val="4F81BD" w:themeColor="accent1"/>
              </w:rPr>
              <w:t>9-year period</w:t>
            </w:r>
          </w:p>
        </w:tc>
        <w:tc>
          <w:tcPr>
            <w:tcW w:w="1525" w:type="pct"/>
          </w:tcPr>
          <w:p w:rsidR="00275706" w:rsidRPr="00E02A90" w:rsidRDefault="00275706" w:rsidP="00216126">
            <w:pPr>
              <w:spacing w:before="40" w:after="40"/>
              <w:rPr>
                <w:color w:val="4F81BD" w:themeColor="accent1"/>
              </w:rPr>
            </w:pPr>
            <w:r w:rsidRPr="00E02A90">
              <w:rPr>
                <w:color w:val="4F81BD" w:themeColor="accent1"/>
              </w:rPr>
              <w:t>Salem et al. (2011). "</w:t>
            </w:r>
            <w:proofErr w:type="spellStart"/>
            <w:r w:rsidRPr="00E02A90">
              <w:rPr>
                <w:color w:val="4F81BD" w:themeColor="accent1"/>
              </w:rPr>
              <w:t>Radioembolization</w:t>
            </w:r>
            <w:proofErr w:type="spellEnd"/>
            <w:r w:rsidRPr="00E02A90">
              <w:rPr>
                <w:color w:val="4F81BD" w:themeColor="accent1"/>
              </w:rPr>
              <w:t xml:space="preserve"> results in longer time-to-progression and reduced toxicity compared with chemoembolization in patients with hepatocellular carcinoma." Gastroenterology 140(2): 497-507.e492.</w:t>
            </w:r>
          </w:p>
        </w:tc>
        <w:tc>
          <w:tcPr>
            <w:tcW w:w="1270" w:type="pct"/>
          </w:tcPr>
          <w:p w:rsidR="00275706" w:rsidRPr="00E02A90" w:rsidRDefault="00275706" w:rsidP="00216126">
            <w:pPr>
              <w:spacing w:before="40" w:after="40"/>
              <w:rPr>
                <w:color w:val="4F81BD" w:themeColor="accent1"/>
              </w:rPr>
            </w:pPr>
            <w:r w:rsidRPr="00E02A90">
              <w:rPr>
                <w:i/>
                <w:color w:val="4F81BD" w:themeColor="accent1"/>
              </w:rPr>
              <w:t xml:space="preserve">Population: </w:t>
            </w:r>
            <w:r w:rsidRPr="00E02A90">
              <w:rPr>
                <w:color w:val="4F81BD" w:themeColor="accent1"/>
              </w:rPr>
              <w:t>unresectable HCC; N=245</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-Y (</w:t>
            </w:r>
            <w:proofErr w:type="spellStart"/>
            <w:r w:rsidRPr="00E02A90">
              <w:rPr>
                <w:color w:val="4F81BD" w:themeColor="accent1"/>
              </w:rPr>
              <w:t>TheraSphere</w:t>
            </w:r>
            <w:proofErr w:type="spellEnd"/>
            <w:r w:rsidRPr="00E02A90">
              <w:rPr>
                <w:color w:val="4F81BD" w:themeColor="accent1"/>
              </w:rPr>
              <w:t xml:space="preserve">) versus </w:t>
            </w:r>
            <w:r>
              <w:rPr>
                <w:color w:val="4F81BD" w:themeColor="accent1"/>
              </w:rPr>
              <w:t>TACE</w:t>
            </w:r>
          </w:p>
          <w:p w:rsidR="00275706" w:rsidRPr="00E02A90" w:rsidRDefault="00275706" w:rsidP="00216126">
            <w:pPr>
              <w:spacing w:before="40" w:after="40"/>
              <w:rPr>
                <w:color w:val="4F81BD" w:themeColor="accent1"/>
              </w:rPr>
            </w:pPr>
            <w:r w:rsidRPr="00E02A90">
              <w:rPr>
                <w:i/>
                <w:color w:val="4F81BD" w:themeColor="accent1"/>
              </w:rPr>
              <w:t xml:space="preserve">Outcomes: </w:t>
            </w:r>
            <w:r w:rsidRPr="00E02A90">
              <w:rPr>
                <w:color w:val="4F81BD" w:themeColor="accent1"/>
              </w:rPr>
              <w:t>overall survival; time to progression; tumour response, adverse events</w:t>
            </w:r>
          </w:p>
        </w:tc>
        <w:tc>
          <w:tcPr>
            <w:tcW w:w="872" w:type="pct"/>
          </w:tcPr>
          <w:p w:rsidR="00275706" w:rsidRPr="00E82F54" w:rsidRDefault="00275706" w:rsidP="00216126">
            <w:pPr>
              <w:rPr>
                <w:b/>
                <w:szCs w:val="20"/>
              </w:rPr>
            </w:pPr>
            <w:hyperlink r:id="rId23" w:history="1">
              <w:r w:rsidRPr="00E02A90">
                <w:rPr>
                  <w:rStyle w:val="Hyperlink"/>
                  <w:color w:val="4F81BD" w:themeColor="accent1"/>
                  <w:szCs w:val="20"/>
                </w:rPr>
                <w:t>https://www.ncbi.nlm.nih.gov/pmc/articles/PMC3129335/pdf/nihms250487.pdf</w:t>
              </w:r>
            </w:hyperlink>
          </w:p>
        </w:tc>
        <w:tc>
          <w:tcPr>
            <w:tcW w:w="469" w:type="pct"/>
          </w:tcPr>
          <w:p w:rsidR="00275706" w:rsidRPr="00E02A90" w:rsidRDefault="00275706" w:rsidP="00216126">
            <w:pPr>
              <w:spacing w:before="40" w:after="40"/>
              <w:rPr>
                <w:color w:val="4F81BD" w:themeColor="accent1"/>
              </w:rPr>
            </w:pPr>
            <w:r w:rsidRPr="00E02A90">
              <w:rPr>
                <w:color w:val="4F81BD" w:themeColor="accent1"/>
              </w:rPr>
              <w:t>2011</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t>14.</w:t>
            </w:r>
          </w:p>
        </w:tc>
        <w:tc>
          <w:tcPr>
            <w:tcW w:w="699" w:type="pct"/>
          </w:tcPr>
          <w:p w:rsidR="00275706" w:rsidRPr="00E02A90" w:rsidRDefault="00275706" w:rsidP="00216126">
            <w:pPr>
              <w:spacing w:before="40" w:after="40"/>
              <w:rPr>
                <w:color w:val="4F81BD" w:themeColor="accent1"/>
              </w:rPr>
            </w:pPr>
            <w:r w:rsidRPr="00E02A90">
              <w:rPr>
                <w:color w:val="4F81BD" w:themeColor="accent1"/>
              </w:rPr>
              <w:t>Retrospective cohort study</w:t>
            </w:r>
          </w:p>
          <w:p w:rsidR="00275706" w:rsidRPr="00E02A90" w:rsidRDefault="00275706" w:rsidP="00216126">
            <w:pPr>
              <w:spacing w:before="40" w:after="40"/>
              <w:rPr>
                <w:color w:val="4F81BD" w:themeColor="accent1"/>
              </w:rPr>
            </w:pPr>
            <w:r w:rsidRPr="00E02A90">
              <w:rPr>
                <w:color w:val="4F81BD" w:themeColor="accent1"/>
              </w:rPr>
              <w:t>US/Emory University</w:t>
            </w:r>
          </w:p>
          <w:p w:rsidR="00275706" w:rsidRPr="00E02A90" w:rsidRDefault="00275706" w:rsidP="00216126">
            <w:pPr>
              <w:spacing w:before="40" w:after="40"/>
              <w:rPr>
                <w:color w:val="4F81BD" w:themeColor="accent1"/>
              </w:rPr>
            </w:pPr>
            <w:r w:rsidRPr="00E02A90">
              <w:rPr>
                <w:color w:val="4F81BD" w:themeColor="accent1"/>
              </w:rPr>
              <w:t>1996-2006</w:t>
            </w:r>
          </w:p>
        </w:tc>
        <w:tc>
          <w:tcPr>
            <w:tcW w:w="1525" w:type="pct"/>
          </w:tcPr>
          <w:p w:rsidR="00275706" w:rsidRPr="00E02A90" w:rsidRDefault="00275706" w:rsidP="00216126">
            <w:pPr>
              <w:spacing w:before="40" w:after="40"/>
              <w:rPr>
                <w:color w:val="4F81BD" w:themeColor="accent1"/>
              </w:rPr>
            </w:pPr>
            <w:proofErr w:type="spellStart"/>
            <w:r w:rsidRPr="00E02A90">
              <w:rPr>
                <w:color w:val="4F81BD" w:themeColor="accent1"/>
              </w:rPr>
              <w:t>Kooby</w:t>
            </w:r>
            <w:proofErr w:type="spellEnd"/>
            <w:r w:rsidRPr="00E02A90">
              <w:rPr>
                <w:color w:val="4F81BD" w:themeColor="accent1"/>
              </w:rPr>
              <w:t xml:space="preserve"> et al. (2010). "Comparison of yttrium-90 </w:t>
            </w:r>
            <w:proofErr w:type="spellStart"/>
            <w:r w:rsidRPr="00E02A90">
              <w:rPr>
                <w:color w:val="4F81BD" w:themeColor="accent1"/>
              </w:rPr>
              <w:t>radioembolization</w:t>
            </w:r>
            <w:proofErr w:type="spellEnd"/>
            <w:r w:rsidRPr="00E02A90">
              <w:rPr>
                <w:color w:val="4F81BD" w:themeColor="accent1"/>
              </w:rPr>
              <w:t xml:space="preserve"> and </w:t>
            </w:r>
            <w:proofErr w:type="spellStart"/>
            <w:r w:rsidRPr="00E02A90">
              <w:rPr>
                <w:color w:val="4F81BD" w:themeColor="accent1"/>
              </w:rPr>
              <w:t>transcatheter</w:t>
            </w:r>
            <w:proofErr w:type="spellEnd"/>
            <w:r w:rsidRPr="00E02A90">
              <w:rPr>
                <w:color w:val="4F81BD" w:themeColor="accent1"/>
              </w:rPr>
              <w:t xml:space="preserve"> arterial chemoembolization for the treatment of unresectable hepatocellular carcinoma." J </w:t>
            </w:r>
            <w:proofErr w:type="spellStart"/>
            <w:r w:rsidRPr="00E02A90">
              <w:rPr>
                <w:color w:val="4F81BD" w:themeColor="accent1"/>
              </w:rPr>
              <w:t>Vasc</w:t>
            </w:r>
            <w:proofErr w:type="spellEnd"/>
            <w:r w:rsidRPr="00E02A90">
              <w:rPr>
                <w:color w:val="4F81BD" w:themeColor="accent1"/>
              </w:rPr>
              <w:t xml:space="preserve"> </w:t>
            </w:r>
            <w:proofErr w:type="spellStart"/>
            <w:r w:rsidRPr="00E02A90">
              <w:rPr>
                <w:color w:val="4F81BD" w:themeColor="accent1"/>
              </w:rPr>
              <w:t>Interv</w:t>
            </w:r>
            <w:proofErr w:type="spellEnd"/>
            <w:r w:rsidRPr="00E02A90">
              <w:rPr>
                <w:color w:val="4F81BD" w:themeColor="accent1"/>
              </w:rPr>
              <w:t xml:space="preserve"> </w:t>
            </w:r>
            <w:proofErr w:type="spellStart"/>
            <w:r w:rsidRPr="00E02A90">
              <w:rPr>
                <w:color w:val="4F81BD" w:themeColor="accent1"/>
              </w:rPr>
              <w:t>Radiol</w:t>
            </w:r>
            <w:proofErr w:type="spellEnd"/>
            <w:r w:rsidRPr="00E02A90">
              <w:rPr>
                <w:color w:val="4F81BD" w:themeColor="accent1"/>
              </w:rPr>
              <w:t xml:space="preserve"> 21(2): 224-230.</w:t>
            </w:r>
          </w:p>
        </w:tc>
        <w:tc>
          <w:tcPr>
            <w:tcW w:w="1270" w:type="pct"/>
          </w:tcPr>
          <w:p w:rsidR="00275706" w:rsidRPr="00E02A90" w:rsidRDefault="00275706" w:rsidP="00216126">
            <w:pPr>
              <w:spacing w:before="40" w:after="40"/>
              <w:rPr>
                <w:color w:val="4F81BD" w:themeColor="accent1"/>
              </w:rPr>
            </w:pPr>
            <w:r w:rsidRPr="00E02A90">
              <w:rPr>
                <w:i/>
                <w:color w:val="4F81BD" w:themeColor="accent1"/>
              </w:rPr>
              <w:t xml:space="preserve">Population: </w:t>
            </w:r>
            <w:r w:rsidRPr="00E02A90">
              <w:rPr>
                <w:color w:val="4F81BD" w:themeColor="accent1"/>
              </w:rPr>
              <w:t>unresectable HCC; N=71</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-Y (SIR-Spheres) with TACE</w:t>
            </w:r>
          </w:p>
          <w:p w:rsidR="00275706" w:rsidRPr="00E02A90" w:rsidRDefault="00275706" w:rsidP="00216126">
            <w:pPr>
              <w:spacing w:before="40" w:after="40"/>
              <w:rPr>
                <w:color w:val="4F81BD" w:themeColor="accent1"/>
              </w:rPr>
            </w:pPr>
            <w:r w:rsidRPr="00E02A90">
              <w:rPr>
                <w:i/>
                <w:color w:val="4F81BD" w:themeColor="accent1"/>
              </w:rPr>
              <w:t xml:space="preserve">Outcomes: </w:t>
            </w:r>
            <w:r w:rsidRPr="00E02A90">
              <w:rPr>
                <w:color w:val="4F81BD" w:themeColor="accent1"/>
              </w:rPr>
              <w:t>overall survival; tumour response; adverse events</w:t>
            </w:r>
          </w:p>
        </w:tc>
        <w:tc>
          <w:tcPr>
            <w:tcW w:w="872" w:type="pct"/>
          </w:tcPr>
          <w:p w:rsidR="00275706" w:rsidRPr="00E82F54" w:rsidRDefault="00275706" w:rsidP="00216126">
            <w:pPr>
              <w:rPr>
                <w:b/>
                <w:szCs w:val="20"/>
              </w:rPr>
            </w:pPr>
            <w:hyperlink r:id="rId24" w:history="1">
              <w:r w:rsidRPr="00E02A90">
                <w:rPr>
                  <w:rStyle w:val="Hyperlink"/>
                  <w:color w:val="4F81BD" w:themeColor="accent1"/>
                  <w:szCs w:val="20"/>
                </w:rPr>
                <w:t>http://www.jvir.org/article/S1051-0443(09)01049-5/abstract</w:t>
              </w:r>
            </w:hyperlink>
          </w:p>
        </w:tc>
        <w:tc>
          <w:tcPr>
            <w:tcW w:w="469" w:type="pct"/>
          </w:tcPr>
          <w:p w:rsidR="00275706" w:rsidRPr="00E02A90" w:rsidRDefault="00275706" w:rsidP="00216126">
            <w:pPr>
              <w:spacing w:before="40" w:after="40"/>
              <w:rPr>
                <w:color w:val="4F81BD" w:themeColor="accent1"/>
              </w:rPr>
            </w:pPr>
            <w:r w:rsidRPr="00E02A90">
              <w:rPr>
                <w:color w:val="4F81BD" w:themeColor="accent1"/>
              </w:rPr>
              <w:t>2010</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lastRenderedPageBreak/>
              <w:t>15.</w:t>
            </w:r>
          </w:p>
        </w:tc>
        <w:tc>
          <w:tcPr>
            <w:tcW w:w="699" w:type="pct"/>
          </w:tcPr>
          <w:p w:rsidR="00275706" w:rsidRPr="00E02A90" w:rsidRDefault="00275706" w:rsidP="00216126">
            <w:pPr>
              <w:spacing w:before="40" w:after="40"/>
              <w:rPr>
                <w:color w:val="4F81BD" w:themeColor="accent1"/>
              </w:rPr>
            </w:pPr>
            <w:r w:rsidRPr="00E02A90">
              <w:rPr>
                <w:color w:val="4F81BD" w:themeColor="accent1"/>
              </w:rPr>
              <w:t>Prospective cohort study</w:t>
            </w:r>
          </w:p>
          <w:p w:rsidR="00275706" w:rsidRPr="00E02A90" w:rsidRDefault="00275706" w:rsidP="00216126">
            <w:pPr>
              <w:spacing w:before="40" w:after="40"/>
              <w:rPr>
                <w:color w:val="4F81BD" w:themeColor="accent1"/>
              </w:rPr>
            </w:pPr>
            <w:r w:rsidRPr="00E02A90">
              <w:rPr>
                <w:color w:val="4F81BD" w:themeColor="accent1"/>
              </w:rPr>
              <w:t>US/multicentre</w:t>
            </w:r>
          </w:p>
          <w:p w:rsidR="00275706" w:rsidRPr="00E02A90" w:rsidRDefault="00275706" w:rsidP="00216126">
            <w:pPr>
              <w:spacing w:before="40" w:after="40"/>
              <w:rPr>
                <w:color w:val="4F81BD" w:themeColor="accent1"/>
              </w:rPr>
            </w:pPr>
            <w:r w:rsidRPr="00E02A90">
              <w:rPr>
                <w:color w:val="4F81BD" w:themeColor="accent1"/>
              </w:rPr>
              <w:t>2007-2013</w:t>
            </w:r>
          </w:p>
        </w:tc>
        <w:tc>
          <w:tcPr>
            <w:tcW w:w="1525" w:type="pct"/>
          </w:tcPr>
          <w:p w:rsidR="00275706" w:rsidRPr="00E02A90" w:rsidRDefault="00275706" w:rsidP="00216126">
            <w:pPr>
              <w:spacing w:before="40" w:after="40"/>
              <w:rPr>
                <w:color w:val="4F81BD" w:themeColor="accent1"/>
              </w:rPr>
            </w:pPr>
            <w:proofErr w:type="spellStart"/>
            <w:r w:rsidRPr="00E02A90">
              <w:rPr>
                <w:color w:val="4F81BD" w:themeColor="accent1"/>
              </w:rPr>
              <w:t>Akinwande</w:t>
            </w:r>
            <w:proofErr w:type="spellEnd"/>
            <w:r w:rsidRPr="00E02A90">
              <w:rPr>
                <w:color w:val="4F81BD" w:themeColor="accent1"/>
              </w:rPr>
              <w:t xml:space="preserve"> et al. (2016). "</w:t>
            </w:r>
            <w:proofErr w:type="spellStart"/>
            <w:r w:rsidRPr="00E02A90">
              <w:rPr>
                <w:color w:val="4F81BD" w:themeColor="accent1"/>
              </w:rPr>
              <w:t>Radioembolization</w:t>
            </w:r>
            <w:proofErr w:type="spellEnd"/>
            <w:r w:rsidRPr="00E02A90">
              <w:rPr>
                <w:color w:val="4F81BD" w:themeColor="accent1"/>
              </w:rPr>
              <w:t xml:space="preserve"> Versus Chemoembolization (DEBDOX) for the Treatment of Unresectable Hepatocellular Carcinoma: A Propensity Matched Study." Anticancer Res 36(1): 239-246.</w:t>
            </w:r>
          </w:p>
        </w:tc>
        <w:tc>
          <w:tcPr>
            <w:tcW w:w="1270" w:type="pct"/>
          </w:tcPr>
          <w:p w:rsidR="00275706" w:rsidRPr="00E02A90" w:rsidRDefault="00275706" w:rsidP="00216126">
            <w:pPr>
              <w:spacing w:before="40" w:after="40"/>
              <w:rPr>
                <w:color w:val="4F81BD" w:themeColor="accent1"/>
              </w:rPr>
            </w:pPr>
            <w:r w:rsidRPr="00E02A90">
              <w:rPr>
                <w:i/>
                <w:color w:val="4F81BD" w:themeColor="accent1"/>
              </w:rPr>
              <w:t xml:space="preserve">Population: </w:t>
            </w:r>
            <w:r w:rsidRPr="00E02A90">
              <w:rPr>
                <w:color w:val="4F81BD" w:themeColor="accent1"/>
              </w:rPr>
              <w:t>unresectable HCC; N=358 (96 matched)</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-Y (</w:t>
            </w:r>
            <w:proofErr w:type="spellStart"/>
            <w:r w:rsidRPr="00E02A90">
              <w:rPr>
                <w:color w:val="4F81BD" w:themeColor="accent1"/>
              </w:rPr>
              <w:t>TheraSphere</w:t>
            </w:r>
            <w:proofErr w:type="spellEnd"/>
            <w:r w:rsidRPr="00E02A90">
              <w:rPr>
                <w:color w:val="4F81BD" w:themeColor="accent1"/>
              </w:rPr>
              <w:t xml:space="preserve">) with DEB-TACE </w:t>
            </w:r>
          </w:p>
          <w:p w:rsidR="00275706" w:rsidRPr="00E02A90" w:rsidRDefault="00275706" w:rsidP="00216126">
            <w:pPr>
              <w:spacing w:before="40" w:after="40"/>
              <w:rPr>
                <w:i/>
                <w:color w:val="4F81BD" w:themeColor="accent1"/>
              </w:rPr>
            </w:pPr>
            <w:r w:rsidRPr="00E02A90">
              <w:rPr>
                <w:i/>
                <w:color w:val="4F81BD" w:themeColor="accent1"/>
              </w:rPr>
              <w:t xml:space="preserve">Outcomes: </w:t>
            </w:r>
            <w:r w:rsidRPr="00E02A90">
              <w:rPr>
                <w:color w:val="4F81BD" w:themeColor="accent1"/>
              </w:rPr>
              <w:t>overall survival; progression-free survival; tumour response; adverse events</w:t>
            </w:r>
          </w:p>
        </w:tc>
        <w:tc>
          <w:tcPr>
            <w:tcW w:w="872" w:type="pct"/>
          </w:tcPr>
          <w:p w:rsidR="00275706" w:rsidRPr="004A61F4" w:rsidRDefault="00275706" w:rsidP="00216126">
            <w:pPr>
              <w:rPr>
                <w:b/>
                <w:szCs w:val="20"/>
              </w:rPr>
            </w:pPr>
            <w:hyperlink r:id="rId25" w:history="1">
              <w:r w:rsidRPr="004A61F4">
                <w:rPr>
                  <w:rStyle w:val="Hyperlink"/>
                  <w:color w:val="4F81BD" w:themeColor="accent1"/>
                  <w:szCs w:val="20"/>
                </w:rPr>
                <w:t>http://ar.iiarjournals.org/content/36/1/239.long</w:t>
              </w:r>
            </w:hyperlink>
          </w:p>
        </w:tc>
        <w:tc>
          <w:tcPr>
            <w:tcW w:w="469" w:type="pct"/>
          </w:tcPr>
          <w:p w:rsidR="00275706" w:rsidRPr="00E02A90" w:rsidRDefault="00275706" w:rsidP="00216126">
            <w:pPr>
              <w:spacing w:before="40" w:after="40"/>
              <w:rPr>
                <w:color w:val="4F81BD" w:themeColor="accent1"/>
              </w:rPr>
            </w:pPr>
            <w:r w:rsidRPr="00E02A90">
              <w:rPr>
                <w:color w:val="4F81BD" w:themeColor="accent1"/>
              </w:rPr>
              <w:t>2016</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t>16.</w:t>
            </w:r>
          </w:p>
        </w:tc>
        <w:tc>
          <w:tcPr>
            <w:tcW w:w="699" w:type="pct"/>
          </w:tcPr>
          <w:p w:rsidR="00275706" w:rsidRPr="00E02A90" w:rsidRDefault="00275706" w:rsidP="00216126">
            <w:pPr>
              <w:spacing w:before="40" w:after="40"/>
              <w:rPr>
                <w:color w:val="4F81BD" w:themeColor="accent1"/>
              </w:rPr>
            </w:pPr>
            <w:r w:rsidRPr="00E02A90">
              <w:rPr>
                <w:color w:val="4F81BD" w:themeColor="accent1"/>
              </w:rPr>
              <w:t>Retrospective cohort study</w:t>
            </w:r>
            <w:r w:rsidRPr="00E02A90">
              <w:rPr>
                <w:rStyle w:val="FootnoteReference"/>
                <w:color w:val="4F81BD" w:themeColor="accent1"/>
              </w:rPr>
              <w:footnoteReference w:id="4"/>
            </w:r>
          </w:p>
          <w:p w:rsidR="00275706" w:rsidRPr="00E02A90" w:rsidRDefault="00275706" w:rsidP="00216126">
            <w:pPr>
              <w:spacing w:before="40" w:after="40"/>
              <w:rPr>
                <w:color w:val="4F81BD" w:themeColor="accent1"/>
              </w:rPr>
            </w:pPr>
            <w:r w:rsidRPr="00E02A90">
              <w:rPr>
                <w:color w:val="4F81BD" w:themeColor="accent1"/>
              </w:rPr>
              <w:t>US/multicentre</w:t>
            </w:r>
          </w:p>
          <w:p w:rsidR="00275706" w:rsidRPr="00E02A90" w:rsidRDefault="00275706" w:rsidP="00216126">
            <w:pPr>
              <w:spacing w:before="40" w:after="40"/>
              <w:rPr>
                <w:color w:val="4F81BD" w:themeColor="accent1"/>
              </w:rPr>
            </w:pPr>
            <w:r w:rsidRPr="00E02A90">
              <w:rPr>
                <w:color w:val="4F81BD" w:themeColor="accent1"/>
              </w:rPr>
              <w:t>2007-2013</w:t>
            </w:r>
          </w:p>
        </w:tc>
        <w:tc>
          <w:tcPr>
            <w:tcW w:w="1525" w:type="pct"/>
          </w:tcPr>
          <w:p w:rsidR="00275706" w:rsidRPr="00E02A90" w:rsidRDefault="00275706" w:rsidP="00216126">
            <w:pPr>
              <w:spacing w:before="40" w:after="40"/>
              <w:rPr>
                <w:color w:val="4F81BD" w:themeColor="accent1"/>
              </w:rPr>
            </w:pPr>
            <w:proofErr w:type="spellStart"/>
            <w:r w:rsidRPr="00E02A90">
              <w:rPr>
                <w:color w:val="4F81BD" w:themeColor="accent1"/>
              </w:rPr>
              <w:t>Akinwande</w:t>
            </w:r>
            <w:proofErr w:type="spellEnd"/>
            <w:r w:rsidRPr="00E02A90">
              <w:rPr>
                <w:color w:val="4F81BD" w:themeColor="accent1"/>
              </w:rPr>
              <w:t xml:space="preserve"> et al. </w:t>
            </w:r>
            <w:r>
              <w:rPr>
                <w:color w:val="4F81BD" w:themeColor="accent1"/>
              </w:rPr>
              <w:t xml:space="preserve">(2015). "Is </w:t>
            </w:r>
            <w:proofErr w:type="spellStart"/>
            <w:r>
              <w:rPr>
                <w:color w:val="4F81BD" w:themeColor="accent1"/>
              </w:rPr>
              <w:t>radioembolization</w:t>
            </w:r>
            <w:proofErr w:type="spellEnd"/>
            <w:r>
              <w:rPr>
                <w:color w:val="4F81BD" w:themeColor="accent1"/>
              </w:rPr>
              <w:t xml:space="preserve"> (</w:t>
            </w:r>
            <w:r w:rsidRPr="002C77DA">
              <w:rPr>
                <w:color w:val="4F81BD" w:themeColor="accent1"/>
                <w:vertAlign w:val="superscript"/>
              </w:rPr>
              <w:t>90</w:t>
            </w:r>
            <w:r w:rsidRPr="00E02A90">
              <w:rPr>
                <w:color w:val="4F81BD" w:themeColor="accent1"/>
              </w:rPr>
              <w:t xml:space="preserve">Y) better than doxorubicin drug-eluting beads (DEBDOX) for hepatocellular carcinoma with portal vein thrombosis? A retrospective analysis." </w:t>
            </w:r>
            <w:proofErr w:type="spellStart"/>
            <w:r w:rsidRPr="00E02A90">
              <w:rPr>
                <w:color w:val="4F81BD" w:themeColor="accent1"/>
              </w:rPr>
              <w:t>Surg</w:t>
            </w:r>
            <w:proofErr w:type="spellEnd"/>
            <w:r w:rsidRPr="00E02A90">
              <w:rPr>
                <w:color w:val="4F81BD" w:themeColor="accent1"/>
              </w:rPr>
              <w:t xml:space="preserve"> </w:t>
            </w:r>
            <w:proofErr w:type="spellStart"/>
            <w:r w:rsidRPr="00E02A90">
              <w:rPr>
                <w:color w:val="4F81BD" w:themeColor="accent1"/>
              </w:rPr>
              <w:t>Oncol</w:t>
            </w:r>
            <w:proofErr w:type="spellEnd"/>
            <w:r w:rsidRPr="00E02A90">
              <w:rPr>
                <w:color w:val="4F81BD" w:themeColor="accent1"/>
              </w:rPr>
              <w:t xml:space="preserve"> 24(3): 270-275.</w:t>
            </w:r>
          </w:p>
        </w:tc>
        <w:tc>
          <w:tcPr>
            <w:tcW w:w="1270" w:type="pct"/>
          </w:tcPr>
          <w:p w:rsidR="00275706" w:rsidRPr="00E02A90" w:rsidRDefault="00275706" w:rsidP="00216126">
            <w:pPr>
              <w:spacing w:before="40" w:after="40"/>
              <w:rPr>
                <w:color w:val="4F81BD" w:themeColor="accent1"/>
              </w:rPr>
            </w:pPr>
            <w:r w:rsidRPr="00E02A90">
              <w:rPr>
                <w:i/>
                <w:color w:val="4F81BD" w:themeColor="accent1"/>
              </w:rPr>
              <w:t xml:space="preserve">Population: </w:t>
            </w:r>
            <w:r w:rsidRPr="00E02A90">
              <w:rPr>
                <w:color w:val="4F81BD" w:themeColor="accent1"/>
              </w:rPr>
              <w:t>HCC and PVT; N=48</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-Y (</w:t>
            </w:r>
            <w:proofErr w:type="spellStart"/>
            <w:r w:rsidRPr="00E02A90">
              <w:rPr>
                <w:color w:val="4F81BD" w:themeColor="accent1"/>
              </w:rPr>
              <w:t>TheraSphere</w:t>
            </w:r>
            <w:proofErr w:type="spellEnd"/>
            <w:r w:rsidRPr="00E02A90">
              <w:rPr>
                <w:color w:val="4F81BD" w:themeColor="accent1"/>
              </w:rPr>
              <w:t xml:space="preserve">) versus DEB-TACE </w:t>
            </w:r>
          </w:p>
          <w:p w:rsidR="00275706" w:rsidRPr="00E02A90" w:rsidRDefault="00275706" w:rsidP="00216126">
            <w:pPr>
              <w:spacing w:before="40" w:after="40"/>
              <w:rPr>
                <w:color w:val="4F81BD" w:themeColor="accent1"/>
              </w:rPr>
            </w:pPr>
            <w:r w:rsidRPr="00E02A90">
              <w:rPr>
                <w:i/>
                <w:color w:val="4F81BD" w:themeColor="accent1"/>
              </w:rPr>
              <w:t xml:space="preserve">Outcomes: </w:t>
            </w:r>
            <w:r w:rsidRPr="00E02A90">
              <w:rPr>
                <w:color w:val="4F81BD" w:themeColor="accent1"/>
              </w:rPr>
              <w:t>overall survival; tumour response; adverse events</w:t>
            </w:r>
          </w:p>
        </w:tc>
        <w:tc>
          <w:tcPr>
            <w:tcW w:w="872" w:type="pct"/>
          </w:tcPr>
          <w:p w:rsidR="00275706" w:rsidRDefault="00275706" w:rsidP="00216126">
            <w:hyperlink r:id="rId26" w:history="1">
              <w:r w:rsidRPr="00E02A90">
                <w:rPr>
                  <w:rStyle w:val="Hyperlink"/>
                  <w:color w:val="4F81BD" w:themeColor="accent1"/>
                  <w:szCs w:val="20"/>
                </w:rPr>
                <w:t>http://www.so-online.net/article/S0960-7404(15)30008-6/abstract</w:t>
              </w:r>
            </w:hyperlink>
          </w:p>
        </w:tc>
        <w:tc>
          <w:tcPr>
            <w:tcW w:w="469" w:type="pct"/>
          </w:tcPr>
          <w:p w:rsidR="00275706" w:rsidRPr="00E02A90" w:rsidRDefault="00275706" w:rsidP="00216126">
            <w:pPr>
              <w:spacing w:before="40" w:after="40"/>
              <w:rPr>
                <w:color w:val="4F81BD" w:themeColor="accent1"/>
              </w:rPr>
            </w:pPr>
            <w:r w:rsidRPr="00E02A90">
              <w:rPr>
                <w:color w:val="4F81BD" w:themeColor="accent1"/>
              </w:rPr>
              <w:t>2015</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t>17.</w:t>
            </w:r>
          </w:p>
        </w:tc>
        <w:tc>
          <w:tcPr>
            <w:tcW w:w="699" w:type="pct"/>
          </w:tcPr>
          <w:p w:rsidR="00275706" w:rsidRPr="00E02A90" w:rsidRDefault="00275706" w:rsidP="00216126">
            <w:pPr>
              <w:keepNext/>
              <w:spacing w:before="40" w:after="40"/>
              <w:rPr>
                <w:color w:val="4F81BD" w:themeColor="accent1"/>
              </w:rPr>
            </w:pPr>
            <w:r w:rsidRPr="00E02A90">
              <w:rPr>
                <w:color w:val="4F81BD" w:themeColor="accent1"/>
              </w:rPr>
              <w:t>RCT</w:t>
            </w:r>
          </w:p>
          <w:p w:rsidR="00275706" w:rsidRPr="00E02A90" w:rsidRDefault="00275706" w:rsidP="00216126">
            <w:pPr>
              <w:keepNext/>
              <w:spacing w:before="40" w:after="40"/>
              <w:rPr>
                <w:color w:val="4F81BD" w:themeColor="accent1"/>
              </w:rPr>
            </w:pPr>
            <w:r w:rsidRPr="00E02A90">
              <w:rPr>
                <w:color w:val="4F81BD" w:themeColor="accent1"/>
              </w:rPr>
              <w:t>28 centres</w:t>
            </w:r>
          </w:p>
          <w:p w:rsidR="00275706" w:rsidRPr="00E02A90" w:rsidRDefault="00275706" w:rsidP="00216126">
            <w:pPr>
              <w:keepNext/>
              <w:spacing w:before="40" w:after="40"/>
              <w:rPr>
                <w:b/>
                <w:color w:val="4F81BD" w:themeColor="accent1"/>
                <w:szCs w:val="20"/>
              </w:rPr>
            </w:pPr>
            <w:r w:rsidRPr="00E02A90">
              <w:rPr>
                <w:color w:val="4F81BD" w:themeColor="accent1"/>
              </w:rPr>
              <w:t>France</w:t>
            </w:r>
          </w:p>
        </w:tc>
        <w:tc>
          <w:tcPr>
            <w:tcW w:w="1525" w:type="pct"/>
          </w:tcPr>
          <w:p w:rsidR="00275706" w:rsidRPr="00E02A90" w:rsidRDefault="00275706" w:rsidP="00216126">
            <w:pPr>
              <w:keepNext/>
              <w:spacing w:before="40" w:after="40"/>
              <w:rPr>
                <w:color w:val="4F81BD" w:themeColor="accent1"/>
              </w:rPr>
            </w:pPr>
            <w:proofErr w:type="spellStart"/>
            <w:r w:rsidRPr="00E02A90">
              <w:rPr>
                <w:color w:val="4F81BD" w:themeColor="accent1"/>
              </w:rPr>
              <w:t>Vilgrain</w:t>
            </w:r>
            <w:proofErr w:type="spellEnd"/>
            <w:r w:rsidRPr="00E02A90">
              <w:rPr>
                <w:color w:val="4F81BD" w:themeColor="accent1"/>
              </w:rPr>
              <w:t xml:space="preserve"> et al. (2014). "</w:t>
            </w:r>
            <w:proofErr w:type="spellStart"/>
            <w:r w:rsidRPr="00E02A90">
              <w:rPr>
                <w:color w:val="4F81BD" w:themeColor="accent1"/>
              </w:rPr>
              <w:t>Radioembolisation</w:t>
            </w:r>
            <w:proofErr w:type="spellEnd"/>
            <w:r w:rsidRPr="00E02A90">
              <w:rPr>
                <w:color w:val="4F81BD" w:themeColor="accent1"/>
              </w:rPr>
              <w:t xml:space="preserve"> with yttrium90 microspheres versus </w:t>
            </w:r>
            <w:proofErr w:type="spellStart"/>
            <w:r w:rsidRPr="00E02A90">
              <w:rPr>
                <w:color w:val="4F81BD" w:themeColor="accent1"/>
              </w:rPr>
              <w:t>sorafenib</w:t>
            </w:r>
            <w:proofErr w:type="spellEnd"/>
            <w:r w:rsidRPr="00E02A90">
              <w:rPr>
                <w:color w:val="4F81BD" w:themeColor="accent1"/>
              </w:rPr>
              <w:t xml:space="preserve"> for treatment of advanced hepatocellular carcinoma (SARAH): study protocol for a randomised controlled trial." Trials 15: 474.</w:t>
            </w:r>
          </w:p>
          <w:p w:rsidR="00275706" w:rsidRPr="00E02A90" w:rsidRDefault="00275706" w:rsidP="00216126">
            <w:pPr>
              <w:keepNext/>
              <w:spacing w:before="40" w:after="40"/>
              <w:rPr>
                <w:color w:val="4F81BD" w:themeColor="accent1"/>
              </w:rPr>
            </w:pPr>
            <w:r w:rsidRPr="00E02A90">
              <w:rPr>
                <w:i/>
                <w:color w:val="4F81BD" w:themeColor="accent1"/>
              </w:rPr>
              <w:t>Trial ID:</w:t>
            </w:r>
            <w:r w:rsidRPr="00E02A90">
              <w:rPr>
                <w:color w:val="4F81BD" w:themeColor="accent1"/>
              </w:rPr>
              <w:t xml:space="preserve"> SARAH</w:t>
            </w:r>
            <w:bookmarkStart w:id="1" w:name="_Ref475717471"/>
            <w:r>
              <w:rPr>
                <w:rStyle w:val="FootnoteReference"/>
                <w:color w:val="4F81BD" w:themeColor="accent1"/>
              </w:rPr>
              <w:footnoteReference w:id="5"/>
            </w:r>
            <w:bookmarkEnd w:id="1"/>
          </w:p>
          <w:p w:rsidR="00275706" w:rsidRPr="00E02A90" w:rsidRDefault="00275706" w:rsidP="00216126">
            <w:pPr>
              <w:keepNext/>
              <w:spacing w:before="40" w:after="40"/>
              <w:rPr>
                <w:b/>
                <w:color w:val="4F81BD" w:themeColor="accent1"/>
                <w:szCs w:val="20"/>
              </w:rPr>
            </w:pPr>
            <w:r w:rsidRPr="00E02A90">
              <w:rPr>
                <w:i/>
                <w:color w:val="4F81BD" w:themeColor="accent1"/>
              </w:rPr>
              <w:t>Registration no.:</w:t>
            </w:r>
            <w:r w:rsidRPr="00E02A90">
              <w:rPr>
                <w:color w:val="4F81BD" w:themeColor="accent1"/>
              </w:rPr>
              <w:t xml:space="preserve"> NCT01482442</w:t>
            </w:r>
          </w:p>
        </w:tc>
        <w:tc>
          <w:tcPr>
            <w:tcW w:w="1270" w:type="pct"/>
          </w:tcPr>
          <w:p w:rsidR="00275706" w:rsidRPr="00E02A90" w:rsidRDefault="00275706" w:rsidP="00216126">
            <w:pPr>
              <w:keepNext/>
              <w:spacing w:before="40" w:after="40"/>
              <w:rPr>
                <w:color w:val="4F81BD" w:themeColor="accent1"/>
              </w:rPr>
            </w:pPr>
            <w:r w:rsidRPr="00E02A90">
              <w:rPr>
                <w:i/>
                <w:color w:val="4F81BD" w:themeColor="accent1"/>
              </w:rPr>
              <w:t>Population:</w:t>
            </w:r>
            <w:r w:rsidRPr="00E02A90">
              <w:rPr>
                <w:color w:val="4F81BD" w:themeColor="accent1"/>
              </w:rPr>
              <w:t xml:space="preserve"> advanced HCC; N~440</w:t>
            </w:r>
          </w:p>
          <w:p w:rsidR="00275706" w:rsidRPr="00E02A90" w:rsidRDefault="00275706" w:rsidP="00216126">
            <w:pPr>
              <w:keepNext/>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 xml:space="preserve">-Y (SIR-Spheres) versus </w:t>
            </w:r>
            <w:proofErr w:type="spellStart"/>
            <w:r w:rsidRPr="00E02A90">
              <w:rPr>
                <w:color w:val="4F81BD" w:themeColor="accent1"/>
              </w:rPr>
              <w:t>sorafenib</w:t>
            </w:r>
            <w:proofErr w:type="spellEnd"/>
            <w:r w:rsidRPr="00E02A90">
              <w:rPr>
                <w:color w:val="4F81BD" w:themeColor="accent1"/>
              </w:rPr>
              <w:t xml:space="preserve"> </w:t>
            </w:r>
          </w:p>
          <w:p w:rsidR="00275706" w:rsidRPr="00E02A90" w:rsidRDefault="00275706" w:rsidP="00216126">
            <w:pPr>
              <w:keepNext/>
              <w:spacing w:before="40" w:after="40"/>
              <w:rPr>
                <w:i/>
                <w:color w:val="4F81BD" w:themeColor="accent1"/>
              </w:rPr>
            </w:pPr>
            <w:r w:rsidRPr="00E02A90">
              <w:rPr>
                <w:i/>
                <w:color w:val="4F81BD" w:themeColor="accent1"/>
              </w:rPr>
              <w:t>Outcomes:</w:t>
            </w:r>
            <w:r w:rsidRPr="00E02A90">
              <w:rPr>
                <w:color w:val="4F81BD" w:themeColor="accent1"/>
              </w:rPr>
              <w:t xml:space="preserve">  overall survival; progression-free survival; tumour response; general or liver disease-specific quality of life; adverse events</w:t>
            </w:r>
            <w:r w:rsidRPr="00E02A90">
              <w:rPr>
                <w:i/>
                <w:color w:val="4F81BD" w:themeColor="accent1"/>
              </w:rPr>
              <w:t xml:space="preserve"> </w:t>
            </w:r>
          </w:p>
          <w:p w:rsidR="00275706" w:rsidRPr="00E02A90" w:rsidRDefault="00275706" w:rsidP="00216126">
            <w:pPr>
              <w:keepNext/>
              <w:spacing w:before="40" w:after="40"/>
              <w:rPr>
                <w:color w:val="4F81BD" w:themeColor="accent1"/>
              </w:rPr>
            </w:pPr>
            <w:r w:rsidRPr="00E02A90">
              <w:rPr>
                <w:i/>
                <w:color w:val="4F81BD" w:themeColor="accent1"/>
              </w:rPr>
              <w:t>Status:</w:t>
            </w:r>
            <w:r w:rsidRPr="00E02A90">
              <w:rPr>
                <w:color w:val="4F81BD" w:themeColor="accent1"/>
              </w:rPr>
              <w:t xml:space="preserve"> completed</w:t>
            </w:r>
            <w:r w:rsidRPr="00E02A90">
              <w:rPr>
                <w:rStyle w:val="FootnoteReference"/>
                <w:color w:val="4F81BD" w:themeColor="accent1"/>
              </w:rPr>
              <w:footnoteReference w:id="6"/>
            </w:r>
          </w:p>
          <w:p w:rsidR="00275706" w:rsidRPr="00E02A90" w:rsidRDefault="00275706" w:rsidP="00216126">
            <w:pPr>
              <w:keepNext/>
              <w:spacing w:before="40" w:after="40"/>
              <w:rPr>
                <w:b/>
                <w:color w:val="4F81BD" w:themeColor="accent1"/>
                <w:szCs w:val="20"/>
              </w:rPr>
            </w:pPr>
          </w:p>
        </w:tc>
        <w:tc>
          <w:tcPr>
            <w:tcW w:w="872" w:type="pct"/>
          </w:tcPr>
          <w:p w:rsidR="00275706" w:rsidRDefault="00275706" w:rsidP="00216126">
            <w:hyperlink r:id="rId27" w:history="1">
              <w:r w:rsidRPr="00E02A90">
                <w:rPr>
                  <w:rStyle w:val="Hyperlink"/>
                  <w:color w:val="4F81BD" w:themeColor="accent1"/>
                </w:rPr>
                <w:t>https://www.ncbi.nlm.nih.gov/pmc/articles/PMC4265525/pdf/13063_2014_Article_2333.pdf</w:t>
              </w:r>
            </w:hyperlink>
          </w:p>
        </w:tc>
        <w:tc>
          <w:tcPr>
            <w:tcW w:w="469" w:type="pct"/>
          </w:tcPr>
          <w:p w:rsidR="00275706" w:rsidRPr="00E02A90" w:rsidRDefault="00275706" w:rsidP="00216126">
            <w:pPr>
              <w:keepNext/>
              <w:spacing w:before="40" w:after="40"/>
              <w:rPr>
                <w:b/>
                <w:color w:val="4F81BD" w:themeColor="accent1"/>
                <w:szCs w:val="20"/>
              </w:rPr>
            </w:pPr>
            <w:r w:rsidRPr="00E02A90">
              <w:rPr>
                <w:color w:val="4F81BD" w:themeColor="accent1"/>
              </w:rPr>
              <w:t>2014</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lastRenderedPageBreak/>
              <w:t>18.</w:t>
            </w:r>
          </w:p>
        </w:tc>
        <w:tc>
          <w:tcPr>
            <w:tcW w:w="699" w:type="pct"/>
          </w:tcPr>
          <w:p w:rsidR="00275706" w:rsidRPr="00E02A90" w:rsidRDefault="00275706" w:rsidP="00216126">
            <w:pPr>
              <w:spacing w:before="40" w:after="40"/>
              <w:rPr>
                <w:color w:val="4F81BD" w:themeColor="accent1"/>
              </w:rPr>
            </w:pPr>
            <w:r w:rsidRPr="00E02A90">
              <w:rPr>
                <w:color w:val="4F81BD" w:themeColor="accent1"/>
              </w:rPr>
              <w:t>RCT</w:t>
            </w:r>
          </w:p>
          <w:p w:rsidR="00275706" w:rsidRPr="00E02A90" w:rsidRDefault="00275706" w:rsidP="00216126">
            <w:pPr>
              <w:spacing w:before="40" w:after="40"/>
              <w:rPr>
                <w:color w:val="4F81BD" w:themeColor="accent1"/>
              </w:rPr>
            </w:pPr>
            <w:r w:rsidRPr="00E02A90">
              <w:rPr>
                <w:color w:val="4F81BD" w:themeColor="accent1"/>
              </w:rPr>
              <w:t>Single-centre</w:t>
            </w:r>
          </w:p>
          <w:p w:rsidR="00275706" w:rsidRPr="00E02A90" w:rsidRDefault="00275706" w:rsidP="00216126">
            <w:pPr>
              <w:spacing w:before="40" w:after="40"/>
              <w:rPr>
                <w:b/>
                <w:color w:val="4F81BD" w:themeColor="accent1"/>
                <w:szCs w:val="20"/>
              </w:rPr>
            </w:pPr>
            <w:r w:rsidRPr="00E02A90">
              <w:rPr>
                <w:color w:val="4F81BD" w:themeColor="accent1"/>
              </w:rPr>
              <w:t>Germany</w:t>
            </w:r>
          </w:p>
        </w:tc>
        <w:tc>
          <w:tcPr>
            <w:tcW w:w="1525" w:type="pct"/>
          </w:tcPr>
          <w:p w:rsidR="00275706" w:rsidRPr="00E02A90" w:rsidRDefault="00275706" w:rsidP="00216126">
            <w:pPr>
              <w:spacing w:before="40" w:after="40"/>
              <w:rPr>
                <w:color w:val="4F81BD" w:themeColor="accent1"/>
              </w:rPr>
            </w:pPr>
            <w:proofErr w:type="spellStart"/>
            <w:r w:rsidRPr="00E02A90">
              <w:rPr>
                <w:color w:val="4F81BD" w:themeColor="accent1"/>
              </w:rPr>
              <w:t>Ricke</w:t>
            </w:r>
            <w:proofErr w:type="spellEnd"/>
            <w:r w:rsidRPr="00E02A90">
              <w:rPr>
                <w:color w:val="4F81BD" w:themeColor="accent1"/>
              </w:rPr>
              <w:t xml:space="preserve"> et al. (2015). "Safety and toxicity of </w:t>
            </w:r>
            <w:proofErr w:type="spellStart"/>
            <w:r w:rsidRPr="00E02A90">
              <w:rPr>
                <w:color w:val="4F81BD" w:themeColor="accent1"/>
              </w:rPr>
              <w:t>radioembolization</w:t>
            </w:r>
            <w:proofErr w:type="spellEnd"/>
            <w:r w:rsidRPr="00E02A90">
              <w:rPr>
                <w:color w:val="4F81BD" w:themeColor="accent1"/>
              </w:rPr>
              <w:t xml:space="preserve"> plus </w:t>
            </w:r>
            <w:proofErr w:type="spellStart"/>
            <w:r w:rsidRPr="00E02A90">
              <w:rPr>
                <w:color w:val="4F81BD" w:themeColor="accent1"/>
              </w:rPr>
              <w:t>Sorafenib</w:t>
            </w:r>
            <w:proofErr w:type="spellEnd"/>
            <w:r w:rsidRPr="00E02A90">
              <w:rPr>
                <w:color w:val="4F81BD" w:themeColor="accent1"/>
              </w:rPr>
              <w:t xml:space="preserve"> in advanced hepatocellular carcinoma: analysis of the European multicentre trial SORAMIC." Liver </w:t>
            </w:r>
            <w:proofErr w:type="spellStart"/>
            <w:r w:rsidRPr="00E02A90">
              <w:rPr>
                <w:color w:val="4F81BD" w:themeColor="accent1"/>
              </w:rPr>
              <w:t>Int</w:t>
            </w:r>
            <w:proofErr w:type="spellEnd"/>
            <w:r w:rsidRPr="00E02A90">
              <w:rPr>
                <w:color w:val="4F81BD" w:themeColor="accent1"/>
              </w:rPr>
              <w:t xml:space="preserve"> 35(2): 620-626.</w:t>
            </w:r>
          </w:p>
          <w:p w:rsidR="00275706" w:rsidRPr="00E02A90" w:rsidRDefault="00275706" w:rsidP="00216126">
            <w:pPr>
              <w:spacing w:before="40" w:after="40"/>
              <w:rPr>
                <w:color w:val="4F81BD" w:themeColor="accent1"/>
              </w:rPr>
            </w:pPr>
            <w:r w:rsidRPr="00E02A90">
              <w:rPr>
                <w:i/>
                <w:color w:val="4F81BD" w:themeColor="accent1"/>
              </w:rPr>
              <w:t>Trial ID:</w:t>
            </w:r>
            <w:r w:rsidRPr="00E02A90">
              <w:rPr>
                <w:color w:val="4F81BD" w:themeColor="accent1"/>
              </w:rPr>
              <w:t xml:space="preserve"> SORAMIC</w:t>
            </w:r>
          </w:p>
          <w:p w:rsidR="00275706" w:rsidRPr="00E02A90" w:rsidRDefault="00275706" w:rsidP="00216126">
            <w:pPr>
              <w:spacing w:before="40" w:after="40"/>
              <w:rPr>
                <w:b/>
                <w:color w:val="4F81BD" w:themeColor="accent1"/>
                <w:szCs w:val="20"/>
              </w:rPr>
            </w:pPr>
            <w:r w:rsidRPr="00E02A90">
              <w:rPr>
                <w:i/>
                <w:color w:val="4F81BD" w:themeColor="accent1"/>
              </w:rPr>
              <w:t>Registration no.:</w:t>
            </w:r>
            <w:r w:rsidRPr="00E02A90">
              <w:rPr>
                <w:color w:val="4F81BD" w:themeColor="accent1"/>
              </w:rPr>
              <w:t xml:space="preserve"> NCT01126645</w:t>
            </w:r>
          </w:p>
        </w:tc>
        <w:tc>
          <w:tcPr>
            <w:tcW w:w="1270" w:type="pct"/>
          </w:tcPr>
          <w:p w:rsidR="00275706" w:rsidRPr="00E02A90" w:rsidRDefault="00275706" w:rsidP="00216126">
            <w:pPr>
              <w:spacing w:before="40" w:after="40"/>
              <w:rPr>
                <w:color w:val="4F81BD" w:themeColor="accent1"/>
              </w:rPr>
            </w:pPr>
            <w:r w:rsidRPr="00E02A90">
              <w:rPr>
                <w:i/>
                <w:color w:val="4F81BD" w:themeColor="accent1"/>
              </w:rPr>
              <w:t>Population:</w:t>
            </w:r>
            <w:r w:rsidRPr="00E02A90">
              <w:rPr>
                <w:color w:val="4F81BD" w:themeColor="accent1"/>
              </w:rPr>
              <w:t xml:space="preserve"> inoperable HCC </w:t>
            </w:r>
            <w:r w:rsidRPr="00E02A90">
              <w:rPr>
                <w:rFonts w:cstheme="minorHAnsi"/>
                <w:color w:val="4F81BD" w:themeColor="accent1"/>
              </w:rPr>
              <w:t>±</w:t>
            </w:r>
            <w:r w:rsidRPr="00E02A90">
              <w:rPr>
                <w:color w:val="4F81BD" w:themeColor="accent1"/>
              </w:rPr>
              <w:t xml:space="preserve"> PVT; N~375 (interim analysis = 40)</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 xml:space="preserve">-Y (SIR-Spheres) + </w:t>
            </w:r>
            <w:proofErr w:type="spellStart"/>
            <w:r w:rsidRPr="00E02A90">
              <w:rPr>
                <w:color w:val="4F81BD" w:themeColor="accent1"/>
              </w:rPr>
              <w:t>sorafenib</w:t>
            </w:r>
            <w:proofErr w:type="spellEnd"/>
            <w:r w:rsidRPr="00E02A90">
              <w:rPr>
                <w:color w:val="4F81BD" w:themeColor="accent1"/>
              </w:rPr>
              <w:t xml:space="preserve"> versus </w:t>
            </w:r>
            <w:proofErr w:type="spellStart"/>
            <w:r w:rsidRPr="00E02A90">
              <w:rPr>
                <w:color w:val="4F81BD" w:themeColor="accent1"/>
              </w:rPr>
              <w:t>sorafenib</w:t>
            </w:r>
            <w:proofErr w:type="spellEnd"/>
            <w:r w:rsidRPr="00E02A90">
              <w:rPr>
                <w:color w:val="4F81BD" w:themeColor="accent1"/>
              </w:rPr>
              <w:t xml:space="preserve"> alone </w:t>
            </w:r>
          </w:p>
          <w:p w:rsidR="00275706" w:rsidRPr="00E02A90" w:rsidRDefault="00275706" w:rsidP="00216126">
            <w:pPr>
              <w:spacing w:before="40" w:after="40"/>
              <w:rPr>
                <w:color w:val="4F81BD" w:themeColor="accent1"/>
              </w:rPr>
            </w:pPr>
            <w:r w:rsidRPr="00E02A90">
              <w:rPr>
                <w:i/>
                <w:color w:val="4F81BD" w:themeColor="accent1"/>
              </w:rPr>
              <w:t>Outcomes:</w:t>
            </w:r>
            <w:r w:rsidRPr="00E02A90">
              <w:rPr>
                <w:color w:val="4F81BD" w:themeColor="accent1"/>
              </w:rPr>
              <w:t xml:space="preserve"> adverse events</w:t>
            </w:r>
          </w:p>
          <w:p w:rsidR="00275706" w:rsidRPr="00E02A90" w:rsidRDefault="00275706" w:rsidP="00216126">
            <w:pPr>
              <w:spacing w:before="40" w:after="40"/>
              <w:rPr>
                <w:color w:val="4F81BD" w:themeColor="accent1"/>
              </w:rPr>
            </w:pPr>
            <w:r w:rsidRPr="00E02A90">
              <w:rPr>
                <w:i/>
                <w:color w:val="4F81BD" w:themeColor="accent1"/>
              </w:rPr>
              <w:t>Status:</w:t>
            </w:r>
            <w:r w:rsidRPr="00E02A90">
              <w:rPr>
                <w:color w:val="4F81BD" w:themeColor="accent1"/>
              </w:rPr>
              <w:t xml:space="preserve"> still recruiting. Interim safety results published. EDC = March 2018</w:t>
            </w:r>
          </w:p>
          <w:p w:rsidR="00275706" w:rsidRPr="00E02A90" w:rsidRDefault="00275706" w:rsidP="00216126">
            <w:pPr>
              <w:spacing w:before="40" w:after="40"/>
              <w:rPr>
                <w:b/>
                <w:color w:val="4F81BD" w:themeColor="accent1"/>
                <w:szCs w:val="20"/>
              </w:rPr>
            </w:pPr>
          </w:p>
        </w:tc>
        <w:tc>
          <w:tcPr>
            <w:tcW w:w="872" w:type="pct"/>
          </w:tcPr>
          <w:p w:rsidR="00275706" w:rsidRDefault="00275706" w:rsidP="00216126">
            <w:hyperlink r:id="rId28" w:history="1">
              <w:r w:rsidRPr="00E02A90">
                <w:rPr>
                  <w:rStyle w:val="Hyperlink"/>
                  <w:color w:val="4F81BD" w:themeColor="accent1"/>
                </w:rPr>
                <w:t>http://onlinelibrary.wiley.com/doi/10.1111/liv.12622/abstract</w:t>
              </w:r>
            </w:hyperlink>
          </w:p>
        </w:tc>
        <w:tc>
          <w:tcPr>
            <w:tcW w:w="469" w:type="pct"/>
          </w:tcPr>
          <w:p w:rsidR="00275706" w:rsidRPr="00E02A90" w:rsidRDefault="00275706" w:rsidP="00216126">
            <w:pPr>
              <w:spacing w:before="40" w:after="40"/>
              <w:rPr>
                <w:b/>
                <w:color w:val="4F81BD" w:themeColor="accent1"/>
                <w:szCs w:val="20"/>
              </w:rPr>
            </w:pPr>
            <w:r w:rsidRPr="00E02A90">
              <w:rPr>
                <w:color w:val="4F81BD" w:themeColor="accent1"/>
              </w:rPr>
              <w:t>2015</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t>19.</w:t>
            </w:r>
          </w:p>
        </w:tc>
        <w:tc>
          <w:tcPr>
            <w:tcW w:w="699" w:type="pct"/>
          </w:tcPr>
          <w:p w:rsidR="00275706" w:rsidRPr="00E02A90" w:rsidRDefault="00275706" w:rsidP="00216126">
            <w:pPr>
              <w:keepNext/>
              <w:spacing w:before="40" w:after="40"/>
              <w:rPr>
                <w:color w:val="4F81BD" w:themeColor="accent1"/>
              </w:rPr>
            </w:pPr>
            <w:r w:rsidRPr="00E02A90">
              <w:rPr>
                <w:color w:val="4F81BD" w:themeColor="accent1"/>
              </w:rPr>
              <w:t>Retrospective cohort study</w:t>
            </w:r>
          </w:p>
          <w:p w:rsidR="00275706" w:rsidRPr="00E02A90" w:rsidRDefault="00275706" w:rsidP="00216126">
            <w:pPr>
              <w:keepNext/>
              <w:spacing w:before="40" w:after="40"/>
              <w:rPr>
                <w:color w:val="4F81BD" w:themeColor="accent1"/>
              </w:rPr>
            </w:pPr>
            <w:r w:rsidRPr="00E02A90">
              <w:rPr>
                <w:color w:val="4F81BD" w:themeColor="accent1"/>
              </w:rPr>
              <w:t>Korea/6 centres</w:t>
            </w:r>
          </w:p>
          <w:p w:rsidR="00275706" w:rsidRPr="00E02A90" w:rsidRDefault="00275706" w:rsidP="00216126">
            <w:pPr>
              <w:keepNext/>
              <w:spacing w:before="40" w:after="40"/>
              <w:rPr>
                <w:b/>
                <w:color w:val="4F81BD" w:themeColor="accent1"/>
                <w:szCs w:val="20"/>
              </w:rPr>
            </w:pPr>
            <w:r w:rsidRPr="00E02A90">
              <w:rPr>
                <w:color w:val="4F81BD" w:themeColor="accent1"/>
              </w:rPr>
              <w:t>2008-2013</w:t>
            </w:r>
          </w:p>
        </w:tc>
        <w:tc>
          <w:tcPr>
            <w:tcW w:w="1525" w:type="pct"/>
          </w:tcPr>
          <w:p w:rsidR="00275706" w:rsidRPr="00E02A90" w:rsidRDefault="00275706" w:rsidP="00216126">
            <w:pPr>
              <w:keepNext/>
              <w:spacing w:before="40" w:after="40"/>
              <w:rPr>
                <w:b/>
                <w:color w:val="4F81BD" w:themeColor="accent1"/>
                <w:szCs w:val="20"/>
              </w:rPr>
            </w:pPr>
            <w:r w:rsidRPr="00E02A90">
              <w:rPr>
                <w:color w:val="4F81BD" w:themeColor="accent1"/>
              </w:rPr>
              <w:t>Cho et al. (2016). "</w:t>
            </w:r>
            <w:proofErr w:type="spellStart"/>
            <w:r w:rsidRPr="00E02A90">
              <w:rPr>
                <w:color w:val="4F81BD" w:themeColor="accent1"/>
              </w:rPr>
              <w:t>Radioembolization</w:t>
            </w:r>
            <w:proofErr w:type="spellEnd"/>
            <w:r w:rsidRPr="00E02A90">
              <w:rPr>
                <w:color w:val="4F81BD" w:themeColor="accent1"/>
              </w:rPr>
              <w:t xml:space="preserve"> Is a Safe and Effective Treatment for Hepatocellular Carcinoma with Portal Vein Thrombosis: A Propensity Score Analysis." </w:t>
            </w:r>
            <w:proofErr w:type="spellStart"/>
            <w:r w:rsidRPr="00E02A90">
              <w:rPr>
                <w:color w:val="4F81BD" w:themeColor="accent1"/>
              </w:rPr>
              <w:t>PLoS</w:t>
            </w:r>
            <w:proofErr w:type="spellEnd"/>
            <w:r w:rsidRPr="00E02A90">
              <w:rPr>
                <w:color w:val="4F81BD" w:themeColor="accent1"/>
              </w:rPr>
              <w:t xml:space="preserve"> One 11(5): e0154986.</w:t>
            </w:r>
          </w:p>
        </w:tc>
        <w:tc>
          <w:tcPr>
            <w:tcW w:w="1270" w:type="pct"/>
          </w:tcPr>
          <w:p w:rsidR="00275706" w:rsidRPr="00E02A90" w:rsidRDefault="00275706" w:rsidP="00216126">
            <w:pPr>
              <w:keepNext/>
              <w:spacing w:before="40" w:after="40"/>
              <w:rPr>
                <w:color w:val="4F81BD" w:themeColor="accent1"/>
              </w:rPr>
            </w:pPr>
            <w:r w:rsidRPr="00E02A90">
              <w:rPr>
                <w:i/>
                <w:color w:val="4F81BD" w:themeColor="accent1"/>
              </w:rPr>
              <w:t xml:space="preserve">Population: </w:t>
            </w:r>
            <w:r w:rsidRPr="00E02A90">
              <w:rPr>
                <w:color w:val="4F81BD" w:themeColor="accent1"/>
              </w:rPr>
              <w:t>HCC with PVT; N=63</w:t>
            </w:r>
          </w:p>
          <w:p w:rsidR="00275706" w:rsidRPr="00E02A90" w:rsidRDefault="00275706" w:rsidP="00216126">
            <w:pPr>
              <w:keepNext/>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 xml:space="preserve">-Y (SIR-Spheres) versus </w:t>
            </w:r>
            <w:proofErr w:type="spellStart"/>
            <w:r w:rsidRPr="00E02A90">
              <w:rPr>
                <w:color w:val="4F81BD" w:themeColor="accent1"/>
              </w:rPr>
              <w:t>sorafenib</w:t>
            </w:r>
            <w:proofErr w:type="spellEnd"/>
            <w:r w:rsidRPr="00E02A90">
              <w:rPr>
                <w:color w:val="4F81BD" w:themeColor="accent1"/>
              </w:rPr>
              <w:t xml:space="preserve"> </w:t>
            </w:r>
          </w:p>
          <w:p w:rsidR="00275706" w:rsidRPr="00E02A90" w:rsidRDefault="00275706" w:rsidP="00216126">
            <w:pPr>
              <w:keepNext/>
              <w:spacing w:before="40" w:after="40"/>
              <w:rPr>
                <w:b/>
                <w:color w:val="4F81BD" w:themeColor="accent1"/>
                <w:szCs w:val="20"/>
              </w:rPr>
            </w:pPr>
            <w:r w:rsidRPr="00E02A90">
              <w:rPr>
                <w:i/>
                <w:color w:val="4F81BD" w:themeColor="accent1"/>
              </w:rPr>
              <w:t xml:space="preserve">Outcomes: </w:t>
            </w:r>
            <w:r w:rsidRPr="00E02A90">
              <w:rPr>
                <w:color w:val="4F81BD" w:themeColor="accent1"/>
              </w:rPr>
              <w:t>overall survival; time to progression; tumour response; adverse events</w:t>
            </w:r>
          </w:p>
        </w:tc>
        <w:tc>
          <w:tcPr>
            <w:tcW w:w="872" w:type="pct"/>
          </w:tcPr>
          <w:p w:rsidR="00275706" w:rsidRDefault="00275706" w:rsidP="00216126">
            <w:hyperlink r:id="rId29" w:history="1">
              <w:r w:rsidRPr="00E02A90">
                <w:rPr>
                  <w:rStyle w:val="Hyperlink"/>
                  <w:color w:val="4F81BD" w:themeColor="accent1"/>
                  <w:szCs w:val="20"/>
                </w:rPr>
                <w:t>http://journals.plos.org/plosone/article/file?id=10.1371/journal.pone.0154986&amp;type=printable</w:t>
              </w:r>
            </w:hyperlink>
          </w:p>
        </w:tc>
        <w:tc>
          <w:tcPr>
            <w:tcW w:w="469" w:type="pct"/>
          </w:tcPr>
          <w:p w:rsidR="00275706" w:rsidRPr="00E02A90" w:rsidRDefault="00275706" w:rsidP="00216126">
            <w:pPr>
              <w:keepNext/>
              <w:spacing w:before="40" w:after="40"/>
              <w:rPr>
                <w:b/>
                <w:color w:val="4F81BD" w:themeColor="accent1"/>
                <w:szCs w:val="20"/>
              </w:rPr>
            </w:pPr>
            <w:r w:rsidRPr="00E02A90">
              <w:rPr>
                <w:color w:val="4F81BD" w:themeColor="accent1"/>
              </w:rPr>
              <w:t>2016</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t>20.</w:t>
            </w:r>
          </w:p>
        </w:tc>
        <w:tc>
          <w:tcPr>
            <w:tcW w:w="699" w:type="pct"/>
          </w:tcPr>
          <w:p w:rsidR="00275706" w:rsidRPr="00E02A90" w:rsidRDefault="00275706" w:rsidP="00216126">
            <w:pPr>
              <w:spacing w:before="40" w:after="40"/>
              <w:rPr>
                <w:color w:val="4F81BD" w:themeColor="accent1"/>
              </w:rPr>
            </w:pPr>
            <w:r w:rsidRPr="00E02A90">
              <w:rPr>
                <w:color w:val="4F81BD" w:themeColor="accent1"/>
              </w:rPr>
              <w:t>Retrospective cohort study</w:t>
            </w:r>
          </w:p>
          <w:p w:rsidR="00275706" w:rsidRPr="00E02A90" w:rsidRDefault="00275706" w:rsidP="00216126">
            <w:pPr>
              <w:spacing w:before="40" w:after="40"/>
              <w:rPr>
                <w:color w:val="4F81BD" w:themeColor="accent1"/>
              </w:rPr>
            </w:pPr>
            <w:r w:rsidRPr="00E02A90">
              <w:rPr>
                <w:color w:val="4F81BD" w:themeColor="accent1"/>
              </w:rPr>
              <w:t>Spain/4 centres</w:t>
            </w:r>
          </w:p>
          <w:p w:rsidR="00275706" w:rsidRPr="00E02A90" w:rsidRDefault="00275706" w:rsidP="00216126">
            <w:pPr>
              <w:spacing w:before="40" w:after="40"/>
              <w:rPr>
                <w:b/>
                <w:color w:val="4F81BD" w:themeColor="accent1"/>
                <w:szCs w:val="20"/>
              </w:rPr>
            </w:pPr>
            <w:r w:rsidRPr="00E02A90">
              <w:rPr>
                <w:color w:val="4F81BD" w:themeColor="accent1"/>
              </w:rPr>
              <w:t>2005-2013</w:t>
            </w:r>
          </w:p>
        </w:tc>
        <w:tc>
          <w:tcPr>
            <w:tcW w:w="1525" w:type="pct"/>
          </w:tcPr>
          <w:p w:rsidR="00275706" w:rsidRPr="00E02A90" w:rsidRDefault="00275706" w:rsidP="00216126">
            <w:pPr>
              <w:spacing w:before="40" w:after="40"/>
              <w:rPr>
                <w:b/>
                <w:color w:val="4F81BD" w:themeColor="accent1"/>
                <w:szCs w:val="20"/>
              </w:rPr>
            </w:pPr>
            <w:proofErr w:type="gramStart"/>
            <w:r w:rsidRPr="00E02A90">
              <w:rPr>
                <w:color w:val="4F81BD" w:themeColor="accent1"/>
              </w:rPr>
              <w:t>de</w:t>
            </w:r>
            <w:proofErr w:type="gramEnd"/>
            <w:r w:rsidRPr="00E02A90">
              <w:rPr>
                <w:color w:val="4F81BD" w:themeColor="accent1"/>
              </w:rPr>
              <w:t xml:space="preserve"> la Torre et al. (2016). "A comparison of survival in patients with hepatocellular carcinoma and portal vein invasion treated by </w:t>
            </w:r>
            <w:proofErr w:type="spellStart"/>
            <w:r w:rsidRPr="00E02A90">
              <w:rPr>
                <w:color w:val="4F81BD" w:themeColor="accent1"/>
              </w:rPr>
              <w:t>radioembolization</w:t>
            </w:r>
            <w:proofErr w:type="spellEnd"/>
            <w:r w:rsidRPr="00E02A90">
              <w:rPr>
                <w:color w:val="4F81BD" w:themeColor="accent1"/>
              </w:rPr>
              <w:t xml:space="preserve"> or </w:t>
            </w:r>
            <w:proofErr w:type="spellStart"/>
            <w:r w:rsidRPr="00E02A90">
              <w:rPr>
                <w:color w:val="4F81BD" w:themeColor="accent1"/>
              </w:rPr>
              <w:t>sorafenib</w:t>
            </w:r>
            <w:proofErr w:type="spellEnd"/>
            <w:r w:rsidRPr="00E02A90">
              <w:rPr>
                <w:color w:val="4F81BD" w:themeColor="accent1"/>
              </w:rPr>
              <w:t xml:space="preserve">." Liver </w:t>
            </w:r>
            <w:proofErr w:type="spellStart"/>
            <w:r w:rsidRPr="00E02A90">
              <w:rPr>
                <w:color w:val="4F81BD" w:themeColor="accent1"/>
              </w:rPr>
              <w:t>Int</w:t>
            </w:r>
            <w:proofErr w:type="spellEnd"/>
            <w:r w:rsidRPr="00E02A90">
              <w:rPr>
                <w:color w:val="4F81BD" w:themeColor="accent1"/>
              </w:rPr>
              <w:t xml:space="preserve"> 36(8): 1206-1212.</w:t>
            </w:r>
          </w:p>
        </w:tc>
        <w:tc>
          <w:tcPr>
            <w:tcW w:w="1270" w:type="pct"/>
          </w:tcPr>
          <w:p w:rsidR="00275706" w:rsidRPr="00E02A90" w:rsidRDefault="00275706" w:rsidP="00216126">
            <w:pPr>
              <w:spacing w:before="40" w:after="40"/>
              <w:rPr>
                <w:color w:val="4F81BD" w:themeColor="accent1"/>
                <w:szCs w:val="20"/>
              </w:rPr>
            </w:pPr>
            <w:r w:rsidRPr="00E02A90">
              <w:rPr>
                <w:i/>
                <w:color w:val="4F81BD" w:themeColor="accent1"/>
              </w:rPr>
              <w:t>Population:</w:t>
            </w:r>
            <w:r w:rsidRPr="00E02A90">
              <w:rPr>
                <w:color w:val="4F81BD" w:themeColor="accent1"/>
              </w:rPr>
              <w:t xml:space="preserve"> </w:t>
            </w:r>
            <w:r w:rsidRPr="00E02A90">
              <w:rPr>
                <w:color w:val="4F81BD" w:themeColor="accent1"/>
                <w:szCs w:val="20"/>
              </w:rPr>
              <w:t>HCC with PVT; N=73</w:t>
            </w:r>
          </w:p>
          <w:p w:rsidR="00275706" w:rsidRPr="00E02A90" w:rsidRDefault="00275706" w:rsidP="00216126">
            <w:pPr>
              <w:spacing w:before="40" w:after="40"/>
              <w:rPr>
                <w:color w:val="4F81BD" w:themeColor="accent1"/>
                <w:szCs w:val="20"/>
              </w:rPr>
            </w:pPr>
            <w:r w:rsidRPr="00E02A90">
              <w:rPr>
                <w:i/>
                <w:color w:val="4F81BD" w:themeColor="accent1"/>
                <w:szCs w:val="20"/>
              </w:rPr>
              <w:t>Comparison:</w:t>
            </w:r>
            <w:r w:rsidRPr="00E02A90">
              <w:rPr>
                <w:color w:val="4F81BD" w:themeColor="accent1"/>
                <w:szCs w:val="20"/>
              </w:rPr>
              <w:t xml:space="preserve"> </w:t>
            </w:r>
            <w:r>
              <w:rPr>
                <w:color w:val="4F81BD" w:themeColor="accent1"/>
                <w:szCs w:val="20"/>
              </w:rPr>
              <w:t>TARE</w:t>
            </w:r>
            <w:r w:rsidRPr="00E02A90">
              <w:rPr>
                <w:color w:val="4F81BD" w:themeColor="accent1"/>
                <w:szCs w:val="20"/>
              </w:rPr>
              <w:t xml:space="preserve">-Y (SIR-Spheres) versus </w:t>
            </w:r>
            <w:proofErr w:type="spellStart"/>
            <w:r w:rsidRPr="00E02A90">
              <w:rPr>
                <w:color w:val="4F81BD" w:themeColor="accent1"/>
                <w:szCs w:val="20"/>
              </w:rPr>
              <w:t>sorafenib</w:t>
            </w:r>
            <w:proofErr w:type="spellEnd"/>
            <w:r w:rsidRPr="00E02A90">
              <w:rPr>
                <w:color w:val="4F81BD" w:themeColor="accent1"/>
                <w:szCs w:val="20"/>
              </w:rPr>
              <w:t xml:space="preserve"> </w:t>
            </w:r>
          </w:p>
          <w:p w:rsidR="00275706" w:rsidRPr="00E02A90" w:rsidRDefault="00275706" w:rsidP="00216126">
            <w:pPr>
              <w:spacing w:before="40" w:after="40"/>
              <w:rPr>
                <w:color w:val="4F81BD" w:themeColor="accent1"/>
                <w:szCs w:val="20"/>
              </w:rPr>
            </w:pPr>
            <w:r w:rsidRPr="00E02A90">
              <w:rPr>
                <w:i/>
                <w:color w:val="4F81BD" w:themeColor="accent1"/>
                <w:szCs w:val="20"/>
              </w:rPr>
              <w:t>Outcomes:</w:t>
            </w:r>
            <w:r w:rsidRPr="00E02A90">
              <w:rPr>
                <w:color w:val="4F81BD" w:themeColor="accent1"/>
                <w:szCs w:val="20"/>
              </w:rPr>
              <w:t xml:space="preserve"> overall survival</w:t>
            </w:r>
          </w:p>
        </w:tc>
        <w:tc>
          <w:tcPr>
            <w:tcW w:w="872" w:type="pct"/>
          </w:tcPr>
          <w:p w:rsidR="00275706" w:rsidRDefault="00275706" w:rsidP="00216126">
            <w:hyperlink r:id="rId30" w:history="1">
              <w:r w:rsidRPr="00E02A90">
                <w:rPr>
                  <w:rStyle w:val="Hyperlink"/>
                  <w:color w:val="4F81BD" w:themeColor="accent1"/>
                </w:rPr>
                <w:t>http://onlinelibrary.wiley.com/doi/10.1111/liv.13098/abstract</w:t>
              </w:r>
            </w:hyperlink>
          </w:p>
        </w:tc>
        <w:tc>
          <w:tcPr>
            <w:tcW w:w="469" w:type="pct"/>
          </w:tcPr>
          <w:p w:rsidR="00275706" w:rsidRPr="00E02A90" w:rsidRDefault="00275706" w:rsidP="00216126">
            <w:pPr>
              <w:keepNext/>
              <w:spacing w:before="40" w:after="40"/>
              <w:rPr>
                <w:color w:val="4F81BD" w:themeColor="accent1"/>
              </w:rPr>
            </w:pPr>
            <w:r w:rsidRPr="00E02A90">
              <w:rPr>
                <w:color w:val="4F81BD" w:themeColor="accent1"/>
              </w:rPr>
              <w:t>2016</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t>21.</w:t>
            </w:r>
          </w:p>
        </w:tc>
        <w:tc>
          <w:tcPr>
            <w:tcW w:w="699" w:type="pct"/>
          </w:tcPr>
          <w:p w:rsidR="00275706" w:rsidRPr="00E02A90" w:rsidRDefault="00275706" w:rsidP="00216126">
            <w:pPr>
              <w:spacing w:before="40" w:after="40"/>
              <w:rPr>
                <w:color w:val="4F81BD" w:themeColor="accent1"/>
              </w:rPr>
            </w:pPr>
            <w:r w:rsidRPr="00E02A90">
              <w:rPr>
                <w:color w:val="4F81BD" w:themeColor="accent1"/>
              </w:rPr>
              <w:t>Retrospective cohort study</w:t>
            </w:r>
          </w:p>
          <w:p w:rsidR="00275706" w:rsidRPr="00E02A90" w:rsidRDefault="00275706" w:rsidP="00216126">
            <w:pPr>
              <w:spacing w:before="40" w:after="40"/>
              <w:rPr>
                <w:color w:val="4F81BD" w:themeColor="accent1"/>
              </w:rPr>
            </w:pPr>
            <w:r w:rsidRPr="00E02A90">
              <w:rPr>
                <w:color w:val="4F81BD" w:themeColor="accent1"/>
              </w:rPr>
              <w:t>France/2 centres</w:t>
            </w:r>
          </w:p>
          <w:p w:rsidR="00275706" w:rsidRPr="00E02A90" w:rsidRDefault="00275706" w:rsidP="00216126">
            <w:pPr>
              <w:spacing w:before="40" w:after="40"/>
              <w:rPr>
                <w:b/>
                <w:color w:val="4F81BD" w:themeColor="accent1"/>
                <w:szCs w:val="20"/>
              </w:rPr>
            </w:pPr>
            <w:r w:rsidRPr="00E02A90">
              <w:rPr>
                <w:color w:val="4F81BD" w:themeColor="accent1"/>
              </w:rPr>
              <w:t>2005-2013</w:t>
            </w:r>
          </w:p>
        </w:tc>
        <w:tc>
          <w:tcPr>
            <w:tcW w:w="1525" w:type="pct"/>
          </w:tcPr>
          <w:p w:rsidR="00275706" w:rsidRPr="00E02A90" w:rsidRDefault="00275706" w:rsidP="00216126">
            <w:pPr>
              <w:spacing w:before="40" w:after="40"/>
              <w:rPr>
                <w:b/>
                <w:color w:val="4F81BD" w:themeColor="accent1"/>
                <w:szCs w:val="20"/>
              </w:rPr>
            </w:pPr>
            <w:proofErr w:type="spellStart"/>
            <w:r w:rsidRPr="00E02A90">
              <w:rPr>
                <w:color w:val="4F81BD" w:themeColor="accent1"/>
              </w:rPr>
              <w:t>Edeline</w:t>
            </w:r>
            <w:proofErr w:type="spellEnd"/>
            <w:r w:rsidRPr="00E02A90">
              <w:rPr>
                <w:color w:val="4F81BD" w:themeColor="accent1"/>
              </w:rPr>
              <w:t xml:space="preserve"> et al. (2016). "Selective internal radiation therapy compared with </w:t>
            </w:r>
            <w:proofErr w:type="spellStart"/>
            <w:r w:rsidRPr="00E02A90">
              <w:rPr>
                <w:color w:val="4F81BD" w:themeColor="accent1"/>
              </w:rPr>
              <w:t>sorafenib</w:t>
            </w:r>
            <w:proofErr w:type="spellEnd"/>
            <w:r w:rsidRPr="00E02A90">
              <w:rPr>
                <w:color w:val="4F81BD" w:themeColor="accent1"/>
              </w:rPr>
              <w:t xml:space="preserve"> for hepatocellular carcinoma with portal vein thrombosis." </w:t>
            </w:r>
            <w:proofErr w:type="spellStart"/>
            <w:r w:rsidRPr="00E02A90">
              <w:rPr>
                <w:color w:val="4F81BD" w:themeColor="accent1"/>
              </w:rPr>
              <w:t>Eur</w:t>
            </w:r>
            <w:proofErr w:type="spellEnd"/>
            <w:r w:rsidRPr="00E02A90">
              <w:rPr>
                <w:color w:val="4F81BD" w:themeColor="accent1"/>
              </w:rPr>
              <w:t xml:space="preserve"> J </w:t>
            </w:r>
            <w:proofErr w:type="spellStart"/>
            <w:r w:rsidRPr="00E02A90">
              <w:rPr>
                <w:color w:val="4F81BD" w:themeColor="accent1"/>
              </w:rPr>
              <w:t>Nucl</w:t>
            </w:r>
            <w:proofErr w:type="spellEnd"/>
            <w:r w:rsidRPr="00E02A90">
              <w:rPr>
                <w:color w:val="4F81BD" w:themeColor="accent1"/>
              </w:rPr>
              <w:t xml:space="preserve"> Med </w:t>
            </w:r>
            <w:proofErr w:type="spellStart"/>
            <w:r w:rsidRPr="00E02A90">
              <w:rPr>
                <w:color w:val="4F81BD" w:themeColor="accent1"/>
              </w:rPr>
              <w:t>Mol</w:t>
            </w:r>
            <w:proofErr w:type="spellEnd"/>
            <w:r w:rsidRPr="00E02A90">
              <w:rPr>
                <w:color w:val="4F81BD" w:themeColor="accent1"/>
              </w:rPr>
              <w:t xml:space="preserve"> Imaging 43(4): 635-643.</w:t>
            </w:r>
          </w:p>
        </w:tc>
        <w:tc>
          <w:tcPr>
            <w:tcW w:w="1270" w:type="pct"/>
          </w:tcPr>
          <w:p w:rsidR="00275706" w:rsidRPr="00E02A90" w:rsidRDefault="00275706" w:rsidP="00216126">
            <w:pPr>
              <w:spacing w:before="40" w:after="40"/>
              <w:rPr>
                <w:color w:val="4F81BD" w:themeColor="accent1"/>
              </w:rPr>
            </w:pPr>
            <w:r w:rsidRPr="00E02A90">
              <w:rPr>
                <w:i/>
                <w:color w:val="4F81BD" w:themeColor="accent1"/>
              </w:rPr>
              <w:t xml:space="preserve">Population: </w:t>
            </w:r>
            <w:r w:rsidRPr="00E02A90">
              <w:rPr>
                <w:color w:val="4F81BD" w:themeColor="accent1"/>
              </w:rPr>
              <w:t>HCC with PVT; N = 151 (48 matched)</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-Y (</w:t>
            </w:r>
            <w:proofErr w:type="spellStart"/>
            <w:r w:rsidRPr="00E02A90">
              <w:rPr>
                <w:color w:val="4F81BD" w:themeColor="accent1"/>
              </w:rPr>
              <w:t>TheraSphere</w:t>
            </w:r>
            <w:proofErr w:type="spellEnd"/>
            <w:r w:rsidRPr="00E02A90">
              <w:rPr>
                <w:color w:val="4F81BD" w:themeColor="accent1"/>
              </w:rPr>
              <w:t xml:space="preserve">) versus </w:t>
            </w:r>
            <w:proofErr w:type="spellStart"/>
            <w:r w:rsidRPr="00E02A90">
              <w:rPr>
                <w:color w:val="4F81BD" w:themeColor="accent1"/>
              </w:rPr>
              <w:t>sorafenib</w:t>
            </w:r>
            <w:proofErr w:type="spellEnd"/>
            <w:r w:rsidRPr="00E02A90">
              <w:rPr>
                <w:color w:val="4F81BD" w:themeColor="accent1"/>
              </w:rPr>
              <w:t xml:space="preserve"> </w:t>
            </w:r>
          </w:p>
          <w:p w:rsidR="00275706" w:rsidRPr="00E02A90" w:rsidRDefault="00275706" w:rsidP="00216126">
            <w:pPr>
              <w:spacing w:before="40" w:after="40"/>
              <w:rPr>
                <w:b/>
                <w:color w:val="4F81BD" w:themeColor="accent1"/>
                <w:szCs w:val="20"/>
              </w:rPr>
            </w:pPr>
            <w:r w:rsidRPr="00E02A90">
              <w:rPr>
                <w:i/>
                <w:color w:val="4F81BD" w:themeColor="accent1"/>
              </w:rPr>
              <w:t xml:space="preserve">Outcomes: </w:t>
            </w:r>
            <w:r w:rsidRPr="00E02A90">
              <w:rPr>
                <w:color w:val="4F81BD" w:themeColor="accent1"/>
              </w:rPr>
              <w:t xml:space="preserve">overall survival; tumour response; adverse events </w:t>
            </w:r>
          </w:p>
        </w:tc>
        <w:tc>
          <w:tcPr>
            <w:tcW w:w="872" w:type="pct"/>
          </w:tcPr>
          <w:p w:rsidR="00275706" w:rsidRDefault="00275706" w:rsidP="00216126">
            <w:hyperlink r:id="rId31" w:history="1">
              <w:r w:rsidRPr="00E02A90">
                <w:rPr>
                  <w:rStyle w:val="Hyperlink"/>
                  <w:color w:val="4F81BD" w:themeColor="accent1"/>
                </w:rPr>
                <w:t>http://link.springer.com/article/10.1007%2Fs00259-015-3210-7</w:t>
              </w:r>
            </w:hyperlink>
          </w:p>
        </w:tc>
        <w:tc>
          <w:tcPr>
            <w:tcW w:w="469" w:type="pct"/>
          </w:tcPr>
          <w:p w:rsidR="00275706" w:rsidRPr="00E02A90" w:rsidRDefault="00275706" w:rsidP="00216126">
            <w:pPr>
              <w:keepNext/>
              <w:spacing w:before="40" w:after="40"/>
              <w:rPr>
                <w:color w:val="4F81BD" w:themeColor="accent1"/>
              </w:rPr>
            </w:pPr>
            <w:r w:rsidRPr="00E02A90">
              <w:rPr>
                <w:color w:val="4F81BD" w:themeColor="accent1"/>
              </w:rPr>
              <w:t>2016</w:t>
            </w:r>
          </w:p>
        </w:tc>
      </w:tr>
      <w:tr w:rsidR="00275706" w:rsidTr="00216126">
        <w:trPr>
          <w:cantSplit/>
        </w:trPr>
        <w:tc>
          <w:tcPr>
            <w:tcW w:w="165" w:type="pct"/>
          </w:tcPr>
          <w:p w:rsidR="00275706" w:rsidRPr="00275706" w:rsidRDefault="00275706" w:rsidP="00216126">
            <w:pPr>
              <w:rPr>
                <w:color w:val="4F81BD" w:themeColor="accent1"/>
                <w:szCs w:val="20"/>
              </w:rPr>
            </w:pPr>
            <w:r w:rsidRPr="00275706">
              <w:rPr>
                <w:color w:val="4F81BD" w:themeColor="accent1"/>
                <w:szCs w:val="20"/>
              </w:rPr>
              <w:lastRenderedPageBreak/>
              <w:t>22.</w:t>
            </w:r>
          </w:p>
        </w:tc>
        <w:tc>
          <w:tcPr>
            <w:tcW w:w="699" w:type="pct"/>
          </w:tcPr>
          <w:p w:rsidR="00275706" w:rsidRPr="00E02A90" w:rsidRDefault="00275706" w:rsidP="00216126">
            <w:pPr>
              <w:spacing w:before="40" w:after="40"/>
              <w:rPr>
                <w:color w:val="4F81BD" w:themeColor="accent1"/>
              </w:rPr>
            </w:pPr>
            <w:r w:rsidRPr="00E02A90">
              <w:rPr>
                <w:color w:val="4F81BD" w:themeColor="accent1"/>
              </w:rPr>
              <w:t>Retrospective cohort study</w:t>
            </w:r>
          </w:p>
          <w:p w:rsidR="00275706" w:rsidRPr="00E02A90" w:rsidRDefault="00275706" w:rsidP="00216126">
            <w:pPr>
              <w:spacing w:before="40" w:after="40"/>
              <w:rPr>
                <w:color w:val="4F81BD" w:themeColor="accent1"/>
                <w:szCs w:val="20"/>
              </w:rPr>
            </w:pPr>
            <w:r w:rsidRPr="00E02A90">
              <w:rPr>
                <w:color w:val="4F81BD" w:themeColor="accent1"/>
                <w:szCs w:val="20"/>
              </w:rPr>
              <w:t>Italy/University of Bologna</w:t>
            </w:r>
          </w:p>
          <w:p w:rsidR="00275706" w:rsidRPr="00E02A90" w:rsidRDefault="00275706" w:rsidP="00216126">
            <w:pPr>
              <w:spacing w:before="40" w:after="40"/>
              <w:rPr>
                <w:b/>
                <w:color w:val="4F81BD" w:themeColor="accent1"/>
                <w:szCs w:val="20"/>
              </w:rPr>
            </w:pPr>
            <w:r w:rsidRPr="00E02A90">
              <w:rPr>
                <w:color w:val="4F81BD" w:themeColor="accent1"/>
                <w:szCs w:val="20"/>
              </w:rPr>
              <w:t>2005-NR</w:t>
            </w:r>
          </w:p>
        </w:tc>
        <w:tc>
          <w:tcPr>
            <w:tcW w:w="1525" w:type="pct"/>
          </w:tcPr>
          <w:p w:rsidR="00275706" w:rsidRPr="00E02A90" w:rsidRDefault="00275706" w:rsidP="00216126">
            <w:pPr>
              <w:spacing w:before="40" w:after="40"/>
              <w:rPr>
                <w:b/>
                <w:color w:val="4F81BD" w:themeColor="accent1"/>
                <w:szCs w:val="20"/>
              </w:rPr>
            </w:pPr>
            <w:proofErr w:type="spellStart"/>
            <w:r w:rsidRPr="00E02A90">
              <w:rPr>
                <w:color w:val="4F81BD" w:themeColor="accent1"/>
              </w:rPr>
              <w:t>Gramenzi</w:t>
            </w:r>
            <w:proofErr w:type="spellEnd"/>
            <w:r w:rsidRPr="00E02A90">
              <w:rPr>
                <w:color w:val="4F81BD" w:themeColor="accent1"/>
              </w:rPr>
              <w:t xml:space="preserve"> et al. (2015). "Yttrium-90 </w:t>
            </w:r>
            <w:proofErr w:type="spellStart"/>
            <w:r w:rsidRPr="00E02A90">
              <w:rPr>
                <w:color w:val="4F81BD" w:themeColor="accent1"/>
              </w:rPr>
              <w:t>radioembolization</w:t>
            </w:r>
            <w:proofErr w:type="spellEnd"/>
            <w:r w:rsidRPr="00E02A90">
              <w:rPr>
                <w:color w:val="4F81BD" w:themeColor="accent1"/>
              </w:rPr>
              <w:t xml:space="preserve"> </w:t>
            </w:r>
            <w:proofErr w:type="spellStart"/>
            <w:r w:rsidRPr="00E02A90">
              <w:rPr>
                <w:color w:val="4F81BD" w:themeColor="accent1"/>
              </w:rPr>
              <w:t>vs</w:t>
            </w:r>
            <w:proofErr w:type="spellEnd"/>
            <w:r w:rsidRPr="00E02A90">
              <w:rPr>
                <w:color w:val="4F81BD" w:themeColor="accent1"/>
              </w:rPr>
              <w:t xml:space="preserve"> </w:t>
            </w:r>
            <w:proofErr w:type="spellStart"/>
            <w:r w:rsidRPr="00E02A90">
              <w:rPr>
                <w:color w:val="4F81BD" w:themeColor="accent1"/>
              </w:rPr>
              <w:t>sorafenib</w:t>
            </w:r>
            <w:proofErr w:type="spellEnd"/>
            <w:r w:rsidRPr="00E02A90">
              <w:rPr>
                <w:color w:val="4F81BD" w:themeColor="accent1"/>
              </w:rPr>
              <w:t xml:space="preserve"> for intermediate-locally advanced hepatocellular carcinoma: a cohort study with propensity score analysis." Liver </w:t>
            </w:r>
            <w:proofErr w:type="spellStart"/>
            <w:r w:rsidRPr="00E02A90">
              <w:rPr>
                <w:color w:val="4F81BD" w:themeColor="accent1"/>
              </w:rPr>
              <w:t>Int</w:t>
            </w:r>
            <w:proofErr w:type="spellEnd"/>
            <w:r w:rsidRPr="00E02A90">
              <w:rPr>
                <w:color w:val="4F81BD" w:themeColor="accent1"/>
              </w:rPr>
              <w:t xml:space="preserve"> 35(3): 1036-1047.</w:t>
            </w:r>
          </w:p>
        </w:tc>
        <w:tc>
          <w:tcPr>
            <w:tcW w:w="1270" w:type="pct"/>
          </w:tcPr>
          <w:p w:rsidR="00275706" w:rsidRPr="00E02A90" w:rsidRDefault="00275706" w:rsidP="00216126">
            <w:pPr>
              <w:spacing w:before="40" w:after="40"/>
              <w:rPr>
                <w:color w:val="4F81BD" w:themeColor="accent1"/>
                <w:szCs w:val="20"/>
              </w:rPr>
            </w:pPr>
            <w:r w:rsidRPr="00E02A90">
              <w:rPr>
                <w:i/>
                <w:color w:val="4F81BD" w:themeColor="accent1"/>
              </w:rPr>
              <w:t xml:space="preserve">Population: </w:t>
            </w:r>
            <w:r w:rsidRPr="00E02A90">
              <w:rPr>
                <w:color w:val="4F81BD" w:themeColor="accent1"/>
                <w:szCs w:val="20"/>
              </w:rPr>
              <w:t>HCC with PVT, very large intermediate HCC or where previous therapies had failed; N=137 (64 matched)</w:t>
            </w:r>
          </w:p>
          <w:p w:rsidR="00275706" w:rsidRPr="00E02A90" w:rsidRDefault="00275706" w:rsidP="00216126">
            <w:pPr>
              <w:spacing w:before="40" w:after="40"/>
              <w:rPr>
                <w:color w:val="4F81BD" w:themeColor="accent1"/>
                <w:szCs w:val="20"/>
              </w:rPr>
            </w:pPr>
            <w:r w:rsidRPr="00E02A90">
              <w:rPr>
                <w:i/>
                <w:color w:val="4F81BD" w:themeColor="accent1"/>
                <w:szCs w:val="20"/>
              </w:rPr>
              <w:t>Comparison:</w:t>
            </w:r>
            <w:r w:rsidRPr="00E02A90">
              <w:rPr>
                <w:color w:val="4F81BD" w:themeColor="accent1"/>
                <w:szCs w:val="20"/>
              </w:rPr>
              <w:t xml:space="preserve"> </w:t>
            </w:r>
            <w:r>
              <w:rPr>
                <w:color w:val="4F81BD" w:themeColor="accent1"/>
                <w:szCs w:val="20"/>
              </w:rPr>
              <w:t>TARE</w:t>
            </w:r>
            <w:r w:rsidRPr="00E02A90">
              <w:rPr>
                <w:color w:val="4F81BD" w:themeColor="accent1"/>
                <w:szCs w:val="20"/>
              </w:rPr>
              <w:t xml:space="preserve">-Y (SIR-Spheres) versus </w:t>
            </w:r>
            <w:proofErr w:type="spellStart"/>
            <w:r w:rsidRPr="00E02A90">
              <w:rPr>
                <w:color w:val="4F81BD" w:themeColor="accent1"/>
                <w:szCs w:val="20"/>
              </w:rPr>
              <w:t>sorafenib</w:t>
            </w:r>
            <w:proofErr w:type="spellEnd"/>
            <w:r w:rsidRPr="00E02A90">
              <w:rPr>
                <w:color w:val="4F81BD" w:themeColor="accent1"/>
                <w:szCs w:val="20"/>
              </w:rPr>
              <w:t xml:space="preserve"> </w:t>
            </w:r>
          </w:p>
          <w:p w:rsidR="00275706" w:rsidRPr="00E02A90" w:rsidRDefault="00275706" w:rsidP="00216126">
            <w:pPr>
              <w:spacing w:before="40" w:after="40"/>
              <w:rPr>
                <w:b/>
                <w:color w:val="4F81BD" w:themeColor="accent1"/>
                <w:szCs w:val="20"/>
              </w:rPr>
            </w:pPr>
            <w:r w:rsidRPr="00E02A90">
              <w:rPr>
                <w:i/>
                <w:color w:val="4F81BD" w:themeColor="accent1"/>
                <w:szCs w:val="20"/>
              </w:rPr>
              <w:t xml:space="preserve">Outcomes: </w:t>
            </w:r>
            <w:r w:rsidRPr="00E02A90">
              <w:rPr>
                <w:color w:val="4F81BD" w:themeColor="accent1"/>
                <w:szCs w:val="20"/>
              </w:rPr>
              <w:t>overall survival; time to progression; tumour response; adverse events</w:t>
            </w:r>
          </w:p>
        </w:tc>
        <w:tc>
          <w:tcPr>
            <w:tcW w:w="872" w:type="pct"/>
          </w:tcPr>
          <w:p w:rsidR="00275706" w:rsidRDefault="00275706" w:rsidP="00216126">
            <w:hyperlink r:id="rId32" w:history="1">
              <w:r w:rsidRPr="00E02A90">
                <w:rPr>
                  <w:rStyle w:val="Hyperlink"/>
                  <w:color w:val="4F81BD" w:themeColor="accent1"/>
                </w:rPr>
                <w:t>http://onlinelibrary.wiley.com/doi/10.1111/liv.12574/abstract</w:t>
              </w:r>
            </w:hyperlink>
          </w:p>
        </w:tc>
        <w:tc>
          <w:tcPr>
            <w:tcW w:w="469" w:type="pct"/>
          </w:tcPr>
          <w:p w:rsidR="00275706" w:rsidRPr="00E02A90" w:rsidRDefault="00275706" w:rsidP="00216126">
            <w:pPr>
              <w:keepNext/>
              <w:spacing w:before="40" w:after="40"/>
              <w:rPr>
                <w:color w:val="4F81BD" w:themeColor="accent1"/>
              </w:rPr>
            </w:pPr>
            <w:r w:rsidRPr="00E02A90">
              <w:rPr>
                <w:color w:val="4F81BD" w:themeColor="accent1"/>
              </w:rPr>
              <w:t>2015</w:t>
            </w:r>
          </w:p>
        </w:tc>
      </w:tr>
    </w:tbl>
    <w:p w:rsidR="00DE4ED7" w:rsidRDefault="00275706" w:rsidP="00275706">
      <w:pPr>
        <w:spacing w:after="0"/>
      </w:pPr>
      <w:r w:rsidRPr="00504913">
        <w:rPr>
          <w:color w:val="4F81BD" w:themeColor="accent1"/>
          <w:sz w:val="16"/>
        </w:rPr>
        <w:t xml:space="preserve">Abbreviations: 3D-CRT, three-dimensional conformal radiotherapy; DEB, drug-eluting beads; HBV, hepatitis B virus; HCC, hepatocellular carcinoma; NR, not reported; PVT, portal vein thrombosis; RCT, randomised controlled trial; TACE, </w:t>
      </w:r>
      <w:proofErr w:type="spellStart"/>
      <w:r w:rsidRPr="00504913">
        <w:rPr>
          <w:color w:val="4F81BD" w:themeColor="accent1"/>
          <w:sz w:val="16"/>
        </w:rPr>
        <w:t>transarterial</w:t>
      </w:r>
      <w:proofErr w:type="spellEnd"/>
      <w:r w:rsidRPr="00504913">
        <w:rPr>
          <w:color w:val="4F81BD" w:themeColor="accent1"/>
          <w:sz w:val="16"/>
        </w:rPr>
        <w:t xml:space="preserve"> </w:t>
      </w:r>
      <w:proofErr w:type="spellStart"/>
      <w:r w:rsidRPr="00504913">
        <w:rPr>
          <w:color w:val="4F81BD" w:themeColor="accent1"/>
          <w:sz w:val="16"/>
        </w:rPr>
        <w:t>chemoembolisation</w:t>
      </w:r>
      <w:proofErr w:type="spellEnd"/>
      <w:r>
        <w:rPr>
          <w:color w:val="4F81BD" w:themeColor="accent1"/>
          <w:sz w:val="16"/>
        </w:rPr>
        <w:t xml:space="preserve">; TARE-Y, </w:t>
      </w:r>
      <w:proofErr w:type="spellStart"/>
      <w:r>
        <w:rPr>
          <w:color w:val="4F81BD" w:themeColor="accent1"/>
          <w:sz w:val="16"/>
        </w:rPr>
        <w:t>transarterial</w:t>
      </w:r>
      <w:proofErr w:type="spellEnd"/>
      <w:r>
        <w:rPr>
          <w:color w:val="4F81BD" w:themeColor="accent1"/>
          <w:sz w:val="16"/>
        </w:rPr>
        <w:t xml:space="preserve"> </w:t>
      </w:r>
      <w:proofErr w:type="spellStart"/>
      <w:r>
        <w:rPr>
          <w:color w:val="4F81BD" w:themeColor="accent1"/>
          <w:sz w:val="16"/>
        </w:rPr>
        <w:t>radioembolisation</w:t>
      </w:r>
      <w:proofErr w:type="spellEnd"/>
      <w:r>
        <w:rPr>
          <w:color w:val="4F81BD" w:themeColor="accent1"/>
          <w:sz w:val="16"/>
        </w:rPr>
        <w:t xml:space="preserve"> with yttrium-90</w:t>
      </w:r>
      <w:r w:rsidRPr="00504913">
        <w:rPr>
          <w:color w:val="4F81BD" w:themeColor="accent1"/>
          <w:sz w:val="16"/>
        </w:rPr>
        <w:t>.</w:t>
      </w:r>
    </w:p>
    <w:p w:rsidR="00FA4DE4" w:rsidRDefault="00FA4DE4" w:rsidP="00FA4DE4"/>
    <w:p w:rsidR="00FA4DE4" w:rsidRDefault="00FA4DE4">
      <w:pPr>
        <w:rPr>
          <w:b/>
          <w:sz w:val="32"/>
          <w:szCs w:val="32"/>
        </w:rPr>
        <w:sectPr w:rsidR="00FA4DE4" w:rsidSect="005401D7">
          <w:pgSz w:w="16838" w:h="11906" w:orient="landscape"/>
          <w:pgMar w:top="1440" w:right="1440" w:bottom="1440" w:left="1440" w:header="708" w:footer="708" w:gutter="0"/>
          <w:cols w:space="708"/>
          <w:docGrid w:linePitch="360"/>
        </w:sectPr>
      </w:pPr>
    </w:p>
    <w:p w:rsidR="00B82D38" w:rsidRPr="00B82D38" w:rsidRDefault="00B82D38" w:rsidP="00B82D38"/>
    <w:p w:rsidR="004C49EF" w:rsidRDefault="004C49EF" w:rsidP="00530204">
      <w:pPr>
        <w:pStyle w:val="Heading2"/>
      </w:pPr>
      <w:r w:rsidRPr="00E82F54">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ayout w:type="fixed"/>
        <w:tblLook w:val="04A0" w:firstRow="1" w:lastRow="0" w:firstColumn="1" w:lastColumn="0" w:noHBand="0" w:noVBand="1"/>
        <w:tblCaption w:val="Summary of Evidence - Yet to be Published"/>
      </w:tblPr>
      <w:tblGrid>
        <w:gridCol w:w="473"/>
        <w:gridCol w:w="1976"/>
        <w:gridCol w:w="4139"/>
        <w:gridCol w:w="3600"/>
        <w:gridCol w:w="2160"/>
        <w:gridCol w:w="1826"/>
      </w:tblGrid>
      <w:tr w:rsidR="00275706" w:rsidTr="00216126">
        <w:trPr>
          <w:cantSplit/>
          <w:tblHeader/>
        </w:trPr>
        <w:tc>
          <w:tcPr>
            <w:tcW w:w="167" w:type="pct"/>
          </w:tcPr>
          <w:p w:rsidR="00275706" w:rsidRDefault="00275706" w:rsidP="00216126">
            <w:pPr>
              <w:pStyle w:val="TableHEADER"/>
            </w:pPr>
          </w:p>
        </w:tc>
        <w:tc>
          <w:tcPr>
            <w:tcW w:w="697" w:type="pct"/>
          </w:tcPr>
          <w:p w:rsidR="00275706" w:rsidRDefault="00275706" w:rsidP="00216126">
            <w:pPr>
              <w:pStyle w:val="TableHEADER"/>
            </w:pPr>
            <w:r>
              <w:t>Type of study design</w:t>
            </w:r>
          </w:p>
        </w:tc>
        <w:tc>
          <w:tcPr>
            <w:tcW w:w="1460" w:type="pct"/>
          </w:tcPr>
          <w:p w:rsidR="00275706" w:rsidRDefault="00275706" w:rsidP="00216126">
            <w:pPr>
              <w:pStyle w:val="TableHEADER"/>
            </w:pPr>
            <w:r>
              <w:t>Title of research (including any trial identifier if relevant)</w:t>
            </w:r>
          </w:p>
        </w:tc>
        <w:tc>
          <w:tcPr>
            <w:tcW w:w="1270" w:type="pct"/>
          </w:tcPr>
          <w:p w:rsidR="00275706" w:rsidRDefault="00275706" w:rsidP="00216126">
            <w:pPr>
              <w:pStyle w:val="TableHEADER"/>
            </w:pPr>
            <w:r>
              <w:t>Short description of research (max 50 words)</w:t>
            </w:r>
          </w:p>
        </w:tc>
        <w:tc>
          <w:tcPr>
            <w:tcW w:w="762" w:type="pct"/>
          </w:tcPr>
          <w:p w:rsidR="00275706" w:rsidRDefault="00275706" w:rsidP="00216126">
            <w:pPr>
              <w:pStyle w:val="TableHEADER"/>
            </w:pPr>
            <w:r w:rsidRPr="00E82F54">
              <w:t xml:space="preserve">Website link to </w:t>
            </w:r>
            <w:r>
              <w:t>research (if available)</w:t>
            </w:r>
          </w:p>
        </w:tc>
        <w:tc>
          <w:tcPr>
            <w:tcW w:w="644" w:type="pct"/>
          </w:tcPr>
          <w:p w:rsidR="00275706" w:rsidRDefault="00275706" w:rsidP="00216126">
            <w:pPr>
              <w:pStyle w:val="TableHEADER"/>
            </w:pPr>
            <w:r>
              <w:t>Estimated date of completion</w:t>
            </w:r>
          </w:p>
        </w:tc>
      </w:tr>
      <w:tr w:rsidR="00275706" w:rsidTr="00216126">
        <w:trPr>
          <w:cantSplit/>
        </w:trPr>
        <w:tc>
          <w:tcPr>
            <w:tcW w:w="167" w:type="pct"/>
          </w:tcPr>
          <w:p w:rsidR="00275706" w:rsidRPr="00965B6B" w:rsidRDefault="00275706" w:rsidP="00216126">
            <w:pPr>
              <w:rPr>
                <w:szCs w:val="20"/>
              </w:rPr>
            </w:pPr>
            <w:r w:rsidRPr="00965B6B">
              <w:rPr>
                <w:szCs w:val="20"/>
              </w:rPr>
              <w:t>1</w:t>
            </w:r>
            <w:r>
              <w:rPr>
                <w:szCs w:val="20"/>
              </w:rPr>
              <w:t>.</w:t>
            </w:r>
          </w:p>
        </w:tc>
        <w:tc>
          <w:tcPr>
            <w:tcW w:w="697" w:type="pct"/>
          </w:tcPr>
          <w:p w:rsidR="00275706" w:rsidRPr="00E02A90" w:rsidRDefault="00275706" w:rsidP="00216126">
            <w:pPr>
              <w:spacing w:before="40" w:after="40"/>
              <w:rPr>
                <w:color w:val="4F81BD" w:themeColor="accent1"/>
              </w:rPr>
            </w:pPr>
            <w:r w:rsidRPr="00E02A90">
              <w:rPr>
                <w:color w:val="4F81BD" w:themeColor="accent1"/>
              </w:rPr>
              <w:t>RCT</w:t>
            </w:r>
          </w:p>
          <w:p w:rsidR="00275706" w:rsidRPr="00E02A90" w:rsidRDefault="00275706" w:rsidP="00216126">
            <w:pPr>
              <w:spacing w:before="40" w:after="40"/>
              <w:rPr>
                <w:b/>
                <w:color w:val="4F81BD" w:themeColor="accent1"/>
                <w:szCs w:val="20"/>
              </w:rPr>
            </w:pPr>
            <w:r w:rsidRPr="00E02A90">
              <w:rPr>
                <w:color w:val="4F81BD" w:themeColor="accent1"/>
              </w:rPr>
              <w:t>Belgium; The Netherlands</w:t>
            </w:r>
          </w:p>
        </w:tc>
        <w:tc>
          <w:tcPr>
            <w:tcW w:w="1460" w:type="pct"/>
          </w:tcPr>
          <w:p w:rsidR="00275706" w:rsidRPr="00E02A90" w:rsidRDefault="00275706" w:rsidP="00216126">
            <w:pPr>
              <w:spacing w:before="40" w:after="40"/>
              <w:rPr>
                <w:color w:val="4F81BD" w:themeColor="accent1"/>
              </w:rPr>
            </w:pPr>
            <w:proofErr w:type="spellStart"/>
            <w:r w:rsidRPr="00E02A90">
              <w:rPr>
                <w:color w:val="4F81BD" w:themeColor="accent1"/>
              </w:rPr>
              <w:t>Seinstra</w:t>
            </w:r>
            <w:proofErr w:type="spellEnd"/>
            <w:r w:rsidRPr="00E02A90">
              <w:rPr>
                <w:color w:val="4F81BD" w:themeColor="accent1"/>
              </w:rPr>
              <w:t xml:space="preserve"> et al. (2012). "</w:t>
            </w:r>
            <w:proofErr w:type="spellStart"/>
            <w:r w:rsidRPr="00E02A90">
              <w:rPr>
                <w:color w:val="4F81BD" w:themeColor="accent1"/>
              </w:rPr>
              <w:t>Transarterial</w:t>
            </w:r>
            <w:proofErr w:type="spellEnd"/>
            <w:r w:rsidRPr="00E02A90">
              <w:rPr>
                <w:color w:val="4F81BD" w:themeColor="accent1"/>
              </w:rPr>
              <w:t xml:space="preserve"> </w:t>
            </w:r>
            <w:proofErr w:type="spellStart"/>
            <w:r w:rsidRPr="00E02A90">
              <w:rPr>
                <w:color w:val="4F81BD" w:themeColor="accent1"/>
              </w:rPr>
              <w:t>radioembolization</w:t>
            </w:r>
            <w:proofErr w:type="spellEnd"/>
            <w:r w:rsidRPr="00E02A90">
              <w:rPr>
                <w:color w:val="4F81BD" w:themeColor="accent1"/>
              </w:rPr>
              <w:t xml:space="preserve"> versus chemoembolization for the treatment of hepatocellular carcinoma (TRACE): study protocol for a randomized controlled trial." Trials 13: 144.</w:t>
            </w:r>
          </w:p>
          <w:p w:rsidR="00275706" w:rsidRPr="00E02A90" w:rsidRDefault="00275706" w:rsidP="00216126">
            <w:pPr>
              <w:spacing w:before="40" w:after="40"/>
              <w:rPr>
                <w:color w:val="4F81BD" w:themeColor="accent1"/>
              </w:rPr>
            </w:pPr>
            <w:r w:rsidRPr="00E02A90">
              <w:rPr>
                <w:i/>
                <w:color w:val="4F81BD" w:themeColor="accent1"/>
              </w:rPr>
              <w:t>Trial ID:</w:t>
            </w:r>
            <w:r w:rsidRPr="00E02A90">
              <w:rPr>
                <w:color w:val="4F81BD" w:themeColor="accent1"/>
              </w:rPr>
              <w:t xml:space="preserve"> TRACE</w:t>
            </w:r>
          </w:p>
          <w:p w:rsidR="00275706" w:rsidRPr="00E02A90" w:rsidRDefault="00275706" w:rsidP="00216126">
            <w:pPr>
              <w:spacing w:before="40" w:after="40"/>
              <w:rPr>
                <w:b/>
                <w:color w:val="4F81BD" w:themeColor="accent1"/>
                <w:szCs w:val="20"/>
              </w:rPr>
            </w:pPr>
            <w:r w:rsidRPr="00E02A90">
              <w:rPr>
                <w:i/>
                <w:color w:val="4F81BD" w:themeColor="accent1"/>
              </w:rPr>
              <w:t>Registration no:</w:t>
            </w:r>
            <w:r w:rsidRPr="00E02A90">
              <w:rPr>
                <w:color w:val="4F81BD" w:themeColor="accent1"/>
              </w:rPr>
              <w:t xml:space="preserve"> </w:t>
            </w:r>
            <w:r w:rsidRPr="00E02A90">
              <w:rPr>
                <w:color w:val="4F81BD" w:themeColor="accent1"/>
                <w:sz w:val="18"/>
                <w:szCs w:val="16"/>
              </w:rPr>
              <w:t>NCT01381211</w:t>
            </w:r>
          </w:p>
        </w:tc>
        <w:tc>
          <w:tcPr>
            <w:tcW w:w="1270" w:type="pct"/>
          </w:tcPr>
          <w:p w:rsidR="00275706" w:rsidRPr="00E02A90" w:rsidRDefault="00275706" w:rsidP="00216126">
            <w:pPr>
              <w:spacing w:before="40" w:after="40"/>
              <w:rPr>
                <w:color w:val="4F81BD" w:themeColor="accent1"/>
              </w:rPr>
            </w:pPr>
            <w:r w:rsidRPr="00E02A90">
              <w:rPr>
                <w:i/>
                <w:color w:val="4F81BD" w:themeColor="accent1"/>
              </w:rPr>
              <w:t>Population:</w:t>
            </w:r>
            <w:r w:rsidRPr="00E02A90">
              <w:rPr>
                <w:color w:val="4F81BD" w:themeColor="accent1"/>
              </w:rPr>
              <w:t xml:space="preserve"> HCC; N~140</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-Y (</w:t>
            </w:r>
            <w:proofErr w:type="spellStart"/>
            <w:r w:rsidRPr="00E02A90">
              <w:rPr>
                <w:color w:val="4F81BD" w:themeColor="accent1"/>
              </w:rPr>
              <w:t>TheraSphere</w:t>
            </w:r>
            <w:proofErr w:type="spellEnd"/>
            <w:r w:rsidRPr="00E02A90">
              <w:rPr>
                <w:color w:val="4F81BD" w:themeColor="accent1"/>
              </w:rPr>
              <w:t xml:space="preserve">) versus DEB-TACE </w:t>
            </w:r>
          </w:p>
          <w:p w:rsidR="00275706" w:rsidRPr="00E02A90" w:rsidRDefault="00275706" w:rsidP="00216126">
            <w:pPr>
              <w:spacing w:before="40" w:after="40"/>
              <w:rPr>
                <w:i/>
                <w:color w:val="4F81BD" w:themeColor="accent1"/>
              </w:rPr>
            </w:pPr>
            <w:r w:rsidRPr="00E02A90">
              <w:rPr>
                <w:i/>
                <w:color w:val="4F81BD" w:themeColor="accent1"/>
              </w:rPr>
              <w:t>Outcomes:</w:t>
            </w:r>
            <w:r w:rsidRPr="00E02A90">
              <w:rPr>
                <w:color w:val="4F81BD" w:themeColor="accent1"/>
              </w:rPr>
              <w:t xml:space="preserve"> overall survival; time to progression; tumour response; quality of life; adverse events </w:t>
            </w:r>
            <w:r w:rsidRPr="00E02A90">
              <w:rPr>
                <w:i/>
                <w:color w:val="4F81BD" w:themeColor="accent1"/>
              </w:rPr>
              <w:t xml:space="preserve"> </w:t>
            </w:r>
          </w:p>
          <w:p w:rsidR="00275706" w:rsidRPr="00D22B82" w:rsidRDefault="00275706" w:rsidP="00216126">
            <w:pPr>
              <w:spacing w:before="40" w:after="40"/>
              <w:rPr>
                <w:color w:val="4F81BD" w:themeColor="accent1"/>
              </w:rPr>
            </w:pPr>
            <w:r w:rsidRPr="00E02A90">
              <w:rPr>
                <w:i/>
                <w:color w:val="4F81BD" w:themeColor="accent1"/>
              </w:rPr>
              <w:t>Status:</w:t>
            </w:r>
            <w:r>
              <w:rPr>
                <w:color w:val="4F81BD" w:themeColor="accent1"/>
              </w:rPr>
              <w:t xml:space="preserve"> Recruiting</w:t>
            </w:r>
          </w:p>
        </w:tc>
        <w:tc>
          <w:tcPr>
            <w:tcW w:w="762" w:type="pct"/>
          </w:tcPr>
          <w:p w:rsidR="00275706" w:rsidRPr="00E82F54" w:rsidRDefault="00275706" w:rsidP="00216126">
            <w:pPr>
              <w:rPr>
                <w:b/>
                <w:szCs w:val="20"/>
              </w:rPr>
            </w:pPr>
            <w:hyperlink r:id="rId33" w:history="1">
              <w:r w:rsidRPr="00E02A90">
                <w:rPr>
                  <w:rStyle w:val="Hyperlink"/>
                  <w:color w:val="4F81BD" w:themeColor="accent1"/>
                </w:rPr>
                <w:t>https://www.ncbi.nlm.nih.gov/pmc/articles/PMC3493260/pdf/1745-6215-13-144.pdf</w:t>
              </w:r>
            </w:hyperlink>
          </w:p>
        </w:tc>
        <w:tc>
          <w:tcPr>
            <w:tcW w:w="644" w:type="pct"/>
          </w:tcPr>
          <w:p w:rsidR="00275706" w:rsidRPr="00E02A90" w:rsidRDefault="00275706" w:rsidP="00216126">
            <w:pPr>
              <w:spacing w:before="40" w:after="40"/>
              <w:rPr>
                <w:b/>
                <w:color w:val="4F81BD" w:themeColor="accent1"/>
                <w:szCs w:val="20"/>
              </w:rPr>
            </w:pPr>
            <w:r w:rsidRPr="00E02A90">
              <w:rPr>
                <w:color w:val="4F81BD" w:themeColor="accent1"/>
              </w:rPr>
              <w:t>Dec 2016</w:t>
            </w:r>
          </w:p>
        </w:tc>
      </w:tr>
      <w:tr w:rsidR="00275706" w:rsidTr="00216126">
        <w:trPr>
          <w:cantSplit/>
        </w:trPr>
        <w:tc>
          <w:tcPr>
            <w:tcW w:w="167" w:type="pct"/>
          </w:tcPr>
          <w:p w:rsidR="00275706" w:rsidRPr="00965B6B" w:rsidRDefault="00275706" w:rsidP="00216126">
            <w:pPr>
              <w:rPr>
                <w:szCs w:val="20"/>
              </w:rPr>
            </w:pPr>
            <w:r>
              <w:rPr>
                <w:szCs w:val="20"/>
              </w:rPr>
              <w:t>2.</w:t>
            </w:r>
          </w:p>
        </w:tc>
        <w:tc>
          <w:tcPr>
            <w:tcW w:w="697" w:type="pct"/>
          </w:tcPr>
          <w:p w:rsidR="00275706" w:rsidRPr="00E02A90" w:rsidRDefault="00275706" w:rsidP="00216126">
            <w:pPr>
              <w:spacing w:before="40" w:after="40"/>
              <w:rPr>
                <w:color w:val="4F81BD" w:themeColor="accent1"/>
              </w:rPr>
            </w:pPr>
            <w:r w:rsidRPr="00E02A90">
              <w:rPr>
                <w:color w:val="4F81BD" w:themeColor="accent1"/>
              </w:rPr>
              <w:t>RCT</w:t>
            </w:r>
          </w:p>
          <w:p w:rsidR="00275706" w:rsidRPr="00E02A90" w:rsidRDefault="00275706" w:rsidP="00216126">
            <w:pPr>
              <w:spacing w:before="40" w:after="40"/>
              <w:rPr>
                <w:b/>
                <w:color w:val="4F81BD" w:themeColor="accent1"/>
                <w:szCs w:val="20"/>
              </w:rPr>
            </w:pPr>
            <w:r w:rsidRPr="00E02A90">
              <w:rPr>
                <w:color w:val="4F81BD" w:themeColor="accent1"/>
              </w:rPr>
              <w:t>Saudi Arabia</w:t>
            </w:r>
          </w:p>
        </w:tc>
        <w:tc>
          <w:tcPr>
            <w:tcW w:w="1460" w:type="pct"/>
          </w:tcPr>
          <w:p w:rsidR="00275706" w:rsidRPr="00E02A90" w:rsidRDefault="00275706" w:rsidP="00216126">
            <w:pPr>
              <w:spacing w:before="40" w:after="40"/>
              <w:rPr>
                <w:color w:val="4F81BD" w:themeColor="accent1"/>
              </w:rPr>
            </w:pPr>
            <w:proofErr w:type="spellStart"/>
            <w:r w:rsidRPr="00E02A90">
              <w:rPr>
                <w:color w:val="4F81BD" w:themeColor="accent1"/>
              </w:rPr>
              <w:t>Transarterial</w:t>
            </w:r>
            <w:proofErr w:type="spellEnd"/>
            <w:r w:rsidRPr="00E02A90">
              <w:rPr>
                <w:color w:val="4F81BD" w:themeColor="accent1"/>
              </w:rPr>
              <w:t xml:space="preserve"> </w:t>
            </w:r>
            <w:proofErr w:type="spellStart"/>
            <w:r w:rsidRPr="00E02A90">
              <w:rPr>
                <w:color w:val="4F81BD" w:themeColor="accent1"/>
              </w:rPr>
              <w:t>radioembolization</w:t>
            </w:r>
            <w:proofErr w:type="spellEnd"/>
            <w:r w:rsidRPr="00E02A90">
              <w:rPr>
                <w:color w:val="4F81BD" w:themeColor="accent1"/>
              </w:rPr>
              <w:t xml:space="preserve"> versus chemoembolization for the treatment of advanced hepatocellular carcinoma</w:t>
            </w:r>
          </w:p>
          <w:p w:rsidR="00275706" w:rsidRPr="00E02A90" w:rsidRDefault="00275706" w:rsidP="00216126">
            <w:pPr>
              <w:spacing w:before="40" w:after="40"/>
              <w:rPr>
                <w:color w:val="4F81BD" w:themeColor="accent1"/>
              </w:rPr>
            </w:pPr>
            <w:r w:rsidRPr="00E02A90">
              <w:rPr>
                <w:i/>
                <w:color w:val="4F81BD" w:themeColor="accent1"/>
              </w:rPr>
              <w:t>Trial ID:</w:t>
            </w:r>
            <w:r w:rsidRPr="00E02A90">
              <w:rPr>
                <w:color w:val="4F81BD" w:themeColor="accent1"/>
              </w:rPr>
              <w:t xml:space="preserve"> RAC#2131 134</w:t>
            </w:r>
          </w:p>
          <w:p w:rsidR="00275706" w:rsidRPr="00E02A90" w:rsidRDefault="00275706" w:rsidP="00216126">
            <w:pPr>
              <w:spacing w:before="40" w:after="40"/>
              <w:rPr>
                <w:b/>
                <w:color w:val="4F81BD" w:themeColor="accent1"/>
                <w:szCs w:val="20"/>
              </w:rPr>
            </w:pPr>
            <w:r w:rsidRPr="00E02A90">
              <w:rPr>
                <w:i/>
                <w:color w:val="4F81BD" w:themeColor="accent1"/>
              </w:rPr>
              <w:t>Registration no:</w:t>
            </w:r>
            <w:r w:rsidRPr="00E02A90">
              <w:rPr>
                <w:color w:val="4F81BD" w:themeColor="accent1"/>
              </w:rPr>
              <w:t xml:space="preserve"> </w:t>
            </w:r>
            <w:r w:rsidRPr="00E02A90">
              <w:rPr>
                <w:color w:val="4F81BD" w:themeColor="accent1"/>
                <w:sz w:val="18"/>
                <w:szCs w:val="16"/>
              </w:rPr>
              <w:t>NCT02729506</w:t>
            </w:r>
          </w:p>
        </w:tc>
        <w:tc>
          <w:tcPr>
            <w:tcW w:w="1270" w:type="pct"/>
          </w:tcPr>
          <w:p w:rsidR="00275706" w:rsidRPr="00E02A90" w:rsidRDefault="00275706" w:rsidP="00216126">
            <w:pPr>
              <w:spacing w:before="40" w:after="40"/>
              <w:rPr>
                <w:color w:val="4F81BD" w:themeColor="accent1"/>
              </w:rPr>
            </w:pPr>
            <w:r w:rsidRPr="00E02A90">
              <w:rPr>
                <w:i/>
                <w:color w:val="4F81BD" w:themeColor="accent1"/>
              </w:rPr>
              <w:t>Population:</w:t>
            </w:r>
            <w:r w:rsidRPr="00E02A90">
              <w:rPr>
                <w:color w:val="4F81BD" w:themeColor="accent1"/>
              </w:rPr>
              <w:t xml:space="preserve"> advanced HCC; N~150</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 xml:space="preserve">-Y (any) versus DEB-TACE </w:t>
            </w:r>
          </w:p>
          <w:p w:rsidR="00275706" w:rsidRPr="00E02A90" w:rsidRDefault="00275706" w:rsidP="00216126">
            <w:pPr>
              <w:spacing w:before="40" w:after="40"/>
              <w:rPr>
                <w:i/>
                <w:color w:val="4F81BD" w:themeColor="accent1"/>
              </w:rPr>
            </w:pPr>
            <w:r w:rsidRPr="00E02A90">
              <w:rPr>
                <w:i/>
                <w:color w:val="4F81BD" w:themeColor="accent1"/>
              </w:rPr>
              <w:t>Outcomes:</w:t>
            </w:r>
            <w:r w:rsidRPr="00E02A90">
              <w:rPr>
                <w:color w:val="4F81BD" w:themeColor="accent1"/>
              </w:rPr>
              <w:t xml:space="preserve"> overall survival; time to progression; tumour response; </w:t>
            </w:r>
            <w:r>
              <w:rPr>
                <w:color w:val="4F81BD" w:themeColor="accent1"/>
              </w:rPr>
              <w:t>quality of life; adverse events</w:t>
            </w:r>
          </w:p>
          <w:p w:rsidR="00275706" w:rsidRPr="00E02A90" w:rsidRDefault="00275706" w:rsidP="00216126">
            <w:pPr>
              <w:spacing w:before="40" w:after="40"/>
              <w:rPr>
                <w:color w:val="4F81BD" w:themeColor="accent1"/>
              </w:rPr>
            </w:pPr>
            <w:r w:rsidRPr="00E02A90">
              <w:rPr>
                <w:i/>
                <w:color w:val="4F81BD" w:themeColor="accent1"/>
              </w:rPr>
              <w:t>Status:</w:t>
            </w:r>
            <w:r w:rsidRPr="00E02A90">
              <w:rPr>
                <w:color w:val="4F81BD" w:themeColor="accent1"/>
              </w:rPr>
              <w:t xml:space="preserve"> Recruiting</w:t>
            </w:r>
          </w:p>
        </w:tc>
        <w:tc>
          <w:tcPr>
            <w:tcW w:w="762" w:type="pct"/>
          </w:tcPr>
          <w:p w:rsidR="00275706" w:rsidRPr="00E82F54" w:rsidRDefault="00275706" w:rsidP="00216126">
            <w:pPr>
              <w:rPr>
                <w:b/>
                <w:szCs w:val="20"/>
              </w:rPr>
            </w:pPr>
            <w:hyperlink r:id="rId34" w:history="1">
              <w:r w:rsidRPr="00E02A90">
                <w:rPr>
                  <w:rStyle w:val="Hyperlink"/>
                  <w:color w:val="4F81BD" w:themeColor="accent1"/>
                </w:rPr>
                <w:t>https://clinicaltrials.gov/ct2/show/NCT02729506</w:t>
              </w:r>
            </w:hyperlink>
          </w:p>
        </w:tc>
        <w:tc>
          <w:tcPr>
            <w:tcW w:w="644" w:type="pct"/>
          </w:tcPr>
          <w:p w:rsidR="00275706" w:rsidRPr="00E02A90" w:rsidRDefault="00275706" w:rsidP="00216126">
            <w:pPr>
              <w:spacing w:before="40" w:after="40"/>
              <w:rPr>
                <w:b/>
                <w:color w:val="4F81BD" w:themeColor="accent1"/>
                <w:szCs w:val="20"/>
              </w:rPr>
            </w:pPr>
            <w:r w:rsidRPr="00E02A90">
              <w:rPr>
                <w:color w:val="4F81BD" w:themeColor="accent1"/>
              </w:rPr>
              <w:t>Dec 2017</w:t>
            </w:r>
          </w:p>
        </w:tc>
      </w:tr>
      <w:tr w:rsidR="00275706" w:rsidTr="00216126">
        <w:trPr>
          <w:cantSplit/>
        </w:trPr>
        <w:tc>
          <w:tcPr>
            <w:tcW w:w="167" w:type="pct"/>
          </w:tcPr>
          <w:p w:rsidR="00275706" w:rsidRDefault="00275706" w:rsidP="00216126">
            <w:pPr>
              <w:rPr>
                <w:szCs w:val="20"/>
              </w:rPr>
            </w:pPr>
            <w:r>
              <w:rPr>
                <w:szCs w:val="20"/>
              </w:rPr>
              <w:t>3.</w:t>
            </w:r>
          </w:p>
        </w:tc>
        <w:tc>
          <w:tcPr>
            <w:tcW w:w="697" w:type="pct"/>
          </w:tcPr>
          <w:p w:rsidR="00275706" w:rsidRPr="00E02A90" w:rsidRDefault="00275706" w:rsidP="00216126">
            <w:pPr>
              <w:spacing w:before="40" w:after="40"/>
              <w:rPr>
                <w:color w:val="4F81BD" w:themeColor="accent1"/>
              </w:rPr>
            </w:pPr>
            <w:r w:rsidRPr="00E02A90">
              <w:rPr>
                <w:color w:val="4F81BD" w:themeColor="accent1"/>
              </w:rPr>
              <w:t>RCT</w:t>
            </w:r>
          </w:p>
          <w:p w:rsidR="00275706" w:rsidRPr="00E02A90" w:rsidRDefault="00275706" w:rsidP="00216126">
            <w:pPr>
              <w:spacing w:before="40" w:after="40"/>
              <w:rPr>
                <w:b/>
                <w:color w:val="4F81BD" w:themeColor="accent1"/>
                <w:szCs w:val="20"/>
              </w:rPr>
            </w:pPr>
            <w:r w:rsidRPr="00E02A90">
              <w:rPr>
                <w:color w:val="4F81BD" w:themeColor="accent1"/>
              </w:rPr>
              <w:t>US, Belgium, France, Italy, Spain, UK</w:t>
            </w:r>
          </w:p>
        </w:tc>
        <w:tc>
          <w:tcPr>
            <w:tcW w:w="1460" w:type="pct"/>
          </w:tcPr>
          <w:p w:rsidR="00275706" w:rsidRPr="00E02A90" w:rsidRDefault="00275706" w:rsidP="00216126">
            <w:pPr>
              <w:spacing w:before="40" w:after="40"/>
              <w:rPr>
                <w:color w:val="4F81BD" w:themeColor="accent1"/>
              </w:rPr>
            </w:pPr>
            <w:r w:rsidRPr="00E02A90">
              <w:rPr>
                <w:color w:val="4F81BD" w:themeColor="accent1"/>
              </w:rPr>
              <w:t xml:space="preserve">Sinclair (2014). "A prospective randomized clinical trial on 90yttruim </w:t>
            </w:r>
            <w:proofErr w:type="spellStart"/>
            <w:r w:rsidRPr="00E02A90">
              <w:rPr>
                <w:color w:val="4F81BD" w:themeColor="accent1"/>
              </w:rPr>
              <w:t>transarterial</w:t>
            </w:r>
            <w:proofErr w:type="spellEnd"/>
            <w:r w:rsidRPr="00E02A90">
              <w:rPr>
                <w:color w:val="4F81BD" w:themeColor="accent1"/>
              </w:rPr>
              <w:t xml:space="preserve"> </w:t>
            </w:r>
            <w:proofErr w:type="spellStart"/>
            <w:r w:rsidRPr="00E02A90">
              <w:rPr>
                <w:color w:val="4F81BD" w:themeColor="accent1"/>
              </w:rPr>
              <w:t>radioembolization</w:t>
            </w:r>
            <w:proofErr w:type="spellEnd"/>
            <w:r w:rsidRPr="00E02A90">
              <w:rPr>
                <w:color w:val="4F81BD" w:themeColor="accent1"/>
              </w:rPr>
              <w:t xml:space="preserve"> (</w:t>
            </w:r>
            <w:proofErr w:type="spellStart"/>
            <w:r w:rsidRPr="00E02A90">
              <w:rPr>
                <w:color w:val="4F81BD" w:themeColor="accent1"/>
              </w:rPr>
              <w:t>TheraSphere</w:t>
            </w:r>
            <w:proofErr w:type="spellEnd"/>
            <w:r w:rsidRPr="00E02A90">
              <w:rPr>
                <w:color w:val="4F81BD" w:themeColor="accent1"/>
              </w:rPr>
              <w:t xml:space="preserve">) </w:t>
            </w:r>
            <w:proofErr w:type="spellStart"/>
            <w:r w:rsidRPr="00E02A90">
              <w:rPr>
                <w:color w:val="4F81BD" w:themeColor="accent1"/>
              </w:rPr>
              <w:t>vs</w:t>
            </w:r>
            <w:proofErr w:type="spellEnd"/>
            <w:r w:rsidRPr="00E02A90">
              <w:rPr>
                <w:color w:val="4F81BD" w:themeColor="accent1"/>
              </w:rPr>
              <w:t xml:space="preserve"> standard of care (</w:t>
            </w:r>
            <w:proofErr w:type="spellStart"/>
            <w:r w:rsidRPr="00E02A90">
              <w:rPr>
                <w:color w:val="4F81BD" w:themeColor="accent1"/>
              </w:rPr>
              <w:t>sorafenib</w:t>
            </w:r>
            <w:proofErr w:type="spellEnd"/>
            <w:r w:rsidRPr="00E02A90">
              <w:rPr>
                <w:color w:val="4F81BD" w:themeColor="accent1"/>
              </w:rPr>
              <w:t>) for the treatment of advanced hepatocellular carcinoma with portal vein thrombosis." Journal of Vascular and Interventional Radiology 25(5): 817.</w:t>
            </w:r>
          </w:p>
          <w:p w:rsidR="00275706" w:rsidRPr="00E02A90" w:rsidRDefault="00275706" w:rsidP="00216126">
            <w:pPr>
              <w:spacing w:before="40" w:after="40"/>
              <w:rPr>
                <w:color w:val="4F81BD" w:themeColor="accent1"/>
              </w:rPr>
            </w:pPr>
            <w:r w:rsidRPr="00E02A90">
              <w:rPr>
                <w:i/>
                <w:color w:val="4F81BD" w:themeColor="accent1"/>
              </w:rPr>
              <w:t>Trial ID:</w:t>
            </w:r>
            <w:r w:rsidRPr="00E02A90">
              <w:rPr>
                <w:color w:val="4F81BD" w:themeColor="accent1"/>
              </w:rPr>
              <w:t xml:space="preserve"> YES-P</w:t>
            </w:r>
          </w:p>
          <w:p w:rsidR="00275706" w:rsidRPr="00E02A90" w:rsidRDefault="00275706" w:rsidP="00216126">
            <w:pPr>
              <w:spacing w:before="40" w:after="40"/>
              <w:rPr>
                <w:b/>
                <w:color w:val="4F81BD" w:themeColor="accent1"/>
                <w:szCs w:val="20"/>
              </w:rPr>
            </w:pPr>
            <w:r w:rsidRPr="00E02A90">
              <w:rPr>
                <w:i/>
                <w:color w:val="4F81BD" w:themeColor="accent1"/>
              </w:rPr>
              <w:t>Registration no.:</w:t>
            </w:r>
            <w:r w:rsidRPr="00E02A90">
              <w:rPr>
                <w:color w:val="4F81BD" w:themeColor="accent1"/>
              </w:rPr>
              <w:t xml:space="preserve"> NCT01887717/ EUCTR2012-005375-14-GB/EUCTR2012-005375-14-BE</w:t>
            </w:r>
          </w:p>
        </w:tc>
        <w:tc>
          <w:tcPr>
            <w:tcW w:w="1270" w:type="pct"/>
          </w:tcPr>
          <w:p w:rsidR="00275706" w:rsidRPr="00E02A90" w:rsidRDefault="00275706" w:rsidP="00216126">
            <w:pPr>
              <w:spacing w:before="40" w:after="40"/>
              <w:rPr>
                <w:color w:val="4F81BD" w:themeColor="accent1"/>
              </w:rPr>
            </w:pPr>
            <w:r w:rsidRPr="00E02A90">
              <w:rPr>
                <w:i/>
                <w:color w:val="4F81BD" w:themeColor="accent1"/>
              </w:rPr>
              <w:t>Population:</w:t>
            </w:r>
            <w:r w:rsidRPr="00E02A90">
              <w:rPr>
                <w:color w:val="4F81BD" w:themeColor="accent1"/>
              </w:rPr>
              <w:t xml:space="preserve"> advanced HCC with PVT; N~328</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-Y (</w:t>
            </w:r>
            <w:proofErr w:type="spellStart"/>
            <w:r w:rsidRPr="00E02A90">
              <w:rPr>
                <w:color w:val="4F81BD" w:themeColor="accent1"/>
              </w:rPr>
              <w:t>TheraSphere</w:t>
            </w:r>
            <w:proofErr w:type="spellEnd"/>
            <w:r w:rsidRPr="00E02A90">
              <w:rPr>
                <w:color w:val="4F81BD" w:themeColor="accent1"/>
              </w:rPr>
              <w:t xml:space="preserve">) versus </w:t>
            </w:r>
            <w:proofErr w:type="spellStart"/>
            <w:r w:rsidRPr="00E02A90">
              <w:rPr>
                <w:color w:val="4F81BD" w:themeColor="accent1"/>
              </w:rPr>
              <w:t>sorafenib</w:t>
            </w:r>
            <w:proofErr w:type="spellEnd"/>
            <w:r w:rsidRPr="00E02A90">
              <w:rPr>
                <w:color w:val="4F81BD" w:themeColor="accent1"/>
              </w:rPr>
              <w:t xml:space="preserve"> </w:t>
            </w:r>
          </w:p>
          <w:p w:rsidR="00275706" w:rsidRPr="00E02A90" w:rsidRDefault="00275706" w:rsidP="00216126">
            <w:pPr>
              <w:spacing w:before="40" w:after="40"/>
              <w:rPr>
                <w:color w:val="4F81BD" w:themeColor="accent1"/>
              </w:rPr>
            </w:pPr>
            <w:r w:rsidRPr="00E02A90">
              <w:rPr>
                <w:i/>
                <w:color w:val="4F81BD" w:themeColor="accent1"/>
              </w:rPr>
              <w:t>Outcomes:</w:t>
            </w:r>
            <w:r w:rsidRPr="00E02A90">
              <w:rPr>
                <w:color w:val="4F81BD" w:themeColor="accent1"/>
              </w:rPr>
              <w:t xml:space="preserve"> overall survival; time to progression; tumour response; quality of life; adverse events </w:t>
            </w:r>
          </w:p>
          <w:p w:rsidR="00275706" w:rsidRPr="00E02A90" w:rsidRDefault="00275706" w:rsidP="00216126">
            <w:pPr>
              <w:spacing w:before="40" w:after="40"/>
              <w:rPr>
                <w:b/>
                <w:color w:val="4F81BD" w:themeColor="accent1"/>
                <w:szCs w:val="20"/>
              </w:rPr>
            </w:pPr>
            <w:r w:rsidRPr="00E02A90">
              <w:rPr>
                <w:i/>
                <w:color w:val="4F81BD" w:themeColor="accent1"/>
              </w:rPr>
              <w:t>Status:</w:t>
            </w:r>
            <w:r w:rsidRPr="00E02A90">
              <w:rPr>
                <w:color w:val="4F81BD" w:themeColor="accent1"/>
              </w:rPr>
              <w:t xml:space="preserve"> ongoing</w:t>
            </w:r>
          </w:p>
        </w:tc>
        <w:tc>
          <w:tcPr>
            <w:tcW w:w="762" w:type="pct"/>
          </w:tcPr>
          <w:p w:rsidR="00275706" w:rsidRPr="00E82F54" w:rsidRDefault="00275706" w:rsidP="00216126">
            <w:pPr>
              <w:rPr>
                <w:b/>
                <w:szCs w:val="20"/>
              </w:rPr>
            </w:pPr>
            <w:hyperlink r:id="rId35" w:history="1">
              <w:r w:rsidRPr="00E02A90">
                <w:rPr>
                  <w:rStyle w:val="Hyperlink"/>
                  <w:color w:val="4F81BD" w:themeColor="accent1"/>
                </w:rPr>
                <w:t>https://clinicaltrials.gov/ct2/show/NCT01887717</w:t>
              </w:r>
            </w:hyperlink>
          </w:p>
        </w:tc>
        <w:tc>
          <w:tcPr>
            <w:tcW w:w="644" w:type="pct"/>
          </w:tcPr>
          <w:p w:rsidR="00275706" w:rsidRPr="00E82F54" w:rsidRDefault="00275706" w:rsidP="00216126">
            <w:pPr>
              <w:rPr>
                <w:b/>
                <w:szCs w:val="20"/>
              </w:rPr>
            </w:pPr>
            <w:r w:rsidRPr="00E02A90">
              <w:rPr>
                <w:color w:val="4F81BD" w:themeColor="accent1"/>
              </w:rPr>
              <w:t>Dec 2019</w:t>
            </w:r>
          </w:p>
        </w:tc>
      </w:tr>
      <w:tr w:rsidR="00275706" w:rsidTr="00216126">
        <w:trPr>
          <w:cantSplit/>
        </w:trPr>
        <w:tc>
          <w:tcPr>
            <w:tcW w:w="167" w:type="pct"/>
          </w:tcPr>
          <w:p w:rsidR="00275706" w:rsidRDefault="00275706" w:rsidP="00216126">
            <w:pPr>
              <w:rPr>
                <w:szCs w:val="20"/>
              </w:rPr>
            </w:pPr>
            <w:r>
              <w:rPr>
                <w:szCs w:val="20"/>
              </w:rPr>
              <w:lastRenderedPageBreak/>
              <w:t>4.</w:t>
            </w:r>
          </w:p>
        </w:tc>
        <w:tc>
          <w:tcPr>
            <w:tcW w:w="697" w:type="pct"/>
          </w:tcPr>
          <w:p w:rsidR="00275706" w:rsidRPr="00E02A90" w:rsidRDefault="00275706" w:rsidP="00216126">
            <w:pPr>
              <w:spacing w:before="40" w:after="40"/>
              <w:rPr>
                <w:color w:val="4F81BD" w:themeColor="accent1"/>
              </w:rPr>
            </w:pPr>
            <w:r w:rsidRPr="00E02A90">
              <w:rPr>
                <w:color w:val="4F81BD" w:themeColor="accent1"/>
              </w:rPr>
              <w:t>RCT</w:t>
            </w:r>
          </w:p>
          <w:p w:rsidR="00275706" w:rsidRPr="00E02A90" w:rsidRDefault="00275706" w:rsidP="00216126">
            <w:pPr>
              <w:spacing w:before="40" w:after="40"/>
              <w:rPr>
                <w:b/>
                <w:color w:val="4F81BD" w:themeColor="accent1"/>
                <w:szCs w:val="20"/>
              </w:rPr>
            </w:pPr>
            <w:r w:rsidRPr="00E02A90">
              <w:rPr>
                <w:color w:val="4F81BD" w:themeColor="accent1"/>
              </w:rPr>
              <w:t>Asia, New Zealand Australia</w:t>
            </w:r>
          </w:p>
        </w:tc>
        <w:tc>
          <w:tcPr>
            <w:tcW w:w="1460" w:type="pct"/>
          </w:tcPr>
          <w:p w:rsidR="00275706" w:rsidRPr="00E02A90" w:rsidRDefault="00275706" w:rsidP="00216126">
            <w:pPr>
              <w:spacing w:before="40" w:after="40"/>
              <w:rPr>
                <w:color w:val="4F81BD" w:themeColor="accent1"/>
              </w:rPr>
            </w:pPr>
            <w:r w:rsidRPr="00E02A90">
              <w:rPr>
                <w:color w:val="4F81BD" w:themeColor="accent1"/>
              </w:rPr>
              <w:t xml:space="preserve">Gandhi et al. (2016). "Single administration of Selective Internal Radiation Therapy versus continuous treatment with </w:t>
            </w:r>
            <w:proofErr w:type="spellStart"/>
            <w:r w:rsidRPr="00E02A90">
              <w:rPr>
                <w:color w:val="4F81BD" w:themeColor="accent1"/>
              </w:rPr>
              <w:t>sorafeNIB</w:t>
            </w:r>
            <w:proofErr w:type="spellEnd"/>
            <w:r w:rsidRPr="00E02A90">
              <w:rPr>
                <w:color w:val="4F81BD" w:themeColor="accent1"/>
              </w:rPr>
              <w:t xml:space="preserve"> in locally advanced hepatocellular carcinoma (</w:t>
            </w:r>
            <w:proofErr w:type="spellStart"/>
            <w:r w:rsidRPr="00E02A90">
              <w:rPr>
                <w:color w:val="4F81BD" w:themeColor="accent1"/>
              </w:rPr>
              <w:t>SIRveNIB</w:t>
            </w:r>
            <w:proofErr w:type="spellEnd"/>
            <w:r w:rsidRPr="00E02A90">
              <w:rPr>
                <w:color w:val="4F81BD" w:themeColor="accent1"/>
              </w:rPr>
              <w:t>): Study protocol for a phase iii randomized controlled trial." BMC Cancer 16(1): no pagination.</w:t>
            </w:r>
          </w:p>
          <w:p w:rsidR="00275706" w:rsidRPr="00E02A90" w:rsidRDefault="00275706" w:rsidP="00216126">
            <w:pPr>
              <w:spacing w:before="40" w:after="40"/>
              <w:rPr>
                <w:color w:val="4F81BD" w:themeColor="accent1"/>
              </w:rPr>
            </w:pPr>
            <w:r w:rsidRPr="00E02A90">
              <w:rPr>
                <w:i/>
                <w:color w:val="4F81BD" w:themeColor="accent1"/>
              </w:rPr>
              <w:t>Trial ID:</w:t>
            </w:r>
            <w:r w:rsidRPr="00E02A90">
              <w:rPr>
                <w:color w:val="4F81BD" w:themeColor="accent1"/>
              </w:rPr>
              <w:t xml:space="preserve"> </w:t>
            </w:r>
            <w:proofErr w:type="spellStart"/>
            <w:r w:rsidRPr="00E02A90">
              <w:rPr>
                <w:color w:val="4F81BD" w:themeColor="accent1"/>
              </w:rPr>
              <w:t>SIRveNIB</w:t>
            </w:r>
            <w:proofErr w:type="spellEnd"/>
            <w:r>
              <w:rPr>
                <w:rStyle w:val="FootnoteReference"/>
                <w:color w:val="4F81BD" w:themeColor="accent1"/>
              </w:rPr>
              <w:footnoteReference w:id="7"/>
            </w:r>
          </w:p>
          <w:p w:rsidR="00275706" w:rsidRPr="00E02A90" w:rsidRDefault="00275706" w:rsidP="00216126">
            <w:pPr>
              <w:spacing w:before="40" w:after="40"/>
              <w:rPr>
                <w:b/>
                <w:color w:val="4F81BD" w:themeColor="accent1"/>
                <w:szCs w:val="20"/>
              </w:rPr>
            </w:pPr>
            <w:r w:rsidRPr="00E02A90">
              <w:rPr>
                <w:i/>
                <w:color w:val="4F81BD" w:themeColor="accent1"/>
              </w:rPr>
              <w:t>Registration no.:</w:t>
            </w:r>
            <w:r>
              <w:rPr>
                <w:color w:val="4F81BD" w:themeColor="accent1"/>
              </w:rPr>
              <w:t xml:space="preserve"> NCT </w:t>
            </w:r>
            <w:r w:rsidRPr="00E02A90">
              <w:rPr>
                <w:color w:val="4F81BD" w:themeColor="accent1"/>
              </w:rPr>
              <w:t>01135056</w:t>
            </w:r>
          </w:p>
        </w:tc>
        <w:tc>
          <w:tcPr>
            <w:tcW w:w="1270" w:type="pct"/>
          </w:tcPr>
          <w:p w:rsidR="00275706" w:rsidRPr="00E02A90" w:rsidRDefault="00275706" w:rsidP="00216126">
            <w:pPr>
              <w:spacing w:before="40" w:after="40"/>
              <w:rPr>
                <w:color w:val="4F81BD" w:themeColor="accent1"/>
                <w:szCs w:val="20"/>
              </w:rPr>
            </w:pPr>
            <w:r w:rsidRPr="00E02A90">
              <w:rPr>
                <w:i/>
                <w:color w:val="4F81BD" w:themeColor="accent1"/>
                <w:szCs w:val="20"/>
              </w:rPr>
              <w:t>Population:</w:t>
            </w:r>
            <w:r w:rsidRPr="00E02A90">
              <w:rPr>
                <w:color w:val="4F81BD" w:themeColor="accent1"/>
                <w:szCs w:val="20"/>
              </w:rPr>
              <w:t xml:space="preserve"> locally advanced HCC; N~360</w:t>
            </w:r>
          </w:p>
          <w:p w:rsidR="00275706" w:rsidRPr="00E02A90" w:rsidRDefault="00275706" w:rsidP="00216126">
            <w:pPr>
              <w:spacing w:before="40" w:after="40"/>
              <w:rPr>
                <w:color w:val="4F81BD" w:themeColor="accent1"/>
                <w:szCs w:val="20"/>
              </w:rPr>
            </w:pPr>
            <w:r w:rsidRPr="00E02A90">
              <w:rPr>
                <w:i/>
                <w:color w:val="4F81BD" w:themeColor="accent1"/>
                <w:szCs w:val="20"/>
              </w:rPr>
              <w:t>Comparison:</w:t>
            </w:r>
            <w:r w:rsidRPr="00E02A90">
              <w:rPr>
                <w:color w:val="4F81BD" w:themeColor="accent1"/>
                <w:szCs w:val="20"/>
              </w:rPr>
              <w:t xml:space="preserve"> </w:t>
            </w:r>
            <w:r>
              <w:rPr>
                <w:color w:val="4F81BD" w:themeColor="accent1"/>
                <w:szCs w:val="20"/>
              </w:rPr>
              <w:t>TARE</w:t>
            </w:r>
            <w:r w:rsidRPr="00E02A90">
              <w:rPr>
                <w:color w:val="4F81BD" w:themeColor="accent1"/>
                <w:szCs w:val="20"/>
              </w:rPr>
              <w:t xml:space="preserve">-Y (SIR-Spheres) versus </w:t>
            </w:r>
            <w:proofErr w:type="spellStart"/>
            <w:r w:rsidRPr="00E02A90">
              <w:rPr>
                <w:color w:val="4F81BD" w:themeColor="accent1"/>
                <w:szCs w:val="20"/>
              </w:rPr>
              <w:t>sorafenib</w:t>
            </w:r>
            <w:proofErr w:type="spellEnd"/>
            <w:r w:rsidRPr="00E02A90">
              <w:rPr>
                <w:color w:val="4F81BD" w:themeColor="accent1"/>
                <w:szCs w:val="20"/>
              </w:rPr>
              <w:t xml:space="preserve"> </w:t>
            </w:r>
          </w:p>
          <w:p w:rsidR="00275706" w:rsidRPr="00E02A90" w:rsidRDefault="00275706" w:rsidP="00216126">
            <w:pPr>
              <w:spacing w:before="40" w:after="40"/>
              <w:rPr>
                <w:color w:val="4F81BD" w:themeColor="accent1"/>
              </w:rPr>
            </w:pPr>
            <w:r w:rsidRPr="00E02A90">
              <w:rPr>
                <w:i/>
                <w:color w:val="4F81BD" w:themeColor="accent1"/>
              </w:rPr>
              <w:t>Outcomes:</w:t>
            </w:r>
            <w:r w:rsidRPr="00E02A90">
              <w:rPr>
                <w:color w:val="4F81BD" w:themeColor="accent1"/>
              </w:rPr>
              <w:t xml:space="preserve"> overall survival; time to progression; tumour response; quality of life; adverse events </w:t>
            </w:r>
          </w:p>
          <w:p w:rsidR="00275706" w:rsidRPr="00E02A90" w:rsidRDefault="00275706" w:rsidP="00216126">
            <w:pPr>
              <w:spacing w:before="40" w:after="40"/>
              <w:rPr>
                <w:color w:val="4F81BD" w:themeColor="accent1"/>
              </w:rPr>
            </w:pPr>
            <w:r w:rsidRPr="00E02A90">
              <w:rPr>
                <w:i/>
                <w:color w:val="4F81BD" w:themeColor="accent1"/>
              </w:rPr>
              <w:t>Status:</w:t>
            </w:r>
            <w:r w:rsidRPr="00E02A90">
              <w:rPr>
                <w:color w:val="4F81BD" w:themeColor="accent1"/>
              </w:rPr>
              <w:t xml:space="preserve"> ongoing</w:t>
            </w:r>
          </w:p>
          <w:p w:rsidR="00275706" w:rsidRPr="00E02A90" w:rsidRDefault="00275706" w:rsidP="00216126">
            <w:pPr>
              <w:spacing w:before="40" w:after="40"/>
              <w:rPr>
                <w:color w:val="4F81BD" w:themeColor="accent1"/>
                <w:szCs w:val="20"/>
              </w:rPr>
            </w:pPr>
          </w:p>
        </w:tc>
        <w:tc>
          <w:tcPr>
            <w:tcW w:w="762" w:type="pct"/>
          </w:tcPr>
          <w:p w:rsidR="00275706" w:rsidRPr="00E82F54" w:rsidRDefault="00275706" w:rsidP="00216126">
            <w:pPr>
              <w:rPr>
                <w:b/>
                <w:szCs w:val="20"/>
              </w:rPr>
            </w:pPr>
            <w:hyperlink r:id="rId36" w:history="1">
              <w:r w:rsidRPr="00E02A90">
                <w:rPr>
                  <w:rStyle w:val="Hyperlink"/>
                  <w:color w:val="4F81BD" w:themeColor="accent1"/>
                </w:rPr>
                <w:t>http://www.biomedcentral.com/bmccancer/</w:t>
              </w:r>
            </w:hyperlink>
          </w:p>
        </w:tc>
        <w:tc>
          <w:tcPr>
            <w:tcW w:w="644" w:type="pct"/>
          </w:tcPr>
          <w:p w:rsidR="00275706" w:rsidRPr="00E02A90" w:rsidRDefault="00275706" w:rsidP="00216126">
            <w:pPr>
              <w:spacing w:before="40" w:after="40"/>
              <w:rPr>
                <w:b/>
                <w:color w:val="4F81BD" w:themeColor="accent1"/>
                <w:szCs w:val="20"/>
              </w:rPr>
            </w:pPr>
            <w:r w:rsidRPr="00E02A90">
              <w:rPr>
                <w:color w:val="4F81BD" w:themeColor="accent1"/>
              </w:rPr>
              <w:t xml:space="preserve">Recruitment ended in May 2016. The final analysis will be triggered after mortality reaches 266. </w:t>
            </w:r>
          </w:p>
        </w:tc>
      </w:tr>
      <w:tr w:rsidR="00275706" w:rsidTr="00216126">
        <w:trPr>
          <w:cantSplit/>
        </w:trPr>
        <w:tc>
          <w:tcPr>
            <w:tcW w:w="167" w:type="pct"/>
          </w:tcPr>
          <w:p w:rsidR="00275706" w:rsidRDefault="00275706" w:rsidP="00216126">
            <w:pPr>
              <w:rPr>
                <w:szCs w:val="20"/>
              </w:rPr>
            </w:pPr>
            <w:r>
              <w:rPr>
                <w:szCs w:val="20"/>
              </w:rPr>
              <w:t>5.</w:t>
            </w:r>
          </w:p>
        </w:tc>
        <w:tc>
          <w:tcPr>
            <w:tcW w:w="697" w:type="pct"/>
          </w:tcPr>
          <w:p w:rsidR="00275706" w:rsidRPr="00E02A90" w:rsidRDefault="00275706" w:rsidP="00216126">
            <w:pPr>
              <w:spacing w:before="40" w:after="40"/>
              <w:rPr>
                <w:color w:val="4F81BD" w:themeColor="accent1"/>
              </w:rPr>
            </w:pPr>
            <w:r w:rsidRPr="00E02A90">
              <w:rPr>
                <w:color w:val="4F81BD" w:themeColor="accent1"/>
              </w:rPr>
              <w:t>RCT</w:t>
            </w:r>
          </w:p>
          <w:p w:rsidR="00275706" w:rsidRPr="00E02A90" w:rsidRDefault="00275706" w:rsidP="00216126">
            <w:pPr>
              <w:spacing w:before="40" w:after="40"/>
              <w:rPr>
                <w:b/>
                <w:color w:val="4F81BD" w:themeColor="accent1"/>
                <w:szCs w:val="20"/>
              </w:rPr>
            </w:pPr>
            <w:r w:rsidRPr="00E02A90">
              <w:rPr>
                <w:color w:val="4F81BD" w:themeColor="accent1"/>
                <w:szCs w:val="20"/>
              </w:rPr>
              <w:t>United States; Belgium; Canada; China; France; Germany; Italy; Korea, Republic of Singapore; Spain; United Kingdom</w:t>
            </w:r>
          </w:p>
        </w:tc>
        <w:tc>
          <w:tcPr>
            <w:tcW w:w="1460" w:type="pct"/>
          </w:tcPr>
          <w:p w:rsidR="00275706" w:rsidRPr="00E02A90" w:rsidRDefault="00275706" w:rsidP="00216126">
            <w:pPr>
              <w:spacing w:before="40" w:after="40"/>
              <w:rPr>
                <w:color w:val="4F81BD" w:themeColor="accent1"/>
              </w:rPr>
            </w:pPr>
            <w:proofErr w:type="spellStart"/>
            <w:r w:rsidRPr="00E02A90">
              <w:rPr>
                <w:color w:val="4F81BD" w:themeColor="accent1"/>
              </w:rPr>
              <w:t>Karpf</w:t>
            </w:r>
            <w:proofErr w:type="spellEnd"/>
            <w:r w:rsidRPr="00E02A90">
              <w:rPr>
                <w:color w:val="4F81BD" w:themeColor="accent1"/>
              </w:rPr>
              <w:t xml:space="preserve"> (2015). "A phase III clinical trial of intra-arterial yttrium-90 glass microspheres in the treatment of patients with unresectable hepatocellular carcinoma." Journal of Clinical Oncology 33(3 SUPPL. 1): 477.</w:t>
            </w:r>
          </w:p>
          <w:p w:rsidR="00275706" w:rsidRPr="00E02A90" w:rsidRDefault="00275706" w:rsidP="00216126">
            <w:pPr>
              <w:spacing w:before="40" w:after="40"/>
              <w:rPr>
                <w:color w:val="4F81BD" w:themeColor="accent1"/>
              </w:rPr>
            </w:pPr>
            <w:r w:rsidRPr="00E02A90">
              <w:rPr>
                <w:i/>
                <w:color w:val="4F81BD" w:themeColor="accent1"/>
              </w:rPr>
              <w:t>Trial ID:</w:t>
            </w:r>
            <w:r w:rsidRPr="00E02A90">
              <w:rPr>
                <w:color w:val="4F81BD" w:themeColor="accent1"/>
              </w:rPr>
              <w:t xml:space="preserve"> STOP-HCC</w:t>
            </w:r>
          </w:p>
          <w:p w:rsidR="00275706" w:rsidRPr="00E02A90" w:rsidRDefault="00275706" w:rsidP="00216126">
            <w:pPr>
              <w:spacing w:before="40" w:after="40"/>
              <w:rPr>
                <w:b/>
                <w:color w:val="4F81BD" w:themeColor="accent1"/>
                <w:szCs w:val="20"/>
              </w:rPr>
            </w:pPr>
            <w:r w:rsidRPr="00E02A90">
              <w:rPr>
                <w:i/>
                <w:color w:val="4F81BD" w:themeColor="accent1"/>
              </w:rPr>
              <w:t>Registration no:</w:t>
            </w:r>
            <w:r w:rsidRPr="00E02A90">
              <w:rPr>
                <w:color w:val="4F81BD" w:themeColor="accent1"/>
              </w:rPr>
              <w:t xml:space="preserve"> NCT01556490</w:t>
            </w:r>
          </w:p>
        </w:tc>
        <w:tc>
          <w:tcPr>
            <w:tcW w:w="1270" w:type="pct"/>
          </w:tcPr>
          <w:p w:rsidR="00275706" w:rsidRPr="00E02A90" w:rsidRDefault="00275706" w:rsidP="00216126">
            <w:pPr>
              <w:spacing w:before="40" w:after="40"/>
              <w:rPr>
                <w:color w:val="4F81BD" w:themeColor="accent1"/>
              </w:rPr>
            </w:pPr>
            <w:r w:rsidRPr="00E02A90">
              <w:rPr>
                <w:i/>
                <w:color w:val="4F81BD" w:themeColor="accent1"/>
              </w:rPr>
              <w:t>Population:</w:t>
            </w:r>
            <w:r w:rsidRPr="00E02A90">
              <w:rPr>
                <w:color w:val="4F81BD" w:themeColor="accent1"/>
              </w:rPr>
              <w:t xml:space="preserve"> unresectable HCC; N~390</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-Y (</w:t>
            </w:r>
            <w:proofErr w:type="spellStart"/>
            <w:r w:rsidRPr="00E02A90">
              <w:rPr>
                <w:color w:val="4F81BD" w:themeColor="accent1"/>
              </w:rPr>
              <w:t>TheraSphere</w:t>
            </w:r>
            <w:proofErr w:type="spellEnd"/>
            <w:r w:rsidRPr="00E02A90">
              <w:rPr>
                <w:color w:val="4F81BD" w:themeColor="accent1"/>
              </w:rPr>
              <w:t xml:space="preserve">) + </w:t>
            </w:r>
            <w:proofErr w:type="spellStart"/>
            <w:r w:rsidRPr="00E02A90">
              <w:rPr>
                <w:color w:val="4F81BD" w:themeColor="accent1"/>
              </w:rPr>
              <w:t>sorafenib</w:t>
            </w:r>
            <w:proofErr w:type="spellEnd"/>
            <w:r w:rsidRPr="00E02A90">
              <w:rPr>
                <w:color w:val="4F81BD" w:themeColor="accent1"/>
              </w:rPr>
              <w:t xml:space="preserve"> versus </w:t>
            </w:r>
            <w:proofErr w:type="spellStart"/>
            <w:r w:rsidRPr="00E02A90">
              <w:rPr>
                <w:color w:val="4F81BD" w:themeColor="accent1"/>
              </w:rPr>
              <w:t>sorafenib</w:t>
            </w:r>
            <w:proofErr w:type="spellEnd"/>
            <w:r w:rsidRPr="00E02A90">
              <w:rPr>
                <w:color w:val="4F81BD" w:themeColor="accent1"/>
              </w:rPr>
              <w:t xml:space="preserve"> alone </w:t>
            </w:r>
          </w:p>
          <w:p w:rsidR="00275706" w:rsidRPr="00E02A90" w:rsidRDefault="00275706" w:rsidP="00216126">
            <w:pPr>
              <w:spacing w:before="40" w:after="40"/>
              <w:rPr>
                <w:color w:val="4F81BD" w:themeColor="accent1"/>
              </w:rPr>
            </w:pPr>
            <w:r w:rsidRPr="00E02A90">
              <w:rPr>
                <w:i/>
                <w:color w:val="4F81BD" w:themeColor="accent1"/>
              </w:rPr>
              <w:t>Outcomes:</w:t>
            </w:r>
            <w:r w:rsidRPr="00E02A90">
              <w:rPr>
                <w:color w:val="4F81BD" w:themeColor="accent1"/>
              </w:rPr>
              <w:t xml:space="preserve"> overall survival; time to progression; tumour response; quality of life </w:t>
            </w:r>
          </w:p>
          <w:p w:rsidR="00275706" w:rsidRPr="00E02A90" w:rsidRDefault="00275706" w:rsidP="00216126">
            <w:pPr>
              <w:spacing w:before="40" w:after="40"/>
              <w:rPr>
                <w:color w:val="4F81BD" w:themeColor="accent1"/>
              </w:rPr>
            </w:pPr>
            <w:r w:rsidRPr="00E02A90">
              <w:rPr>
                <w:i/>
                <w:color w:val="4F81BD" w:themeColor="accent1"/>
              </w:rPr>
              <w:t>Status:</w:t>
            </w:r>
            <w:r w:rsidRPr="00E02A90">
              <w:rPr>
                <w:color w:val="4F81BD" w:themeColor="accent1"/>
              </w:rPr>
              <w:t xml:space="preserve"> recruiting</w:t>
            </w:r>
          </w:p>
          <w:p w:rsidR="00275706" w:rsidRPr="00E02A90" w:rsidRDefault="00275706" w:rsidP="00216126">
            <w:pPr>
              <w:spacing w:before="40" w:after="40"/>
              <w:rPr>
                <w:b/>
                <w:color w:val="4F81BD" w:themeColor="accent1"/>
                <w:szCs w:val="20"/>
              </w:rPr>
            </w:pPr>
          </w:p>
        </w:tc>
        <w:tc>
          <w:tcPr>
            <w:tcW w:w="762" w:type="pct"/>
          </w:tcPr>
          <w:p w:rsidR="00275706" w:rsidRPr="00E82F54" w:rsidRDefault="00275706" w:rsidP="00216126">
            <w:pPr>
              <w:rPr>
                <w:b/>
                <w:szCs w:val="20"/>
              </w:rPr>
            </w:pPr>
            <w:hyperlink r:id="rId37" w:history="1">
              <w:r w:rsidRPr="00D22B82">
                <w:rPr>
                  <w:rStyle w:val="Hyperlink"/>
                </w:rPr>
                <w:t>http://ascopubs.org/doi/abs/10.1200/jco.2015.33.3_suppl.477</w:t>
              </w:r>
            </w:hyperlink>
          </w:p>
        </w:tc>
        <w:tc>
          <w:tcPr>
            <w:tcW w:w="644" w:type="pct"/>
          </w:tcPr>
          <w:p w:rsidR="00275706" w:rsidRPr="00E02A90" w:rsidRDefault="00275706" w:rsidP="00216126">
            <w:pPr>
              <w:spacing w:before="40" w:after="40"/>
              <w:rPr>
                <w:b/>
                <w:color w:val="4F81BD" w:themeColor="accent1"/>
                <w:szCs w:val="20"/>
              </w:rPr>
            </w:pPr>
            <w:r w:rsidRPr="00E02A90">
              <w:rPr>
                <w:color w:val="4F81BD" w:themeColor="accent1"/>
              </w:rPr>
              <w:t>Oct 2019</w:t>
            </w:r>
          </w:p>
        </w:tc>
      </w:tr>
    </w:tbl>
    <w:p w:rsidR="00275706" w:rsidRPr="00504913" w:rsidRDefault="00275706" w:rsidP="00275706">
      <w:pPr>
        <w:rPr>
          <w:color w:val="4F81BD" w:themeColor="accent1"/>
          <w:sz w:val="16"/>
        </w:rPr>
      </w:pPr>
      <w:r w:rsidRPr="00504913">
        <w:rPr>
          <w:color w:val="4F81BD" w:themeColor="accent1"/>
          <w:sz w:val="16"/>
        </w:rPr>
        <w:t xml:space="preserve">Abbreviations: DEB, drug-eluting beads; HCC, hepatocellular carcinoma; PVT, portal vein thrombosis; RCT, randomised controlled trial; TACE, </w:t>
      </w:r>
      <w:proofErr w:type="spellStart"/>
      <w:r w:rsidRPr="00504913">
        <w:rPr>
          <w:color w:val="4F81BD" w:themeColor="accent1"/>
          <w:sz w:val="16"/>
        </w:rPr>
        <w:t>transarterial</w:t>
      </w:r>
      <w:proofErr w:type="spellEnd"/>
      <w:r w:rsidRPr="00504913">
        <w:rPr>
          <w:color w:val="4F81BD" w:themeColor="accent1"/>
          <w:sz w:val="16"/>
        </w:rPr>
        <w:t xml:space="preserve"> </w:t>
      </w:r>
      <w:proofErr w:type="spellStart"/>
      <w:r w:rsidRPr="00504913">
        <w:rPr>
          <w:color w:val="4F81BD" w:themeColor="accent1"/>
          <w:sz w:val="16"/>
        </w:rPr>
        <w:t>chemoembolisation</w:t>
      </w:r>
      <w:proofErr w:type="spellEnd"/>
      <w:r>
        <w:rPr>
          <w:color w:val="4F81BD" w:themeColor="accent1"/>
          <w:sz w:val="16"/>
        </w:rPr>
        <w:t xml:space="preserve">; TARE-Y, </w:t>
      </w:r>
      <w:proofErr w:type="spellStart"/>
      <w:r>
        <w:rPr>
          <w:color w:val="4F81BD" w:themeColor="accent1"/>
          <w:sz w:val="16"/>
        </w:rPr>
        <w:t>transarterial</w:t>
      </w:r>
      <w:proofErr w:type="spellEnd"/>
      <w:r>
        <w:rPr>
          <w:color w:val="4F81BD" w:themeColor="accent1"/>
          <w:sz w:val="16"/>
        </w:rPr>
        <w:t xml:space="preserve"> </w:t>
      </w:r>
      <w:proofErr w:type="spellStart"/>
      <w:r>
        <w:rPr>
          <w:color w:val="4F81BD" w:themeColor="accent1"/>
          <w:sz w:val="16"/>
        </w:rPr>
        <w:t>radioembolisation</w:t>
      </w:r>
      <w:proofErr w:type="spellEnd"/>
      <w:r>
        <w:rPr>
          <w:color w:val="4F81BD" w:themeColor="accent1"/>
          <w:sz w:val="16"/>
        </w:rPr>
        <w:t xml:space="preserve"> with yttrium-90</w:t>
      </w:r>
      <w:r w:rsidRPr="00504913">
        <w:rPr>
          <w:color w:val="4F81BD" w:themeColor="accent1"/>
          <w:sz w:val="16"/>
        </w:rPr>
        <w:t>.</w:t>
      </w:r>
    </w:p>
    <w:p w:rsidR="00275706" w:rsidRDefault="00275706" w:rsidP="00275706">
      <w:pPr>
        <w:pStyle w:val="Heading2"/>
        <w:numPr>
          <w:ilvl w:val="0"/>
          <w:numId w:val="0"/>
        </w:numPr>
      </w:pPr>
    </w:p>
    <w:p w:rsidR="00275706" w:rsidRPr="00275706" w:rsidRDefault="00275706" w:rsidP="00275706">
      <w:pPr>
        <w:pStyle w:val="Heading2"/>
        <w:keepNext/>
        <w:numPr>
          <w:ilvl w:val="0"/>
          <w:numId w:val="0"/>
        </w:numPr>
      </w:pPr>
      <w:r>
        <w:lastRenderedPageBreak/>
        <w:t xml:space="preserve">Supplementary information </w:t>
      </w:r>
      <w:r>
        <w:t>1: completed meta-analyses</w:t>
      </w:r>
    </w:p>
    <w:tbl>
      <w:tblPr>
        <w:tblStyle w:val="TableGrid"/>
        <w:tblW w:w="5000" w:type="pct"/>
        <w:tblLayout w:type="fixed"/>
        <w:tblLook w:val="04A0" w:firstRow="1" w:lastRow="0" w:firstColumn="1" w:lastColumn="0" w:noHBand="0" w:noVBand="1"/>
        <w:tblCaption w:val="Summary of Evidence - Yet to be Published"/>
      </w:tblPr>
      <w:tblGrid>
        <w:gridCol w:w="473"/>
        <w:gridCol w:w="2336"/>
        <w:gridCol w:w="3779"/>
        <w:gridCol w:w="3600"/>
        <w:gridCol w:w="2160"/>
        <w:gridCol w:w="1826"/>
      </w:tblGrid>
      <w:tr w:rsidR="00275706" w:rsidTr="00216126">
        <w:trPr>
          <w:cantSplit/>
          <w:tblHeader/>
        </w:trPr>
        <w:tc>
          <w:tcPr>
            <w:tcW w:w="167" w:type="pct"/>
          </w:tcPr>
          <w:p w:rsidR="00275706" w:rsidRDefault="00275706" w:rsidP="00275706">
            <w:pPr>
              <w:pStyle w:val="TableHEADER"/>
              <w:keepNext/>
              <w:ind w:right="79"/>
            </w:pPr>
          </w:p>
        </w:tc>
        <w:tc>
          <w:tcPr>
            <w:tcW w:w="824" w:type="pct"/>
          </w:tcPr>
          <w:p w:rsidR="00275706" w:rsidRDefault="00275706" w:rsidP="00275706">
            <w:pPr>
              <w:pStyle w:val="TableHEADER"/>
              <w:keepNext/>
              <w:ind w:right="79"/>
            </w:pPr>
            <w:r>
              <w:t>Type of study design</w:t>
            </w:r>
          </w:p>
        </w:tc>
        <w:tc>
          <w:tcPr>
            <w:tcW w:w="1333" w:type="pct"/>
          </w:tcPr>
          <w:p w:rsidR="00275706" w:rsidRDefault="00275706" w:rsidP="00275706">
            <w:pPr>
              <w:pStyle w:val="TableHEADER"/>
              <w:keepNext/>
              <w:ind w:right="79"/>
            </w:pPr>
            <w:r>
              <w:t>Title of research (including any trial identifier if relevant)</w:t>
            </w:r>
          </w:p>
        </w:tc>
        <w:tc>
          <w:tcPr>
            <w:tcW w:w="1270" w:type="pct"/>
          </w:tcPr>
          <w:p w:rsidR="00275706" w:rsidRDefault="00275706" w:rsidP="00275706">
            <w:pPr>
              <w:pStyle w:val="TableHEADER"/>
              <w:keepNext/>
              <w:ind w:right="79"/>
            </w:pPr>
            <w:r>
              <w:t xml:space="preserve">Short description of research </w:t>
            </w:r>
            <w:r>
              <w:t>(max 50 words)</w:t>
            </w:r>
          </w:p>
        </w:tc>
        <w:tc>
          <w:tcPr>
            <w:tcW w:w="762" w:type="pct"/>
          </w:tcPr>
          <w:p w:rsidR="00275706" w:rsidRDefault="00275706" w:rsidP="00275706">
            <w:pPr>
              <w:pStyle w:val="TableHEADER"/>
              <w:keepNext/>
              <w:ind w:right="79"/>
            </w:pPr>
            <w:r w:rsidRPr="00E82F54">
              <w:t xml:space="preserve">Website link to </w:t>
            </w:r>
            <w:r>
              <w:t>research (if available)</w:t>
            </w:r>
          </w:p>
        </w:tc>
        <w:tc>
          <w:tcPr>
            <w:tcW w:w="644" w:type="pct"/>
          </w:tcPr>
          <w:p w:rsidR="00275706" w:rsidRDefault="00275706" w:rsidP="00275706">
            <w:pPr>
              <w:pStyle w:val="TableHEADER"/>
              <w:keepNext/>
              <w:ind w:right="79"/>
            </w:pPr>
            <w:r>
              <w:t>Date</w:t>
            </w:r>
          </w:p>
        </w:tc>
      </w:tr>
      <w:tr w:rsidR="00275706" w:rsidTr="00216126">
        <w:trPr>
          <w:cantSplit/>
        </w:trPr>
        <w:tc>
          <w:tcPr>
            <w:tcW w:w="167" w:type="pct"/>
          </w:tcPr>
          <w:p w:rsidR="00275706" w:rsidRPr="00965B6B" w:rsidRDefault="00275706" w:rsidP="00216126">
            <w:pPr>
              <w:rPr>
                <w:szCs w:val="20"/>
              </w:rPr>
            </w:pPr>
            <w:r w:rsidRPr="00965B6B">
              <w:rPr>
                <w:szCs w:val="20"/>
              </w:rPr>
              <w:t>1</w:t>
            </w:r>
            <w:r>
              <w:rPr>
                <w:szCs w:val="20"/>
              </w:rPr>
              <w:t>.</w:t>
            </w:r>
          </w:p>
        </w:tc>
        <w:tc>
          <w:tcPr>
            <w:tcW w:w="824" w:type="pct"/>
          </w:tcPr>
          <w:p w:rsidR="00275706" w:rsidRPr="00E02A90" w:rsidRDefault="00275706" w:rsidP="00216126">
            <w:pPr>
              <w:rPr>
                <w:color w:val="4F81BD" w:themeColor="accent1"/>
              </w:rPr>
            </w:pPr>
            <w:r w:rsidRPr="00E02A90">
              <w:rPr>
                <w:color w:val="4F81BD" w:themeColor="accent1"/>
              </w:rPr>
              <w:t>Head-to-head meta-analysis of RCTs</w:t>
            </w:r>
          </w:p>
          <w:p w:rsidR="00275706" w:rsidRPr="00E02A90" w:rsidRDefault="00275706" w:rsidP="00275706">
            <w:pPr>
              <w:pStyle w:val="ListParagraph"/>
              <w:numPr>
                <w:ilvl w:val="0"/>
                <w:numId w:val="16"/>
              </w:numPr>
              <w:ind w:left="241" w:hanging="241"/>
              <w:rPr>
                <w:color w:val="4F81BD" w:themeColor="accent1"/>
              </w:rPr>
            </w:pPr>
            <w:proofErr w:type="spellStart"/>
            <w:r w:rsidRPr="00E02A90">
              <w:rPr>
                <w:color w:val="4F81BD" w:themeColor="accent1"/>
              </w:rPr>
              <w:t>Kolligs</w:t>
            </w:r>
            <w:proofErr w:type="spellEnd"/>
            <w:r w:rsidRPr="00E02A90">
              <w:rPr>
                <w:color w:val="4F81BD" w:themeColor="accent1"/>
              </w:rPr>
              <w:t xml:space="preserve"> 2015</w:t>
            </w:r>
          </w:p>
          <w:p w:rsidR="00275706" w:rsidRPr="00E02A90" w:rsidRDefault="00275706" w:rsidP="00275706">
            <w:pPr>
              <w:pStyle w:val="ListParagraph"/>
              <w:numPr>
                <w:ilvl w:val="0"/>
                <w:numId w:val="16"/>
              </w:numPr>
              <w:ind w:left="241" w:hanging="241"/>
              <w:rPr>
                <w:color w:val="4F81BD" w:themeColor="accent1"/>
              </w:rPr>
            </w:pPr>
            <w:proofErr w:type="spellStart"/>
            <w:r w:rsidRPr="00E02A90">
              <w:rPr>
                <w:color w:val="4F81BD" w:themeColor="accent1"/>
              </w:rPr>
              <w:t>Ricke</w:t>
            </w:r>
            <w:proofErr w:type="spellEnd"/>
            <w:r w:rsidRPr="00E02A90">
              <w:rPr>
                <w:color w:val="4F81BD" w:themeColor="accent1"/>
              </w:rPr>
              <w:t xml:space="preserve"> 2015</w:t>
            </w:r>
          </w:p>
          <w:p w:rsidR="00275706" w:rsidRPr="00E02A90" w:rsidRDefault="00275706" w:rsidP="00216126">
            <w:pPr>
              <w:rPr>
                <w:b/>
                <w:color w:val="4F81BD" w:themeColor="accent1"/>
                <w:szCs w:val="20"/>
              </w:rPr>
            </w:pPr>
          </w:p>
        </w:tc>
        <w:tc>
          <w:tcPr>
            <w:tcW w:w="1333" w:type="pct"/>
          </w:tcPr>
          <w:p w:rsidR="00275706" w:rsidRPr="00E02A90" w:rsidRDefault="00275706" w:rsidP="00216126">
            <w:pPr>
              <w:rPr>
                <w:color w:val="4F81BD" w:themeColor="accent1"/>
                <w:szCs w:val="20"/>
              </w:rPr>
            </w:pPr>
            <w:r w:rsidRPr="00E02A90">
              <w:rPr>
                <w:color w:val="4F81BD" w:themeColor="accent1"/>
                <w:szCs w:val="20"/>
              </w:rPr>
              <w:t>Abdel-</w:t>
            </w:r>
            <w:proofErr w:type="spellStart"/>
            <w:r w:rsidRPr="00E02A90">
              <w:rPr>
                <w:color w:val="4F81BD" w:themeColor="accent1"/>
                <w:szCs w:val="20"/>
              </w:rPr>
              <w:t>Rahman</w:t>
            </w:r>
            <w:proofErr w:type="spellEnd"/>
            <w:r w:rsidRPr="00E02A90">
              <w:rPr>
                <w:color w:val="4F81BD" w:themeColor="accent1"/>
                <w:szCs w:val="20"/>
              </w:rPr>
              <w:t xml:space="preserve"> and </w:t>
            </w:r>
            <w:proofErr w:type="spellStart"/>
            <w:r w:rsidRPr="00E02A90">
              <w:rPr>
                <w:color w:val="4F81BD" w:themeColor="accent1"/>
                <w:szCs w:val="20"/>
              </w:rPr>
              <w:t>Elsayed</w:t>
            </w:r>
            <w:proofErr w:type="spellEnd"/>
            <w:r w:rsidRPr="00E02A90">
              <w:rPr>
                <w:color w:val="4F81BD" w:themeColor="accent1"/>
                <w:szCs w:val="20"/>
              </w:rPr>
              <w:t xml:space="preserve"> (2016). "Yttrium-90 microsphere </w:t>
            </w:r>
            <w:proofErr w:type="spellStart"/>
            <w:r w:rsidRPr="00E02A90">
              <w:rPr>
                <w:color w:val="4F81BD" w:themeColor="accent1"/>
                <w:szCs w:val="20"/>
              </w:rPr>
              <w:t>radioembolisation</w:t>
            </w:r>
            <w:proofErr w:type="spellEnd"/>
            <w:r w:rsidRPr="00E02A90">
              <w:rPr>
                <w:color w:val="4F81BD" w:themeColor="accent1"/>
                <w:szCs w:val="20"/>
              </w:rPr>
              <w:t xml:space="preserve"> for unresectable hepatocellular carcinoma." Cochrane Database </w:t>
            </w:r>
            <w:proofErr w:type="spellStart"/>
            <w:r w:rsidRPr="00E02A90">
              <w:rPr>
                <w:color w:val="4F81BD" w:themeColor="accent1"/>
                <w:szCs w:val="20"/>
              </w:rPr>
              <w:t>Syst</w:t>
            </w:r>
            <w:proofErr w:type="spellEnd"/>
            <w:r w:rsidRPr="00E02A90">
              <w:rPr>
                <w:color w:val="4F81BD" w:themeColor="accent1"/>
                <w:szCs w:val="20"/>
              </w:rPr>
              <w:t xml:space="preserve"> Rev 2: Cd011313.</w:t>
            </w:r>
          </w:p>
          <w:p w:rsidR="00275706" w:rsidRPr="00E02A90" w:rsidRDefault="00275706" w:rsidP="00216126">
            <w:pPr>
              <w:rPr>
                <w:color w:val="4F81BD" w:themeColor="accent1"/>
                <w:szCs w:val="20"/>
              </w:rPr>
            </w:pPr>
          </w:p>
        </w:tc>
        <w:tc>
          <w:tcPr>
            <w:tcW w:w="1270" w:type="pct"/>
          </w:tcPr>
          <w:p w:rsidR="00275706" w:rsidRPr="00E02A90" w:rsidRDefault="00275706" w:rsidP="00216126">
            <w:pPr>
              <w:rPr>
                <w:color w:val="4F81BD" w:themeColor="accent1"/>
              </w:rPr>
            </w:pPr>
            <w:r w:rsidRPr="00E02A90">
              <w:rPr>
                <w:i/>
                <w:color w:val="4F81BD" w:themeColor="accent1"/>
              </w:rPr>
              <w:t>Population:</w:t>
            </w:r>
            <w:r w:rsidRPr="00E02A90">
              <w:rPr>
                <w:color w:val="4F81BD" w:themeColor="accent1"/>
              </w:rPr>
              <w:t xml:space="preserve"> unresectable HCC </w:t>
            </w: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 xml:space="preserve">-Y (any) versus any comparator </w:t>
            </w:r>
          </w:p>
          <w:p w:rsidR="00275706" w:rsidRPr="00E02A90" w:rsidRDefault="00275706" w:rsidP="00216126">
            <w:pPr>
              <w:rPr>
                <w:b/>
                <w:color w:val="4F81BD" w:themeColor="accent1"/>
                <w:szCs w:val="20"/>
              </w:rPr>
            </w:pPr>
            <w:r w:rsidRPr="00E02A90">
              <w:rPr>
                <w:i/>
                <w:color w:val="4F81BD" w:themeColor="accent1"/>
              </w:rPr>
              <w:t xml:space="preserve">Outcomes: </w:t>
            </w:r>
            <w:r w:rsidRPr="00E02A90">
              <w:rPr>
                <w:color w:val="4F81BD" w:themeColor="accent1"/>
              </w:rPr>
              <w:t>none (insufficient evidence)</w:t>
            </w:r>
          </w:p>
        </w:tc>
        <w:tc>
          <w:tcPr>
            <w:tcW w:w="762" w:type="pct"/>
          </w:tcPr>
          <w:p w:rsidR="00275706" w:rsidRPr="00E82F54" w:rsidRDefault="00275706" w:rsidP="00216126">
            <w:pPr>
              <w:rPr>
                <w:b/>
                <w:szCs w:val="20"/>
              </w:rPr>
            </w:pPr>
            <w:hyperlink r:id="rId38" w:history="1">
              <w:r w:rsidRPr="00664FB6">
                <w:rPr>
                  <w:rStyle w:val="Hyperlink"/>
                </w:rPr>
                <w:t>http://onlinelibrary.wiley.com/doi/10.1002/14651858.CD011313.pub2/full</w:t>
              </w:r>
            </w:hyperlink>
          </w:p>
        </w:tc>
        <w:tc>
          <w:tcPr>
            <w:tcW w:w="644" w:type="pct"/>
          </w:tcPr>
          <w:p w:rsidR="00275706" w:rsidRPr="00E02A90" w:rsidRDefault="00275706" w:rsidP="00216126">
            <w:pPr>
              <w:spacing w:before="40" w:after="40"/>
              <w:rPr>
                <w:b/>
                <w:color w:val="4F81BD" w:themeColor="accent1"/>
                <w:szCs w:val="20"/>
              </w:rPr>
            </w:pPr>
            <w:r w:rsidRPr="00E02A90">
              <w:rPr>
                <w:color w:val="4F81BD" w:themeColor="accent1"/>
              </w:rPr>
              <w:t>2016</w:t>
            </w:r>
          </w:p>
        </w:tc>
      </w:tr>
      <w:tr w:rsidR="00275706" w:rsidTr="00216126">
        <w:trPr>
          <w:cantSplit/>
        </w:trPr>
        <w:tc>
          <w:tcPr>
            <w:tcW w:w="167" w:type="pct"/>
          </w:tcPr>
          <w:p w:rsidR="00275706" w:rsidRPr="00965B6B" w:rsidRDefault="00275706" w:rsidP="00216126">
            <w:pPr>
              <w:rPr>
                <w:szCs w:val="20"/>
              </w:rPr>
            </w:pPr>
            <w:r>
              <w:rPr>
                <w:szCs w:val="20"/>
              </w:rPr>
              <w:t>2.</w:t>
            </w:r>
          </w:p>
        </w:tc>
        <w:tc>
          <w:tcPr>
            <w:tcW w:w="824" w:type="pct"/>
          </w:tcPr>
          <w:p w:rsidR="00275706" w:rsidRPr="00E02A90" w:rsidRDefault="00275706" w:rsidP="00216126">
            <w:pPr>
              <w:rPr>
                <w:color w:val="4F81BD" w:themeColor="accent1"/>
              </w:rPr>
            </w:pPr>
            <w:r w:rsidRPr="00E02A90">
              <w:rPr>
                <w:color w:val="4F81BD" w:themeColor="accent1"/>
              </w:rPr>
              <w:t>Head-to-head meta-analysis of RCTs (2)/OBS (8)</w:t>
            </w:r>
          </w:p>
          <w:p w:rsidR="00275706" w:rsidRPr="00E02A90" w:rsidRDefault="00275706" w:rsidP="00275706">
            <w:pPr>
              <w:pStyle w:val="ListParagraph"/>
              <w:numPr>
                <w:ilvl w:val="0"/>
                <w:numId w:val="16"/>
              </w:numPr>
              <w:ind w:left="241" w:hanging="241"/>
              <w:rPr>
                <w:color w:val="4F81BD" w:themeColor="accent1"/>
              </w:rPr>
            </w:pPr>
            <w:proofErr w:type="spellStart"/>
            <w:r w:rsidRPr="00E02A90">
              <w:rPr>
                <w:color w:val="4F81BD" w:themeColor="accent1"/>
              </w:rPr>
              <w:t>Pitton</w:t>
            </w:r>
            <w:proofErr w:type="spellEnd"/>
            <w:r w:rsidRPr="00E02A90">
              <w:rPr>
                <w:color w:val="4F81BD" w:themeColor="accent1"/>
              </w:rPr>
              <w:t xml:space="preserve"> 2015</w:t>
            </w:r>
          </w:p>
          <w:p w:rsidR="00275706" w:rsidRPr="00E02A90" w:rsidRDefault="00275706" w:rsidP="00275706">
            <w:pPr>
              <w:pStyle w:val="ListParagraph"/>
              <w:numPr>
                <w:ilvl w:val="0"/>
                <w:numId w:val="16"/>
              </w:numPr>
              <w:ind w:left="241" w:hanging="241"/>
              <w:rPr>
                <w:color w:val="4F81BD" w:themeColor="accent1"/>
              </w:rPr>
            </w:pPr>
            <w:proofErr w:type="spellStart"/>
            <w:r w:rsidRPr="00E02A90">
              <w:rPr>
                <w:color w:val="4F81BD" w:themeColor="accent1"/>
              </w:rPr>
              <w:t>Kolligs</w:t>
            </w:r>
            <w:proofErr w:type="spellEnd"/>
            <w:r w:rsidRPr="00E02A90">
              <w:rPr>
                <w:color w:val="4F81BD" w:themeColor="accent1"/>
              </w:rPr>
              <w:t xml:space="preserve"> 2015</w:t>
            </w:r>
          </w:p>
          <w:p w:rsidR="00275706" w:rsidRPr="00E02A90" w:rsidRDefault="00275706" w:rsidP="00275706">
            <w:pPr>
              <w:pStyle w:val="ListParagraph"/>
              <w:numPr>
                <w:ilvl w:val="0"/>
                <w:numId w:val="16"/>
              </w:numPr>
              <w:ind w:left="241" w:hanging="241"/>
              <w:rPr>
                <w:color w:val="4F81BD" w:themeColor="accent1"/>
              </w:rPr>
            </w:pPr>
            <w:r w:rsidRPr="00E02A90">
              <w:rPr>
                <w:color w:val="4F81BD" w:themeColor="accent1"/>
              </w:rPr>
              <w:t>Ahmad 2005</w:t>
            </w:r>
          </w:p>
          <w:p w:rsidR="00275706" w:rsidRPr="00E02A90" w:rsidRDefault="00275706" w:rsidP="00275706">
            <w:pPr>
              <w:pStyle w:val="ListParagraph"/>
              <w:numPr>
                <w:ilvl w:val="0"/>
                <w:numId w:val="16"/>
              </w:numPr>
              <w:ind w:left="241" w:hanging="241"/>
              <w:rPr>
                <w:color w:val="4F81BD" w:themeColor="accent1"/>
              </w:rPr>
            </w:pPr>
            <w:proofErr w:type="spellStart"/>
            <w:r w:rsidRPr="00E02A90">
              <w:rPr>
                <w:color w:val="4F81BD" w:themeColor="accent1"/>
              </w:rPr>
              <w:t>Kooby</w:t>
            </w:r>
            <w:proofErr w:type="spellEnd"/>
            <w:r w:rsidRPr="00E02A90">
              <w:rPr>
                <w:color w:val="4F81BD" w:themeColor="accent1"/>
              </w:rPr>
              <w:t xml:space="preserve"> 2010</w:t>
            </w:r>
          </w:p>
          <w:p w:rsidR="00275706" w:rsidRPr="00E02A90" w:rsidRDefault="00275706" w:rsidP="00275706">
            <w:pPr>
              <w:pStyle w:val="ListParagraph"/>
              <w:numPr>
                <w:ilvl w:val="0"/>
                <w:numId w:val="16"/>
              </w:numPr>
              <w:ind w:left="241" w:hanging="241"/>
              <w:rPr>
                <w:color w:val="4F81BD" w:themeColor="accent1"/>
              </w:rPr>
            </w:pPr>
            <w:r w:rsidRPr="00E02A90">
              <w:rPr>
                <w:color w:val="4F81BD" w:themeColor="accent1"/>
              </w:rPr>
              <w:t>Carr 2010</w:t>
            </w:r>
          </w:p>
          <w:p w:rsidR="00275706" w:rsidRPr="00E02A90" w:rsidRDefault="00275706" w:rsidP="00275706">
            <w:pPr>
              <w:pStyle w:val="ListParagraph"/>
              <w:numPr>
                <w:ilvl w:val="0"/>
                <w:numId w:val="16"/>
              </w:numPr>
              <w:ind w:left="241" w:hanging="241"/>
              <w:rPr>
                <w:color w:val="4F81BD" w:themeColor="accent1"/>
              </w:rPr>
            </w:pPr>
            <w:r w:rsidRPr="00E02A90">
              <w:rPr>
                <w:color w:val="4F81BD" w:themeColor="accent1"/>
              </w:rPr>
              <w:t>Salem 2011</w:t>
            </w:r>
          </w:p>
          <w:p w:rsidR="00275706" w:rsidRPr="00E02A90" w:rsidRDefault="00275706" w:rsidP="00275706">
            <w:pPr>
              <w:pStyle w:val="ListParagraph"/>
              <w:numPr>
                <w:ilvl w:val="0"/>
                <w:numId w:val="16"/>
              </w:numPr>
              <w:ind w:left="241" w:hanging="241"/>
              <w:rPr>
                <w:color w:val="4F81BD" w:themeColor="accent1"/>
              </w:rPr>
            </w:pPr>
            <w:r w:rsidRPr="00E02A90">
              <w:rPr>
                <w:color w:val="4F81BD" w:themeColor="accent1"/>
              </w:rPr>
              <w:t>Lance 2011</w:t>
            </w:r>
          </w:p>
          <w:p w:rsidR="00275706" w:rsidRPr="00E02A90" w:rsidRDefault="00275706" w:rsidP="00275706">
            <w:pPr>
              <w:pStyle w:val="ListParagraph"/>
              <w:numPr>
                <w:ilvl w:val="0"/>
                <w:numId w:val="16"/>
              </w:numPr>
              <w:ind w:left="241" w:hanging="241"/>
              <w:rPr>
                <w:color w:val="4F81BD" w:themeColor="accent1"/>
              </w:rPr>
            </w:pPr>
            <w:proofErr w:type="spellStart"/>
            <w:r w:rsidRPr="00E02A90">
              <w:rPr>
                <w:color w:val="4F81BD" w:themeColor="accent1"/>
              </w:rPr>
              <w:t>Morena</w:t>
            </w:r>
            <w:proofErr w:type="spellEnd"/>
            <w:r w:rsidRPr="00E02A90">
              <w:rPr>
                <w:color w:val="4F81BD" w:themeColor="accent1"/>
              </w:rPr>
              <w:t>-Luna 2013</w:t>
            </w:r>
          </w:p>
          <w:p w:rsidR="00275706" w:rsidRPr="00E02A90" w:rsidRDefault="00275706" w:rsidP="00275706">
            <w:pPr>
              <w:pStyle w:val="ListParagraph"/>
              <w:numPr>
                <w:ilvl w:val="0"/>
                <w:numId w:val="16"/>
              </w:numPr>
              <w:ind w:left="241" w:hanging="241"/>
              <w:rPr>
                <w:color w:val="4F81BD" w:themeColor="accent1"/>
              </w:rPr>
            </w:pPr>
            <w:r w:rsidRPr="00E02A90">
              <w:rPr>
                <w:color w:val="4F81BD" w:themeColor="accent1"/>
              </w:rPr>
              <w:t xml:space="preserve">El </w:t>
            </w:r>
            <w:proofErr w:type="spellStart"/>
            <w:r w:rsidRPr="00E02A90">
              <w:rPr>
                <w:color w:val="4F81BD" w:themeColor="accent1"/>
              </w:rPr>
              <w:t>Fouly</w:t>
            </w:r>
            <w:proofErr w:type="spellEnd"/>
            <w:r w:rsidRPr="00E02A90">
              <w:rPr>
                <w:color w:val="4F81BD" w:themeColor="accent1"/>
              </w:rPr>
              <w:t xml:space="preserve"> 2015</w:t>
            </w:r>
          </w:p>
          <w:p w:rsidR="00275706" w:rsidRPr="00E02A90" w:rsidRDefault="00275706" w:rsidP="00275706">
            <w:pPr>
              <w:pStyle w:val="ListParagraph"/>
              <w:numPr>
                <w:ilvl w:val="0"/>
                <w:numId w:val="16"/>
              </w:numPr>
              <w:ind w:left="241" w:hanging="241"/>
              <w:rPr>
                <w:color w:val="4F81BD" w:themeColor="accent1"/>
              </w:rPr>
            </w:pPr>
            <w:proofErr w:type="spellStart"/>
            <w:r w:rsidRPr="00E02A90">
              <w:rPr>
                <w:color w:val="4F81BD" w:themeColor="accent1"/>
              </w:rPr>
              <w:t>Akinwande</w:t>
            </w:r>
            <w:proofErr w:type="spellEnd"/>
            <w:r w:rsidRPr="00E02A90">
              <w:rPr>
                <w:color w:val="4F81BD" w:themeColor="accent1"/>
              </w:rPr>
              <w:t xml:space="preserve"> 2015</w:t>
            </w:r>
          </w:p>
        </w:tc>
        <w:tc>
          <w:tcPr>
            <w:tcW w:w="1333" w:type="pct"/>
          </w:tcPr>
          <w:p w:rsidR="00275706" w:rsidRPr="00E02A90" w:rsidRDefault="00275706" w:rsidP="00216126">
            <w:pPr>
              <w:rPr>
                <w:b/>
                <w:color w:val="4F81BD" w:themeColor="accent1"/>
                <w:szCs w:val="20"/>
              </w:rPr>
            </w:pPr>
            <w:proofErr w:type="spellStart"/>
            <w:r w:rsidRPr="00E02A90">
              <w:rPr>
                <w:color w:val="4F81BD" w:themeColor="accent1"/>
              </w:rPr>
              <w:t>Facciorusso</w:t>
            </w:r>
            <w:proofErr w:type="spellEnd"/>
            <w:r w:rsidRPr="00E02A90">
              <w:rPr>
                <w:color w:val="4F81BD" w:themeColor="accent1"/>
              </w:rPr>
              <w:t xml:space="preserve"> et al. (2016). "</w:t>
            </w:r>
            <w:proofErr w:type="spellStart"/>
            <w:r w:rsidRPr="00E02A90">
              <w:rPr>
                <w:color w:val="4F81BD" w:themeColor="accent1"/>
              </w:rPr>
              <w:t>Transarterial</w:t>
            </w:r>
            <w:proofErr w:type="spellEnd"/>
            <w:r w:rsidRPr="00E02A90">
              <w:rPr>
                <w:color w:val="4F81BD" w:themeColor="accent1"/>
              </w:rPr>
              <w:t xml:space="preserve"> </w:t>
            </w:r>
            <w:proofErr w:type="spellStart"/>
            <w:r w:rsidRPr="00E02A90">
              <w:rPr>
                <w:color w:val="4F81BD" w:themeColor="accent1"/>
              </w:rPr>
              <w:t>radioembolization</w:t>
            </w:r>
            <w:proofErr w:type="spellEnd"/>
            <w:r w:rsidRPr="00E02A90">
              <w:rPr>
                <w:color w:val="4F81BD" w:themeColor="accent1"/>
              </w:rPr>
              <w:t xml:space="preserve"> </w:t>
            </w:r>
            <w:proofErr w:type="spellStart"/>
            <w:r w:rsidRPr="00E02A90">
              <w:rPr>
                <w:color w:val="4F81BD" w:themeColor="accent1"/>
              </w:rPr>
              <w:t>vs</w:t>
            </w:r>
            <w:proofErr w:type="spellEnd"/>
            <w:r w:rsidRPr="00E02A90">
              <w:rPr>
                <w:color w:val="4F81BD" w:themeColor="accent1"/>
              </w:rPr>
              <w:t xml:space="preserve"> chemoembolization for </w:t>
            </w:r>
            <w:proofErr w:type="spellStart"/>
            <w:r w:rsidRPr="00E02A90">
              <w:rPr>
                <w:color w:val="4F81BD" w:themeColor="accent1"/>
              </w:rPr>
              <w:t>hepatocarcinoma</w:t>
            </w:r>
            <w:proofErr w:type="spellEnd"/>
            <w:r w:rsidRPr="00E02A90">
              <w:rPr>
                <w:color w:val="4F81BD" w:themeColor="accent1"/>
              </w:rPr>
              <w:t xml:space="preserve"> patients: A systematic review and meta-analysis." World J </w:t>
            </w:r>
            <w:proofErr w:type="spellStart"/>
            <w:r w:rsidRPr="00E02A90">
              <w:rPr>
                <w:color w:val="4F81BD" w:themeColor="accent1"/>
              </w:rPr>
              <w:t>Hepatol</w:t>
            </w:r>
            <w:proofErr w:type="spellEnd"/>
            <w:r w:rsidRPr="00E02A90">
              <w:rPr>
                <w:color w:val="4F81BD" w:themeColor="accent1"/>
              </w:rPr>
              <w:t xml:space="preserve"> 8(18): 770-778.</w:t>
            </w:r>
          </w:p>
        </w:tc>
        <w:tc>
          <w:tcPr>
            <w:tcW w:w="1270" w:type="pct"/>
          </w:tcPr>
          <w:p w:rsidR="00275706" w:rsidRPr="00E02A90" w:rsidRDefault="00275706" w:rsidP="00216126">
            <w:pPr>
              <w:rPr>
                <w:color w:val="4F81BD" w:themeColor="accent1"/>
                <w:szCs w:val="20"/>
              </w:rPr>
            </w:pPr>
            <w:r w:rsidRPr="00E02A90">
              <w:rPr>
                <w:i/>
                <w:color w:val="4F81BD" w:themeColor="accent1"/>
                <w:szCs w:val="20"/>
              </w:rPr>
              <w:t>Population:</w:t>
            </w:r>
            <w:r w:rsidRPr="00E02A90">
              <w:rPr>
                <w:color w:val="4F81BD" w:themeColor="accent1"/>
                <w:szCs w:val="20"/>
              </w:rPr>
              <w:t xml:space="preserve"> HCC</w:t>
            </w:r>
          </w:p>
          <w:p w:rsidR="00275706" w:rsidRPr="00E02A90" w:rsidRDefault="00275706" w:rsidP="00216126">
            <w:pPr>
              <w:rPr>
                <w:color w:val="4F81BD" w:themeColor="accent1"/>
                <w:szCs w:val="20"/>
              </w:rPr>
            </w:pPr>
            <w:r w:rsidRPr="00E02A90">
              <w:rPr>
                <w:i/>
                <w:color w:val="4F81BD" w:themeColor="accent1"/>
                <w:szCs w:val="20"/>
              </w:rPr>
              <w:t>Comparison:</w:t>
            </w:r>
            <w:r w:rsidRPr="00E02A90">
              <w:rPr>
                <w:color w:val="4F81BD" w:themeColor="accent1"/>
                <w:szCs w:val="20"/>
              </w:rPr>
              <w:t xml:space="preserve"> </w:t>
            </w:r>
            <w:r>
              <w:rPr>
                <w:color w:val="4F81BD" w:themeColor="accent1"/>
                <w:szCs w:val="20"/>
              </w:rPr>
              <w:t>TARE</w:t>
            </w:r>
            <w:r w:rsidRPr="00E02A90">
              <w:rPr>
                <w:color w:val="4F81BD" w:themeColor="accent1"/>
                <w:szCs w:val="20"/>
              </w:rPr>
              <w:t xml:space="preserve">-Y (any) versus TACE </w:t>
            </w:r>
          </w:p>
          <w:p w:rsidR="00275706" w:rsidRPr="00E02A90" w:rsidRDefault="00275706" w:rsidP="00216126">
            <w:pPr>
              <w:rPr>
                <w:color w:val="4F81BD" w:themeColor="accent1"/>
                <w:szCs w:val="20"/>
              </w:rPr>
            </w:pPr>
            <w:r w:rsidRPr="00E02A90">
              <w:rPr>
                <w:i/>
                <w:color w:val="4F81BD" w:themeColor="accent1"/>
                <w:szCs w:val="20"/>
              </w:rPr>
              <w:t>Outcomes:</w:t>
            </w:r>
            <w:r w:rsidRPr="00E02A90">
              <w:rPr>
                <w:color w:val="4F81BD" w:themeColor="accent1"/>
                <w:szCs w:val="20"/>
              </w:rPr>
              <w:t xml:space="preserve"> overall survival; 1-yr survival rate; 2-y survival rate; 3-yr survival rate</w:t>
            </w:r>
          </w:p>
        </w:tc>
        <w:tc>
          <w:tcPr>
            <w:tcW w:w="762" w:type="pct"/>
          </w:tcPr>
          <w:p w:rsidR="00275706" w:rsidRPr="00E82F54" w:rsidRDefault="00275706" w:rsidP="00216126">
            <w:pPr>
              <w:rPr>
                <w:b/>
                <w:szCs w:val="20"/>
              </w:rPr>
            </w:pPr>
            <w:hyperlink r:id="rId39" w:history="1">
              <w:r w:rsidRPr="00E02A90">
                <w:rPr>
                  <w:rStyle w:val="Hyperlink"/>
                  <w:color w:val="4F81BD" w:themeColor="accent1"/>
                </w:rPr>
                <w:t>https://www.ncbi.nlm.nih.gov/pmc/articles/PMC4921799/pdf/WJH-8-770.pdf</w:t>
              </w:r>
            </w:hyperlink>
          </w:p>
        </w:tc>
        <w:tc>
          <w:tcPr>
            <w:tcW w:w="644" w:type="pct"/>
          </w:tcPr>
          <w:p w:rsidR="00275706" w:rsidRPr="00E02A90" w:rsidRDefault="00275706" w:rsidP="00216126">
            <w:pPr>
              <w:rPr>
                <w:b/>
                <w:color w:val="4F81BD" w:themeColor="accent1"/>
                <w:szCs w:val="20"/>
              </w:rPr>
            </w:pPr>
            <w:r w:rsidRPr="00E02A90">
              <w:rPr>
                <w:color w:val="4F81BD" w:themeColor="accent1"/>
              </w:rPr>
              <w:t>2016</w:t>
            </w:r>
          </w:p>
        </w:tc>
      </w:tr>
      <w:tr w:rsidR="00275706" w:rsidTr="00216126">
        <w:trPr>
          <w:cantSplit/>
        </w:trPr>
        <w:tc>
          <w:tcPr>
            <w:tcW w:w="167" w:type="pct"/>
          </w:tcPr>
          <w:p w:rsidR="00275706" w:rsidRDefault="00275706" w:rsidP="00216126">
            <w:pPr>
              <w:rPr>
                <w:szCs w:val="20"/>
              </w:rPr>
            </w:pPr>
            <w:r>
              <w:rPr>
                <w:szCs w:val="20"/>
              </w:rPr>
              <w:lastRenderedPageBreak/>
              <w:t>3.</w:t>
            </w:r>
          </w:p>
        </w:tc>
        <w:tc>
          <w:tcPr>
            <w:tcW w:w="824" w:type="pct"/>
          </w:tcPr>
          <w:p w:rsidR="00275706" w:rsidRPr="00E02A90" w:rsidRDefault="00275706" w:rsidP="00216126">
            <w:pPr>
              <w:rPr>
                <w:color w:val="4F81BD" w:themeColor="accent1"/>
                <w:szCs w:val="20"/>
              </w:rPr>
            </w:pPr>
            <w:r w:rsidRPr="00E02A90">
              <w:rPr>
                <w:color w:val="4F81BD" w:themeColor="accent1"/>
              </w:rPr>
              <w:t>Head-to-head m</w:t>
            </w:r>
            <w:r w:rsidRPr="00E02A90">
              <w:rPr>
                <w:color w:val="4F81BD" w:themeColor="accent1"/>
                <w:szCs w:val="20"/>
              </w:rPr>
              <w:t>eta-analysis of OBS</w:t>
            </w:r>
          </w:p>
          <w:p w:rsidR="00275706" w:rsidRPr="00E02A90" w:rsidRDefault="00275706" w:rsidP="00275706">
            <w:pPr>
              <w:pStyle w:val="ListParagraph"/>
              <w:numPr>
                <w:ilvl w:val="0"/>
                <w:numId w:val="16"/>
              </w:numPr>
              <w:ind w:left="241" w:hanging="241"/>
              <w:rPr>
                <w:color w:val="4F81BD" w:themeColor="accent1"/>
              </w:rPr>
            </w:pPr>
            <w:proofErr w:type="spellStart"/>
            <w:r w:rsidRPr="00E02A90">
              <w:rPr>
                <w:color w:val="4F81BD" w:themeColor="accent1"/>
              </w:rPr>
              <w:t>Akinwande</w:t>
            </w:r>
            <w:proofErr w:type="spellEnd"/>
            <w:r w:rsidRPr="00E02A90">
              <w:rPr>
                <w:color w:val="4F81BD" w:themeColor="accent1"/>
              </w:rPr>
              <w:t xml:space="preserve"> 2015</w:t>
            </w:r>
          </w:p>
          <w:p w:rsidR="00275706" w:rsidRPr="00E02A90" w:rsidRDefault="00275706" w:rsidP="00275706">
            <w:pPr>
              <w:pStyle w:val="ListParagraph"/>
              <w:numPr>
                <w:ilvl w:val="0"/>
                <w:numId w:val="16"/>
              </w:numPr>
              <w:ind w:left="241" w:hanging="241"/>
              <w:rPr>
                <w:color w:val="4F81BD" w:themeColor="accent1"/>
              </w:rPr>
            </w:pPr>
            <w:proofErr w:type="spellStart"/>
            <w:r w:rsidRPr="00E02A90">
              <w:rPr>
                <w:color w:val="4F81BD" w:themeColor="accent1"/>
              </w:rPr>
              <w:t>Morena</w:t>
            </w:r>
            <w:proofErr w:type="spellEnd"/>
            <w:r w:rsidRPr="00E02A90">
              <w:rPr>
                <w:color w:val="4F81BD" w:themeColor="accent1"/>
              </w:rPr>
              <w:t>-Luna 2013</w:t>
            </w:r>
          </w:p>
          <w:p w:rsidR="00275706" w:rsidRPr="00E02A90" w:rsidRDefault="00275706" w:rsidP="00275706">
            <w:pPr>
              <w:pStyle w:val="ListParagraph"/>
              <w:numPr>
                <w:ilvl w:val="0"/>
                <w:numId w:val="16"/>
              </w:numPr>
              <w:ind w:left="241" w:hanging="241"/>
              <w:rPr>
                <w:color w:val="4F81BD" w:themeColor="accent1"/>
              </w:rPr>
            </w:pPr>
            <w:r w:rsidRPr="00E02A90">
              <w:rPr>
                <w:color w:val="4F81BD" w:themeColor="accent1"/>
              </w:rPr>
              <w:t>Lance 2011</w:t>
            </w:r>
          </w:p>
          <w:p w:rsidR="00275706" w:rsidRPr="00E02A90" w:rsidRDefault="00275706" w:rsidP="00275706">
            <w:pPr>
              <w:pStyle w:val="ListParagraph"/>
              <w:numPr>
                <w:ilvl w:val="0"/>
                <w:numId w:val="16"/>
              </w:numPr>
              <w:ind w:left="241" w:hanging="241"/>
              <w:rPr>
                <w:color w:val="4F81BD" w:themeColor="accent1"/>
              </w:rPr>
            </w:pPr>
            <w:r w:rsidRPr="00E02A90">
              <w:rPr>
                <w:color w:val="4F81BD" w:themeColor="accent1"/>
              </w:rPr>
              <w:t>Salem 2011</w:t>
            </w:r>
          </w:p>
          <w:p w:rsidR="00275706" w:rsidRPr="00E02A90" w:rsidRDefault="00275706" w:rsidP="00275706">
            <w:pPr>
              <w:pStyle w:val="ListParagraph"/>
              <w:numPr>
                <w:ilvl w:val="0"/>
                <w:numId w:val="16"/>
              </w:numPr>
              <w:ind w:left="241" w:hanging="241"/>
              <w:rPr>
                <w:b/>
                <w:color w:val="4F81BD" w:themeColor="accent1"/>
                <w:szCs w:val="20"/>
              </w:rPr>
            </w:pPr>
            <w:proofErr w:type="spellStart"/>
            <w:r w:rsidRPr="00E02A90">
              <w:rPr>
                <w:color w:val="4F81BD" w:themeColor="accent1"/>
              </w:rPr>
              <w:t>Kooby</w:t>
            </w:r>
            <w:proofErr w:type="spellEnd"/>
            <w:r w:rsidRPr="00E02A90">
              <w:rPr>
                <w:color w:val="4F81BD" w:themeColor="accent1"/>
              </w:rPr>
              <w:t xml:space="preserve"> 2010</w:t>
            </w:r>
          </w:p>
        </w:tc>
        <w:tc>
          <w:tcPr>
            <w:tcW w:w="1333" w:type="pct"/>
          </w:tcPr>
          <w:p w:rsidR="00275706" w:rsidRPr="00E02A90" w:rsidRDefault="00275706" w:rsidP="00216126">
            <w:pPr>
              <w:rPr>
                <w:color w:val="4F81BD" w:themeColor="accent1"/>
                <w:szCs w:val="20"/>
              </w:rPr>
            </w:pPr>
            <w:r w:rsidRPr="00E02A90">
              <w:rPr>
                <w:color w:val="4F81BD" w:themeColor="accent1"/>
                <w:szCs w:val="20"/>
              </w:rPr>
              <w:t xml:space="preserve">Lobo et al. (2016). "Unresectable Hepatocellular Carcinoma: </w:t>
            </w:r>
            <w:proofErr w:type="spellStart"/>
            <w:r w:rsidRPr="00E02A90">
              <w:rPr>
                <w:color w:val="4F81BD" w:themeColor="accent1"/>
                <w:szCs w:val="20"/>
              </w:rPr>
              <w:t>Radioembolization</w:t>
            </w:r>
            <w:proofErr w:type="spellEnd"/>
            <w:r w:rsidRPr="00E02A90">
              <w:rPr>
                <w:color w:val="4F81BD" w:themeColor="accent1"/>
                <w:szCs w:val="20"/>
              </w:rPr>
              <w:t xml:space="preserve"> Versus Chemoembolization: A Systematic Review and Meta-analysis." </w:t>
            </w:r>
            <w:proofErr w:type="spellStart"/>
            <w:r w:rsidRPr="00E02A90">
              <w:rPr>
                <w:color w:val="4F81BD" w:themeColor="accent1"/>
                <w:szCs w:val="20"/>
              </w:rPr>
              <w:t>Cardiovasc</w:t>
            </w:r>
            <w:proofErr w:type="spellEnd"/>
            <w:r w:rsidRPr="00E02A90">
              <w:rPr>
                <w:color w:val="4F81BD" w:themeColor="accent1"/>
                <w:szCs w:val="20"/>
              </w:rPr>
              <w:t xml:space="preserve"> </w:t>
            </w:r>
            <w:proofErr w:type="spellStart"/>
            <w:r w:rsidRPr="00E02A90">
              <w:rPr>
                <w:color w:val="4F81BD" w:themeColor="accent1"/>
                <w:szCs w:val="20"/>
              </w:rPr>
              <w:t>Intervent</w:t>
            </w:r>
            <w:proofErr w:type="spellEnd"/>
            <w:r w:rsidRPr="00E02A90">
              <w:rPr>
                <w:color w:val="4F81BD" w:themeColor="accent1"/>
                <w:szCs w:val="20"/>
              </w:rPr>
              <w:t xml:space="preserve"> </w:t>
            </w:r>
            <w:proofErr w:type="spellStart"/>
            <w:r w:rsidRPr="00E02A90">
              <w:rPr>
                <w:color w:val="4F81BD" w:themeColor="accent1"/>
                <w:szCs w:val="20"/>
              </w:rPr>
              <w:t>Radiol</w:t>
            </w:r>
            <w:proofErr w:type="spellEnd"/>
            <w:r w:rsidRPr="00E02A90">
              <w:rPr>
                <w:color w:val="4F81BD" w:themeColor="accent1"/>
                <w:szCs w:val="20"/>
              </w:rPr>
              <w:t xml:space="preserve"> 39(11): 1580-1588.</w:t>
            </w:r>
          </w:p>
        </w:tc>
        <w:tc>
          <w:tcPr>
            <w:tcW w:w="1270" w:type="pct"/>
          </w:tcPr>
          <w:p w:rsidR="00275706" w:rsidRPr="00E02A90" w:rsidRDefault="00275706" w:rsidP="00216126">
            <w:pPr>
              <w:rPr>
                <w:color w:val="4F81BD" w:themeColor="accent1"/>
                <w:szCs w:val="20"/>
              </w:rPr>
            </w:pPr>
            <w:r w:rsidRPr="00E02A90">
              <w:rPr>
                <w:i/>
                <w:color w:val="4F81BD" w:themeColor="accent1"/>
                <w:szCs w:val="20"/>
              </w:rPr>
              <w:t>Population:</w:t>
            </w:r>
            <w:r w:rsidRPr="00E02A90">
              <w:rPr>
                <w:color w:val="4F81BD" w:themeColor="accent1"/>
                <w:szCs w:val="20"/>
              </w:rPr>
              <w:t xml:space="preserve"> unresectable HCC </w:t>
            </w:r>
          </w:p>
          <w:p w:rsidR="00275706" w:rsidRPr="00E02A90" w:rsidRDefault="00275706" w:rsidP="00216126">
            <w:pPr>
              <w:rPr>
                <w:color w:val="4F81BD" w:themeColor="accent1"/>
                <w:szCs w:val="20"/>
              </w:rPr>
            </w:pPr>
            <w:r w:rsidRPr="00E02A90">
              <w:rPr>
                <w:i/>
                <w:color w:val="4F81BD" w:themeColor="accent1"/>
                <w:szCs w:val="20"/>
              </w:rPr>
              <w:t>Comparison:</w:t>
            </w:r>
            <w:r>
              <w:rPr>
                <w:color w:val="4F81BD" w:themeColor="accent1"/>
                <w:szCs w:val="20"/>
              </w:rPr>
              <w:t xml:space="preserve"> TARE</w:t>
            </w:r>
            <w:r w:rsidRPr="00E02A90">
              <w:rPr>
                <w:color w:val="4F81BD" w:themeColor="accent1"/>
                <w:szCs w:val="20"/>
              </w:rPr>
              <w:t xml:space="preserve">-Y versus TACE </w:t>
            </w:r>
          </w:p>
          <w:p w:rsidR="00275706" w:rsidRPr="00E02A90" w:rsidRDefault="00275706" w:rsidP="00216126">
            <w:pPr>
              <w:rPr>
                <w:color w:val="4F81BD" w:themeColor="accent1"/>
                <w:szCs w:val="20"/>
              </w:rPr>
            </w:pPr>
            <w:r w:rsidRPr="00E02A90">
              <w:rPr>
                <w:i/>
                <w:color w:val="4F81BD" w:themeColor="accent1"/>
                <w:szCs w:val="20"/>
              </w:rPr>
              <w:t xml:space="preserve">Outcomes: </w:t>
            </w:r>
            <w:r w:rsidRPr="00E02A90">
              <w:rPr>
                <w:color w:val="4F81BD" w:themeColor="accent1"/>
                <w:szCs w:val="20"/>
              </w:rPr>
              <w:t>1-yr survival rate; 2-yr survival rate; 3-yr survival rate; 4-yr survival rate; tumour response; complications</w:t>
            </w:r>
          </w:p>
        </w:tc>
        <w:tc>
          <w:tcPr>
            <w:tcW w:w="762" w:type="pct"/>
          </w:tcPr>
          <w:p w:rsidR="00275706" w:rsidRPr="00E82F54" w:rsidRDefault="00275706" w:rsidP="00216126">
            <w:pPr>
              <w:rPr>
                <w:b/>
                <w:szCs w:val="20"/>
              </w:rPr>
            </w:pPr>
            <w:hyperlink r:id="rId40" w:history="1">
              <w:r w:rsidRPr="00E02A90">
                <w:rPr>
                  <w:rStyle w:val="Hyperlink"/>
                  <w:color w:val="4F81BD" w:themeColor="accent1"/>
                </w:rPr>
                <w:t>http://link.springer.com/article/10.1007%2Fs00270-016-1426-y</w:t>
              </w:r>
            </w:hyperlink>
          </w:p>
        </w:tc>
        <w:tc>
          <w:tcPr>
            <w:tcW w:w="644" w:type="pct"/>
          </w:tcPr>
          <w:p w:rsidR="00275706" w:rsidRPr="00E02A90" w:rsidRDefault="00275706" w:rsidP="00216126">
            <w:pPr>
              <w:rPr>
                <w:color w:val="4F81BD" w:themeColor="accent1"/>
                <w:szCs w:val="20"/>
              </w:rPr>
            </w:pPr>
            <w:r w:rsidRPr="00E02A90">
              <w:rPr>
                <w:color w:val="4F81BD" w:themeColor="accent1"/>
                <w:szCs w:val="20"/>
              </w:rPr>
              <w:t>2016</w:t>
            </w:r>
          </w:p>
        </w:tc>
      </w:tr>
      <w:tr w:rsidR="00275706" w:rsidTr="00216126">
        <w:trPr>
          <w:cantSplit/>
        </w:trPr>
        <w:tc>
          <w:tcPr>
            <w:tcW w:w="167" w:type="pct"/>
          </w:tcPr>
          <w:p w:rsidR="00275706" w:rsidRDefault="00275706" w:rsidP="00216126">
            <w:pPr>
              <w:rPr>
                <w:szCs w:val="20"/>
              </w:rPr>
            </w:pPr>
            <w:r>
              <w:rPr>
                <w:szCs w:val="20"/>
              </w:rPr>
              <w:t>4.</w:t>
            </w:r>
          </w:p>
        </w:tc>
        <w:tc>
          <w:tcPr>
            <w:tcW w:w="824" w:type="pct"/>
          </w:tcPr>
          <w:p w:rsidR="00275706" w:rsidRPr="00E02A90" w:rsidRDefault="00275706" w:rsidP="00216126">
            <w:pPr>
              <w:spacing w:before="40" w:after="40"/>
              <w:rPr>
                <w:color w:val="4F81BD" w:themeColor="accent1"/>
              </w:rPr>
            </w:pPr>
            <w:r w:rsidRPr="00E02A90">
              <w:rPr>
                <w:color w:val="4F81BD" w:themeColor="accent1"/>
              </w:rPr>
              <w:t>RCT</w:t>
            </w:r>
          </w:p>
          <w:p w:rsidR="00275706" w:rsidRPr="00E02A90" w:rsidRDefault="00275706" w:rsidP="00216126">
            <w:pPr>
              <w:spacing w:before="40" w:after="40"/>
              <w:rPr>
                <w:b/>
                <w:color w:val="4F81BD" w:themeColor="accent1"/>
                <w:szCs w:val="20"/>
              </w:rPr>
            </w:pPr>
            <w:r w:rsidRPr="00E02A90">
              <w:rPr>
                <w:color w:val="4F81BD" w:themeColor="accent1"/>
              </w:rPr>
              <w:t>Asia, New Zealand Australia</w:t>
            </w:r>
          </w:p>
        </w:tc>
        <w:tc>
          <w:tcPr>
            <w:tcW w:w="1333" w:type="pct"/>
          </w:tcPr>
          <w:p w:rsidR="00275706" w:rsidRPr="00E02A90" w:rsidRDefault="00275706" w:rsidP="00216126">
            <w:pPr>
              <w:spacing w:before="40" w:after="40"/>
              <w:rPr>
                <w:color w:val="4F81BD" w:themeColor="accent1"/>
              </w:rPr>
            </w:pPr>
            <w:r w:rsidRPr="00E02A90">
              <w:rPr>
                <w:color w:val="4F81BD" w:themeColor="accent1"/>
              </w:rPr>
              <w:t xml:space="preserve">Gandhi et al. (2016). "Single administration of Selective Internal Radiation Therapy versus continuous treatment with </w:t>
            </w:r>
            <w:proofErr w:type="spellStart"/>
            <w:r w:rsidRPr="00E02A90">
              <w:rPr>
                <w:color w:val="4F81BD" w:themeColor="accent1"/>
              </w:rPr>
              <w:t>sorafeNIB</w:t>
            </w:r>
            <w:proofErr w:type="spellEnd"/>
            <w:r w:rsidRPr="00E02A90">
              <w:rPr>
                <w:color w:val="4F81BD" w:themeColor="accent1"/>
              </w:rPr>
              <w:t xml:space="preserve"> in locally advanced hepatocellular carcinoma (</w:t>
            </w:r>
            <w:proofErr w:type="spellStart"/>
            <w:r w:rsidRPr="00E02A90">
              <w:rPr>
                <w:color w:val="4F81BD" w:themeColor="accent1"/>
              </w:rPr>
              <w:t>SIRveNIB</w:t>
            </w:r>
            <w:proofErr w:type="spellEnd"/>
            <w:r w:rsidRPr="00E02A90">
              <w:rPr>
                <w:color w:val="4F81BD" w:themeColor="accent1"/>
              </w:rPr>
              <w:t>): Study protocol for a phase iii randomized controlled trial." BMC Cancer 16(1): no pagination.</w:t>
            </w:r>
          </w:p>
          <w:p w:rsidR="00275706" w:rsidRPr="00E02A90" w:rsidRDefault="00275706" w:rsidP="00216126">
            <w:pPr>
              <w:spacing w:before="40" w:after="40"/>
              <w:rPr>
                <w:color w:val="4F81BD" w:themeColor="accent1"/>
              </w:rPr>
            </w:pPr>
            <w:r w:rsidRPr="00E02A90">
              <w:rPr>
                <w:i/>
                <w:color w:val="4F81BD" w:themeColor="accent1"/>
              </w:rPr>
              <w:t>Trial ID:</w:t>
            </w:r>
            <w:r w:rsidRPr="00E02A90">
              <w:rPr>
                <w:color w:val="4F81BD" w:themeColor="accent1"/>
              </w:rPr>
              <w:t xml:space="preserve"> </w:t>
            </w:r>
            <w:proofErr w:type="spellStart"/>
            <w:r w:rsidRPr="00E02A90">
              <w:rPr>
                <w:color w:val="4F81BD" w:themeColor="accent1"/>
              </w:rPr>
              <w:t>SIRveNIB</w:t>
            </w:r>
            <w:proofErr w:type="spellEnd"/>
            <w:r>
              <w:rPr>
                <w:rStyle w:val="FootnoteReference"/>
                <w:color w:val="4F81BD" w:themeColor="accent1"/>
              </w:rPr>
              <w:footnoteReference w:id="8"/>
            </w:r>
          </w:p>
          <w:p w:rsidR="00275706" w:rsidRPr="00E02A90" w:rsidRDefault="00275706" w:rsidP="00216126">
            <w:pPr>
              <w:spacing w:before="40" w:after="40"/>
              <w:rPr>
                <w:b/>
                <w:color w:val="4F81BD" w:themeColor="accent1"/>
                <w:szCs w:val="20"/>
              </w:rPr>
            </w:pPr>
            <w:r w:rsidRPr="00E02A90">
              <w:rPr>
                <w:i/>
                <w:color w:val="4F81BD" w:themeColor="accent1"/>
              </w:rPr>
              <w:t>Registration no.:</w:t>
            </w:r>
            <w:r>
              <w:rPr>
                <w:color w:val="4F81BD" w:themeColor="accent1"/>
              </w:rPr>
              <w:t xml:space="preserve"> NCT </w:t>
            </w:r>
            <w:r w:rsidRPr="00E02A90">
              <w:rPr>
                <w:color w:val="4F81BD" w:themeColor="accent1"/>
              </w:rPr>
              <w:t>01135056</w:t>
            </w:r>
          </w:p>
        </w:tc>
        <w:tc>
          <w:tcPr>
            <w:tcW w:w="1270" w:type="pct"/>
          </w:tcPr>
          <w:p w:rsidR="00275706" w:rsidRPr="00E02A90" w:rsidRDefault="00275706" w:rsidP="00216126">
            <w:pPr>
              <w:spacing w:before="40" w:after="40"/>
              <w:rPr>
                <w:color w:val="4F81BD" w:themeColor="accent1"/>
                <w:szCs w:val="20"/>
              </w:rPr>
            </w:pPr>
            <w:r w:rsidRPr="00E02A90">
              <w:rPr>
                <w:i/>
                <w:color w:val="4F81BD" w:themeColor="accent1"/>
                <w:szCs w:val="20"/>
              </w:rPr>
              <w:t>Population:</w:t>
            </w:r>
            <w:r w:rsidRPr="00E02A90">
              <w:rPr>
                <w:color w:val="4F81BD" w:themeColor="accent1"/>
                <w:szCs w:val="20"/>
              </w:rPr>
              <w:t xml:space="preserve"> locally advanced HCC; N~360</w:t>
            </w:r>
          </w:p>
          <w:p w:rsidR="00275706" w:rsidRPr="00E02A90" w:rsidRDefault="00275706" w:rsidP="00216126">
            <w:pPr>
              <w:spacing w:before="40" w:after="40"/>
              <w:rPr>
                <w:color w:val="4F81BD" w:themeColor="accent1"/>
                <w:szCs w:val="20"/>
              </w:rPr>
            </w:pPr>
            <w:r w:rsidRPr="00E02A90">
              <w:rPr>
                <w:i/>
                <w:color w:val="4F81BD" w:themeColor="accent1"/>
                <w:szCs w:val="20"/>
              </w:rPr>
              <w:t>Comparison:</w:t>
            </w:r>
            <w:r w:rsidRPr="00E02A90">
              <w:rPr>
                <w:color w:val="4F81BD" w:themeColor="accent1"/>
                <w:szCs w:val="20"/>
              </w:rPr>
              <w:t xml:space="preserve"> </w:t>
            </w:r>
            <w:r>
              <w:rPr>
                <w:color w:val="4F81BD" w:themeColor="accent1"/>
                <w:szCs w:val="20"/>
              </w:rPr>
              <w:t>TARE</w:t>
            </w:r>
            <w:r w:rsidRPr="00E02A90">
              <w:rPr>
                <w:color w:val="4F81BD" w:themeColor="accent1"/>
                <w:szCs w:val="20"/>
              </w:rPr>
              <w:t xml:space="preserve">-Y (SIR-Spheres) versus </w:t>
            </w:r>
            <w:proofErr w:type="spellStart"/>
            <w:r w:rsidRPr="00E02A90">
              <w:rPr>
                <w:color w:val="4F81BD" w:themeColor="accent1"/>
                <w:szCs w:val="20"/>
              </w:rPr>
              <w:t>sorafenib</w:t>
            </w:r>
            <w:proofErr w:type="spellEnd"/>
            <w:r w:rsidRPr="00E02A90">
              <w:rPr>
                <w:color w:val="4F81BD" w:themeColor="accent1"/>
                <w:szCs w:val="20"/>
              </w:rPr>
              <w:t xml:space="preserve"> </w:t>
            </w:r>
          </w:p>
          <w:p w:rsidR="00275706" w:rsidRPr="00E02A90" w:rsidRDefault="00275706" w:rsidP="00216126">
            <w:pPr>
              <w:spacing w:before="40" w:after="40"/>
              <w:rPr>
                <w:color w:val="4F81BD" w:themeColor="accent1"/>
              </w:rPr>
            </w:pPr>
            <w:r w:rsidRPr="00E02A90">
              <w:rPr>
                <w:i/>
                <w:color w:val="4F81BD" w:themeColor="accent1"/>
              </w:rPr>
              <w:t>Outcomes:</w:t>
            </w:r>
            <w:r w:rsidRPr="00E02A90">
              <w:rPr>
                <w:color w:val="4F81BD" w:themeColor="accent1"/>
              </w:rPr>
              <w:t xml:space="preserve"> overall survival; time to progression; tumour response; quality of life; adverse events </w:t>
            </w:r>
          </w:p>
          <w:p w:rsidR="00275706" w:rsidRPr="00E02A90" w:rsidRDefault="00275706" w:rsidP="00216126">
            <w:pPr>
              <w:spacing w:before="40" w:after="40"/>
              <w:rPr>
                <w:color w:val="4F81BD" w:themeColor="accent1"/>
              </w:rPr>
            </w:pPr>
            <w:r w:rsidRPr="00E02A90">
              <w:rPr>
                <w:i/>
                <w:color w:val="4F81BD" w:themeColor="accent1"/>
              </w:rPr>
              <w:t>Status:</w:t>
            </w:r>
            <w:r w:rsidRPr="00E02A90">
              <w:rPr>
                <w:color w:val="4F81BD" w:themeColor="accent1"/>
              </w:rPr>
              <w:t xml:space="preserve"> ongoing</w:t>
            </w:r>
          </w:p>
          <w:p w:rsidR="00275706" w:rsidRPr="00E02A90" w:rsidRDefault="00275706" w:rsidP="00216126">
            <w:pPr>
              <w:spacing w:before="40" w:after="40"/>
              <w:rPr>
                <w:color w:val="4F81BD" w:themeColor="accent1"/>
                <w:szCs w:val="20"/>
              </w:rPr>
            </w:pPr>
          </w:p>
        </w:tc>
        <w:tc>
          <w:tcPr>
            <w:tcW w:w="762" w:type="pct"/>
          </w:tcPr>
          <w:p w:rsidR="00275706" w:rsidRPr="00E82F54" w:rsidRDefault="00275706" w:rsidP="00216126">
            <w:pPr>
              <w:rPr>
                <w:b/>
                <w:szCs w:val="20"/>
              </w:rPr>
            </w:pPr>
            <w:hyperlink r:id="rId41" w:history="1">
              <w:r w:rsidRPr="00E02A90">
                <w:rPr>
                  <w:rStyle w:val="Hyperlink"/>
                  <w:color w:val="4F81BD" w:themeColor="accent1"/>
                </w:rPr>
                <w:t>http://www.biomedcentral.com/bmccancer/</w:t>
              </w:r>
            </w:hyperlink>
          </w:p>
        </w:tc>
        <w:tc>
          <w:tcPr>
            <w:tcW w:w="644" w:type="pct"/>
          </w:tcPr>
          <w:p w:rsidR="00275706" w:rsidRPr="00E02A90" w:rsidRDefault="00275706" w:rsidP="00216126">
            <w:pPr>
              <w:spacing w:before="40" w:after="40"/>
              <w:rPr>
                <w:b/>
                <w:color w:val="4F81BD" w:themeColor="accent1"/>
                <w:szCs w:val="20"/>
              </w:rPr>
            </w:pPr>
            <w:r w:rsidRPr="00E02A90">
              <w:rPr>
                <w:color w:val="4F81BD" w:themeColor="accent1"/>
              </w:rPr>
              <w:t xml:space="preserve">Recruitment ended in May 2016. The final analysis will be triggered after mortality reaches 266. </w:t>
            </w:r>
          </w:p>
        </w:tc>
      </w:tr>
      <w:tr w:rsidR="00275706" w:rsidTr="00216126">
        <w:trPr>
          <w:cantSplit/>
        </w:trPr>
        <w:tc>
          <w:tcPr>
            <w:tcW w:w="167" w:type="pct"/>
          </w:tcPr>
          <w:p w:rsidR="00275706" w:rsidRDefault="00275706" w:rsidP="00216126">
            <w:pPr>
              <w:rPr>
                <w:szCs w:val="20"/>
              </w:rPr>
            </w:pPr>
            <w:r>
              <w:rPr>
                <w:szCs w:val="20"/>
              </w:rPr>
              <w:t>5.</w:t>
            </w:r>
          </w:p>
        </w:tc>
        <w:tc>
          <w:tcPr>
            <w:tcW w:w="824" w:type="pct"/>
          </w:tcPr>
          <w:p w:rsidR="00275706" w:rsidRPr="00E02A90" w:rsidRDefault="00275706" w:rsidP="00216126">
            <w:pPr>
              <w:spacing w:before="40" w:after="40"/>
              <w:rPr>
                <w:color w:val="4F81BD" w:themeColor="accent1"/>
              </w:rPr>
            </w:pPr>
            <w:r w:rsidRPr="00E02A90">
              <w:rPr>
                <w:color w:val="4F81BD" w:themeColor="accent1"/>
              </w:rPr>
              <w:t>RCT</w:t>
            </w:r>
          </w:p>
          <w:p w:rsidR="00275706" w:rsidRPr="00E02A90" w:rsidRDefault="00275706" w:rsidP="00216126">
            <w:pPr>
              <w:spacing w:before="40" w:after="40"/>
              <w:rPr>
                <w:b/>
                <w:color w:val="4F81BD" w:themeColor="accent1"/>
                <w:szCs w:val="20"/>
              </w:rPr>
            </w:pPr>
            <w:r w:rsidRPr="00E02A90">
              <w:rPr>
                <w:color w:val="4F81BD" w:themeColor="accent1"/>
                <w:szCs w:val="20"/>
              </w:rPr>
              <w:t>United States; Belgium; Canada; China; France; Germany; Italy; Korea, Republic of Singapore; Spain; United Kingdom</w:t>
            </w:r>
          </w:p>
        </w:tc>
        <w:tc>
          <w:tcPr>
            <w:tcW w:w="1333" w:type="pct"/>
          </w:tcPr>
          <w:p w:rsidR="00275706" w:rsidRPr="00E02A90" w:rsidRDefault="00275706" w:rsidP="00216126">
            <w:pPr>
              <w:spacing w:before="40" w:after="40"/>
              <w:rPr>
                <w:color w:val="4F81BD" w:themeColor="accent1"/>
              </w:rPr>
            </w:pPr>
            <w:proofErr w:type="spellStart"/>
            <w:r w:rsidRPr="00E02A90">
              <w:rPr>
                <w:color w:val="4F81BD" w:themeColor="accent1"/>
              </w:rPr>
              <w:t>Karpf</w:t>
            </w:r>
            <w:proofErr w:type="spellEnd"/>
            <w:r w:rsidRPr="00E02A90">
              <w:rPr>
                <w:color w:val="4F81BD" w:themeColor="accent1"/>
              </w:rPr>
              <w:t xml:space="preserve"> (2015). "A phase III clinical trial of intra-arterial yttrium-90 glass microspheres in the treatment of patients with unresectable hepatocellular carcinoma." Journal of Clinical Oncology 33(3 SUPPL. 1): 477.</w:t>
            </w:r>
          </w:p>
          <w:p w:rsidR="00275706" w:rsidRPr="00E02A90" w:rsidRDefault="00275706" w:rsidP="00216126">
            <w:pPr>
              <w:spacing w:before="40" w:after="40"/>
              <w:rPr>
                <w:color w:val="4F81BD" w:themeColor="accent1"/>
              </w:rPr>
            </w:pPr>
            <w:r w:rsidRPr="00E02A90">
              <w:rPr>
                <w:i/>
                <w:color w:val="4F81BD" w:themeColor="accent1"/>
              </w:rPr>
              <w:t>Trial ID:</w:t>
            </w:r>
            <w:r w:rsidRPr="00E02A90">
              <w:rPr>
                <w:color w:val="4F81BD" w:themeColor="accent1"/>
              </w:rPr>
              <w:t xml:space="preserve"> STOP-HCC</w:t>
            </w:r>
          </w:p>
          <w:p w:rsidR="00275706" w:rsidRPr="00E02A90" w:rsidRDefault="00275706" w:rsidP="00216126">
            <w:pPr>
              <w:spacing w:before="40" w:after="40"/>
              <w:rPr>
                <w:b/>
                <w:color w:val="4F81BD" w:themeColor="accent1"/>
                <w:szCs w:val="20"/>
              </w:rPr>
            </w:pPr>
            <w:r w:rsidRPr="00E02A90">
              <w:rPr>
                <w:i/>
                <w:color w:val="4F81BD" w:themeColor="accent1"/>
              </w:rPr>
              <w:t>Registration no:</w:t>
            </w:r>
            <w:r w:rsidRPr="00E02A90">
              <w:rPr>
                <w:color w:val="4F81BD" w:themeColor="accent1"/>
              </w:rPr>
              <w:t xml:space="preserve"> NCT01556490</w:t>
            </w:r>
          </w:p>
        </w:tc>
        <w:tc>
          <w:tcPr>
            <w:tcW w:w="1270" w:type="pct"/>
          </w:tcPr>
          <w:p w:rsidR="00275706" w:rsidRPr="00E02A90" w:rsidRDefault="00275706" w:rsidP="00216126">
            <w:pPr>
              <w:spacing w:before="40" w:after="40"/>
              <w:rPr>
                <w:color w:val="4F81BD" w:themeColor="accent1"/>
              </w:rPr>
            </w:pPr>
            <w:r w:rsidRPr="00E02A90">
              <w:rPr>
                <w:i/>
                <w:color w:val="4F81BD" w:themeColor="accent1"/>
              </w:rPr>
              <w:t>Population:</w:t>
            </w:r>
            <w:r w:rsidRPr="00E02A90">
              <w:rPr>
                <w:color w:val="4F81BD" w:themeColor="accent1"/>
              </w:rPr>
              <w:t xml:space="preserve"> unresectable HCC; N~390</w:t>
            </w:r>
          </w:p>
          <w:p w:rsidR="00275706" w:rsidRPr="00E02A90" w:rsidRDefault="00275706" w:rsidP="00216126">
            <w:pPr>
              <w:spacing w:before="40" w:after="40"/>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-Y (</w:t>
            </w:r>
            <w:proofErr w:type="spellStart"/>
            <w:r w:rsidRPr="00E02A90">
              <w:rPr>
                <w:color w:val="4F81BD" w:themeColor="accent1"/>
              </w:rPr>
              <w:t>TheraSphere</w:t>
            </w:r>
            <w:proofErr w:type="spellEnd"/>
            <w:r w:rsidRPr="00E02A90">
              <w:rPr>
                <w:color w:val="4F81BD" w:themeColor="accent1"/>
              </w:rPr>
              <w:t xml:space="preserve">) + </w:t>
            </w:r>
            <w:proofErr w:type="spellStart"/>
            <w:r w:rsidRPr="00E02A90">
              <w:rPr>
                <w:color w:val="4F81BD" w:themeColor="accent1"/>
              </w:rPr>
              <w:t>sorafenib</w:t>
            </w:r>
            <w:proofErr w:type="spellEnd"/>
            <w:r w:rsidRPr="00E02A90">
              <w:rPr>
                <w:color w:val="4F81BD" w:themeColor="accent1"/>
              </w:rPr>
              <w:t xml:space="preserve"> versus </w:t>
            </w:r>
            <w:proofErr w:type="spellStart"/>
            <w:r w:rsidRPr="00E02A90">
              <w:rPr>
                <w:color w:val="4F81BD" w:themeColor="accent1"/>
              </w:rPr>
              <w:t>sorafenib</w:t>
            </w:r>
            <w:proofErr w:type="spellEnd"/>
            <w:r w:rsidRPr="00E02A90">
              <w:rPr>
                <w:color w:val="4F81BD" w:themeColor="accent1"/>
              </w:rPr>
              <w:t xml:space="preserve"> alone </w:t>
            </w:r>
          </w:p>
          <w:p w:rsidR="00275706" w:rsidRPr="00E02A90" w:rsidRDefault="00275706" w:rsidP="00216126">
            <w:pPr>
              <w:spacing w:before="40" w:after="40"/>
              <w:rPr>
                <w:color w:val="4F81BD" w:themeColor="accent1"/>
              </w:rPr>
            </w:pPr>
            <w:r w:rsidRPr="00E02A90">
              <w:rPr>
                <w:i/>
                <w:color w:val="4F81BD" w:themeColor="accent1"/>
              </w:rPr>
              <w:t>Outcomes:</w:t>
            </w:r>
            <w:r w:rsidRPr="00E02A90">
              <w:rPr>
                <w:color w:val="4F81BD" w:themeColor="accent1"/>
              </w:rPr>
              <w:t xml:space="preserve"> overall survival; time to progression; tumour response; quality of life </w:t>
            </w:r>
          </w:p>
          <w:p w:rsidR="00275706" w:rsidRPr="00E02A90" w:rsidRDefault="00275706" w:rsidP="00216126">
            <w:pPr>
              <w:spacing w:before="40" w:after="40"/>
              <w:rPr>
                <w:color w:val="4F81BD" w:themeColor="accent1"/>
              </w:rPr>
            </w:pPr>
            <w:r w:rsidRPr="00E02A90">
              <w:rPr>
                <w:i/>
                <w:color w:val="4F81BD" w:themeColor="accent1"/>
              </w:rPr>
              <w:t>Status:</w:t>
            </w:r>
            <w:r w:rsidRPr="00E02A90">
              <w:rPr>
                <w:color w:val="4F81BD" w:themeColor="accent1"/>
              </w:rPr>
              <w:t xml:space="preserve"> recruiting</w:t>
            </w:r>
          </w:p>
          <w:p w:rsidR="00275706" w:rsidRPr="00E02A90" w:rsidRDefault="00275706" w:rsidP="00216126">
            <w:pPr>
              <w:spacing w:before="40" w:after="40"/>
              <w:rPr>
                <w:b/>
                <w:color w:val="4F81BD" w:themeColor="accent1"/>
                <w:szCs w:val="20"/>
              </w:rPr>
            </w:pPr>
          </w:p>
        </w:tc>
        <w:tc>
          <w:tcPr>
            <w:tcW w:w="762" w:type="pct"/>
          </w:tcPr>
          <w:p w:rsidR="00275706" w:rsidRPr="00E82F54" w:rsidRDefault="00275706" w:rsidP="00216126">
            <w:pPr>
              <w:rPr>
                <w:b/>
                <w:szCs w:val="20"/>
              </w:rPr>
            </w:pPr>
            <w:hyperlink r:id="rId42" w:history="1">
              <w:r w:rsidRPr="00D22B82">
                <w:rPr>
                  <w:rStyle w:val="Hyperlink"/>
                </w:rPr>
                <w:t>http://ascopubs.org/doi/abs/10.1200/jco.2015.33.3_suppl.477</w:t>
              </w:r>
            </w:hyperlink>
          </w:p>
        </w:tc>
        <w:tc>
          <w:tcPr>
            <w:tcW w:w="644" w:type="pct"/>
          </w:tcPr>
          <w:p w:rsidR="00275706" w:rsidRPr="00E02A90" w:rsidRDefault="00275706" w:rsidP="00216126">
            <w:pPr>
              <w:spacing w:before="40" w:after="40"/>
              <w:rPr>
                <w:b/>
                <w:color w:val="4F81BD" w:themeColor="accent1"/>
                <w:szCs w:val="20"/>
              </w:rPr>
            </w:pPr>
            <w:r w:rsidRPr="00E02A90">
              <w:rPr>
                <w:color w:val="4F81BD" w:themeColor="accent1"/>
              </w:rPr>
              <w:t>Oct 2019</w:t>
            </w:r>
          </w:p>
        </w:tc>
      </w:tr>
      <w:tr w:rsidR="00275706" w:rsidTr="00216126">
        <w:trPr>
          <w:cantSplit/>
        </w:trPr>
        <w:tc>
          <w:tcPr>
            <w:tcW w:w="167" w:type="pct"/>
          </w:tcPr>
          <w:p w:rsidR="00275706" w:rsidRDefault="00275706" w:rsidP="00216126">
            <w:pPr>
              <w:rPr>
                <w:szCs w:val="20"/>
              </w:rPr>
            </w:pPr>
            <w:r>
              <w:rPr>
                <w:szCs w:val="20"/>
              </w:rPr>
              <w:lastRenderedPageBreak/>
              <w:t>6.</w:t>
            </w:r>
          </w:p>
        </w:tc>
        <w:tc>
          <w:tcPr>
            <w:tcW w:w="824" w:type="pct"/>
          </w:tcPr>
          <w:p w:rsidR="00275706" w:rsidRPr="00E02A90" w:rsidRDefault="00275706" w:rsidP="00216126">
            <w:pPr>
              <w:rPr>
                <w:color w:val="4F81BD" w:themeColor="accent1"/>
                <w:szCs w:val="20"/>
              </w:rPr>
            </w:pPr>
            <w:r w:rsidRPr="00E02A90">
              <w:rPr>
                <w:color w:val="4F81BD" w:themeColor="accent1"/>
                <w:szCs w:val="20"/>
              </w:rPr>
              <w:t xml:space="preserve">Network meta-analysis of 16 RCTs/OBS including 4 OBS related to </w:t>
            </w:r>
            <w:r>
              <w:rPr>
                <w:color w:val="4F81BD" w:themeColor="accent1"/>
                <w:szCs w:val="20"/>
              </w:rPr>
              <w:t>TARE-Y</w:t>
            </w:r>
          </w:p>
          <w:p w:rsidR="00275706" w:rsidRPr="00E02A90" w:rsidRDefault="00275706" w:rsidP="00275706">
            <w:pPr>
              <w:pStyle w:val="ListParagraph"/>
              <w:numPr>
                <w:ilvl w:val="0"/>
                <w:numId w:val="16"/>
              </w:numPr>
              <w:ind w:left="241" w:hanging="241"/>
              <w:rPr>
                <w:color w:val="4F81BD" w:themeColor="accent1"/>
                <w:szCs w:val="20"/>
              </w:rPr>
            </w:pPr>
            <w:r w:rsidRPr="00E02A90">
              <w:rPr>
                <w:color w:val="4F81BD" w:themeColor="accent1"/>
                <w:szCs w:val="20"/>
              </w:rPr>
              <w:t>Moreno-Luna 2013</w:t>
            </w:r>
          </w:p>
          <w:p w:rsidR="00275706" w:rsidRPr="00E02A90" w:rsidRDefault="00275706" w:rsidP="00275706">
            <w:pPr>
              <w:pStyle w:val="ListParagraph"/>
              <w:numPr>
                <w:ilvl w:val="0"/>
                <w:numId w:val="16"/>
              </w:numPr>
              <w:ind w:left="241" w:hanging="241"/>
              <w:rPr>
                <w:color w:val="4F81BD" w:themeColor="accent1"/>
                <w:szCs w:val="20"/>
              </w:rPr>
            </w:pPr>
            <w:proofErr w:type="spellStart"/>
            <w:r w:rsidRPr="00E02A90">
              <w:rPr>
                <w:color w:val="4F81BD" w:themeColor="accent1"/>
                <w:szCs w:val="20"/>
              </w:rPr>
              <w:t>Kooby</w:t>
            </w:r>
            <w:proofErr w:type="spellEnd"/>
            <w:r w:rsidRPr="00E02A90">
              <w:rPr>
                <w:color w:val="4F81BD" w:themeColor="accent1"/>
                <w:szCs w:val="20"/>
              </w:rPr>
              <w:t xml:space="preserve"> 2010</w:t>
            </w:r>
          </w:p>
          <w:p w:rsidR="00275706" w:rsidRPr="00E02A90" w:rsidRDefault="00275706" w:rsidP="00275706">
            <w:pPr>
              <w:pStyle w:val="ListParagraph"/>
              <w:numPr>
                <w:ilvl w:val="0"/>
                <w:numId w:val="16"/>
              </w:numPr>
              <w:ind w:left="241" w:hanging="241"/>
              <w:rPr>
                <w:color w:val="4F81BD" w:themeColor="accent1"/>
                <w:szCs w:val="20"/>
              </w:rPr>
            </w:pPr>
            <w:r w:rsidRPr="00E02A90">
              <w:rPr>
                <w:color w:val="4F81BD" w:themeColor="accent1"/>
                <w:szCs w:val="20"/>
              </w:rPr>
              <w:t>Carr 2001</w:t>
            </w:r>
          </w:p>
          <w:p w:rsidR="00275706" w:rsidRPr="00E02A90" w:rsidRDefault="00275706" w:rsidP="00275706">
            <w:pPr>
              <w:pStyle w:val="ListParagraph"/>
              <w:numPr>
                <w:ilvl w:val="0"/>
                <w:numId w:val="16"/>
              </w:numPr>
              <w:ind w:left="241" w:hanging="241"/>
              <w:rPr>
                <w:color w:val="4F81BD" w:themeColor="accent1"/>
                <w:szCs w:val="20"/>
              </w:rPr>
            </w:pPr>
            <w:r w:rsidRPr="00E02A90">
              <w:rPr>
                <w:color w:val="4F81BD" w:themeColor="accent1"/>
                <w:szCs w:val="20"/>
              </w:rPr>
              <w:t>Lewandowski 2009</w:t>
            </w:r>
          </w:p>
          <w:p w:rsidR="00275706" w:rsidRPr="00E02A90" w:rsidRDefault="00275706" w:rsidP="00216126">
            <w:pPr>
              <w:rPr>
                <w:color w:val="4F81BD" w:themeColor="accent1"/>
                <w:szCs w:val="20"/>
              </w:rPr>
            </w:pPr>
          </w:p>
          <w:p w:rsidR="00275706" w:rsidRPr="00E02A90" w:rsidRDefault="00275706" w:rsidP="00216126">
            <w:pPr>
              <w:rPr>
                <w:b/>
                <w:color w:val="4F81BD" w:themeColor="accent1"/>
                <w:szCs w:val="20"/>
              </w:rPr>
            </w:pPr>
          </w:p>
        </w:tc>
        <w:tc>
          <w:tcPr>
            <w:tcW w:w="1333" w:type="pct"/>
          </w:tcPr>
          <w:p w:rsidR="00275706" w:rsidRPr="00E02A90" w:rsidRDefault="00275706" w:rsidP="00216126">
            <w:pPr>
              <w:rPr>
                <w:color w:val="4F81BD" w:themeColor="accent1"/>
                <w:szCs w:val="20"/>
              </w:rPr>
            </w:pPr>
            <w:r w:rsidRPr="00E02A90">
              <w:rPr>
                <w:color w:val="4F81BD" w:themeColor="accent1"/>
                <w:szCs w:val="20"/>
              </w:rPr>
              <w:t xml:space="preserve">Tao et al (2016). "A mixed analysis comparing nine minimally invasive surgeries for unresectable hepatocellular carcinoma patients." </w:t>
            </w:r>
            <w:proofErr w:type="spellStart"/>
            <w:r w:rsidRPr="00E02A90">
              <w:rPr>
                <w:color w:val="4F81BD" w:themeColor="accent1"/>
                <w:szCs w:val="20"/>
              </w:rPr>
              <w:t>Oncotarget</w:t>
            </w:r>
            <w:proofErr w:type="spellEnd"/>
            <w:r w:rsidRPr="00E02A90">
              <w:rPr>
                <w:color w:val="4F81BD" w:themeColor="accent1"/>
                <w:szCs w:val="20"/>
              </w:rPr>
              <w:t>.</w:t>
            </w:r>
          </w:p>
        </w:tc>
        <w:tc>
          <w:tcPr>
            <w:tcW w:w="1270" w:type="pct"/>
          </w:tcPr>
          <w:p w:rsidR="00275706" w:rsidRPr="00E02A90" w:rsidRDefault="00275706" w:rsidP="00216126">
            <w:pPr>
              <w:rPr>
                <w:color w:val="4F81BD" w:themeColor="accent1"/>
                <w:szCs w:val="20"/>
              </w:rPr>
            </w:pPr>
            <w:r w:rsidRPr="00E02A90">
              <w:rPr>
                <w:i/>
                <w:color w:val="4F81BD" w:themeColor="accent1"/>
                <w:szCs w:val="20"/>
              </w:rPr>
              <w:t>Population:</w:t>
            </w:r>
            <w:r w:rsidRPr="00E02A90">
              <w:rPr>
                <w:color w:val="4F81BD" w:themeColor="accent1"/>
                <w:szCs w:val="20"/>
              </w:rPr>
              <w:t xml:space="preserve"> unresectable HCC</w:t>
            </w:r>
          </w:p>
          <w:p w:rsidR="00275706" w:rsidRPr="00E02A90" w:rsidRDefault="00275706" w:rsidP="00216126">
            <w:pPr>
              <w:rPr>
                <w:color w:val="4F81BD" w:themeColor="accent1"/>
                <w:szCs w:val="20"/>
              </w:rPr>
            </w:pPr>
            <w:r w:rsidRPr="00E02A90">
              <w:rPr>
                <w:i/>
                <w:color w:val="4F81BD" w:themeColor="accent1"/>
                <w:szCs w:val="20"/>
              </w:rPr>
              <w:t>Comparison:</w:t>
            </w:r>
            <w:r w:rsidRPr="00E02A90">
              <w:rPr>
                <w:color w:val="4F81BD" w:themeColor="accent1"/>
                <w:szCs w:val="20"/>
              </w:rPr>
              <w:t xml:space="preserve"> </w:t>
            </w:r>
            <w:r>
              <w:rPr>
                <w:color w:val="4F81BD" w:themeColor="accent1"/>
                <w:szCs w:val="20"/>
              </w:rPr>
              <w:t>TARE</w:t>
            </w:r>
            <w:r w:rsidRPr="00E02A90">
              <w:rPr>
                <w:color w:val="4F81BD" w:themeColor="accent1"/>
                <w:szCs w:val="20"/>
              </w:rPr>
              <w:t xml:space="preserve">-Y versus eight other treatments (TACE, DEB-TACE, TACE+EBRT, TACE+HIFU, TACE+PEI, TEA) </w:t>
            </w:r>
          </w:p>
          <w:p w:rsidR="00275706" w:rsidRPr="00E02A90" w:rsidRDefault="00275706" w:rsidP="00216126">
            <w:pPr>
              <w:rPr>
                <w:color w:val="4F81BD" w:themeColor="accent1"/>
                <w:szCs w:val="20"/>
              </w:rPr>
            </w:pPr>
            <w:r w:rsidRPr="00E02A90">
              <w:rPr>
                <w:i/>
                <w:color w:val="4F81BD" w:themeColor="accent1"/>
                <w:szCs w:val="20"/>
              </w:rPr>
              <w:t xml:space="preserve">Outcomes: </w:t>
            </w:r>
            <w:r w:rsidRPr="00E02A90">
              <w:rPr>
                <w:color w:val="4F81BD" w:themeColor="accent1"/>
                <w:szCs w:val="20"/>
              </w:rPr>
              <w:t>tumour response</w:t>
            </w:r>
          </w:p>
        </w:tc>
        <w:tc>
          <w:tcPr>
            <w:tcW w:w="762" w:type="pct"/>
          </w:tcPr>
          <w:p w:rsidR="00275706" w:rsidRPr="00D22B82" w:rsidRDefault="00275706" w:rsidP="00216126">
            <w:hyperlink r:id="rId43" w:history="1">
              <w:r w:rsidRPr="00E02A90">
                <w:rPr>
                  <w:rStyle w:val="Hyperlink"/>
                  <w:color w:val="4F81BD" w:themeColor="accent1"/>
                </w:rPr>
                <w:t>http://www.impactjournals.com/oncotarget/index.php?journal=oncotarget&amp;page=article&amp;op=download&amp;path%5B%5D=12348&amp;path%5B%5D=39117</w:t>
              </w:r>
            </w:hyperlink>
          </w:p>
        </w:tc>
        <w:tc>
          <w:tcPr>
            <w:tcW w:w="644" w:type="pct"/>
          </w:tcPr>
          <w:p w:rsidR="00275706" w:rsidRPr="00E02A90" w:rsidRDefault="00275706" w:rsidP="00216126">
            <w:pPr>
              <w:rPr>
                <w:color w:val="4F81BD" w:themeColor="accent1"/>
                <w:szCs w:val="20"/>
              </w:rPr>
            </w:pPr>
            <w:r w:rsidRPr="00E02A90">
              <w:rPr>
                <w:color w:val="4F81BD" w:themeColor="accent1"/>
                <w:szCs w:val="20"/>
              </w:rPr>
              <w:t>2016</w:t>
            </w:r>
          </w:p>
        </w:tc>
      </w:tr>
      <w:tr w:rsidR="00275706" w:rsidTr="00216126">
        <w:trPr>
          <w:cantSplit/>
        </w:trPr>
        <w:tc>
          <w:tcPr>
            <w:tcW w:w="167" w:type="pct"/>
          </w:tcPr>
          <w:p w:rsidR="00275706" w:rsidRDefault="00275706" w:rsidP="00216126">
            <w:pPr>
              <w:rPr>
                <w:szCs w:val="20"/>
              </w:rPr>
            </w:pPr>
            <w:r>
              <w:rPr>
                <w:szCs w:val="20"/>
              </w:rPr>
              <w:t>7.</w:t>
            </w:r>
          </w:p>
        </w:tc>
        <w:tc>
          <w:tcPr>
            <w:tcW w:w="824" w:type="pct"/>
          </w:tcPr>
          <w:p w:rsidR="00275706" w:rsidRPr="00E02A90" w:rsidRDefault="00275706" w:rsidP="00216126">
            <w:pPr>
              <w:rPr>
                <w:color w:val="4F81BD" w:themeColor="accent1"/>
                <w:szCs w:val="20"/>
              </w:rPr>
            </w:pPr>
            <w:r w:rsidRPr="00E02A90">
              <w:rPr>
                <w:color w:val="4F81BD" w:themeColor="accent1"/>
                <w:szCs w:val="20"/>
              </w:rPr>
              <w:t>Head-to-head meta-analysis of OBS:</w:t>
            </w:r>
          </w:p>
          <w:p w:rsidR="00275706" w:rsidRPr="00E02A90" w:rsidRDefault="00275706" w:rsidP="00275706">
            <w:pPr>
              <w:pStyle w:val="ListParagraph"/>
              <w:numPr>
                <w:ilvl w:val="0"/>
                <w:numId w:val="16"/>
              </w:numPr>
              <w:ind w:left="241" w:hanging="241"/>
              <w:rPr>
                <w:color w:val="4F81BD" w:themeColor="accent1"/>
                <w:szCs w:val="20"/>
              </w:rPr>
            </w:pPr>
            <w:r w:rsidRPr="00E02A90">
              <w:rPr>
                <w:color w:val="4F81BD" w:themeColor="accent1"/>
                <w:szCs w:val="20"/>
              </w:rPr>
              <w:t>Carr 2010</w:t>
            </w:r>
          </w:p>
          <w:p w:rsidR="00275706" w:rsidRPr="00E02A90" w:rsidRDefault="00275706" w:rsidP="00275706">
            <w:pPr>
              <w:pStyle w:val="ListParagraph"/>
              <w:numPr>
                <w:ilvl w:val="0"/>
                <w:numId w:val="16"/>
              </w:numPr>
              <w:ind w:left="241" w:hanging="241"/>
              <w:rPr>
                <w:color w:val="4F81BD" w:themeColor="accent1"/>
                <w:szCs w:val="20"/>
              </w:rPr>
            </w:pPr>
            <w:r w:rsidRPr="00E02A90">
              <w:rPr>
                <w:color w:val="4F81BD" w:themeColor="accent1"/>
                <w:szCs w:val="20"/>
              </w:rPr>
              <w:t>She 2014</w:t>
            </w:r>
          </w:p>
          <w:p w:rsidR="00275706" w:rsidRPr="00E02A90" w:rsidRDefault="00275706" w:rsidP="00275706">
            <w:pPr>
              <w:pStyle w:val="ListParagraph"/>
              <w:numPr>
                <w:ilvl w:val="0"/>
                <w:numId w:val="16"/>
              </w:numPr>
              <w:ind w:left="241" w:hanging="241"/>
              <w:rPr>
                <w:color w:val="4F81BD" w:themeColor="accent1"/>
                <w:szCs w:val="20"/>
              </w:rPr>
            </w:pPr>
            <w:r w:rsidRPr="00E02A90">
              <w:rPr>
                <w:color w:val="4F81BD" w:themeColor="accent1"/>
                <w:szCs w:val="20"/>
              </w:rPr>
              <w:t xml:space="preserve">El </w:t>
            </w:r>
            <w:proofErr w:type="spellStart"/>
            <w:r w:rsidRPr="00E02A90">
              <w:rPr>
                <w:color w:val="4F81BD" w:themeColor="accent1"/>
                <w:szCs w:val="20"/>
              </w:rPr>
              <w:t>Fouly</w:t>
            </w:r>
            <w:proofErr w:type="spellEnd"/>
            <w:r w:rsidRPr="00E02A90">
              <w:rPr>
                <w:color w:val="4F81BD" w:themeColor="accent1"/>
                <w:szCs w:val="20"/>
              </w:rPr>
              <w:t xml:space="preserve"> 2014</w:t>
            </w:r>
          </w:p>
          <w:p w:rsidR="00275706" w:rsidRPr="00E02A90" w:rsidRDefault="00275706" w:rsidP="00275706">
            <w:pPr>
              <w:pStyle w:val="ListParagraph"/>
              <w:numPr>
                <w:ilvl w:val="0"/>
                <w:numId w:val="16"/>
              </w:numPr>
              <w:ind w:left="241" w:hanging="241"/>
              <w:rPr>
                <w:color w:val="4F81BD" w:themeColor="accent1"/>
                <w:szCs w:val="20"/>
              </w:rPr>
            </w:pPr>
            <w:r w:rsidRPr="00E02A90">
              <w:rPr>
                <w:color w:val="4F81BD" w:themeColor="accent1"/>
                <w:szCs w:val="20"/>
              </w:rPr>
              <w:t>Moreno-Luna 2013</w:t>
            </w:r>
          </w:p>
          <w:p w:rsidR="00275706" w:rsidRPr="00E02A90" w:rsidRDefault="00275706" w:rsidP="00275706">
            <w:pPr>
              <w:pStyle w:val="ListParagraph"/>
              <w:numPr>
                <w:ilvl w:val="0"/>
                <w:numId w:val="16"/>
              </w:numPr>
              <w:ind w:left="241" w:hanging="241"/>
              <w:rPr>
                <w:color w:val="4F81BD" w:themeColor="accent1"/>
                <w:szCs w:val="20"/>
              </w:rPr>
            </w:pPr>
            <w:r w:rsidRPr="00E02A90">
              <w:rPr>
                <w:color w:val="4F81BD" w:themeColor="accent1"/>
                <w:szCs w:val="20"/>
              </w:rPr>
              <w:t>Salem 2011</w:t>
            </w:r>
          </w:p>
          <w:p w:rsidR="00275706" w:rsidRPr="00E02A90" w:rsidRDefault="00275706" w:rsidP="00275706">
            <w:pPr>
              <w:pStyle w:val="ListParagraph"/>
              <w:numPr>
                <w:ilvl w:val="0"/>
                <w:numId w:val="16"/>
              </w:numPr>
              <w:ind w:left="241" w:hanging="241"/>
              <w:rPr>
                <w:color w:val="4F81BD" w:themeColor="accent1"/>
                <w:szCs w:val="20"/>
              </w:rPr>
            </w:pPr>
            <w:r w:rsidRPr="00E02A90">
              <w:rPr>
                <w:color w:val="4F81BD" w:themeColor="accent1"/>
                <w:szCs w:val="20"/>
              </w:rPr>
              <w:t>Lance 2011</w:t>
            </w:r>
          </w:p>
          <w:p w:rsidR="00275706" w:rsidRPr="00E02A90" w:rsidRDefault="00275706" w:rsidP="00275706">
            <w:pPr>
              <w:pStyle w:val="ListParagraph"/>
              <w:numPr>
                <w:ilvl w:val="0"/>
                <w:numId w:val="16"/>
              </w:numPr>
              <w:ind w:left="241" w:hanging="241"/>
              <w:rPr>
                <w:color w:val="4F81BD" w:themeColor="accent1"/>
                <w:szCs w:val="20"/>
              </w:rPr>
            </w:pPr>
            <w:proofErr w:type="spellStart"/>
            <w:r w:rsidRPr="00E02A90">
              <w:rPr>
                <w:color w:val="4F81BD" w:themeColor="accent1"/>
                <w:szCs w:val="20"/>
              </w:rPr>
              <w:t>Kooby</w:t>
            </w:r>
            <w:proofErr w:type="spellEnd"/>
            <w:r w:rsidRPr="00E02A90">
              <w:rPr>
                <w:color w:val="4F81BD" w:themeColor="accent1"/>
                <w:szCs w:val="20"/>
              </w:rPr>
              <w:t xml:space="preserve"> 2010</w:t>
            </w:r>
          </w:p>
          <w:p w:rsidR="00275706" w:rsidRPr="00E02A90" w:rsidRDefault="00275706" w:rsidP="00275706">
            <w:pPr>
              <w:pStyle w:val="ListParagraph"/>
              <w:numPr>
                <w:ilvl w:val="0"/>
                <w:numId w:val="16"/>
              </w:numPr>
              <w:ind w:left="241" w:hanging="241"/>
              <w:rPr>
                <w:color w:val="4F81BD" w:themeColor="accent1"/>
                <w:szCs w:val="20"/>
              </w:rPr>
            </w:pPr>
            <w:r w:rsidRPr="00E02A90">
              <w:rPr>
                <w:color w:val="4F81BD" w:themeColor="accent1"/>
                <w:szCs w:val="20"/>
              </w:rPr>
              <w:t>Lewandowski 2009</w:t>
            </w:r>
          </w:p>
        </w:tc>
        <w:tc>
          <w:tcPr>
            <w:tcW w:w="1333" w:type="pct"/>
          </w:tcPr>
          <w:p w:rsidR="00275706" w:rsidRPr="00E02A90" w:rsidRDefault="00275706" w:rsidP="00216126">
            <w:pPr>
              <w:rPr>
                <w:color w:val="4F81BD" w:themeColor="accent1"/>
                <w:szCs w:val="20"/>
              </w:rPr>
            </w:pPr>
            <w:r w:rsidRPr="00E02A90">
              <w:rPr>
                <w:color w:val="4F81BD" w:themeColor="accent1"/>
                <w:szCs w:val="20"/>
              </w:rPr>
              <w:t>Zhang et al. (2015). "</w:t>
            </w:r>
            <w:proofErr w:type="spellStart"/>
            <w:r w:rsidRPr="00E02A90">
              <w:rPr>
                <w:color w:val="4F81BD" w:themeColor="accent1"/>
                <w:szCs w:val="20"/>
              </w:rPr>
              <w:t>Transarterial</w:t>
            </w:r>
            <w:proofErr w:type="spellEnd"/>
            <w:r w:rsidRPr="00E02A90">
              <w:rPr>
                <w:color w:val="4F81BD" w:themeColor="accent1"/>
                <w:szCs w:val="20"/>
              </w:rPr>
              <w:t xml:space="preserve"> Y90 </w:t>
            </w:r>
            <w:proofErr w:type="spellStart"/>
            <w:r w:rsidRPr="00E02A90">
              <w:rPr>
                <w:color w:val="4F81BD" w:themeColor="accent1"/>
                <w:szCs w:val="20"/>
              </w:rPr>
              <w:t>radioembolization</w:t>
            </w:r>
            <w:proofErr w:type="spellEnd"/>
            <w:r w:rsidRPr="00E02A90">
              <w:rPr>
                <w:color w:val="4F81BD" w:themeColor="accent1"/>
                <w:szCs w:val="20"/>
              </w:rPr>
              <w:t xml:space="preserve"> versus chemoembolization for patients with hepatocellular carcinoma: A meta-analysis." </w:t>
            </w:r>
            <w:proofErr w:type="spellStart"/>
            <w:r w:rsidRPr="00E02A90">
              <w:rPr>
                <w:color w:val="4F81BD" w:themeColor="accent1"/>
                <w:szCs w:val="20"/>
              </w:rPr>
              <w:t>Biosci</w:t>
            </w:r>
            <w:proofErr w:type="spellEnd"/>
            <w:r w:rsidRPr="00E02A90">
              <w:rPr>
                <w:color w:val="4F81BD" w:themeColor="accent1"/>
                <w:szCs w:val="20"/>
              </w:rPr>
              <w:t xml:space="preserve"> Trends 9(5): 289-298.</w:t>
            </w:r>
          </w:p>
        </w:tc>
        <w:tc>
          <w:tcPr>
            <w:tcW w:w="1270" w:type="pct"/>
          </w:tcPr>
          <w:p w:rsidR="00275706" w:rsidRPr="00E02A90" w:rsidRDefault="00275706" w:rsidP="00216126">
            <w:pPr>
              <w:rPr>
                <w:color w:val="4F81BD" w:themeColor="accent1"/>
                <w:szCs w:val="20"/>
              </w:rPr>
            </w:pPr>
            <w:r w:rsidRPr="00E02A90">
              <w:rPr>
                <w:i/>
                <w:color w:val="4F81BD" w:themeColor="accent1"/>
                <w:szCs w:val="20"/>
              </w:rPr>
              <w:t>Population:</w:t>
            </w:r>
            <w:r w:rsidRPr="00E02A90">
              <w:rPr>
                <w:color w:val="4F81BD" w:themeColor="accent1"/>
                <w:szCs w:val="20"/>
              </w:rPr>
              <w:t xml:space="preserve"> HCC</w:t>
            </w:r>
          </w:p>
          <w:p w:rsidR="00275706" w:rsidRPr="00E02A90" w:rsidRDefault="00275706" w:rsidP="00216126">
            <w:pPr>
              <w:rPr>
                <w:color w:val="4F81BD" w:themeColor="accent1"/>
                <w:szCs w:val="20"/>
              </w:rPr>
            </w:pPr>
            <w:r w:rsidRPr="00E02A90">
              <w:rPr>
                <w:i/>
                <w:color w:val="4F81BD" w:themeColor="accent1"/>
                <w:szCs w:val="20"/>
              </w:rPr>
              <w:t>Comparison:</w:t>
            </w:r>
            <w:r w:rsidRPr="00E02A90">
              <w:rPr>
                <w:color w:val="4F81BD" w:themeColor="accent1"/>
                <w:szCs w:val="20"/>
              </w:rPr>
              <w:t xml:space="preserve"> </w:t>
            </w:r>
            <w:r>
              <w:rPr>
                <w:color w:val="4F81BD" w:themeColor="accent1"/>
                <w:szCs w:val="20"/>
              </w:rPr>
              <w:t>TARE</w:t>
            </w:r>
            <w:r w:rsidRPr="00E02A90">
              <w:rPr>
                <w:color w:val="4F81BD" w:themeColor="accent1"/>
                <w:szCs w:val="20"/>
              </w:rPr>
              <w:t xml:space="preserve">-Y versus TACE </w:t>
            </w:r>
          </w:p>
          <w:p w:rsidR="00275706" w:rsidRPr="00E02A90" w:rsidRDefault="00275706" w:rsidP="00216126">
            <w:pPr>
              <w:rPr>
                <w:color w:val="4F81BD" w:themeColor="accent1"/>
                <w:szCs w:val="20"/>
              </w:rPr>
            </w:pPr>
            <w:r w:rsidRPr="00E02A90">
              <w:rPr>
                <w:i/>
                <w:color w:val="4F81BD" w:themeColor="accent1"/>
                <w:szCs w:val="20"/>
              </w:rPr>
              <w:t>Outcomes:</w:t>
            </w:r>
            <w:r w:rsidRPr="00E02A90">
              <w:rPr>
                <w:color w:val="4F81BD" w:themeColor="accent1"/>
                <w:szCs w:val="20"/>
              </w:rPr>
              <w:t xml:space="preserve"> overall survival; 1-yr survival rate; 2-yr survival rate; 3-yr survival rate; time-to-progression; hospitalisation-time days; tumour response; complications</w:t>
            </w:r>
          </w:p>
        </w:tc>
        <w:tc>
          <w:tcPr>
            <w:tcW w:w="762" w:type="pct"/>
          </w:tcPr>
          <w:p w:rsidR="00275706" w:rsidRDefault="00275706" w:rsidP="00216126">
            <w:hyperlink r:id="rId44" w:history="1">
              <w:r w:rsidRPr="00E02A90">
                <w:rPr>
                  <w:rStyle w:val="Hyperlink"/>
                  <w:color w:val="4F81BD" w:themeColor="accent1"/>
                </w:rPr>
                <w:t>https://www.jstage.jst.go.jp/article/bst/9/5/9_2015.01089/_pdf</w:t>
              </w:r>
            </w:hyperlink>
          </w:p>
        </w:tc>
        <w:tc>
          <w:tcPr>
            <w:tcW w:w="644" w:type="pct"/>
          </w:tcPr>
          <w:p w:rsidR="00275706" w:rsidRPr="00E02A90" w:rsidRDefault="00275706" w:rsidP="00216126">
            <w:pPr>
              <w:rPr>
                <w:color w:val="4F81BD" w:themeColor="accent1"/>
                <w:szCs w:val="20"/>
              </w:rPr>
            </w:pPr>
            <w:r w:rsidRPr="00E02A90">
              <w:rPr>
                <w:color w:val="4F81BD" w:themeColor="accent1"/>
                <w:szCs w:val="20"/>
              </w:rPr>
              <w:t>2015</w:t>
            </w:r>
          </w:p>
        </w:tc>
      </w:tr>
      <w:tr w:rsidR="00275706" w:rsidTr="00216126">
        <w:trPr>
          <w:cantSplit/>
        </w:trPr>
        <w:tc>
          <w:tcPr>
            <w:tcW w:w="167" w:type="pct"/>
          </w:tcPr>
          <w:p w:rsidR="00275706" w:rsidRDefault="00275706" w:rsidP="00216126">
            <w:pPr>
              <w:rPr>
                <w:szCs w:val="20"/>
              </w:rPr>
            </w:pPr>
            <w:r>
              <w:rPr>
                <w:szCs w:val="20"/>
              </w:rPr>
              <w:lastRenderedPageBreak/>
              <w:t>8.</w:t>
            </w:r>
          </w:p>
        </w:tc>
        <w:tc>
          <w:tcPr>
            <w:tcW w:w="824" w:type="pct"/>
          </w:tcPr>
          <w:p w:rsidR="00275706" w:rsidRPr="00E02A90" w:rsidRDefault="00275706" w:rsidP="00216126">
            <w:pPr>
              <w:rPr>
                <w:color w:val="4F81BD" w:themeColor="accent1"/>
                <w:szCs w:val="20"/>
              </w:rPr>
            </w:pPr>
            <w:r w:rsidRPr="00E02A90">
              <w:rPr>
                <w:color w:val="4F81BD" w:themeColor="accent1"/>
                <w:szCs w:val="20"/>
              </w:rPr>
              <w:t xml:space="preserve">Head-to-head meta-analysis of 13 OBS with 5 relating to </w:t>
            </w:r>
            <w:r>
              <w:rPr>
                <w:color w:val="4F81BD" w:themeColor="accent1"/>
                <w:szCs w:val="20"/>
              </w:rPr>
              <w:t>TARE</w:t>
            </w:r>
            <w:r w:rsidRPr="00E02A90">
              <w:rPr>
                <w:color w:val="4F81BD" w:themeColor="accent1"/>
                <w:szCs w:val="20"/>
              </w:rPr>
              <w:t>-Y:</w:t>
            </w:r>
          </w:p>
          <w:p w:rsidR="00275706" w:rsidRPr="00E02A90" w:rsidRDefault="00275706" w:rsidP="00275706">
            <w:pPr>
              <w:pStyle w:val="ListParagraph"/>
              <w:numPr>
                <w:ilvl w:val="0"/>
                <w:numId w:val="16"/>
              </w:numPr>
              <w:ind w:left="241" w:hanging="241"/>
              <w:rPr>
                <w:color w:val="4F81BD" w:themeColor="accent1"/>
                <w:szCs w:val="20"/>
              </w:rPr>
            </w:pPr>
            <w:r w:rsidRPr="00E02A90">
              <w:rPr>
                <w:color w:val="4F81BD" w:themeColor="accent1"/>
                <w:szCs w:val="20"/>
              </w:rPr>
              <w:t>Salem 2011</w:t>
            </w:r>
          </w:p>
          <w:p w:rsidR="00275706" w:rsidRPr="00E02A90" w:rsidRDefault="00275706" w:rsidP="00275706">
            <w:pPr>
              <w:pStyle w:val="ListParagraph"/>
              <w:numPr>
                <w:ilvl w:val="0"/>
                <w:numId w:val="16"/>
              </w:numPr>
              <w:ind w:left="241" w:hanging="241"/>
              <w:rPr>
                <w:color w:val="4F81BD" w:themeColor="accent1"/>
                <w:szCs w:val="20"/>
              </w:rPr>
            </w:pPr>
            <w:r w:rsidRPr="00E02A90">
              <w:rPr>
                <w:color w:val="4F81BD" w:themeColor="accent1"/>
                <w:szCs w:val="20"/>
              </w:rPr>
              <w:t>Carr 2010</w:t>
            </w:r>
          </w:p>
          <w:p w:rsidR="00275706" w:rsidRPr="00E02A90" w:rsidRDefault="00275706" w:rsidP="00275706">
            <w:pPr>
              <w:pStyle w:val="ListParagraph"/>
              <w:numPr>
                <w:ilvl w:val="0"/>
                <w:numId w:val="16"/>
              </w:numPr>
              <w:ind w:left="241" w:hanging="241"/>
              <w:rPr>
                <w:color w:val="4F81BD" w:themeColor="accent1"/>
                <w:szCs w:val="20"/>
              </w:rPr>
            </w:pPr>
            <w:proofErr w:type="spellStart"/>
            <w:r w:rsidRPr="00E02A90">
              <w:rPr>
                <w:color w:val="4F81BD" w:themeColor="accent1"/>
                <w:szCs w:val="20"/>
              </w:rPr>
              <w:t>Kooby</w:t>
            </w:r>
            <w:proofErr w:type="spellEnd"/>
            <w:r w:rsidRPr="00E02A90">
              <w:rPr>
                <w:color w:val="4F81BD" w:themeColor="accent1"/>
                <w:szCs w:val="20"/>
              </w:rPr>
              <w:t xml:space="preserve"> 2009</w:t>
            </w:r>
          </w:p>
          <w:p w:rsidR="00275706" w:rsidRPr="00E02A90" w:rsidRDefault="00275706" w:rsidP="00275706">
            <w:pPr>
              <w:pStyle w:val="ListParagraph"/>
              <w:numPr>
                <w:ilvl w:val="0"/>
                <w:numId w:val="16"/>
              </w:numPr>
              <w:ind w:left="241" w:hanging="241"/>
              <w:rPr>
                <w:color w:val="4F81BD" w:themeColor="accent1"/>
                <w:szCs w:val="20"/>
              </w:rPr>
            </w:pPr>
            <w:r w:rsidRPr="00E02A90">
              <w:rPr>
                <w:color w:val="4F81BD" w:themeColor="accent1"/>
                <w:szCs w:val="20"/>
              </w:rPr>
              <w:t>Lewandowski 2009</w:t>
            </w:r>
          </w:p>
          <w:p w:rsidR="00275706" w:rsidRPr="00E02A90" w:rsidRDefault="00275706" w:rsidP="00275706">
            <w:pPr>
              <w:pStyle w:val="ListParagraph"/>
              <w:numPr>
                <w:ilvl w:val="0"/>
                <w:numId w:val="16"/>
              </w:numPr>
              <w:ind w:left="241" w:hanging="241"/>
              <w:rPr>
                <w:color w:val="4F81BD" w:themeColor="accent1"/>
                <w:szCs w:val="20"/>
              </w:rPr>
            </w:pPr>
            <w:r w:rsidRPr="00E02A90">
              <w:rPr>
                <w:color w:val="4F81BD" w:themeColor="accent1"/>
                <w:szCs w:val="20"/>
              </w:rPr>
              <w:t>Ahmad 2005</w:t>
            </w:r>
          </w:p>
        </w:tc>
        <w:tc>
          <w:tcPr>
            <w:tcW w:w="1333" w:type="pct"/>
          </w:tcPr>
          <w:p w:rsidR="00275706" w:rsidRPr="00E02A90" w:rsidRDefault="00275706" w:rsidP="00216126">
            <w:pPr>
              <w:rPr>
                <w:color w:val="4F81BD" w:themeColor="accent1"/>
                <w:szCs w:val="20"/>
              </w:rPr>
            </w:pPr>
            <w:proofErr w:type="spellStart"/>
            <w:r w:rsidRPr="00E02A90">
              <w:rPr>
                <w:color w:val="4F81BD" w:themeColor="accent1"/>
                <w:szCs w:val="20"/>
              </w:rPr>
              <w:t>Xie</w:t>
            </w:r>
            <w:proofErr w:type="spellEnd"/>
            <w:r w:rsidRPr="00E02A90">
              <w:rPr>
                <w:color w:val="4F81BD" w:themeColor="accent1"/>
                <w:szCs w:val="20"/>
              </w:rPr>
              <w:t xml:space="preserve"> et al. (2012). "Comparison of </w:t>
            </w:r>
            <w:proofErr w:type="spellStart"/>
            <w:r w:rsidRPr="00E02A90">
              <w:rPr>
                <w:color w:val="4F81BD" w:themeColor="accent1"/>
                <w:szCs w:val="20"/>
              </w:rPr>
              <w:t>transcatheter</w:t>
            </w:r>
            <w:proofErr w:type="spellEnd"/>
            <w:r w:rsidRPr="00E02A90">
              <w:rPr>
                <w:color w:val="4F81BD" w:themeColor="accent1"/>
                <w:szCs w:val="20"/>
              </w:rPr>
              <w:t xml:space="preserve"> arterial chemoembolization and microsphere embolization for treatment of unresectable hepatocellular carcinoma: a meta-analysis." J Cancer Res </w:t>
            </w:r>
            <w:proofErr w:type="spellStart"/>
            <w:r w:rsidRPr="00E02A90">
              <w:rPr>
                <w:color w:val="4F81BD" w:themeColor="accent1"/>
                <w:szCs w:val="20"/>
              </w:rPr>
              <w:t>Clin</w:t>
            </w:r>
            <w:proofErr w:type="spellEnd"/>
            <w:r w:rsidRPr="00E02A90">
              <w:rPr>
                <w:color w:val="4F81BD" w:themeColor="accent1"/>
                <w:szCs w:val="20"/>
              </w:rPr>
              <w:t xml:space="preserve"> </w:t>
            </w:r>
            <w:proofErr w:type="spellStart"/>
            <w:r w:rsidRPr="00E02A90">
              <w:rPr>
                <w:color w:val="4F81BD" w:themeColor="accent1"/>
                <w:szCs w:val="20"/>
              </w:rPr>
              <w:t>Oncol</w:t>
            </w:r>
            <w:proofErr w:type="spellEnd"/>
            <w:r w:rsidRPr="00E02A90">
              <w:rPr>
                <w:color w:val="4F81BD" w:themeColor="accent1"/>
                <w:szCs w:val="20"/>
              </w:rPr>
              <w:t xml:space="preserve"> 138(3): 455-462.</w:t>
            </w:r>
          </w:p>
        </w:tc>
        <w:tc>
          <w:tcPr>
            <w:tcW w:w="1270" w:type="pct"/>
          </w:tcPr>
          <w:p w:rsidR="00275706" w:rsidRPr="00E02A90" w:rsidRDefault="00275706" w:rsidP="00216126">
            <w:pPr>
              <w:rPr>
                <w:color w:val="4F81BD" w:themeColor="accent1"/>
                <w:szCs w:val="20"/>
              </w:rPr>
            </w:pPr>
            <w:r w:rsidRPr="00E02A90">
              <w:rPr>
                <w:i/>
                <w:color w:val="4F81BD" w:themeColor="accent1"/>
                <w:szCs w:val="20"/>
              </w:rPr>
              <w:t>Population:</w:t>
            </w:r>
            <w:r w:rsidRPr="00E02A90">
              <w:rPr>
                <w:color w:val="4F81BD" w:themeColor="accent1"/>
                <w:szCs w:val="20"/>
              </w:rPr>
              <w:t xml:space="preserve"> unresectable HCC </w:t>
            </w:r>
          </w:p>
          <w:p w:rsidR="00275706" w:rsidRPr="00E02A90" w:rsidRDefault="00275706" w:rsidP="00216126">
            <w:pPr>
              <w:rPr>
                <w:color w:val="4F81BD" w:themeColor="accent1"/>
                <w:szCs w:val="20"/>
              </w:rPr>
            </w:pPr>
            <w:r w:rsidRPr="00E02A90">
              <w:rPr>
                <w:i/>
                <w:color w:val="4F81BD" w:themeColor="accent1"/>
                <w:szCs w:val="20"/>
              </w:rPr>
              <w:t>Comparison:</w:t>
            </w:r>
            <w:r w:rsidRPr="00E02A90">
              <w:rPr>
                <w:color w:val="4F81BD" w:themeColor="accent1"/>
                <w:szCs w:val="20"/>
              </w:rPr>
              <w:t xml:space="preserve"> microsphere </w:t>
            </w:r>
            <w:proofErr w:type="spellStart"/>
            <w:r w:rsidRPr="00E02A90">
              <w:rPr>
                <w:color w:val="4F81BD" w:themeColor="accent1"/>
                <w:szCs w:val="20"/>
              </w:rPr>
              <w:t>embolisation</w:t>
            </w:r>
            <w:proofErr w:type="spellEnd"/>
            <w:r w:rsidRPr="00E02A90">
              <w:rPr>
                <w:color w:val="4F81BD" w:themeColor="accent1"/>
                <w:szCs w:val="20"/>
              </w:rPr>
              <w:t xml:space="preserve"> (including </w:t>
            </w:r>
            <w:r>
              <w:rPr>
                <w:color w:val="4F81BD" w:themeColor="accent1"/>
                <w:szCs w:val="20"/>
              </w:rPr>
              <w:t>TARE</w:t>
            </w:r>
            <w:r w:rsidRPr="00E02A90">
              <w:rPr>
                <w:color w:val="4F81BD" w:themeColor="accent1"/>
                <w:szCs w:val="20"/>
              </w:rPr>
              <w:t xml:space="preserve">-Y) versus TACE </w:t>
            </w:r>
          </w:p>
          <w:p w:rsidR="00275706" w:rsidRPr="00E02A90" w:rsidRDefault="00275706" w:rsidP="00216126">
            <w:pPr>
              <w:rPr>
                <w:color w:val="4F81BD" w:themeColor="accent1"/>
                <w:szCs w:val="20"/>
              </w:rPr>
            </w:pPr>
            <w:r w:rsidRPr="00E02A90">
              <w:rPr>
                <w:i/>
                <w:color w:val="4F81BD" w:themeColor="accent1"/>
                <w:szCs w:val="20"/>
              </w:rPr>
              <w:t>Outcomes:</w:t>
            </w:r>
            <w:r w:rsidRPr="00E02A90">
              <w:rPr>
                <w:color w:val="4F81BD" w:themeColor="accent1"/>
                <w:szCs w:val="20"/>
              </w:rPr>
              <w:t xml:space="preserve"> overall survival; 1-yr survival; complete response</w:t>
            </w:r>
          </w:p>
        </w:tc>
        <w:tc>
          <w:tcPr>
            <w:tcW w:w="762" w:type="pct"/>
          </w:tcPr>
          <w:p w:rsidR="00275706" w:rsidRDefault="00275706" w:rsidP="00216126">
            <w:hyperlink r:id="rId45" w:history="1">
              <w:r w:rsidRPr="00E02A90">
                <w:rPr>
                  <w:rStyle w:val="Hyperlink"/>
                  <w:color w:val="4F81BD" w:themeColor="accent1"/>
                </w:rPr>
                <w:t>http://link.springer.com/article/10.1007%2Fs00432-011-1117-7</w:t>
              </w:r>
            </w:hyperlink>
          </w:p>
        </w:tc>
        <w:tc>
          <w:tcPr>
            <w:tcW w:w="644" w:type="pct"/>
          </w:tcPr>
          <w:p w:rsidR="00275706" w:rsidRPr="00E02A90" w:rsidRDefault="00275706" w:rsidP="00216126">
            <w:pPr>
              <w:rPr>
                <w:color w:val="4F81BD" w:themeColor="accent1"/>
                <w:szCs w:val="20"/>
              </w:rPr>
            </w:pPr>
            <w:r w:rsidRPr="00E02A90">
              <w:rPr>
                <w:color w:val="4F81BD" w:themeColor="accent1"/>
                <w:szCs w:val="20"/>
              </w:rPr>
              <w:t>2012</w:t>
            </w:r>
          </w:p>
        </w:tc>
      </w:tr>
    </w:tbl>
    <w:p w:rsidR="00275706" w:rsidRDefault="00275706" w:rsidP="00275706">
      <w:pPr>
        <w:rPr>
          <w:color w:val="4F81BD" w:themeColor="accent1"/>
          <w:sz w:val="16"/>
        </w:rPr>
      </w:pPr>
      <w:r w:rsidRPr="00504913">
        <w:rPr>
          <w:color w:val="4F81BD" w:themeColor="accent1"/>
          <w:sz w:val="16"/>
        </w:rPr>
        <w:t xml:space="preserve">Abbreviations: DEB, drug-eluting beads; EBRT, external beam radiotherapy; HCC, hepatocellular carcinoma; HIFU, high intensity focused ultrasound; OBS, observational studies; PEI, percutaneous ethanol injections; RCT, randomised controlled trial; TACE, </w:t>
      </w:r>
      <w:proofErr w:type="spellStart"/>
      <w:r w:rsidRPr="00504913">
        <w:rPr>
          <w:color w:val="4F81BD" w:themeColor="accent1"/>
          <w:sz w:val="16"/>
        </w:rPr>
        <w:t>transarterial</w:t>
      </w:r>
      <w:proofErr w:type="spellEnd"/>
      <w:r w:rsidRPr="00504913">
        <w:rPr>
          <w:color w:val="4F81BD" w:themeColor="accent1"/>
          <w:sz w:val="16"/>
        </w:rPr>
        <w:t xml:space="preserve"> </w:t>
      </w:r>
      <w:proofErr w:type="spellStart"/>
      <w:r w:rsidRPr="00504913">
        <w:rPr>
          <w:color w:val="4F81BD" w:themeColor="accent1"/>
          <w:sz w:val="16"/>
        </w:rPr>
        <w:t>chemoembolisation</w:t>
      </w:r>
      <w:proofErr w:type="spellEnd"/>
      <w:r w:rsidRPr="00504913">
        <w:rPr>
          <w:color w:val="4F81BD" w:themeColor="accent1"/>
          <w:sz w:val="16"/>
        </w:rPr>
        <w:t xml:space="preserve">; </w:t>
      </w:r>
      <w:r>
        <w:rPr>
          <w:color w:val="4F81BD" w:themeColor="accent1"/>
          <w:sz w:val="16"/>
        </w:rPr>
        <w:t xml:space="preserve">TARE-Y, </w:t>
      </w:r>
      <w:proofErr w:type="spellStart"/>
      <w:r>
        <w:rPr>
          <w:color w:val="4F81BD" w:themeColor="accent1"/>
          <w:sz w:val="16"/>
        </w:rPr>
        <w:t>transarterial</w:t>
      </w:r>
      <w:proofErr w:type="spellEnd"/>
      <w:r>
        <w:rPr>
          <w:color w:val="4F81BD" w:themeColor="accent1"/>
          <w:sz w:val="16"/>
        </w:rPr>
        <w:t xml:space="preserve"> </w:t>
      </w:r>
      <w:proofErr w:type="spellStart"/>
      <w:r>
        <w:rPr>
          <w:color w:val="4F81BD" w:themeColor="accent1"/>
          <w:sz w:val="16"/>
        </w:rPr>
        <w:t>radioembolisation</w:t>
      </w:r>
      <w:proofErr w:type="spellEnd"/>
      <w:r>
        <w:rPr>
          <w:color w:val="4F81BD" w:themeColor="accent1"/>
          <w:sz w:val="16"/>
        </w:rPr>
        <w:t xml:space="preserve"> with yttium-90; </w:t>
      </w:r>
      <w:r w:rsidRPr="00504913">
        <w:rPr>
          <w:color w:val="4F81BD" w:themeColor="accent1"/>
          <w:sz w:val="16"/>
        </w:rPr>
        <w:t xml:space="preserve">TEA, </w:t>
      </w:r>
      <w:proofErr w:type="spellStart"/>
      <w:r w:rsidRPr="00504913">
        <w:rPr>
          <w:color w:val="4F81BD" w:themeColor="accent1"/>
          <w:sz w:val="16"/>
        </w:rPr>
        <w:t>transarterial</w:t>
      </w:r>
      <w:proofErr w:type="spellEnd"/>
      <w:r w:rsidRPr="00504913">
        <w:rPr>
          <w:color w:val="4F81BD" w:themeColor="accent1"/>
          <w:sz w:val="16"/>
        </w:rPr>
        <w:t xml:space="preserve"> ethanol ablation.</w:t>
      </w:r>
    </w:p>
    <w:p w:rsidR="00275706" w:rsidRDefault="00275706" w:rsidP="00275706">
      <w:pPr>
        <w:rPr>
          <w:color w:val="4F81BD" w:themeColor="accent1"/>
          <w:sz w:val="16"/>
        </w:rPr>
      </w:pPr>
    </w:p>
    <w:p w:rsidR="00275706" w:rsidRDefault="00275706" w:rsidP="00275706">
      <w:pPr>
        <w:pStyle w:val="Heading2"/>
        <w:numPr>
          <w:ilvl w:val="0"/>
          <w:numId w:val="0"/>
        </w:numPr>
      </w:pPr>
      <w:r>
        <w:t>Supplementary information 2: ongoing meta-analyses</w:t>
      </w:r>
    </w:p>
    <w:tbl>
      <w:tblPr>
        <w:tblStyle w:val="TableGrid"/>
        <w:tblW w:w="5000" w:type="pct"/>
        <w:tblLayout w:type="fixed"/>
        <w:tblLook w:val="04A0" w:firstRow="1" w:lastRow="0" w:firstColumn="1" w:lastColumn="0" w:noHBand="0" w:noVBand="1"/>
        <w:tblCaption w:val="Summary of Evidence - Yet to be Published"/>
      </w:tblPr>
      <w:tblGrid>
        <w:gridCol w:w="473"/>
        <w:gridCol w:w="2336"/>
        <w:gridCol w:w="3779"/>
        <w:gridCol w:w="3600"/>
        <w:gridCol w:w="2160"/>
        <w:gridCol w:w="1826"/>
      </w:tblGrid>
      <w:tr w:rsidR="00275706" w:rsidTr="00216126">
        <w:trPr>
          <w:cantSplit/>
          <w:tblHeader/>
        </w:trPr>
        <w:tc>
          <w:tcPr>
            <w:tcW w:w="167" w:type="pct"/>
          </w:tcPr>
          <w:p w:rsidR="00275706" w:rsidRDefault="00275706" w:rsidP="00216126">
            <w:pPr>
              <w:pStyle w:val="TableHEADER"/>
            </w:pPr>
          </w:p>
        </w:tc>
        <w:tc>
          <w:tcPr>
            <w:tcW w:w="824" w:type="pct"/>
          </w:tcPr>
          <w:p w:rsidR="00275706" w:rsidRDefault="00275706" w:rsidP="00216126">
            <w:pPr>
              <w:pStyle w:val="TableHEADER"/>
            </w:pPr>
            <w:r>
              <w:t>Type of study design</w:t>
            </w:r>
          </w:p>
        </w:tc>
        <w:tc>
          <w:tcPr>
            <w:tcW w:w="1333" w:type="pct"/>
          </w:tcPr>
          <w:p w:rsidR="00275706" w:rsidRDefault="00275706" w:rsidP="00216126">
            <w:pPr>
              <w:pStyle w:val="TableHEADER"/>
            </w:pPr>
            <w:r>
              <w:t>Title of research (including any trial identifier if relevant)</w:t>
            </w:r>
          </w:p>
        </w:tc>
        <w:tc>
          <w:tcPr>
            <w:tcW w:w="1270" w:type="pct"/>
          </w:tcPr>
          <w:p w:rsidR="00275706" w:rsidRDefault="00275706" w:rsidP="00216126">
            <w:pPr>
              <w:pStyle w:val="TableHEADER"/>
            </w:pPr>
            <w:r>
              <w:t xml:space="preserve">Short description of research </w:t>
            </w:r>
            <w:r>
              <w:t>(max 50 words)</w:t>
            </w:r>
          </w:p>
        </w:tc>
        <w:tc>
          <w:tcPr>
            <w:tcW w:w="762" w:type="pct"/>
          </w:tcPr>
          <w:p w:rsidR="00275706" w:rsidRDefault="00275706" w:rsidP="00216126">
            <w:pPr>
              <w:pStyle w:val="TableHEADER"/>
            </w:pPr>
            <w:r w:rsidRPr="00E82F54">
              <w:t xml:space="preserve">Website link to </w:t>
            </w:r>
            <w:r>
              <w:t>research (if available)</w:t>
            </w:r>
          </w:p>
        </w:tc>
        <w:tc>
          <w:tcPr>
            <w:tcW w:w="644" w:type="pct"/>
          </w:tcPr>
          <w:p w:rsidR="00275706" w:rsidRDefault="00275706" w:rsidP="00216126">
            <w:pPr>
              <w:pStyle w:val="TableHEADER"/>
            </w:pPr>
            <w:r>
              <w:t>Date</w:t>
            </w:r>
          </w:p>
        </w:tc>
      </w:tr>
      <w:tr w:rsidR="00275706" w:rsidTr="00216126">
        <w:trPr>
          <w:cantSplit/>
        </w:trPr>
        <w:tc>
          <w:tcPr>
            <w:tcW w:w="167" w:type="pct"/>
          </w:tcPr>
          <w:p w:rsidR="00275706" w:rsidRPr="00965B6B" w:rsidRDefault="00275706" w:rsidP="00216126">
            <w:pPr>
              <w:rPr>
                <w:szCs w:val="20"/>
              </w:rPr>
            </w:pPr>
            <w:r w:rsidRPr="00965B6B">
              <w:rPr>
                <w:szCs w:val="20"/>
              </w:rPr>
              <w:t>1</w:t>
            </w:r>
            <w:r>
              <w:rPr>
                <w:szCs w:val="20"/>
              </w:rPr>
              <w:t>.</w:t>
            </w:r>
          </w:p>
        </w:tc>
        <w:tc>
          <w:tcPr>
            <w:tcW w:w="824" w:type="pct"/>
          </w:tcPr>
          <w:p w:rsidR="00275706" w:rsidRPr="00E02A90" w:rsidRDefault="00275706" w:rsidP="00216126">
            <w:pPr>
              <w:rPr>
                <w:color w:val="4F81BD" w:themeColor="accent1"/>
              </w:rPr>
            </w:pPr>
            <w:r>
              <w:rPr>
                <w:color w:val="4F81BD" w:themeColor="accent1"/>
              </w:rPr>
              <w:t>Prospective individual patient meta-analysis</w:t>
            </w:r>
          </w:p>
          <w:p w:rsidR="00275706" w:rsidRPr="00E02A90" w:rsidRDefault="00275706" w:rsidP="00275706">
            <w:pPr>
              <w:pStyle w:val="ListParagraph"/>
              <w:numPr>
                <w:ilvl w:val="0"/>
                <w:numId w:val="16"/>
              </w:numPr>
              <w:ind w:left="241" w:hanging="241"/>
              <w:rPr>
                <w:color w:val="4F81BD" w:themeColor="accent1"/>
              </w:rPr>
            </w:pPr>
            <w:r>
              <w:rPr>
                <w:color w:val="4F81BD" w:themeColor="accent1"/>
              </w:rPr>
              <w:t>SARAH - RCT</w:t>
            </w:r>
          </w:p>
          <w:p w:rsidR="00275706" w:rsidRPr="00A01455" w:rsidRDefault="00275706" w:rsidP="00275706">
            <w:pPr>
              <w:pStyle w:val="ListParagraph"/>
              <w:numPr>
                <w:ilvl w:val="0"/>
                <w:numId w:val="16"/>
              </w:numPr>
              <w:ind w:left="241" w:hanging="241"/>
              <w:rPr>
                <w:color w:val="4F81BD" w:themeColor="accent1"/>
              </w:rPr>
            </w:pPr>
            <w:proofErr w:type="spellStart"/>
            <w:r>
              <w:rPr>
                <w:color w:val="4F81BD" w:themeColor="accent1"/>
              </w:rPr>
              <w:t>SIRveNIB</w:t>
            </w:r>
            <w:proofErr w:type="spellEnd"/>
            <w:r>
              <w:rPr>
                <w:color w:val="4F81BD" w:themeColor="accent1"/>
              </w:rPr>
              <w:t xml:space="preserve"> - RCT</w:t>
            </w:r>
          </w:p>
        </w:tc>
        <w:tc>
          <w:tcPr>
            <w:tcW w:w="1333" w:type="pct"/>
          </w:tcPr>
          <w:p w:rsidR="00275706" w:rsidRDefault="00275706" w:rsidP="00216126">
            <w:pPr>
              <w:rPr>
                <w:color w:val="4F81BD" w:themeColor="accent1"/>
                <w:szCs w:val="20"/>
              </w:rPr>
            </w:pPr>
            <w:r w:rsidRPr="00A01455">
              <w:rPr>
                <w:color w:val="4F81BD" w:themeColor="accent1"/>
                <w:szCs w:val="20"/>
              </w:rPr>
              <w:t xml:space="preserve">Individual Patient Data Prospective Meta-analysis (IPD PMA) of Selective Internal Radiation Therapy (SIRT) versus </w:t>
            </w:r>
            <w:proofErr w:type="spellStart"/>
            <w:r w:rsidRPr="00A01455">
              <w:rPr>
                <w:color w:val="4F81BD" w:themeColor="accent1"/>
                <w:szCs w:val="20"/>
              </w:rPr>
              <w:t>Sorafenib</w:t>
            </w:r>
            <w:proofErr w:type="spellEnd"/>
            <w:r w:rsidRPr="00A01455">
              <w:rPr>
                <w:color w:val="4F81BD" w:themeColor="accent1"/>
                <w:szCs w:val="20"/>
              </w:rPr>
              <w:t xml:space="preserve"> for Locally Advanced or Recurrent Hepatocellular Carcinoma (HCC) Including SARAH and </w:t>
            </w:r>
            <w:proofErr w:type="spellStart"/>
            <w:r w:rsidRPr="00A01455">
              <w:rPr>
                <w:color w:val="4F81BD" w:themeColor="accent1"/>
                <w:szCs w:val="20"/>
              </w:rPr>
              <w:t>SIRveNIB</w:t>
            </w:r>
            <w:proofErr w:type="spellEnd"/>
            <w:r w:rsidRPr="00A01455">
              <w:rPr>
                <w:color w:val="4F81BD" w:themeColor="accent1"/>
                <w:szCs w:val="20"/>
              </w:rPr>
              <w:t xml:space="preserve"> Trials </w:t>
            </w:r>
          </w:p>
          <w:p w:rsidR="00275706" w:rsidRPr="00E02A90" w:rsidRDefault="00275706" w:rsidP="00216126">
            <w:pPr>
              <w:rPr>
                <w:color w:val="4F81BD" w:themeColor="accent1"/>
                <w:szCs w:val="20"/>
              </w:rPr>
            </w:pPr>
            <w:r>
              <w:rPr>
                <w:color w:val="4F81BD" w:themeColor="accent1"/>
                <w:szCs w:val="20"/>
              </w:rPr>
              <w:t>Study ID: VESPRO</w:t>
            </w:r>
          </w:p>
        </w:tc>
        <w:tc>
          <w:tcPr>
            <w:tcW w:w="1270" w:type="pct"/>
          </w:tcPr>
          <w:p w:rsidR="00275706" w:rsidRDefault="00275706" w:rsidP="00216126">
            <w:pPr>
              <w:rPr>
                <w:color w:val="4F81BD" w:themeColor="accent1"/>
              </w:rPr>
            </w:pPr>
            <w:r w:rsidRPr="00E02A90">
              <w:rPr>
                <w:i/>
                <w:color w:val="4F81BD" w:themeColor="accent1"/>
              </w:rPr>
              <w:t>Population:</w:t>
            </w:r>
            <w:r w:rsidRPr="00E02A90">
              <w:rPr>
                <w:color w:val="4F81BD" w:themeColor="accent1"/>
              </w:rPr>
              <w:t xml:space="preserve"> </w:t>
            </w:r>
            <w:r>
              <w:rPr>
                <w:color w:val="4F81BD" w:themeColor="accent1"/>
              </w:rPr>
              <w:t>locally advanced or recurrent HCC</w:t>
            </w:r>
          </w:p>
          <w:p w:rsidR="00275706" w:rsidRPr="00E02A90" w:rsidRDefault="00275706" w:rsidP="00216126">
            <w:pPr>
              <w:rPr>
                <w:color w:val="4F81BD" w:themeColor="accent1"/>
              </w:rPr>
            </w:pPr>
            <w:r w:rsidRPr="00E02A90">
              <w:rPr>
                <w:i/>
                <w:color w:val="4F81BD" w:themeColor="accent1"/>
              </w:rPr>
              <w:t>Comparison:</w:t>
            </w:r>
            <w:r w:rsidRPr="00E02A90">
              <w:rPr>
                <w:color w:val="4F81BD" w:themeColor="accent1"/>
              </w:rPr>
              <w:t xml:space="preserve"> </w:t>
            </w:r>
            <w:r>
              <w:rPr>
                <w:color w:val="4F81BD" w:themeColor="accent1"/>
              </w:rPr>
              <w:t>TARE</w:t>
            </w:r>
            <w:r w:rsidRPr="00E02A90">
              <w:rPr>
                <w:color w:val="4F81BD" w:themeColor="accent1"/>
              </w:rPr>
              <w:t xml:space="preserve">-Y (any) versus </w:t>
            </w:r>
            <w:proofErr w:type="spellStart"/>
            <w:r>
              <w:rPr>
                <w:color w:val="4F81BD" w:themeColor="accent1"/>
              </w:rPr>
              <w:t>sorafenib</w:t>
            </w:r>
            <w:proofErr w:type="spellEnd"/>
          </w:p>
          <w:p w:rsidR="00275706" w:rsidRPr="00E02A90" w:rsidRDefault="00275706" w:rsidP="00216126">
            <w:pPr>
              <w:rPr>
                <w:b/>
                <w:color w:val="4F81BD" w:themeColor="accent1"/>
                <w:szCs w:val="20"/>
              </w:rPr>
            </w:pPr>
            <w:r w:rsidRPr="00E02A90">
              <w:rPr>
                <w:i/>
                <w:color w:val="4F81BD" w:themeColor="accent1"/>
              </w:rPr>
              <w:t xml:space="preserve">Outcomes: </w:t>
            </w:r>
            <w:r>
              <w:rPr>
                <w:color w:val="4F81BD" w:themeColor="accent1"/>
              </w:rPr>
              <w:t>overall survival, tumour response, progression-free survival, progression in liver, disease control in liver, toxicity</w:t>
            </w:r>
          </w:p>
        </w:tc>
        <w:tc>
          <w:tcPr>
            <w:tcW w:w="762" w:type="pct"/>
          </w:tcPr>
          <w:p w:rsidR="00275706" w:rsidRPr="00EB646D" w:rsidRDefault="00275706" w:rsidP="00216126">
            <w:pPr>
              <w:rPr>
                <w:b/>
                <w:szCs w:val="20"/>
              </w:rPr>
            </w:pPr>
            <w:hyperlink r:id="rId46" w:history="1">
              <w:r w:rsidRPr="00EB646D">
                <w:rPr>
                  <w:rStyle w:val="Hyperlink"/>
                </w:rPr>
                <w:t>http://www.researchprotocols.org/2017/2/e17/</w:t>
              </w:r>
            </w:hyperlink>
          </w:p>
        </w:tc>
        <w:tc>
          <w:tcPr>
            <w:tcW w:w="644" w:type="pct"/>
          </w:tcPr>
          <w:p w:rsidR="00275706" w:rsidRPr="00E02A90" w:rsidRDefault="00275706" w:rsidP="00216126">
            <w:pPr>
              <w:rPr>
                <w:b/>
                <w:color w:val="4F81BD" w:themeColor="accent1"/>
                <w:szCs w:val="20"/>
              </w:rPr>
            </w:pPr>
            <w:r>
              <w:rPr>
                <w:color w:val="4F81BD" w:themeColor="accent1"/>
              </w:rPr>
              <w:t xml:space="preserve">Not reported. The SARAH results are due to be released in April 2017. </w:t>
            </w:r>
          </w:p>
        </w:tc>
      </w:tr>
    </w:tbl>
    <w:p w:rsidR="00702D89" w:rsidRPr="00275706" w:rsidRDefault="00275706" w:rsidP="00702D89">
      <w:pPr>
        <w:rPr>
          <w:b/>
          <w:sz w:val="32"/>
          <w:szCs w:val="32"/>
        </w:rPr>
      </w:pPr>
      <w:r w:rsidRPr="00504913">
        <w:rPr>
          <w:color w:val="4F81BD" w:themeColor="accent1"/>
          <w:sz w:val="16"/>
        </w:rPr>
        <w:t>Abbreviations:</w:t>
      </w:r>
      <w:r>
        <w:rPr>
          <w:color w:val="4F81BD" w:themeColor="accent1"/>
          <w:sz w:val="16"/>
        </w:rPr>
        <w:t xml:space="preserve"> IPD, i</w:t>
      </w:r>
      <w:r w:rsidRPr="00FA4DE4">
        <w:rPr>
          <w:color w:val="4F81BD" w:themeColor="accent1"/>
          <w:sz w:val="16"/>
        </w:rPr>
        <w:t xml:space="preserve">ndividual </w:t>
      </w:r>
      <w:r>
        <w:rPr>
          <w:color w:val="4F81BD" w:themeColor="accent1"/>
          <w:sz w:val="16"/>
        </w:rPr>
        <w:t>p</w:t>
      </w:r>
      <w:r w:rsidRPr="00FA4DE4">
        <w:rPr>
          <w:color w:val="4F81BD" w:themeColor="accent1"/>
          <w:sz w:val="16"/>
        </w:rPr>
        <w:t xml:space="preserve">atient </w:t>
      </w:r>
      <w:r>
        <w:rPr>
          <w:color w:val="4F81BD" w:themeColor="accent1"/>
          <w:sz w:val="16"/>
        </w:rPr>
        <w:t>d</w:t>
      </w:r>
      <w:r w:rsidRPr="00FA4DE4">
        <w:rPr>
          <w:color w:val="4F81BD" w:themeColor="accent1"/>
          <w:sz w:val="16"/>
        </w:rPr>
        <w:t>ata</w:t>
      </w:r>
      <w:r>
        <w:rPr>
          <w:color w:val="4F81BD" w:themeColor="accent1"/>
          <w:sz w:val="16"/>
        </w:rPr>
        <w:t>;</w:t>
      </w:r>
      <w:r w:rsidRPr="00504913">
        <w:rPr>
          <w:color w:val="4F81BD" w:themeColor="accent1"/>
          <w:sz w:val="16"/>
        </w:rPr>
        <w:t xml:space="preserve"> HCC, hepatocellular carcinoma; </w:t>
      </w:r>
      <w:r>
        <w:rPr>
          <w:color w:val="4F81BD" w:themeColor="accent1"/>
          <w:sz w:val="16"/>
        </w:rPr>
        <w:t>PMA, prospective m</w:t>
      </w:r>
      <w:r w:rsidRPr="00FA4DE4">
        <w:rPr>
          <w:color w:val="4F81BD" w:themeColor="accent1"/>
          <w:sz w:val="16"/>
        </w:rPr>
        <w:t>eta-analysis</w:t>
      </w:r>
      <w:r>
        <w:rPr>
          <w:color w:val="4F81BD" w:themeColor="accent1"/>
          <w:sz w:val="16"/>
        </w:rPr>
        <w:t>;</w:t>
      </w:r>
      <w:r w:rsidRPr="00FA4DE4">
        <w:rPr>
          <w:color w:val="4F81BD" w:themeColor="accent1"/>
          <w:sz w:val="16"/>
        </w:rPr>
        <w:t xml:space="preserve"> </w:t>
      </w:r>
      <w:r w:rsidRPr="00504913">
        <w:rPr>
          <w:color w:val="4F81BD" w:themeColor="accent1"/>
          <w:sz w:val="16"/>
        </w:rPr>
        <w:t>RCT, ran</w:t>
      </w:r>
      <w:r>
        <w:rPr>
          <w:color w:val="4F81BD" w:themeColor="accent1"/>
          <w:sz w:val="16"/>
        </w:rPr>
        <w:t xml:space="preserve">domised controlled trial; TARE-Y, </w:t>
      </w:r>
      <w:proofErr w:type="spellStart"/>
      <w:r>
        <w:rPr>
          <w:color w:val="4F81BD" w:themeColor="accent1"/>
          <w:sz w:val="16"/>
        </w:rPr>
        <w:t>transarterial</w:t>
      </w:r>
      <w:proofErr w:type="spellEnd"/>
      <w:r>
        <w:rPr>
          <w:color w:val="4F81BD" w:themeColor="accent1"/>
          <w:sz w:val="16"/>
        </w:rPr>
        <w:t xml:space="preserve"> </w:t>
      </w:r>
      <w:proofErr w:type="spellStart"/>
      <w:r>
        <w:rPr>
          <w:color w:val="4F81BD" w:themeColor="accent1"/>
          <w:sz w:val="16"/>
        </w:rPr>
        <w:t>radioembolisation</w:t>
      </w:r>
      <w:proofErr w:type="spellEnd"/>
      <w:r>
        <w:rPr>
          <w:color w:val="4F81BD" w:themeColor="accent1"/>
          <w:sz w:val="16"/>
        </w:rPr>
        <w:t xml:space="preserve"> with yttrium-90</w:t>
      </w:r>
      <w:r w:rsidRPr="00504913">
        <w:rPr>
          <w:color w:val="4F81BD" w:themeColor="accent1"/>
          <w:sz w:val="16"/>
        </w:rPr>
        <w:t>.</w:t>
      </w:r>
    </w:p>
    <w:p w:rsidR="00DD308E" w:rsidRDefault="00F301F1">
      <w:pPr>
        <w:rPr>
          <w:b/>
          <w:sz w:val="32"/>
          <w:szCs w:val="32"/>
        </w:rPr>
        <w:sectPr w:rsidR="00DD308E" w:rsidSect="005401D7">
          <w:pgSz w:w="16838" w:h="11906" w:orient="landscape"/>
          <w:pgMar w:top="1440" w:right="1440" w:bottom="1440" w:left="1440" w:header="708" w:footer="708" w:gutter="0"/>
          <w:cols w:space="708"/>
          <w:docGrid w:linePitch="360"/>
        </w:sectPr>
      </w:pPr>
      <w:r>
        <w:rPr>
          <w:b/>
          <w:sz w:val="32"/>
          <w:szCs w:val="32"/>
        </w:rPr>
        <w:br w:type="page"/>
      </w:r>
    </w:p>
    <w:p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AF7388" w:rsidRPr="00AF7388" w:rsidRDefault="00AF7388" w:rsidP="00AF7388">
      <w:pPr>
        <w:ind w:left="426"/>
        <w:rPr>
          <w:color w:val="4F81BD" w:themeColor="accent1"/>
        </w:rPr>
      </w:pPr>
      <w:r w:rsidRPr="00AF7388">
        <w:rPr>
          <w:color w:val="4F81BD" w:themeColor="accent1"/>
        </w:rPr>
        <w:t xml:space="preserve">Professional bodies/organisations representing health professionals </w:t>
      </w:r>
      <w:r>
        <w:rPr>
          <w:color w:val="4F81BD" w:themeColor="accent1"/>
        </w:rPr>
        <w:t>who provide the specific service include</w:t>
      </w:r>
      <w:r w:rsidRPr="00AF7388">
        <w:rPr>
          <w:color w:val="4F81BD" w:themeColor="accent1"/>
        </w:rPr>
        <w:t>:</w:t>
      </w:r>
    </w:p>
    <w:p w:rsidR="001B758E" w:rsidRPr="00AF7388" w:rsidRDefault="001B758E" w:rsidP="00AF7388">
      <w:pPr>
        <w:ind w:left="720"/>
        <w:rPr>
          <w:color w:val="4F81BD" w:themeColor="accent1"/>
        </w:rPr>
      </w:pPr>
      <w:r w:rsidRPr="00AF7388">
        <w:rPr>
          <w:color w:val="4F81BD" w:themeColor="accent1"/>
        </w:rPr>
        <w:t>The Royal Australian and New Zealand College of Radiologists</w:t>
      </w:r>
      <w:r w:rsidR="00AF7388" w:rsidRPr="00AF7388">
        <w:rPr>
          <w:color w:val="4F81BD" w:themeColor="accent1"/>
        </w:rPr>
        <w:t xml:space="preserve"> (RANZCR)</w:t>
      </w:r>
    </w:p>
    <w:p w:rsidR="001B758E" w:rsidRDefault="001B758E" w:rsidP="00AF7388">
      <w:pPr>
        <w:ind w:left="720"/>
        <w:rPr>
          <w:color w:val="4F81BD" w:themeColor="accent1"/>
        </w:rPr>
      </w:pPr>
      <w:r w:rsidRPr="00AF7388">
        <w:rPr>
          <w:color w:val="4F81BD" w:themeColor="accent1"/>
        </w:rPr>
        <w:t>Interventional Radiology Society of Australasia</w:t>
      </w:r>
      <w:r w:rsidR="00AF7388" w:rsidRPr="00AF7388">
        <w:rPr>
          <w:color w:val="4F81BD" w:themeColor="accent1"/>
        </w:rPr>
        <w:t xml:space="preserve"> (IRSA)</w:t>
      </w:r>
    </w:p>
    <w:p w:rsidR="00401E86" w:rsidRPr="00AF7388" w:rsidRDefault="00401E86" w:rsidP="00AF7388">
      <w:pPr>
        <w:ind w:left="720"/>
        <w:rPr>
          <w:color w:val="4F81BD" w:themeColor="accent1"/>
        </w:rPr>
      </w:pPr>
    </w:p>
    <w:p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1B758E" w:rsidRPr="006220FD" w:rsidRDefault="001B758E" w:rsidP="001B758E">
      <w:pPr>
        <w:ind w:left="426"/>
        <w:rPr>
          <w:color w:val="4F81BD" w:themeColor="accent1"/>
        </w:rPr>
      </w:pPr>
      <w:r w:rsidRPr="006220FD">
        <w:rPr>
          <w:color w:val="4F81BD" w:themeColor="accent1"/>
        </w:rPr>
        <w:t>The Royal Australian and New Zealand College of Radiologists</w:t>
      </w:r>
      <w:r w:rsidR="00AF7388" w:rsidRPr="006220FD">
        <w:rPr>
          <w:color w:val="4F81BD" w:themeColor="accent1"/>
        </w:rPr>
        <w:t xml:space="preserve"> (RANZCR)</w:t>
      </w:r>
    </w:p>
    <w:p w:rsidR="001B758E" w:rsidRPr="006220FD" w:rsidRDefault="001B758E" w:rsidP="001B758E">
      <w:pPr>
        <w:ind w:left="426"/>
        <w:rPr>
          <w:color w:val="4F81BD" w:themeColor="accent1"/>
        </w:rPr>
      </w:pPr>
      <w:r w:rsidRPr="006220FD">
        <w:rPr>
          <w:color w:val="4F81BD" w:themeColor="accent1"/>
        </w:rPr>
        <w:t>Interventional Radiology Society of Australasia</w:t>
      </w:r>
      <w:r w:rsidR="00AF7388" w:rsidRPr="006220FD">
        <w:rPr>
          <w:color w:val="4F81BD" w:themeColor="accent1"/>
        </w:rPr>
        <w:t xml:space="preserve"> (IRSA)</w:t>
      </w:r>
    </w:p>
    <w:p w:rsidR="001B758E" w:rsidRPr="006220FD" w:rsidRDefault="001B758E" w:rsidP="001B758E">
      <w:pPr>
        <w:ind w:left="426"/>
        <w:rPr>
          <w:color w:val="4F81BD" w:themeColor="accent1"/>
        </w:rPr>
      </w:pPr>
      <w:r w:rsidRPr="006220FD">
        <w:rPr>
          <w:color w:val="4F81BD" w:themeColor="accent1"/>
        </w:rPr>
        <w:t>The Gastroenterological Society of Australia (GESA</w:t>
      </w:r>
      <w:r w:rsidR="00561018" w:rsidRPr="006220FD">
        <w:rPr>
          <w:color w:val="4F81BD" w:themeColor="accent1"/>
        </w:rPr>
        <w:t>)</w:t>
      </w:r>
    </w:p>
    <w:p w:rsidR="00561018" w:rsidRPr="006220FD" w:rsidRDefault="00561018" w:rsidP="001B758E">
      <w:pPr>
        <w:ind w:left="426"/>
        <w:rPr>
          <w:color w:val="4F81BD" w:themeColor="accent1"/>
        </w:rPr>
      </w:pPr>
      <w:r w:rsidRPr="006220FD">
        <w:rPr>
          <w:color w:val="4F81BD" w:themeColor="accent1"/>
        </w:rPr>
        <w:t>The Australian Liver Association</w:t>
      </w:r>
      <w:r w:rsidR="00AF7388" w:rsidRPr="006220FD">
        <w:rPr>
          <w:color w:val="4F81BD" w:themeColor="accent1"/>
        </w:rPr>
        <w:t xml:space="preserve"> </w:t>
      </w:r>
    </w:p>
    <w:p w:rsidR="00561018" w:rsidRPr="006220FD" w:rsidRDefault="00561018" w:rsidP="001B758E">
      <w:pPr>
        <w:ind w:left="426"/>
        <w:rPr>
          <w:color w:val="4F81BD" w:themeColor="accent1"/>
        </w:rPr>
      </w:pPr>
      <w:r w:rsidRPr="006220FD">
        <w:rPr>
          <w:color w:val="4F81BD" w:themeColor="accent1"/>
        </w:rPr>
        <w:t>Australian New Zealand Hepatic, Pancreatic and Biliary Association (ANZHPBA)</w:t>
      </w:r>
    </w:p>
    <w:p w:rsidR="00561018" w:rsidRPr="006220FD" w:rsidRDefault="00561018" w:rsidP="001B758E">
      <w:pPr>
        <w:ind w:left="426"/>
        <w:rPr>
          <w:color w:val="4F81BD" w:themeColor="accent1"/>
        </w:rPr>
      </w:pPr>
      <w:r w:rsidRPr="006220FD">
        <w:rPr>
          <w:color w:val="4F81BD" w:themeColor="accent1"/>
        </w:rPr>
        <w:t>The Medical Oncology Group of Australia (MOGA)</w:t>
      </w:r>
    </w:p>
    <w:p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DE5D2D" w:rsidRPr="006220FD" w:rsidRDefault="006220FD" w:rsidP="00DE5D2D">
      <w:pPr>
        <w:ind w:left="426"/>
        <w:rPr>
          <w:color w:val="4F81BD" w:themeColor="accent1"/>
        </w:rPr>
      </w:pPr>
      <w:r w:rsidRPr="001E2191">
        <w:rPr>
          <w:color w:val="4F81BD" w:themeColor="accent1"/>
        </w:rPr>
        <w:t>BTG International</w:t>
      </w:r>
      <w:r w:rsidR="00AF7388" w:rsidRPr="001E2191">
        <w:rPr>
          <w:color w:val="4F81BD" w:themeColor="accent1"/>
        </w:rPr>
        <w:t xml:space="preserve"> </w:t>
      </w:r>
      <w:r w:rsidR="001E2191" w:rsidRPr="001E2191">
        <w:rPr>
          <w:color w:val="4F81BD" w:themeColor="accent1"/>
        </w:rPr>
        <w:t>has</w:t>
      </w:r>
      <w:r w:rsidR="001C59EB" w:rsidRPr="001E2191">
        <w:rPr>
          <w:color w:val="4F81BD" w:themeColor="accent1"/>
        </w:rPr>
        <w:t xml:space="preserve"> </w:t>
      </w:r>
      <w:r w:rsidRPr="001E2191">
        <w:rPr>
          <w:color w:val="4F81BD" w:themeColor="accent1"/>
        </w:rPr>
        <w:t>contacted</w:t>
      </w:r>
      <w:r w:rsidR="001C59EB" w:rsidRPr="001E2191">
        <w:rPr>
          <w:color w:val="4F81BD" w:themeColor="accent1"/>
        </w:rPr>
        <w:t xml:space="preserve"> a number </w:t>
      </w:r>
      <w:r w:rsidRPr="001E2191">
        <w:rPr>
          <w:color w:val="4F81BD" w:themeColor="accent1"/>
        </w:rPr>
        <w:t>of consumer organisations</w:t>
      </w:r>
      <w:r w:rsidR="00401E86" w:rsidRPr="001E2191">
        <w:rPr>
          <w:color w:val="4F81BD" w:themeColor="accent1"/>
        </w:rPr>
        <w:t>; h</w:t>
      </w:r>
      <w:r w:rsidR="00FA3D62" w:rsidRPr="001E2191">
        <w:rPr>
          <w:color w:val="4F81BD" w:themeColor="accent1"/>
        </w:rPr>
        <w:t xml:space="preserve">owever, </w:t>
      </w:r>
      <w:r w:rsidR="00401E86" w:rsidRPr="001E2191">
        <w:rPr>
          <w:color w:val="4F81BD" w:themeColor="accent1"/>
        </w:rPr>
        <w:t xml:space="preserve">they have either not </w:t>
      </w:r>
      <w:r w:rsidR="00EE1C64" w:rsidRPr="001E2191">
        <w:rPr>
          <w:color w:val="4F81BD" w:themeColor="accent1"/>
        </w:rPr>
        <w:t xml:space="preserve">yet </w:t>
      </w:r>
      <w:r w:rsidR="00401E86" w:rsidRPr="001E2191">
        <w:rPr>
          <w:color w:val="4F81BD" w:themeColor="accent1"/>
        </w:rPr>
        <w:t xml:space="preserve">responded, or have stated they do not represent HCC. There is currently no consumer organisation that specifically represents patients with HCC, </w:t>
      </w:r>
      <w:r w:rsidR="00EE1C64" w:rsidRPr="001E2191">
        <w:rPr>
          <w:color w:val="4F81BD" w:themeColor="accent1"/>
        </w:rPr>
        <w:t>a group of patients who experience a disease with the</w:t>
      </w:r>
      <w:r w:rsidR="00401E86" w:rsidRPr="001E2191">
        <w:rPr>
          <w:color w:val="4F81BD" w:themeColor="accent1"/>
        </w:rPr>
        <w:t xml:space="preserve"> highest rate of increasing mortality and the second highest rate of increasing incidence in Australia</w:t>
      </w:r>
      <w:r w:rsidR="00EE1C64" w:rsidRPr="001E2191">
        <w:rPr>
          <w:color w:val="4F81BD" w:themeColor="accent1"/>
        </w:rPr>
        <w:t>, and who are often migrants from hepatitis B-endemic countries and experience challenges in communicating with medical professionals</w:t>
      </w:r>
      <w:r w:rsidR="00401E86" w:rsidRPr="001E2191">
        <w:rPr>
          <w:color w:val="4F81BD" w:themeColor="accent1"/>
        </w:rPr>
        <w:t>.</w:t>
      </w:r>
      <w:r w:rsidR="00EE1C64" w:rsidRPr="001E2191">
        <w:rPr>
          <w:rStyle w:val="FootnoteReference"/>
          <w:color w:val="4F81BD" w:themeColor="accent1"/>
        </w:rPr>
        <w:footnoteReference w:id="9"/>
      </w:r>
      <w:r w:rsidR="00401E86">
        <w:rPr>
          <w:color w:val="4F81BD" w:themeColor="accent1"/>
        </w:rPr>
        <w:t xml:space="preserve"> </w:t>
      </w:r>
      <w:r w:rsidR="00FA3D62">
        <w:rPr>
          <w:color w:val="4F81BD" w:themeColor="accent1"/>
        </w:rPr>
        <w:t xml:space="preserve"> </w:t>
      </w:r>
    </w:p>
    <w:p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rsidR="00DE5D2D" w:rsidRPr="00AF7388" w:rsidRDefault="007E7939" w:rsidP="00DE5D2D">
      <w:pPr>
        <w:ind w:left="426"/>
        <w:rPr>
          <w:color w:val="4F81BD" w:themeColor="accent1"/>
        </w:rPr>
      </w:pPr>
      <w:proofErr w:type="spellStart"/>
      <w:r w:rsidRPr="00AF7388">
        <w:rPr>
          <w:color w:val="4F81BD" w:themeColor="accent1"/>
        </w:rPr>
        <w:t>Sirtex</w:t>
      </w:r>
      <w:proofErr w:type="spellEnd"/>
      <w:r w:rsidRPr="00AF7388">
        <w:rPr>
          <w:color w:val="4F81BD" w:themeColor="accent1"/>
        </w:rPr>
        <w:t xml:space="preserve"> Medical Limited</w:t>
      </w:r>
      <w:r w:rsidR="00AF7388">
        <w:rPr>
          <w:color w:val="4F81BD" w:themeColor="accent1"/>
        </w:rPr>
        <w:t xml:space="preserve"> </w:t>
      </w:r>
    </w:p>
    <w:p w:rsidR="00E82F54" w:rsidRDefault="00E82F54" w:rsidP="00530204">
      <w:pPr>
        <w:pStyle w:val="Heading2"/>
      </w:pPr>
      <w:r w:rsidRPr="00154B00">
        <w:t>Nominate two experts who could be approached about the proposed medical service and the current clinical management of the service(s):</w:t>
      </w:r>
    </w:p>
    <w:p w:rsidR="00987ABE" w:rsidRPr="00DE5D2D" w:rsidRDefault="00987ABE" w:rsidP="00DE5D2D">
      <w:pPr>
        <w:ind w:left="426"/>
      </w:pPr>
      <w:r>
        <w:rPr>
          <w:szCs w:val="20"/>
        </w:rPr>
        <w:t xml:space="preserve">Name of expert 1: </w:t>
      </w:r>
      <w:r w:rsidR="004357DC">
        <w:rPr>
          <w:color w:val="4F81BD" w:themeColor="accent1"/>
        </w:rPr>
        <w:t>REDACTED</w:t>
      </w:r>
    </w:p>
    <w:p w:rsidR="00987ABE" w:rsidRPr="00987ABE" w:rsidRDefault="00987ABE" w:rsidP="00987ABE">
      <w:pPr>
        <w:ind w:left="426"/>
        <w:rPr>
          <w:szCs w:val="20"/>
        </w:rPr>
      </w:pPr>
      <w:r>
        <w:rPr>
          <w:szCs w:val="20"/>
        </w:rPr>
        <w:t xml:space="preserve">Telephone number(s): </w:t>
      </w:r>
      <w:r w:rsidR="004357DC">
        <w:rPr>
          <w:color w:val="4F81BD" w:themeColor="accent1"/>
        </w:rPr>
        <w:t>REDACTED</w:t>
      </w:r>
    </w:p>
    <w:p w:rsidR="00987ABE" w:rsidRPr="00C30847" w:rsidRDefault="00987ABE" w:rsidP="00987ABE">
      <w:pPr>
        <w:ind w:left="426"/>
        <w:rPr>
          <w:color w:val="4F81BD" w:themeColor="accent1"/>
          <w:szCs w:val="20"/>
        </w:rPr>
      </w:pPr>
      <w:r>
        <w:rPr>
          <w:szCs w:val="20"/>
        </w:rPr>
        <w:t xml:space="preserve">Email address: </w:t>
      </w:r>
      <w:r w:rsidR="004357DC">
        <w:rPr>
          <w:color w:val="4F81BD" w:themeColor="accent1"/>
        </w:rPr>
        <w:t>REDACTED</w:t>
      </w:r>
    </w:p>
    <w:p w:rsidR="00987ABE" w:rsidRPr="00987ABE" w:rsidRDefault="00987ABE" w:rsidP="00987ABE">
      <w:pPr>
        <w:ind w:left="426"/>
        <w:rPr>
          <w:szCs w:val="20"/>
        </w:rPr>
      </w:pPr>
      <w:r>
        <w:rPr>
          <w:szCs w:val="20"/>
        </w:rPr>
        <w:t xml:space="preserve">Justification of expertise: </w:t>
      </w:r>
      <w:r w:rsidR="004357DC">
        <w:rPr>
          <w:color w:val="4F81BD" w:themeColor="accent1"/>
        </w:rPr>
        <w:t>REDACTED</w:t>
      </w:r>
      <w:r w:rsidR="00A15BAF" w:rsidRPr="00C30847">
        <w:rPr>
          <w:color w:val="4F81BD" w:themeColor="accent1"/>
        </w:rPr>
        <w:t xml:space="preserve"> </w:t>
      </w:r>
    </w:p>
    <w:p w:rsidR="00EE1C64" w:rsidRDefault="00EE1C64" w:rsidP="00987ABE">
      <w:pPr>
        <w:ind w:left="426"/>
        <w:rPr>
          <w:szCs w:val="20"/>
        </w:rPr>
      </w:pPr>
    </w:p>
    <w:p w:rsidR="00987ABE" w:rsidRPr="00987ABE" w:rsidRDefault="00987ABE" w:rsidP="00987ABE">
      <w:pPr>
        <w:ind w:left="426"/>
        <w:rPr>
          <w:szCs w:val="20"/>
        </w:rPr>
      </w:pPr>
      <w:r>
        <w:rPr>
          <w:szCs w:val="20"/>
        </w:rPr>
        <w:t xml:space="preserve">Name of expert 2: </w:t>
      </w:r>
      <w:r w:rsidR="004357DC">
        <w:rPr>
          <w:color w:val="4F81BD" w:themeColor="accent1"/>
        </w:rPr>
        <w:t>REDACTED</w:t>
      </w:r>
    </w:p>
    <w:p w:rsidR="00987ABE" w:rsidRPr="00987ABE" w:rsidRDefault="00987ABE" w:rsidP="00987ABE">
      <w:pPr>
        <w:ind w:left="426"/>
        <w:rPr>
          <w:szCs w:val="20"/>
        </w:rPr>
      </w:pPr>
      <w:r>
        <w:rPr>
          <w:szCs w:val="20"/>
        </w:rPr>
        <w:lastRenderedPageBreak/>
        <w:t xml:space="preserve">Telephone number(s): </w:t>
      </w:r>
      <w:r w:rsidR="004357DC">
        <w:rPr>
          <w:color w:val="4F81BD" w:themeColor="accent1"/>
          <w:szCs w:val="20"/>
        </w:rPr>
        <w:t>REDACTED</w:t>
      </w:r>
    </w:p>
    <w:p w:rsidR="00987ABE" w:rsidRPr="00987ABE" w:rsidRDefault="00987ABE" w:rsidP="00987ABE">
      <w:pPr>
        <w:ind w:left="426"/>
        <w:rPr>
          <w:szCs w:val="20"/>
        </w:rPr>
      </w:pPr>
      <w:r>
        <w:rPr>
          <w:szCs w:val="20"/>
        </w:rPr>
        <w:t xml:space="preserve">Email address: </w:t>
      </w:r>
      <w:r w:rsidR="004357DC">
        <w:rPr>
          <w:color w:val="4F81BD" w:themeColor="accent1"/>
          <w:szCs w:val="20"/>
        </w:rPr>
        <w:t>REDACTED</w:t>
      </w:r>
    </w:p>
    <w:p w:rsidR="00CA25B8" w:rsidRPr="00CA25B8" w:rsidRDefault="00987ABE" w:rsidP="00CA25B8">
      <w:pPr>
        <w:ind w:left="426"/>
        <w:rPr>
          <w:color w:val="4F81BD" w:themeColor="accent1"/>
          <w:szCs w:val="20"/>
        </w:rPr>
      </w:pPr>
      <w:r>
        <w:rPr>
          <w:szCs w:val="20"/>
        </w:rPr>
        <w:t xml:space="preserve">Justification of expertise: </w:t>
      </w:r>
      <w:r w:rsidR="004357DC">
        <w:rPr>
          <w:color w:val="4F81BD" w:themeColor="accent1"/>
          <w:szCs w:val="20"/>
        </w:rPr>
        <w:t>REDACTED</w:t>
      </w:r>
      <w:r w:rsidR="00CA25B8" w:rsidRPr="00CA25B8">
        <w:rPr>
          <w:color w:val="4F81BD" w:themeColor="accent1"/>
          <w:szCs w:val="20"/>
        </w:rPr>
        <w:t xml:space="preserve"> </w:t>
      </w:r>
    </w:p>
    <w:p w:rsidR="00987ABE" w:rsidRDefault="00987ABE" w:rsidP="00E82F54">
      <w:pPr>
        <w:ind w:left="426"/>
        <w:rPr>
          <w:i/>
          <w:szCs w:val="20"/>
        </w:rPr>
      </w:pPr>
    </w:p>
    <w:p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rsidR="003433D1" w:rsidRDefault="003433D1">
      <w:pPr>
        <w:rPr>
          <w:b/>
          <w:sz w:val="32"/>
          <w:szCs w:val="32"/>
        </w:rPr>
      </w:pPr>
      <w:r>
        <w:rPr>
          <w:b/>
          <w:sz w:val="32"/>
          <w:szCs w:val="32"/>
        </w:rPr>
        <w:br w:type="page"/>
      </w:r>
    </w:p>
    <w:p w:rsidR="00E82F54"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rsidR="0021185D" w:rsidRPr="005C3AE7" w:rsidRDefault="005C3AE7" w:rsidP="005C3AE7">
      <w:pPr>
        <w:pStyle w:val="Subtitle"/>
      </w:pPr>
      <w:r w:rsidRPr="005C3AE7">
        <w:t xml:space="preserve">PART 6a – </w:t>
      </w:r>
      <w:r w:rsidR="0021185D" w:rsidRPr="005C3AE7">
        <w:t>INFORMATION ABOUT THE PROPOSED POPULATION</w:t>
      </w:r>
    </w:p>
    <w:p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7821EC" w:rsidRDefault="007821EC" w:rsidP="00E357B9">
      <w:pPr>
        <w:ind w:left="426"/>
        <w:rPr>
          <w:color w:val="4F81BD" w:themeColor="accent1"/>
        </w:rPr>
      </w:pPr>
      <w:r w:rsidRPr="007821EC">
        <w:rPr>
          <w:color w:val="4F81BD" w:themeColor="accent1"/>
        </w:rPr>
        <w:t>Hepatocellular carcinoma is a type of primary liver cancer arising from hepatocytes, the main cell type found in the liver. HCC is one of the most common types of cancers seen worldwide, being the fifth most common in men and the ninth most common in women, and is the third largest contributor to cancer mortality overall. Liver cancer has a very poor prognosis</w:t>
      </w:r>
      <w:r>
        <w:rPr>
          <w:color w:val="4F81BD" w:themeColor="accent1"/>
        </w:rPr>
        <w:t xml:space="preserve"> –</w:t>
      </w:r>
      <w:r w:rsidRPr="007821EC">
        <w:rPr>
          <w:color w:val="4F81BD" w:themeColor="accent1"/>
        </w:rPr>
        <w:t xml:space="preserve"> the mortality to incidence ratio of liver canc</w:t>
      </w:r>
      <w:r w:rsidR="00C30847">
        <w:rPr>
          <w:color w:val="4F81BD" w:themeColor="accent1"/>
        </w:rPr>
        <w:t>er is 0.95</w:t>
      </w:r>
      <w:r w:rsidRPr="007821EC">
        <w:rPr>
          <w:color w:val="4F81BD" w:themeColor="accent1"/>
        </w:rPr>
        <w:t>.</w:t>
      </w:r>
      <w:r w:rsidR="00C30847">
        <w:rPr>
          <w:rStyle w:val="FootnoteReference"/>
          <w:color w:val="4F81BD" w:themeColor="accent1"/>
        </w:rPr>
        <w:footnoteReference w:id="10"/>
      </w:r>
      <w:r w:rsidRPr="007821EC">
        <w:rPr>
          <w:color w:val="4F81BD" w:themeColor="accent1"/>
        </w:rPr>
        <w:t xml:space="preserve"> </w:t>
      </w:r>
    </w:p>
    <w:p w:rsidR="0000785E" w:rsidRDefault="00D41AC6" w:rsidP="00E357B9">
      <w:pPr>
        <w:ind w:left="426"/>
        <w:rPr>
          <w:i/>
          <w:color w:val="4F81BD" w:themeColor="accent1"/>
        </w:rPr>
      </w:pPr>
      <w:r w:rsidRPr="00D41AC6">
        <w:rPr>
          <w:color w:val="4F81BD" w:themeColor="accent1"/>
        </w:rPr>
        <w:t xml:space="preserve">The most commonly used staging system for HCC is the Barcelona Clinic Liver Cancer (BCLC) algorithm, shown in </w:t>
      </w:r>
      <w:r w:rsidR="007821EC" w:rsidRPr="007821EC">
        <w:rPr>
          <w:b/>
          <w:color w:val="4F81BD" w:themeColor="accent1"/>
        </w:rPr>
        <w:t>Table 1</w:t>
      </w:r>
      <w:r w:rsidRPr="00D41AC6">
        <w:rPr>
          <w:color w:val="4F81BD" w:themeColor="accent1"/>
        </w:rPr>
        <w:t xml:space="preserve">. Classification into stages 0 (very early stage), A (early stage), B (intermediate stage), C (advanced stage) and D (terminal stage) </w:t>
      </w:r>
      <w:r>
        <w:rPr>
          <w:color w:val="4F81BD" w:themeColor="accent1"/>
        </w:rPr>
        <w:t>is</w:t>
      </w:r>
      <w:r w:rsidRPr="00D41AC6">
        <w:rPr>
          <w:color w:val="4F81BD" w:themeColor="accent1"/>
        </w:rPr>
        <w:t xml:space="preserve"> dependent on (</w:t>
      </w:r>
      <w:proofErr w:type="spellStart"/>
      <w:r w:rsidRPr="00D41AC6">
        <w:rPr>
          <w:color w:val="4F81BD" w:themeColor="accent1"/>
        </w:rPr>
        <w:t>i</w:t>
      </w:r>
      <w:proofErr w:type="spellEnd"/>
      <w:r w:rsidRPr="00D41AC6">
        <w:rPr>
          <w:color w:val="4F81BD" w:themeColor="accent1"/>
        </w:rPr>
        <w:t xml:space="preserve">) the number, size and extent of spread of the tumour/s, (ii) the Child-Pugh score (which measures the extent of liver disease) and (iii) and the patient’s performance status. When the patient with HCC has decompensated liver disease and poor performance status, this is considered to be the terminal stage and treatment is palliative only. In BCLC 0 and A HCC, the patient has few tumours, reasonable liver function and good performance status; as such potentially curative treatment such as ablation, resection or </w:t>
      </w:r>
      <w:proofErr w:type="gramStart"/>
      <w:r w:rsidRPr="00D41AC6">
        <w:rPr>
          <w:color w:val="4F81BD" w:themeColor="accent1"/>
        </w:rPr>
        <w:t>transplant are</w:t>
      </w:r>
      <w:proofErr w:type="gramEnd"/>
      <w:r w:rsidRPr="00D41AC6">
        <w:rPr>
          <w:color w:val="4F81BD" w:themeColor="accent1"/>
        </w:rPr>
        <w:t xml:space="preserve"> indicated. </w:t>
      </w:r>
      <w:r w:rsidR="00356691">
        <w:rPr>
          <w:color w:val="4F81BD" w:themeColor="accent1"/>
        </w:rPr>
        <w:t xml:space="preserve">It should be noted that in some cases of BCLC stage </w:t>
      </w:r>
      <w:proofErr w:type="gramStart"/>
      <w:r w:rsidR="00356691">
        <w:rPr>
          <w:color w:val="4F81BD" w:themeColor="accent1"/>
        </w:rPr>
        <w:t>A</w:t>
      </w:r>
      <w:proofErr w:type="gramEnd"/>
      <w:r w:rsidR="00356691">
        <w:rPr>
          <w:color w:val="4F81BD" w:themeColor="accent1"/>
        </w:rPr>
        <w:t xml:space="preserve"> disease, patients are </w:t>
      </w:r>
      <w:r w:rsidR="00356691" w:rsidRPr="00356691">
        <w:rPr>
          <w:color w:val="4F81BD" w:themeColor="accent1"/>
          <w:u w:val="single"/>
        </w:rPr>
        <w:t>not</w:t>
      </w:r>
      <w:r w:rsidR="00356691">
        <w:rPr>
          <w:color w:val="4F81BD" w:themeColor="accent1"/>
        </w:rPr>
        <w:t xml:space="preserve"> considered eligible for these treatments due to lesion size, </w:t>
      </w:r>
      <w:proofErr w:type="spellStart"/>
      <w:r w:rsidR="00356691">
        <w:rPr>
          <w:color w:val="4F81BD" w:themeColor="accent1"/>
        </w:rPr>
        <w:t>multifocality</w:t>
      </w:r>
      <w:proofErr w:type="spellEnd"/>
      <w:r w:rsidR="00356691">
        <w:rPr>
          <w:color w:val="4F81BD" w:themeColor="accent1"/>
        </w:rPr>
        <w:t xml:space="preserve"> or portal hypertension/poor liver function, and so alternative treatments such as </w:t>
      </w:r>
      <w:proofErr w:type="spellStart"/>
      <w:r w:rsidR="00356691">
        <w:rPr>
          <w:color w:val="4F81BD" w:themeColor="accent1"/>
        </w:rPr>
        <w:t>transarterial</w:t>
      </w:r>
      <w:proofErr w:type="spellEnd"/>
      <w:r w:rsidR="00356691">
        <w:rPr>
          <w:color w:val="4F81BD" w:themeColor="accent1"/>
        </w:rPr>
        <w:t xml:space="preserve"> </w:t>
      </w:r>
      <w:proofErr w:type="spellStart"/>
      <w:r w:rsidR="00356691">
        <w:rPr>
          <w:color w:val="4F81BD" w:themeColor="accent1"/>
        </w:rPr>
        <w:t>chemoembolisation</w:t>
      </w:r>
      <w:proofErr w:type="spellEnd"/>
      <w:r w:rsidR="00356691">
        <w:rPr>
          <w:color w:val="4F81BD" w:themeColor="accent1"/>
        </w:rPr>
        <w:t xml:space="preserve"> (TACE) may be indicated.  </w:t>
      </w:r>
      <w:r w:rsidRPr="00D41AC6">
        <w:rPr>
          <w:color w:val="4F81BD" w:themeColor="accent1"/>
        </w:rPr>
        <w:t xml:space="preserve">Intermediate and advanced HCC (BCLC-B and C) is characterised by </w:t>
      </w:r>
      <w:proofErr w:type="spellStart"/>
      <w:r w:rsidRPr="00D41AC6">
        <w:rPr>
          <w:color w:val="4F81BD" w:themeColor="accent1"/>
        </w:rPr>
        <w:t>multinodular</w:t>
      </w:r>
      <w:proofErr w:type="spellEnd"/>
      <w:r w:rsidRPr="00D41AC6">
        <w:rPr>
          <w:color w:val="4F81BD" w:themeColor="accent1"/>
        </w:rPr>
        <w:t xml:space="preserve"> tumours, portal invasion or </w:t>
      </w:r>
      <w:proofErr w:type="spellStart"/>
      <w:r w:rsidRPr="00D41AC6">
        <w:rPr>
          <w:color w:val="4F81BD" w:themeColor="accent1"/>
        </w:rPr>
        <w:t>extrahepatic</w:t>
      </w:r>
      <w:proofErr w:type="spellEnd"/>
      <w:r w:rsidRPr="00D41AC6">
        <w:rPr>
          <w:color w:val="4F81BD" w:themeColor="accent1"/>
        </w:rPr>
        <w:t xml:space="preserve"> spread, and may include moderately reduced liver function and performance status.</w:t>
      </w:r>
      <w:r w:rsidR="00356691">
        <w:rPr>
          <w:color w:val="4F81BD" w:themeColor="accent1"/>
        </w:rPr>
        <w:t xml:space="preserve"> First-line treatments for BCLC stage B and C are TACE and </w:t>
      </w:r>
      <w:proofErr w:type="spellStart"/>
      <w:r w:rsidR="00356691">
        <w:rPr>
          <w:color w:val="4F81BD" w:themeColor="accent1"/>
        </w:rPr>
        <w:t>sorafenib</w:t>
      </w:r>
      <w:proofErr w:type="spellEnd"/>
      <w:r w:rsidR="00356691">
        <w:rPr>
          <w:color w:val="4F81BD" w:themeColor="accent1"/>
        </w:rPr>
        <w:t xml:space="preserve">, respectively. </w:t>
      </w:r>
      <w:r w:rsidRPr="00D41AC6">
        <w:rPr>
          <w:color w:val="4F81BD" w:themeColor="accent1"/>
        </w:rPr>
        <w:t xml:space="preserve"> While treatments with survival benefit are available, these tumours are considered unresectable and the primary aim of treatment in these patients is palliative.</w:t>
      </w:r>
      <w:r w:rsidR="00356691">
        <w:rPr>
          <w:color w:val="4F81BD" w:themeColor="accent1"/>
        </w:rPr>
        <w:t xml:space="preserve"> </w:t>
      </w:r>
      <w:r w:rsidR="00356691">
        <w:rPr>
          <w:i/>
          <w:color w:val="4F81BD" w:themeColor="accent1"/>
        </w:rPr>
        <w:t>Patients with unresectable disease (unresectable stage A disease, and stage B and C disease)</w:t>
      </w:r>
      <w:r w:rsidR="0000785E" w:rsidRPr="0000785E">
        <w:rPr>
          <w:i/>
          <w:color w:val="4F81BD" w:themeColor="accent1"/>
        </w:rPr>
        <w:t xml:space="preserve"> would be eligible for treatment with </w:t>
      </w:r>
      <w:r w:rsidR="00B40FDE">
        <w:rPr>
          <w:i/>
          <w:color w:val="4F81BD" w:themeColor="accent1"/>
        </w:rPr>
        <w:t>TARE</w:t>
      </w:r>
      <w:r w:rsidR="0000785E" w:rsidRPr="0000785E">
        <w:rPr>
          <w:i/>
          <w:color w:val="4F81BD" w:themeColor="accent1"/>
        </w:rPr>
        <w:t xml:space="preserve">-Y; however, a decision around whether to request reimbursement for </w:t>
      </w:r>
      <w:r w:rsidR="00B40FDE">
        <w:rPr>
          <w:i/>
          <w:color w:val="4F81BD" w:themeColor="accent1"/>
        </w:rPr>
        <w:t>TARE</w:t>
      </w:r>
      <w:r w:rsidR="0000785E" w:rsidRPr="0000785E">
        <w:rPr>
          <w:i/>
          <w:color w:val="4F81BD" w:themeColor="accent1"/>
        </w:rPr>
        <w:t>-Y in the total population, or a subgroup of this population</w:t>
      </w:r>
      <w:r w:rsidR="00356691">
        <w:rPr>
          <w:i/>
          <w:color w:val="4F81BD" w:themeColor="accent1"/>
        </w:rPr>
        <w:t>,</w:t>
      </w:r>
      <w:r w:rsidR="0000785E" w:rsidRPr="0000785E">
        <w:rPr>
          <w:i/>
          <w:color w:val="4F81BD" w:themeColor="accent1"/>
        </w:rPr>
        <w:t xml:space="preserve"> is yet to be made. This decision will be </w:t>
      </w:r>
      <w:r w:rsidR="002517A6">
        <w:rPr>
          <w:i/>
          <w:color w:val="4F81BD" w:themeColor="accent1"/>
        </w:rPr>
        <w:t>informed by feedback from appropriate clinician groups and discussion</w:t>
      </w:r>
      <w:r w:rsidR="0000785E" w:rsidRPr="0000785E">
        <w:rPr>
          <w:i/>
          <w:color w:val="4F81BD" w:themeColor="accent1"/>
        </w:rPr>
        <w:t xml:space="preserve"> </w:t>
      </w:r>
      <w:r w:rsidR="0000785E">
        <w:rPr>
          <w:i/>
          <w:color w:val="4F81BD" w:themeColor="accent1"/>
        </w:rPr>
        <w:t xml:space="preserve">of this application with the department. </w:t>
      </w:r>
    </w:p>
    <w:p w:rsidR="00D41AC6" w:rsidRPr="00D41AC6" w:rsidRDefault="00D41AC6" w:rsidP="00E357B9">
      <w:pPr>
        <w:ind w:left="426"/>
        <w:rPr>
          <w:color w:val="4F81BD" w:themeColor="accent1"/>
        </w:rPr>
      </w:pPr>
      <w:r w:rsidRPr="00D41AC6">
        <w:rPr>
          <w:color w:val="4F81BD" w:themeColor="accent1"/>
        </w:rPr>
        <w:t xml:space="preserve"> </w:t>
      </w:r>
      <w:r w:rsidR="007821EC" w:rsidRPr="007821EC">
        <w:rPr>
          <w:b/>
          <w:color w:val="4F81BD" w:themeColor="accent1"/>
        </w:rPr>
        <w:t>Table 1</w:t>
      </w:r>
      <w:r w:rsidRPr="00D41AC6">
        <w:rPr>
          <w:color w:val="4F81BD" w:themeColor="accent1"/>
        </w:rPr>
        <w:t xml:space="preserve"> also summarises the prognosis of untreated and treated patients with HCC for each of the BCLC stages, and shows that the earlier HCC is det</w:t>
      </w:r>
      <w:r w:rsidR="007821EC">
        <w:rPr>
          <w:color w:val="4F81BD" w:themeColor="accent1"/>
        </w:rPr>
        <w:t>ected, the better the prognosis. U</w:t>
      </w:r>
      <w:r w:rsidRPr="00D41AC6">
        <w:rPr>
          <w:color w:val="4F81BD" w:themeColor="accent1"/>
        </w:rPr>
        <w:t>nfortunately, most HCCs are diagnosed at stage B or higher</w:t>
      </w:r>
      <w:r w:rsidR="00C30847">
        <w:rPr>
          <w:color w:val="4F81BD" w:themeColor="accent1"/>
        </w:rPr>
        <w:t>.</w:t>
      </w:r>
      <w:r w:rsidR="00C30847">
        <w:rPr>
          <w:rStyle w:val="FootnoteReference"/>
          <w:color w:val="4F81BD" w:themeColor="accent1"/>
        </w:rPr>
        <w:footnoteReference w:id="11"/>
      </w:r>
      <w:r w:rsidR="00C30847">
        <w:rPr>
          <w:color w:val="4F81BD" w:themeColor="accent1"/>
        </w:rPr>
        <w:t xml:space="preserve"> </w:t>
      </w:r>
    </w:p>
    <w:p w:rsidR="00D41AC6" w:rsidRDefault="007821EC" w:rsidP="009A2C06">
      <w:pPr>
        <w:keepNext/>
        <w:ind w:left="425"/>
        <w:rPr>
          <w:i/>
          <w:color w:val="4F81BD" w:themeColor="accent1"/>
          <w:szCs w:val="20"/>
        </w:rPr>
      </w:pPr>
      <w:r w:rsidRPr="007821EC">
        <w:rPr>
          <w:i/>
          <w:color w:val="4F81BD" w:themeColor="accent1"/>
          <w:szCs w:val="20"/>
        </w:rPr>
        <w:lastRenderedPageBreak/>
        <w:t>Table 1</w:t>
      </w:r>
      <w:r w:rsidRPr="007821EC">
        <w:rPr>
          <w:i/>
          <w:color w:val="4F81BD" w:themeColor="accent1"/>
          <w:szCs w:val="20"/>
        </w:rPr>
        <w:tab/>
        <w:t xml:space="preserve"> Prognosis of HCC by BCLC staging system</w:t>
      </w:r>
    </w:p>
    <w:p w:rsidR="00275706" w:rsidRPr="007821EC" w:rsidRDefault="00275706" w:rsidP="009A2C06">
      <w:pPr>
        <w:keepNext/>
        <w:ind w:left="425"/>
        <w:rPr>
          <w:i/>
          <w:color w:val="4F81BD" w:themeColor="accent1"/>
          <w:szCs w:val="20"/>
        </w:rPr>
      </w:pPr>
      <w:r>
        <w:rPr>
          <w:noProof/>
          <w:lang w:eastAsia="en-AU"/>
        </w:rPr>
        <w:drawing>
          <wp:inline distT="0" distB="0" distL="0" distR="0" wp14:anchorId="17A5E315" wp14:editId="345445A6">
            <wp:extent cx="5568950" cy="2413000"/>
            <wp:effectExtent l="0" t="0" r="0" b="6350"/>
            <wp:docPr id="2" name="Picture 2" descr="Prognosis of HCC by BCLC stag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7"/>
                    <a:srcRect l="1938" t="4282" r="849"/>
                    <a:stretch/>
                  </pic:blipFill>
                  <pic:spPr bwMode="auto">
                    <a:xfrm>
                      <a:off x="0" y="0"/>
                      <a:ext cx="5571782" cy="2414227"/>
                    </a:xfrm>
                    <a:prstGeom prst="rect">
                      <a:avLst/>
                    </a:prstGeom>
                    <a:ln>
                      <a:noFill/>
                    </a:ln>
                    <a:extLst>
                      <a:ext uri="{53640926-AAD7-44D8-BBD7-CCE9431645EC}">
                        <a14:shadowObscured xmlns:a14="http://schemas.microsoft.com/office/drawing/2010/main"/>
                      </a:ext>
                    </a:extLst>
                  </pic:spPr>
                </pic:pic>
              </a:graphicData>
            </a:graphic>
          </wp:inline>
        </w:drawing>
      </w:r>
    </w:p>
    <w:p w:rsidR="007821EC" w:rsidRPr="007821EC" w:rsidRDefault="007821EC" w:rsidP="007821EC">
      <w:pPr>
        <w:keepNext/>
        <w:spacing w:before="0" w:after="0"/>
        <w:ind w:firstLine="425"/>
        <w:rPr>
          <w:color w:val="4F81BD" w:themeColor="accent1"/>
          <w:sz w:val="16"/>
          <w:lang w:val="en-US" w:eastAsia="ja-JP"/>
        </w:rPr>
      </w:pPr>
      <w:r w:rsidRPr="007821EC">
        <w:rPr>
          <w:color w:val="4F81BD" w:themeColor="accent1"/>
          <w:sz w:val="16"/>
        </w:rPr>
        <w:t>Source: Adapted from Lau et al. (2016)</w:t>
      </w:r>
      <w:r w:rsidR="009A2C06">
        <w:rPr>
          <w:color w:val="4F81BD" w:themeColor="accent1"/>
          <w:sz w:val="16"/>
        </w:rPr>
        <w:t>.</w:t>
      </w:r>
      <w:r w:rsidR="00C30847">
        <w:rPr>
          <w:rStyle w:val="FootnoteReference"/>
          <w:color w:val="4F81BD" w:themeColor="accent1"/>
          <w:sz w:val="16"/>
        </w:rPr>
        <w:footnoteReference w:id="12"/>
      </w:r>
      <w:r w:rsidR="009A2C06">
        <w:rPr>
          <w:color w:val="4F81BD" w:themeColor="accent1"/>
          <w:sz w:val="16"/>
        </w:rPr>
        <w:t xml:space="preserve"> The populations of interest </w:t>
      </w:r>
      <w:r w:rsidR="001C45D7">
        <w:rPr>
          <w:color w:val="4F81BD" w:themeColor="accent1"/>
          <w:sz w:val="16"/>
        </w:rPr>
        <w:t xml:space="preserve">to this application </w:t>
      </w:r>
      <w:r w:rsidR="009A2C06">
        <w:rPr>
          <w:color w:val="4F81BD" w:themeColor="accent1"/>
          <w:sz w:val="16"/>
        </w:rPr>
        <w:t xml:space="preserve">are shown in bold.  </w:t>
      </w:r>
    </w:p>
    <w:p w:rsidR="007821EC" w:rsidRPr="007821EC" w:rsidRDefault="007821EC" w:rsidP="009A2C06">
      <w:pPr>
        <w:keepNext/>
        <w:spacing w:before="0" w:after="0"/>
        <w:ind w:firstLine="425"/>
        <w:rPr>
          <w:color w:val="4F81BD" w:themeColor="accent1"/>
          <w:sz w:val="16"/>
        </w:rPr>
      </w:pPr>
      <w:r w:rsidRPr="007821EC">
        <w:rPr>
          <w:color w:val="4F81BD" w:themeColor="accent1"/>
          <w:sz w:val="16"/>
        </w:rPr>
        <w:t xml:space="preserve">Abbreviations: BCLC, Barcelona Clinic Staging System; HCC, hepatocellular carcinoma; TACE, </w:t>
      </w:r>
      <w:proofErr w:type="spellStart"/>
      <w:r w:rsidRPr="007821EC">
        <w:rPr>
          <w:color w:val="4F81BD" w:themeColor="accent1"/>
          <w:sz w:val="16"/>
        </w:rPr>
        <w:t>transarterial</w:t>
      </w:r>
      <w:proofErr w:type="spellEnd"/>
      <w:r w:rsidRPr="007821EC">
        <w:rPr>
          <w:color w:val="4F81BD" w:themeColor="accent1"/>
          <w:sz w:val="16"/>
        </w:rPr>
        <w:t xml:space="preserve"> </w:t>
      </w:r>
      <w:proofErr w:type="spellStart"/>
      <w:r w:rsidRPr="007821EC">
        <w:rPr>
          <w:color w:val="4F81BD" w:themeColor="accent1"/>
          <w:sz w:val="16"/>
        </w:rPr>
        <w:t>chemoembolisation</w:t>
      </w:r>
      <w:proofErr w:type="spellEnd"/>
      <w:r w:rsidRPr="007821EC">
        <w:rPr>
          <w:color w:val="4F81BD" w:themeColor="accent1"/>
          <w:sz w:val="16"/>
        </w:rPr>
        <w:t xml:space="preserve">. </w:t>
      </w:r>
    </w:p>
    <w:p w:rsidR="007821EC" w:rsidRDefault="007821EC" w:rsidP="00E357B9">
      <w:pPr>
        <w:ind w:left="426"/>
        <w:rPr>
          <w:szCs w:val="20"/>
        </w:rPr>
      </w:pPr>
    </w:p>
    <w:p w:rsidR="00950602" w:rsidRPr="00950602" w:rsidRDefault="00950602" w:rsidP="00950602">
      <w:pPr>
        <w:ind w:left="426"/>
        <w:rPr>
          <w:color w:val="4F81BD" w:themeColor="accent1"/>
        </w:rPr>
      </w:pPr>
      <w:r w:rsidRPr="00F46AE7">
        <w:rPr>
          <w:color w:val="4F81BD" w:themeColor="accent1"/>
        </w:rPr>
        <w:t>There are a number of risk factors associated with the development of HCC. Most notably these include alcohol abuse, and hepatitis B (HBV) or C (HCV) infection. The causes of HCC vary across countries, with HBV being the main cause in regions where infection is endemic</w:t>
      </w:r>
      <w:r>
        <w:rPr>
          <w:color w:val="4F81BD" w:themeColor="accent1"/>
        </w:rPr>
        <w:t>,</w:t>
      </w:r>
      <w:r w:rsidRPr="00F46AE7">
        <w:rPr>
          <w:color w:val="4F81BD" w:themeColor="accent1"/>
        </w:rPr>
        <w:t xml:space="preserve"> and cirrhosis due to alcohol abuse, hepatitis C or obesity being the main cause in regions where HBV in not endemic. The results of the BRIDGE study, a large retrospective chart review of more than 18,000 HCC patients at 42 sites in 14 countries, show that there are a number of differences in the characteristics of patients and disease seen at diagnosis between Asian countries, and compared with Western regions</w:t>
      </w:r>
      <w:r w:rsidR="00C30847">
        <w:rPr>
          <w:color w:val="4F81BD" w:themeColor="accent1"/>
        </w:rPr>
        <w:t>.</w:t>
      </w:r>
      <w:r w:rsidR="00C30847">
        <w:rPr>
          <w:rStyle w:val="FootnoteReference"/>
          <w:color w:val="4F81BD" w:themeColor="accent1"/>
        </w:rPr>
        <w:footnoteReference w:id="13"/>
      </w:r>
      <w:r w:rsidRPr="00F46AE7">
        <w:rPr>
          <w:color w:val="4F81BD" w:themeColor="accent1"/>
        </w:rPr>
        <w:t xml:space="preserve"> The prevalence of HBV in patients diagnosed with HCC is substantially higher in China, Taiwan and South Korea (63-77%) compared with North America, Europe and Japan (10-23%), while HCV is most prevalent in this population in North America, Europe, Taiwan and Japan (31-64%), and least prevalent in China and South Korea (3-10%).  Alcoholic liver disease and non-alcoholic </w:t>
      </w:r>
      <w:proofErr w:type="spellStart"/>
      <w:r w:rsidRPr="00F46AE7">
        <w:rPr>
          <w:color w:val="4F81BD" w:themeColor="accent1"/>
        </w:rPr>
        <w:t>steatohepatitis</w:t>
      </w:r>
      <w:proofErr w:type="spellEnd"/>
      <w:r w:rsidRPr="00F46AE7">
        <w:rPr>
          <w:color w:val="4F81BD" w:themeColor="accent1"/>
        </w:rPr>
        <w:t xml:space="preserve"> is most prevalent in this population in North America (21% and 12%, respectively) and Europe (37% and 10%, respectively) compared with Asia (4-13% and 1-6%, respectively). </w:t>
      </w:r>
      <w:r w:rsidRPr="00B80336">
        <w:rPr>
          <w:color w:val="4F81BD" w:themeColor="accent1"/>
        </w:rPr>
        <w:t xml:space="preserve">A recent study by </w:t>
      </w:r>
      <w:proofErr w:type="spellStart"/>
      <w:r w:rsidRPr="00B80336">
        <w:rPr>
          <w:color w:val="4F81BD" w:themeColor="accent1"/>
        </w:rPr>
        <w:t>Choo</w:t>
      </w:r>
      <w:proofErr w:type="spellEnd"/>
      <w:r w:rsidRPr="00B80336">
        <w:rPr>
          <w:color w:val="4F81BD" w:themeColor="accent1"/>
        </w:rPr>
        <w:t xml:space="preserve"> and colleagues (2016)</w:t>
      </w:r>
      <w:r w:rsidR="00C30847">
        <w:rPr>
          <w:rStyle w:val="FootnoteReference"/>
          <w:color w:val="4F81BD" w:themeColor="accent1"/>
        </w:rPr>
        <w:footnoteReference w:id="14"/>
      </w:r>
      <w:r w:rsidRPr="00B80336">
        <w:rPr>
          <w:color w:val="4F81BD" w:themeColor="accent1"/>
        </w:rPr>
        <w:t xml:space="preserve"> investigate</w:t>
      </w:r>
      <w:r>
        <w:rPr>
          <w:color w:val="4F81BD" w:themeColor="accent1"/>
        </w:rPr>
        <w:t>d</w:t>
      </w:r>
      <w:r w:rsidRPr="00B80336">
        <w:rPr>
          <w:color w:val="4F81BD" w:themeColor="accent1"/>
        </w:rPr>
        <w:t xml:space="preserve"> in detail the differences in epidemiology, genetics, treatment approaches and clinical outcomes for Asian and non-Asian patients, and concludes that there are inherent differences between HCCs from Eastern and Western populations, and that this creates challenges in terms of devising a standard treatment approach.</w:t>
      </w:r>
      <w:r>
        <w:rPr>
          <w:color w:val="4F81BD" w:themeColor="accent1"/>
        </w:rPr>
        <w:t xml:space="preserve"> This is of particular relevance to Australia where there is substantial immigration from </w:t>
      </w:r>
      <w:r w:rsidR="00FE0891">
        <w:rPr>
          <w:color w:val="4F81BD" w:themeColor="accent1"/>
        </w:rPr>
        <w:t xml:space="preserve">parts of Asia where HBV is endemic </w:t>
      </w:r>
      <w:r>
        <w:rPr>
          <w:color w:val="4F81BD" w:themeColor="accent1"/>
        </w:rPr>
        <w:t>(China and India currently provide the highest number of permanent migrants to Australia),</w:t>
      </w:r>
      <w:r>
        <w:rPr>
          <w:rStyle w:val="FootnoteReference"/>
          <w:color w:val="4F81BD" w:themeColor="accent1"/>
        </w:rPr>
        <w:footnoteReference w:id="15"/>
      </w:r>
      <w:r>
        <w:rPr>
          <w:color w:val="4F81BD" w:themeColor="accent1"/>
        </w:rPr>
        <w:t xml:space="preserve"> and liver cancer has the highest rate of increasing mortality of all cancers – from 2.3 per 100,000 persons in 1982 to 6.0 per 100,000 in 2014, and the second highest rate of increasing incidence of all cancers (behind thyroid cancer) – 1.8 per 100,000 persons in 1982 to 6.4 per 100,000 in 2014 (AIHW, 2014). </w:t>
      </w:r>
    </w:p>
    <w:p w:rsidR="00AA5FDA"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950602" w:rsidRPr="00B305C8" w:rsidRDefault="00B40FDE" w:rsidP="00950602">
      <w:pPr>
        <w:ind w:left="360"/>
        <w:rPr>
          <w:color w:val="4F81BD" w:themeColor="accent1"/>
        </w:rPr>
      </w:pPr>
      <w:r w:rsidRPr="00B305C8">
        <w:rPr>
          <w:color w:val="4F81BD" w:themeColor="accent1"/>
        </w:rPr>
        <w:t>TARE-</w:t>
      </w:r>
      <w:r w:rsidR="00950602" w:rsidRPr="00B305C8">
        <w:rPr>
          <w:color w:val="4F81BD" w:themeColor="accent1"/>
        </w:rPr>
        <w:t>Y would be</w:t>
      </w:r>
      <w:r w:rsidR="00251CDF" w:rsidRPr="00B305C8">
        <w:rPr>
          <w:color w:val="4F81BD" w:themeColor="accent1"/>
        </w:rPr>
        <w:t xml:space="preserve"> most</w:t>
      </w:r>
      <w:r w:rsidR="00950602" w:rsidRPr="00B305C8">
        <w:rPr>
          <w:color w:val="4F81BD" w:themeColor="accent1"/>
        </w:rPr>
        <w:t xml:space="preserve"> appropriate for particular groups of patients with </w:t>
      </w:r>
      <w:r w:rsidR="004E1B85" w:rsidRPr="00B305C8">
        <w:rPr>
          <w:color w:val="4F81BD" w:themeColor="accent1"/>
        </w:rPr>
        <w:t xml:space="preserve">unresectable </w:t>
      </w:r>
      <w:r w:rsidR="00950602" w:rsidRPr="00B305C8">
        <w:rPr>
          <w:color w:val="4F81BD" w:themeColor="accent1"/>
        </w:rPr>
        <w:t xml:space="preserve">HCC, </w:t>
      </w:r>
      <w:r w:rsidR="00251CDF" w:rsidRPr="00B305C8">
        <w:rPr>
          <w:color w:val="4F81BD" w:themeColor="accent1"/>
        </w:rPr>
        <w:t>including</w:t>
      </w:r>
      <w:r w:rsidR="00950602" w:rsidRPr="00B305C8">
        <w:rPr>
          <w:color w:val="4F81BD" w:themeColor="accent1"/>
        </w:rPr>
        <w:t>:</w:t>
      </w:r>
    </w:p>
    <w:p w:rsidR="00D66449" w:rsidRPr="00B305C8" w:rsidRDefault="00D66449" w:rsidP="00D66449">
      <w:pPr>
        <w:pStyle w:val="ListParagraph"/>
        <w:numPr>
          <w:ilvl w:val="0"/>
          <w:numId w:val="18"/>
        </w:numPr>
        <w:rPr>
          <w:color w:val="4F81BD" w:themeColor="accent1"/>
        </w:rPr>
      </w:pPr>
      <w:r w:rsidRPr="00B305C8">
        <w:rPr>
          <w:color w:val="4F81BD" w:themeColor="accent1"/>
        </w:rPr>
        <w:lastRenderedPageBreak/>
        <w:t xml:space="preserve">patients with unresectable BCLC stage A, or BCLC stage B disease who cannot tolerate TACE </w:t>
      </w:r>
    </w:p>
    <w:p w:rsidR="00D66449" w:rsidRPr="00B305C8" w:rsidRDefault="00D66449" w:rsidP="00D66449">
      <w:pPr>
        <w:pStyle w:val="ListParagraph"/>
        <w:numPr>
          <w:ilvl w:val="0"/>
          <w:numId w:val="18"/>
        </w:numPr>
        <w:rPr>
          <w:color w:val="4F81BD" w:themeColor="accent1"/>
        </w:rPr>
      </w:pPr>
      <w:r w:rsidRPr="00B305C8">
        <w:rPr>
          <w:color w:val="4F81BD" w:themeColor="accent1"/>
        </w:rPr>
        <w:t xml:space="preserve">patients with BCLC stage C disease, particularly those with portal vein invasion/thrombosis (PVI/PVT) who cannot tolerate </w:t>
      </w:r>
      <w:proofErr w:type="spellStart"/>
      <w:r w:rsidRPr="00B305C8">
        <w:rPr>
          <w:color w:val="4F81BD" w:themeColor="accent1"/>
        </w:rPr>
        <w:t>sorafenib</w:t>
      </w:r>
      <w:proofErr w:type="spellEnd"/>
      <w:r w:rsidRPr="00B305C8">
        <w:rPr>
          <w:color w:val="4F81BD" w:themeColor="accent1"/>
        </w:rPr>
        <w:t xml:space="preserve">; </w:t>
      </w:r>
    </w:p>
    <w:p w:rsidR="00D66449" w:rsidRPr="00B305C8" w:rsidRDefault="00D66449" w:rsidP="00D66449">
      <w:pPr>
        <w:pStyle w:val="ListParagraph"/>
        <w:numPr>
          <w:ilvl w:val="0"/>
          <w:numId w:val="18"/>
        </w:numPr>
        <w:rPr>
          <w:color w:val="4F81BD" w:themeColor="accent1"/>
        </w:rPr>
      </w:pPr>
      <w:proofErr w:type="gramStart"/>
      <w:r w:rsidRPr="00B305C8">
        <w:rPr>
          <w:color w:val="4F81BD" w:themeColor="accent1"/>
        </w:rPr>
        <w:t>patients</w:t>
      </w:r>
      <w:proofErr w:type="gramEnd"/>
      <w:r w:rsidRPr="00B305C8">
        <w:rPr>
          <w:color w:val="4F81BD" w:themeColor="accent1"/>
        </w:rPr>
        <w:t xml:space="preserve"> whose disease has previously not responded to TACE or </w:t>
      </w:r>
      <w:proofErr w:type="spellStart"/>
      <w:r w:rsidRPr="00B305C8">
        <w:rPr>
          <w:color w:val="4F81BD" w:themeColor="accent1"/>
        </w:rPr>
        <w:t>sorafenib</w:t>
      </w:r>
      <w:proofErr w:type="spellEnd"/>
      <w:r w:rsidRPr="00B305C8">
        <w:rPr>
          <w:color w:val="4F81BD" w:themeColor="accent1"/>
        </w:rPr>
        <w:t>.</w:t>
      </w:r>
    </w:p>
    <w:p w:rsidR="008E2781" w:rsidRPr="00B305C8" w:rsidRDefault="008E2781" w:rsidP="005D05D5">
      <w:pPr>
        <w:pStyle w:val="ListParagraph"/>
        <w:numPr>
          <w:ilvl w:val="0"/>
          <w:numId w:val="18"/>
        </w:numPr>
        <w:rPr>
          <w:color w:val="4F81BD" w:themeColor="accent1"/>
        </w:rPr>
      </w:pPr>
      <w:proofErr w:type="gramStart"/>
      <w:r w:rsidRPr="00B305C8">
        <w:rPr>
          <w:color w:val="4F81BD" w:themeColor="accent1"/>
        </w:rPr>
        <w:t>candidates</w:t>
      </w:r>
      <w:proofErr w:type="gramEnd"/>
      <w:r w:rsidRPr="00B305C8">
        <w:rPr>
          <w:color w:val="4F81BD" w:themeColor="accent1"/>
        </w:rPr>
        <w:t xml:space="preserve"> for </w:t>
      </w:r>
      <w:proofErr w:type="spellStart"/>
      <w:r w:rsidRPr="00B305C8">
        <w:rPr>
          <w:color w:val="4F81BD" w:themeColor="accent1"/>
        </w:rPr>
        <w:t>downstaging</w:t>
      </w:r>
      <w:proofErr w:type="spellEnd"/>
      <w:r w:rsidRPr="00B305C8">
        <w:rPr>
          <w:color w:val="4F81BD" w:themeColor="accent1"/>
        </w:rPr>
        <w:t xml:space="preserve"> to resection or transplantation</w:t>
      </w:r>
      <w:r w:rsidR="00251CDF" w:rsidRPr="00B305C8">
        <w:rPr>
          <w:color w:val="4F81BD" w:themeColor="accent1"/>
        </w:rPr>
        <w:t xml:space="preserve">, or who require a bridge to transplantation, who cannot tolerate </w:t>
      </w:r>
      <w:r w:rsidR="00D66449" w:rsidRPr="00B305C8">
        <w:rPr>
          <w:color w:val="4F81BD" w:themeColor="accent1"/>
        </w:rPr>
        <w:t>other treatments.</w:t>
      </w:r>
      <w:r w:rsidRPr="00B305C8">
        <w:rPr>
          <w:color w:val="4F81BD" w:themeColor="accent1"/>
        </w:rPr>
        <w:t xml:space="preserve"> </w:t>
      </w:r>
    </w:p>
    <w:p w:rsidR="004E1B85" w:rsidRDefault="0040122D" w:rsidP="0040122D">
      <w:pPr>
        <w:ind w:left="360"/>
        <w:rPr>
          <w:color w:val="4F81BD" w:themeColor="accent1"/>
        </w:rPr>
      </w:pPr>
      <w:r w:rsidRPr="001E2191">
        <w:rPr>
          <w:color w:val="4F81BD" w:themeColor="accent1"/>
        </w:rPr>
        <w:t xml:space="preserve">General practitioners are usually the first point of contact for a patient. If they are diagnosed with HCC, they will then be referred to a surgeon who will determine whether the disease is </w:t>
      </w:r>
      <w:proofErr w:type="spellStart"/>
      <w:r w:rsidRPr="001E2191">
        <w:rPr>
          <w:color w:val="4F81BD" w:themeColor="accent1"/>
        </w:rPr>
        <w:t>resectable</w:t>
      </w:r>
      <w:proofErr w:type="spellEnd"/>
      <w:r w:rsidRPr="001E2191">
        <w:rPr>
          <w:color w:val="4F81BD" w:themeColor="accent1"/>
        </w:rPr>
        <w:t>. If it is not, they will refer the patient to a medical oncologist o</w:t>
      </w:r>
      <w:r w:rsidR="003277B1" w:rsidRPr="001E2191">
        <w:rPr>
          <w:color w:val="4F81BD" w:themeColor="accent1"/>
        </w:rPr>
        <w:t>r</w:t>
      </w:r>
      <w:r w:rsidRPr="001E2191">
        <w:rPr>
          <w:color w:val="4F81BD" w:themeColor="accent1"/>
        </w:rPr>
        <w:t xml:space="preserve"> </w:t>
      </w:r>
      <w:proofErr w:type="spellStart"/>
      <w:r w:rsidRPr="001E2191">
        <w:rPr>
          <w:color w:val="4F81BD" w:themeColor="accent1"/>
        </w:rPr>
        <w:t>hepatologist</w:t>
      </w:r>
      <w:proofErr w:type="spellEnd"/>
      <w:r w:rsidRPr="001E2191">
        <w:rPr>
          <w:color w:val="4F81BD" w:themeColor="accent1"/>
        </w:rPr>
        <w:t xml:space="preserve">, who may refer the patient to an interventional radiologist if they think the patient is a suitable candidate for TARE-Y. The interventional radiologist then determines the patient’s suitability for TARE-Y by performing imaging, angiography and </w:t>
      </w:r>
      <w:r w:rsidR="004E1B85" w:rsidRPr="001E2191">
        <w:rPr>
          <w:color w:val="4F81BD" w:themeColor="accent1"/>
        </w:rPr>
        <w:t xml:space="preserve">a technetium </w:t>
      </w:r>
      <w:r w:rsidRPr="001E2191">
        <w:rPr>
          <w:color w:val="4F81BD" w:themeColor="accent1"/>
        </w:rPr>
        <w:t xml:space="preserve">99m </w:t>
      </w:r>
      <w:proofErr w:type="spellStart"/>
      <w:r w:rsidRPr="001E2191">
        <w:rPr>
          <w:color w:val="4F81BD" w:themeColor="accent1"/>
        </w:rPr>
        <w:t>macroaggregated</w:t>
      </w:r>
      <w:proofErr w:type="spellEnd"/>
      <w:r w:rsidRPr="001E2191">
        <w:rPr>
          <w:color w:val="4F81BD" w:themeColor="accent1"/>
        </w:rPr>
        <w:t xml:space="preserve"> albumin (MAA) </w:t>
      </w:r>
      <w:r w:rsidR="004E1B85" w:rsidRPr="001E2191">
        <w:rPr>
          <w:color w:val="4F81BD" w:themeColor="accent1"/>
        </w:rPr>
        <w:t xml:space="preserve">scan to </w:t>
      </w:r>
      <w:r w:rsidRPr="001E2191">
        <w:rPr>
          <w:color w:val="4F81BD" w:themeColor="accent1"/>
        </w:rPr>
        <w:t>determine the extent of any</w:t>
      </w:r>
      <w:r w:rsidR="004E1B85" w:rsidRPr="001E2191">
        <w:rPr>
          <w:color w:val="4F81BD" w:themeColor="accent1"/>
        </w:rPr>
        <w:t xml:space="preserve"> lung shunting. </w:t>
      </w:r>
      <w:r w:rsidRPr="001E2191">
        <w:rPr>
          <w:color w:val="4F81BD" w:themeColor="accent1"/>
        </w:rPr>
        <w:t xml:space="preserve">If it is deemed safe to proceed with treatment, on treatment day </w:t>
      </w:r>
      <w:r w:rsidR="004E1B85" w:rsidRPr="001E2191">
        <w:rPr>
          <w:color w:val="4F81BD" w:themeColor="accent1"/>
        </w:rPr>
        <w:t xml:space="preserve">the </w:t>
      </w:r>
      <w:r w:rsidRPr="001E2191">
        <w:rPr>
          <w:color w:val="4F81BD" w:themeColor="accent1"/>
        </w:rPr>
        <w:t>i</w:t>
      </w:r>
      <w:r w:rsidR="004E1B85" w:rsidRPr="001E2191">
        <w:rPr>
          <w:color w:val="4F81BD" w:themeColor="accent1"/>
        </w:rPr>
        <w:t xml:space="preserve">nterventional </w:t>
      </w:r>
      <w:r w:rsidRPr="001E2191">
        <w:rPr>
          <w:color w:val="4F81BD" w:themeColor="accent1"/>
        </w:rPr>
        <w:t>r</w:t>
      </w:r>
      <w:r w:rsidR="004E1B85" w:rsidRPr="001E2191">
        <w:rPr>
          <w:color w:val="4F81BD" w:themeColor="accent1"/>
        </w:rPr>
        <w:t xml:space="preserve">adiologist will site the </w:t>
      </w:r>
      <w:proofErr w:type="spellStart"/>
      <w:r w:rsidR="004E1B85" w:rsidRPr="001E2191">
        <w:rPr>
          <w:color w:val="4F81BD" w:themeColor="accent1"/>
        </w:rPr>
        <w:t>microcatheter</w:t>
      </w:r>
      <w:proofErr w:type="spellEnd"/>
      <w:r w:rsidR="004E1B85" w:rsidRPr="001E2191">
        <w:rPr>
          <w:color w:val="4F81BD" w:themeColor="accent1"/>
        </w:rPr>
        <w:t xml:space="preserve"> in the hepatic artery and the </w:t>
      </w:r>
      <w:r w:rsidRPr="001E2191">
        <w:rPr>
          <w:color w:val="4F81BD" w:themeColor="accent1"/>
        </w:rPr>
        <w:t>microspheres will be prepared and injected</w:t>
      </w:r>
      <w:r w:rsidR="004E1B85" w:rsidRPr="001E2191">
        <w:rPr>
          <w:color w:val="4F81BD" w:themeColor="accent1"/>
        </w:rPr>
        <w:t>.</w:t>
      </w:r>
      <w:r w:rsidR="004E1B85" w:rsidRPr="001E2191">
        <w:rPr>
          <w:rStyle w:val="FootnoteReference"/>
          <w:color w:val="4F81BD" w:themeColor="accent1"/>
        </w:rPr>
        <w:footnoteReference w:id="16"/>
      </w:r>
      <w:r w:rsidR="004E1B85" w:rsidRPr="005A0614">
        <w:rPr>
          <w:color w:val="4F81BD" w:themeColor="accent1"/>
        </w:rPr>
        <w:t xml:space="preserve"> </w:t>
      </w:r>
    </w:p>
    <w:p w:rsidR="00972C6A" w:rsidRDefault="00972C6A" w:rsidP="004E1B85">
      <w:pPr>
        <w:ind w:left="1146"/>
        <w:rPr>
          <w:color w:val="4F81BD" w:themeColor="accent1"/>
        </w:rPr>
      </w:pPr>
      <w:r>
        <w:rPr>
          <w:color w:val="4F81BD" w:themeColor="accent1"/>
        </w:rPr>
        <w:br w:type="page"/>
      </w:r>
    </w:p>
    <w:p w:rsidR="0018630F" w:rsidRDefault="0018630F" w:rsidP="006A44AD">
      <w:pPr>
        <w:pStyle w:val="Heading2"/>
        <w:keepNext/>
        <w:ind w:left="357" w:hanging="357"/>
      </w:pPr>
      <w:r w:rsidRPr="00154B00">
        <w:lastRenderedPageBreak/>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rsidR="00BC424B" w:rsidRDefault="006A44AD" w:rsidP="00D73646">
      <w:pPr>
        <w:ind w:left="426"/>
        <w:rPr>
          <w:color w:val="4F81BD" w:themeColor="accent1"/>
        </w:rPr>
      </w:pPr>
      <w:r>
        <w:rPr>
          <w:color w:val="4F81BD" w:themeColor="accent1"/>
        </w:rPr>
        <w:t>Based on the interim results of a survey of clinicians who treat HCC, c</w:t>
      </w:r>
      <w:r w:rsidR="00837F67">
        <w:rPr>
          <w:color w:val="4F81BD" w:themeColor="accent1"/>
        </w:rPr>
        <w:t xml:space="preserve">urrent treatment for unresectable HCC in Australia </w:t>
      </w:r>
      <w:r>
        <w:rPr>
          <w:color w:val="4F81BD" w:themeColor="accent1"/>
        </w:rPr>
        <w:t>is consistent with the</w:t>
      </w:r>
      <w:r w:rsidR="00837F67">
        <w:rPr>
          <w:color w:val="4F81BD" w:themeColor="accent1"/>
        </w:rPr>
        <w:t xml:space="preserve"> BCLC management pathway, in which TACE and </w:t>
      </w:r>
      <w:proofErr w:type="spellStart"/>
      <w:r w:rsidR="00837F67">
        <w:rPr>
          <w:color w:val="4F81BD" w:themeColor="accent1"/>
        </w:rPr>
        <w:t>sorafenib</w:t>
      </w:r>
      <w:proofErr w:type="spellEnd"/>
      <w:r w:rsidR="00837F67">
        <w:rPr>
          <w:color w:val="4F81BD" w:themeColor="accent1"/>
        </w:rPr>
        <w:t xml:space="preserve"> are </w:t>
      </w:r>
      <w:r>
        <w:rPr>
          <w:color w:val="4F81BD" w:themeColor="accent1"/>
        </w:rPr>
        <w:t xml:space="preserve">the main </w:t>
      </w:r>
      <w:r w:rsidR="00837F67">
        <w:rPr>
          <w:color w:val="4F81BD" w:themeColor="accent1"/>
        </w:rPr>
        <w:t xml:space="preserve">first-line treatments: TACE for intermediate (BCLC B) disease and </w:t>
      </w:r>
      <w:proofErr w:type="spellStart"/>
      <w:r w:rsidR="00837F67">
        <w:rPr>
          <w:color w:val="4F81BD" w:themeColor="accent1"/>
        </w:rPr>
        <w:t>sorafenib</w:t>
      </w:r>
      <w:proofErr w:type="spellEnd"/>
      <w:r w:rsidR="00837F67">
        <w:rPr>
          <w:color w:val="4F81BD" w:themeColor="accent1"/>
        </w:rPr>
        <w:t xml:space="preserve"> for </w:t>
      </w:r>
      <w:r w:rsidR="00957F40">
        <w:rPr>
          <w:color w:val="4F81BD" w:themeColor="accent1"/>
        </w:rPr>
        <w:t>adva</w:t>
      </w:r>
      <w:r>
        <w:rPr>
          <w:color w:val="4F81BD" w:themeColor="accent1"/>
        </w:rPr>
        <w:t xml:space="preserve">nced (BCLC C) disease. The BCLC </w:t>
      </w:r>
      <w:r w:rsidR="00957F40">
        <w:rPr>
          <w:color w:val="4F81BD" w:themeColor="accent1"/>
        </w:rPr>
        <w:t xml:space="preserve">management pathway also states that in cases where the </w:t>
      </w:r>
      <w:r w:rsidR="00957F40" w:rsidRPr="00957F40">
        <w:rPr>
          <w:color w:val="4F81BD" w:themeColor="accent1"/>
        </w:rPr>
        <w:t xml:space="preserve">proposed first-line treatment is contraindicated owing to a patient's clinical status, the treatment approach recommended for the subsequent disease stage should be considered. </w:t>
      </w:r>
      <w:r w:rsidR="00957F40">
        <w:rPr>
          <w:color w:val="4F81BD" w:themeColor="accent1"/>
        </w:rPr>
        <w:t>As such</w:t>
      </w:r>
      <w:r w:rsidR="00957F40" w:rsidRPr="00957F40">
        <w:rPr>
          <w:color w:val="4F81BD" w:themeColor="accent1"/>
        </w:rPr>
        <w:t>, a patient with early stage HCC (BCLC stage A) might benefit from TACE.</w:t>
      </w:r>
      <w:r w:rsidR="00757873">
        <w:rPr>
          <w:color w:val="4F81BD" w:themeColor="accent1"/>
        </w:rPr>
        <w:t xml:space="preserve"> </w:t>
      </w:r>
    </w:p>
    <w:p w:rsidR="00AB4B5D" w:rsidRDefault="00AB4B5D" w:rsidP="00D73646">
      <w:pPr>
        <w:ind w:left="426"/>
        <w:rPr>
          <w:color w:val="4F81BD" w:themeColor="accent1"/>
        </w:rPr>
      </w:pPr>
      <w:r>
        <w:rPr>
          <w:color w:val="4F81BD" w:themeColor="accent1"/>
        </w:rPr>
        <w:t xml:space="preserve">See </w:t>
      </w:r>
      <w:r w:rsidRPr="006A44AD">
        <w:rPr>
          <w:b/>
          <w:color w:val="4F81BD" w:themeColor="accent1"/>
        </w:rPr>
        <w:t>Attachment 1</w:t>
      </w:r>
      <w:r>
        <w:rPr>
          <w:color w:val="4F81BD" w:themeColor="accent1"/>
        </w:rPr>
        <w:t xml:space="preserve"> for a clinical management pathway flowchart.</w:t>
      </w:r>
      <w:r w:rsidR="006A44AD">
        <w:rPr>
          <w:color w:val="4F81BD" w:themeColor="accent1"/>
        </w:rPr>
        <w:t xml:space="preserve"> This flowchart has been developed based on the BCLC management pathway and the pathway included in the 2012 protocol for MSAC Application number 1242 (Yttrium-90 microspheres/</w:t>
      </w:r>
      <w:proofErr w:type="spellStart"/>
      <w:r w:rsidR="006A44AD">
        <w:rPr>
          <w:color w:val="4F81BD" w:themeColor="accent1"/>
        </w:rPr>
        <w:t>Sirtology</w:t>
      </w:r>
      <w:proofErr w:type="spellEnd"/>
      <w:r w:rsidR="006A44AD">
        <w:rPr>
          <w:color w:val="4F81BD" w:themeColor="accent1"/>
        </w:rPr>
        <w:t xml:space="preserve"> Pty Ltd). </w:t>
      </w:r>
    </w:p>
    <w:p w:rsidR="00AB4B5D" w:rsidRPr="00FA690E" w:rsidRDefault="00AB4B5D" w:rsidP="00D73646">
      <w:pPr>
        <w:ind w:left="426"/>
        <w:rPr>
          <w:color w:val="4F81BD" w:themeColor="accent1"/>
        </w:rPr>
      </w:pPr>
    </w:p>
    <w:p w:rsidR="002A50FD" w:rsidRPr="00881F93" w:rsidRDefault="005C3AE7" w:rsidP="005C3AE7">
      <w:pPr>
        <w:pStyle w:val="Subtitle"/>
      </w:pPr>
      <w:r>
        <w:t xml:space="preserve">PART 6b – </w:t>
      </w:r>
      <w:r w:rsidR="002A50FD" w:rsidRPr="00881F93">
        <w:t>INFORMATION ABOUT THE INTERVENTION</w:t>
      </w:r>
    </w:p>
    <w:p w:rsidR="002A50FD"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rsidR="00FE4BE8" w:rsidRPr="00FE4BE8" w:rsidRDefault="00FE4BE8" w:rsidP="00F17F78">
      <w:pPr>
        <w:ind w:left="360"/>
        <w:rPr>
          <w:color w:val="4F81BD" w:themeColor="accent1"/>
          <w:u w:val="single"/>
        </w:rPr>
      </w:pPr>
      <w:r w:rsidRPr="00FE4BE8">
        <w:rPr>
          <w:color w:val="4F81BD" w:themeColor="accent1"/>
          <w:u w:val="single"/>
        </w:rPr>
        <w:t>Prior to treatment</w:t>
      </w:r>
    </w:p>
    <w:p w:rsidR="00F17F78" w:rsidRDefault="00F17F78" w:rsidP="00F17F78">
      <w:pPr>
        <w:ind w:left="360"/>
        <w:rPr>
          <w:color w:val="4F81BD" w:themeColor="accent1"/>
        </w:rPr>
      </w:pPr>
      <w:r>
        <w:rPr>
          <w:color w:val="4F81BD" w:themeColor="accent1"/>
        </w:rPr>
        <w:t>All patients undergoing TARE-Y require the following investigations</w:t>
      </w:r>
      <w:r w:rsidR="00FE4BE8">
        <w:rPr>
          <w:color w:val="4F81BD" w:themeColor="accent1"/>
        </w:rPr>
        <w:t>, regardless of which microsphere is being used (i.e. resin or glass)</w:t>
      </w:r>
      <w:r>
        <w:rPr>
          <w:color w:val="4F81BD" w:themeColor="accent1"/>
        </w:rPr>
        <w:t>:</w:t>
      </w:r>
    </w:p>
    <w:p w:rsidR="00FE4BE8" w:rsidRDefault="00FE4BE8" w:rsidP="005D05D5">
      <w:pPr>
        <w:pStyle w:val="ListParagraph"/>
        <w:numPr>
          <w:ilvl w:val="0"/>
          <w:numId w:val="20"/>
        </w:numPr>
        <w:rPr>
          <w:color w:val="4F81BD" w:themeColor="accent1"/>
        </w:rPr>
      </w:pPr>
      <w:r>
        <w:rPr>
          <w:color w:val="4F81BD" w:themeColor="accent1"/>
        </w:rPr>
        <w:t>History, physical examination, assessment of performance status</w:t>
      </w:r>
    </w:p>
    <w:p w:rsidR="00FE4BE8" w:rsidRDefault="00FE4BE8" w:rsidP="005D05D5">
      <w:pPr>
        <w:pStyle w:val="ListParagraph"/>
        <w:numPr>
          <w:ilvl w:val="0"/>
          <w:numId w:val="20"/>
        </w:numPr>
        <w:rPr>
          <w:color w:val="4F81BD" w:themeColor="accent1"/>
        </w:rPr>
      </w:pPr>
      <w:r>
        <w:rPr>
          <w:color w:val="4F81BD" w:themeColor="accent1"/>
        </w:rPr>
        <w:t xml:space="preserve">Clinical laboratory tests (complete blood count with differential, blood urea nitrogen, serum </w:t>
      </w:r>
      <w:proofErr w:type="spellStart"/>
      <w:r>
        <w:rPr>
          <w:color w:val="4F81BD" w:themeColor="accent1"/>
        </w:rPr>
        <w:t>creatinine</w:t>
      </w:r>
      <w:proofErr w:type="spellEnd"/>
      <w:r>
        <w:rPr>
          <w:color w:val="4F81BD" w:themeColor="accent1"/>
        </w:rPr>
        <w:t xml:space="preserve">, serum electrolytes, liver function, albumin, lactate dehydrogenase, </w:t>
      </w:r>
      <w:proofErr w:type="spellStart"/>
      <w:r>
        <w:rPr>
          <w:color w:val="4F81BD" w:themeColor="accent1"/>
        </w:rPr>
        <w:t>prothrombin</w:t>
      </w:r>
      <w:proofErr w:type="spellEnd"/>
      <w:r>
        <w:rPr>
          <w:color w:val="4F81BD" w:themeColor="accent1"/>
        </w:rPr>
        <w:t xml:space="preserve"> time)</w:t>
      </w:r>
    </w:p>
    <w:p w:rsidR="00FE4BE8" w:rsidRDefault="00FE4BE8" w:rsidP="005D05D5">
      <w:pPr>
        <w:pStyle w:val="ListParagraph"/>
        <w:numPr>
          <w:ilvl w:val="0"/>
          <w:numId w:val="20"/>
        </w:numPr>
        <w:rPr>
          <w:color w:val="4F81BD" w:themeColor="accent1"/>
        </w:rPr>
      </w:pPr>
      <w:r>
        <w:rPr>
          <w:color w:val="4F81BD" w:themeColor="accent1"/>
        </w:rPr>
        <w:t xml:space="preserve">Chest X-ray, tumour marker assay, </w:t>
      </w:r>
      <w:proofErr w:type="spellStart"/>
      <w:r>
        <w:rPr>
          <w:color w:val="4F81BD" w:themeColor="accent1"/>
        </w:rPr>
        <w:t>carcinoembryonic</w:t>
      </w:r>
      <w:proofErr w:type="spellEnd"/>
      <w:r>
        <w:rPr>
          <w:color w:val="4F81BD" w:themeColor="accent1"/>
        </w:rPr>
        <w:t xml:space="preserve"> antigen [CEA], </w:t>
      </w:r>
      <w:r>
        <w:rPr>
          <w:rFonts w:cstheme="minorHAnsi"/>
          <w:color w:val="4F81BD" w:themeColor="accent1"/>
        </w:rPr>
        <w:t>α</w:t>
      </w:r>
      <w:r>
        <w:rPr>
          <w:color w:val="4F81BD" w:themeColor="accent1"/>
        </w:rPr>
        <w:t>-fetoprotein)</w:t>
      </w:r>
    </w:p>
    <w:p w:rsidR="00FE4BE8" w:rsidRDefault="00FE4BE8" w:rsidP="005D05D5">
      <w:pPr>
        <w:pStyle w:val="ListParagraph"/>
        <w:numPr>
          <w:ilvl w:val="0"/>
          <w:numId w:val="20"/>
        </w:numPr>
        <w:rPr>
          <w:color w:val="4F81BD" w:themeColor="accent1"/>
        </w:rPr>
      </w:pPr>
      <w:r>
        <w:rPr>
          <w:color w:val="4F81BD" w:themeColor="accent1"/>
        </w:rPr>
        <w:t>Computed tomography (CT)/magnetic resonance imaging (MRI) scan of the abdomen and pelvis with assessment of portal vein patency</w:t>
      </w:r>
    </w:p>
    <w:p w:rsidR="00FE4BE8" w:rsidRDefault="00FE4BE8" w:rsidP="005D05D5">
      <w:pPr>
        <w:pStyle w:val="ListParagraph"/>
        <w:numPr>
          <w:ilvl w:val="0"/>
          <w:numId w:val="20"/>
        </w:numPr>
        <w:rPr>
          <w:color w:val="4F81BD" w:themeColor="accent1"/>
        </w:rPr>
      </w:pPr>
      <w:r>
        <w:rPr>
          <w:color w:val="4F81BD" w:themeColor="accent1"/>
        </w:rPr>
        <w:t xml:space="preserve">Arteriography/lung shunting study. </w:t>
      </w:r>
    </w:p>
    <w:p w:rsidR="004E1B85" w:rsidRPr="004E1B85" w:rsidRDefault="004E1B85" w:rsidP="00AD2D9B">
      <w:pPr>
        <w:ind w:left="360"/>
        <w:rPr>
          <w:color w:val="4F81BD" w:themeColor="accent1"/>
          <w:u w:val="single"/>
        </w:rPr>
      </w:pPr>
      <w:r w:rsidRPr="004E1B85">
        <w:rPr>
          <w:color w:val="4F81BD" w:themeColor="accent1"/>
          <w:u w:val="single"/>
        </w:rPr>
        <w:t>Treatment</w:t>
      </w:r>
    </w:p>
    <w:p w:rsidR="00BC2830" w:rsidRDefault="00D5660E" w:rsidP="00AD2D9B">
      <w:pPr>
        <w:ind w:left="360"/>
        <w:rPr>
          <w:color w:val="4F81BD" w:themeColor="accent1"/>
        </w:rPr>
      </w:pPr>
      <w:r w:rsidRPr="00D5660E">
        <w:rPr>
          <w:color w:val="4F81BD" w:themeColor="accent1"/>
        </w:rPr>
        <w:t xml:space="preserve">If a patient </w:t>
      </w:r>
      <w:r>
        <w:rPr>
          <w:color w:val="4F81BD" w:themeColor="accent1"/>
        </w:rPr>
        <w:t>meets the treatment requirements</w:t>
      </w:r>
      <w:r w:rsidRPr="00D5660E">
        <w:rPr>
          <w:color w:val="4F81BD" w:themeColor="accent1"/>
        </w:rPr>
        <w:t xml:space="preserve">, </w:t>
      </w:r>
      <w:r>
        <w:rPr>
          <w:color w:val="4F81BD" w:themeColor="accent1"/>
        </w:rPr>
        <w:t xml:space="preserve">and treatment occurs, </w:t>
      </w:r>
      <w:r w:rsidRPr="00D5660E">
        <w:rPr>
          <w:color w:val="4F81BD" w:themeColor="accent1"/>
        </w:rPr>
        <w:t>a</w:t>
      </w:r>
      <w:r w:rsidR="00A637CC">
        <w:rPr>
          <w:color w:val="4F81BD" w:themeColor="accent1"/>
        </w:rPr>
        <w:t xml:space="preserve"> catheter is inserted into the femoral artery and th</w:t>
      </w:r>
      <w:r w:rsidR="001964C7">
        <w:rPr>
          <w:color w:val="4F81BD" w:themeColor="accent1"/>
        </w:rPr>
        <w:t>en guided to the hepatic artery</w:t>
      </w:r>
      <w:r w:rsidR="00A637CC">
        <w:rPr>
          <w:color w:val="4F81BD" w:themeColor="accent1"/>
        </w:rPr>
        <w:t xml:space="preserve">. The radioactive microspheres (glass or resin) are then infused, a procedure that takes several minutes. The entire procedure takes 1-1.5 hours. Following infusion, the patient remains in the recovery area or Nuclear Medicine Department for 2-6 hours. The patient </w:t>
      </w:r>
      <w:r w:rsidR="00AD2D9B">
        <w:rPr>
          <w:color w:val="4F81BD" w:themeColor="accent1"/>
        </w:rPr>
        <w:t>may be required to remain in</w:t>
      </w:r>
      <w:r w:rsidR="00A637CC">
        <w:rPr>
          <w:color w:val="4F81BD" w:themeColor="accent1"/>
        </w:rPr>
        <w:t xml:space="preserve"> hospital overnight. </w:t>
      </w:r>
    </w:p>
    <w:p w:rsidR="00A637CC" w:rsidRDefault="00A637CC" w:rsidP="00AD2D9B">
      <w:pPr>
        <w:ind w:left="360"/>
        <w:rPr>
          <w:color w:val="4F81BD" w:themeColor="accent1"/>
        </w:rPr>
      </w:pPr>
      <w:r>
        <w:rPr>
          <w:color w:val="4F81BD" w:themeColor="accent1"/>
        </w:rPr>
        <w:t>Medications the patient may receive on the day of treatment include:</w:t>
      </w:r>
    </w:p>
    <w:p w:rsidR="00A637CC" w:rsidRDefault="00A637CC" w:rsidP="005D05D5">
      <w:pPr>
        <w:pStyle w:val="ListParagraph"/>
        <w:numPr>
          <w:ilvl w:val="0"/>
          <w:numId w:val="19"/>
        </w:numPr>
        <w:rPr>
          <w:color w:val="4F81BD" w:themeColor="accent1"/>
        </w:rPr>
      </w:pPr>
      <w:r>
        <w:rPr>
          <w:color w:val="4F81BD" w:themeColor="accent1"/>
        </w:rPr>
        <w:t>A sedative and pain medication</w:t>
      </w:r>
      <w:r w:rsidR="0069124B">
        <w:rPr>
          <w:color w:val="4F81BD" w:themeColor="accent1"/>
        </w:rPr>
        <w:t xml:space="preserve"> (in preparation for the procedure)</w:t>
      </w:r>
    </w:p>
    <w:p w:rsidR="0069124B" w:rsidRDefault="0069124B" w:rsidP="005D05D5">
      <w:pPr>
        <w:pStyle w:val="ListParagraph"/>
        <w:numPr>
          <w:ilvl w:val="0"/>
          <w:numId w:val="19"/>
        </w:numPr>
        <w:rPr>
          <w:color w:val="4F81BD" w:themeColor="accent1"/>
        </w:rPr>
      </w:pPr>
      <w:r>
        <w:rPr>
          <w:color w:val="4F81BD" w:themeColor="accent1"/>
        </w:rPr>
        <w:t>A low-dose steroid to help combat fatigue</w:t>
      </w:r>
    </w:p>
    <w:p w:rsidR="0069124B" w:rsidRDefault="0069124B" w:rsidP="005D05D5">
      <w:pPr>
        <w:pStyle w:val="ListParagraph"/>
        <w:numPr>
          <w:ilvl w:val="0"/>
          <w:numId w:val="19"/>
        </w:numPr>
        <w:rPr>
          <w:color w:val="4F81BD" w:themeColor="accent1"/>
        </w:rPr>
      </w:pPr>
      <w:r>
        <w:rPr>
          <w:color w:val="4F81BD" w:themeColor="accent1"/>
        </w:rPr>
        <w:t>An anti-ulcer medication to help protect the stomach</w:t>
      </w:r>
    </w:p>
    <w:p w:rsidR="00AD2D9B" w:rsidRDefault="0069124B" w:rsidP="005D05D5">
      <w:pPr>
        <w:pStyle w:val="ListParagraph"/>
        <w:numPr>
          <w:ilvl w:val="0"/>
          <w:numId w:val="19"/>
        </w:numPr>
        <w:rPr>
          <w:color w:val="4F81BD" w:themeColor="accent1"/>
        </w:rPr>
      </w:pPr>
      <w:r>
        <w:rPr>
          <w:color w:val="4F81BD" w:themeColor="accent1"/>
        </w:rPr>
        <w:t>An antibiotic to reduce potential for infection.</w:t>
      </w:r>
    </w:p>
    <w:p w:rsidR="004E1B85" w:rsidRPr="004E1B85" w:rsidRDefault="004E1B85" w:rsidP="00AD2D9B">
      <w:pPr>
        <w:ind w:left="360"/>
        <w:rPr>
          <w:color w:val="4F81BD" w:themeColor="accent1"/>
          <w:u w:val="single"/>
        </w:rPr>
      </w:pPr>
      <w:r w:rsidRPr="004E1B85">
        <w:rPr>
          <w:color w:val="4F81BD" w:themeColor="accent1"/>
          <w:u w:val="single"/>
        </w:rPr>
        <w:t>Follow-up</w:t>
      </w:r>
    </w:p>
    <w:p w:rsidR="00AD2D9B" w:rsidRPr="00AD2D9B" w:rsidRDefault="00AD2D9B" w:rsidP="00AD2D9B">
      <w:pPr>
        <w:ind w:left="360"/>
        <w:rPr>
          <w:color w:val="4F81BD" w:themeColor="accent1"/>
        </w:rPr>
      </w:pPr>
      <w:r>
        <w:rPr>
          <w:color w:val="4F81BD" w:themeColor="accent1"/>
        </w:rPr>
        <w:t xml:space="preserve">Follow-up imaging to determine treatment response is conducted using CT or MRI. There is no standard protocol for timing of imaging; however, the first scan should be approximately 1-2 months’ post-treatment, with follow-up at 3-6 </w:t>
      </w:r>
      <w:r w:rsidR="003E7FE1">
        <w:rPr>
          <w:color w:val="4F81BD" w:themeColor="accent1"/>
        </w:rPr>
        <w:t xml:space="preserve">months </w:t>
      </w:r>
      <w:r>
        <w:rPr>
          <w:color w:val="4F81BD" w:themeColor="accent1"/>
        </w:rPr>
        <w:t xml:space="preserve">thereafter. During follow-up visits patients are also assessed for treatment-related adverse events including abdominal pain, nausea, vomiting and fatigue, as well as specific rare side effects including hepatic abscess, </w:t>
      </w:r>
      <w:proofErr w:type="spellStart"/>
      <w:r>
        <w:rPr>
          <w:color w:val="4F81BD" w:themeColor="accent1"/>
        </w:rPr>
        <w:t>perihepatic</w:t>
      </w:r>
      <w:proofErr w:type="spellEnd"/>
      <w:r>
        <w:rPr>
          <w:color w:val="4F81BD" w:themeColor="accent1"/>
        </w:rPr>
        <w:t xml:space="preserve"> ascites, pleural effusion, radiation </w:t>
      </w:r>
      <w:proofErr w:type="spellStart"/>
      <w:r>
        <w:rPr>
          <w:color w:val="4F81BD" w:themeColor="accent1"/>
        </w:rPr>
        <w:t>cholecystitis</w:t>
      </w:r>
      <w:proofErr w:type="spellEnd"/>
      <w:r>
        <w:rPr>
          <w:color w:val="4F81BD" w:themeColor="accent1"/>
        </w:rPr>
        <w:t xml:space="preserve"> and radiation pneumonitis. </w:t>
      </w:r>
    </w:p>
    <w:p w:rsidR="002A6753" w:rsidRPr="00154B00" w:rsidRDefault="002A6753" w:rsidP="006A44AD">
      <w:pPr>
        <w:pStyle w:val="Heading2"/>
        <w:keepNext/>
        <w:ind w:left="357" w:hanging="357"/>
      </w:pPr>
      <w:r w:rsidRPr="00154B00">
        <w:lastRenderedPageBreak/>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F17F78" w:rsidRDefault="006F20D5" w:rsidP="00E357B9">
      <w:pPr>
        <w:ind w:left="426"/>
        <w:rPr>
          <w:color w:val="4F81BD" w:themeColor="accent1"/>
        </w:rPr>
      </w:pPr>
      <w:r w:rsidRPr="006F20D5">
        <w:rPr>
          <w:color w:val="4F81BD" w:themeColor="accent1"/>
        </w:rPr>
        <w:t xml:space="preserve">It should be noted that </w:t>
      </w:r>
      <w:r>
        <w:rPr>
          <w:color w:val="4F81BD" w:themeColor="accent1"/>
        </w:rPr>
        <w:t xml:space="preserve">this </w:t>
      </w:r>
      <w:r w:rsidRPr="006F20D5">
        <w:rPr>
          <w:color w:val="4F81BD" w:themeColor="accent1"/>
        </w:rPr>
        <w:t xml:space="preserve">application is for </w:t>
      </w:r>
      <w:r w:rsidR="00B40FDE">
        <w:rPr>
          <w:color w:val="4F81BD" w:themeColor="accent1"/>
        </w:rPr>
        <w:t>TARE</w:t>
      </w:r>
      <w:r w:rsidRPr="006F20D5">
        <w:rPr>
          <w:color w:val="4F81BD" w:themeColor="accent1"/>
        </w:rPr>
        <w:t xml:space="preserve">-Y the procedure, and not limited to a specific microsphere type. </w:t>
      </w:r>
      <w:r w:rsidR="00B40FDE">
        <w:rPr>
          <w:color w:val="4F81BD" w:themeColor="accent1"/>
        </w:rPr>
        <w:t>TARE</w:t>
      </w:r>
      <w:r w:rsidR="00C67470" w:rsidRPr="006F20D5">
        <w:rPr>
          <w:color w:val="4F81BD" w:themeColor="accent1"/>
        </w:rPr>
        <w:t xml:space="preserve">-Y can be delivered using either of the two </w:t>
      </w:r>
      <w:r>
        <w:rPr>
          <w:color w:val="4F81BD" w:themeColor="accent1"/>
        </w:rPr>
        <w:t xml:space="preserve">currently </w:t>
      </w:r>
      <w:r w:rsidR="00C67470" w:rsidRPr="006F20D5">
        <w:rPr>
          <w:color w:val="4F81BD" w:themeColor="accent1"/>
        </w:rPr>
        <w:t xml:space="preserve">commercially available Y-90 emitting microsphere products – </w:t>
      </w:r>
      <w:proofErr w:type="spellStart"/>
      <w:r w:rsidR="00C67470" w:rsidRPr="006F20D5">
        <w:rPr>
          <w:color w:val="4F81BD" w:themeColor="accent1"/>
        </w:rPr>
        <w:t>TheraSphere</w:t>
      </w:r>
      <w:proofErr w:type="spellEnd"/>
      <w:r w:rsidR="00C67470" w:rsidRPr="006F20D5">
        <w:rPr>
          <w:color w:val="4F81BD" w:themeColor="accent1"/>
        </w:rPr>
        <w:t xml:space="preserve"> (glass microspheres) or SIR-Spheres (resin microspheres) – both of which have registered trademarks. The main characteristic that distinguishes these microspheres from other</w:t>
      </w:r>
      <w:r w:rsidR="007A4136">
        <w:rPr>
          <w:color w:val="4F81BD" w:themeColor="accent1"/>
        </w:rPr>
        <w:t>s</w:t>
      </w:r>
      <w:r w:rsidR="00C67470" w:rsidRPr="006F20D5">
        <w:rPr>
          <w:color w:val="4F81BD" w:themeColor="accent1"/>
        </w:rPr>
        <w:t xml:space="preserve"> is the fact they contain Y-90. There are some differences between the glass </w:t>
      </w:r>
      <w:r w:rsidRPr="006F20D5">
        <w:rPr>
          <w:color w:val="4F81BD" w:themeColor="accent1"/>
        </w:rPr>
        <w:t xml:space="preserve">and resin </w:t>
      </w:r>
      <w:r w:rsidR="004E1B85">
        <w:rPr>
          <w:color w:val="4F81BD" w:themeColor="accent1"/>
        </w:rPr>
        <w:t xml:space="preserve">Y-90 </w:t>
      </w:r>
      <w:r w:rsidRPr="006F20D5">
        <w:rPr>
          <w:color w:val="4F81BD" w:themeColor="accent1"/>
        </w:rPr>
        <w:t>microspheres</w:t>
      </w:r>
      <w:r w:rsidR="00C67470" w:rsidRPr="006F20D5">
        <w:rPr>
          <w:color w:val="4F81BD" w:themeColor="accent1"/>
        </w:rPr>
        <w:t xml:space="preserve"> </w:t>
      </w:r>
      <w:r w:rsidRPr="006F20D5">
        <w:rPr>
          <w:color w:val="4F81BD" w:themeColor="accent1"/>
        </w:rPr>
        <w:t>a</w:t>
      </w:r>
      <w:r w:rsidR="00F17F78">
        <w:rPr>
          <w:color w:val="4F81BD" w:themeColor="accent1"/>
        </w:rPr>
        <w:t xml:space="preserve">s summarised in </w:t>
      </w:r>
      <w:r w:rsidR="00F82424" w:rsidRPr="00F82424">
        <w:rPr>
          <w:b/>
          <w:color w:val="4F81BD" w:themeColor="accent1"/>
        </w:rPr>
        <w:fldChar w:fldCharType="begin"/>
      </w:r>
      <w:r w:rsidR="00F82424" w:rsidRPr="00F82424">
        <w:rPr>
          <w:b/>
          <w:color w:val="4F81BD" w:themeColor="accent1"/>
        </w:rPr>
        <w:instrText xml:space="preserve"> REF _Ref475877078 \h </w:instrText>
      </w:r>
      <w:r w:rsidR="00F82424">
        <w:rPr>
          <w:b/>
          <w:color w:val="4F81BD" w:themeColor="accent1"/>
        </w:rPr>
        <w:instrText xml:space="preserve"> \* MERGEFORMAT </w:instrText>
      </w:r>
      <w:r w:rsidR="00F82424" w:rsidRPr="00F82424">
        <w:rPr>
          <w:b/>
          <w:color w:val="4F81BD" w:themeColor="accent1"/>
        </w:rPr>
      </w:r>
      <w:r w:rsidR="00F82424" w:rsidRPr="00F82424">
        <w:rPr>
          <w:b/>
          <w:color w:val="4F81BD" w:themeColor="accent1"/>
        </w:rPr>
        <w:fldChar w:fldCharType="separate"/>
      </w:r>
      <w:r w:rsidR="00394B56" w:rsidRPr="00394B56">
        <w:rPr>
          <w:b/>
          <w:color w:val="4F81BD" w:themeColor="accent1"/>
        </w:rPr>
        <w:t xml:space="preserve">Table </w:t>
      </w:r>
      <w:r w:rsidR="00394B56" w:rsidRPr="00394B56">
        <w:rPr>
          <w:b/>
          <w:noProof/>
          <w:color w:val="4F81BD" w:themeColor="accent1"/>
        </w:rPr>
        <w:t>1</w:t>
      </w:r>
      <w:r w:rsidR="00F82424" w:rsidRPr="00F82424">
        <w:rPr>
          <w:b/>
          <w:color w:val="4F81BD" w:themeColor="accent1"/>
        </w:rPr>
        <w:fldChar w:fldCharType="end"/>
      </w:r>
      <w:r w:rsidR="00F17F78">
        <w:rPr>
          <w:color w:val="4F81BD" w:themeColor="accent1"/>
        </w:rPr>
        <w:t>, with the main difference being the lower density of Y</w:t>
      </w:r>
      <w:r w:rsidR="007A4136">
        <w:rPr>
          <w:color w:val="4F81BD" w:themeColor="accent1"/>
        </w:rPr>
        <w:t>-</w:t>
      </w:r>
      <w:r w:rsidR="00F17F78">
        <w:rPr>
          <w:color w:val="4F81BD" w:themeColor="accent1"/>
        </w:rPr>
        <w:t>90 per sphere for resin compared with glass microspheres. This means that more resin spheres are required to administer a given dose, thus resulting in a higher embolic effect.</w:t>
      </w:r>
    </w:p>
    <w:p w:rsidR="006F20D5" w:rsidRPr="00317975" w:rsidRDefault="006F20D5" w:rsidP="00E357B9">
      <w:pPr>
        <w:ind w:left="426"/>
        <w:rPr>
          <w:color w:val="4F81BD" w:themeColor="accent1"/>
        </w:rPr>
      </w:pPr>
      <w:r w:rsidRPr="00317975">
        <w:rPr>
          <w:color w:val="4F81BD" w:themeColor="accent1"/>
        </w:rPr>
        <w:t xml:space="preserve">If the item descriptor specifies the use of Y-90 emitting microspheres, then any new Y-90-emitting microspheres, should they become available, would also be able to be used. </w:t>
      </w:r>
    </w:p>
    <w:p w:rsidR="006F20D5" w:rsidRPr="00F82424" w:rsidRDefault="00C67470" w:rsidP="00F82424">
      <w:pPr>
        <w:pStyle w:val="Caption"/>
        <w:rPr>
          <w:color w:val="4F81BD" w:themeColor="accent1"/>
          <w:sz w:val="20"/>
        </w:rPr>
      </w:pPr>
      <w:r w:rsidRPr="006F20D5">
        <w:rPr>
          <w:sz w:val="20"/>
        </w:rPr>
        <w:t xml:space="preserve"> </w:t>
      </w:r>
      <w:bookmarkStart w:id="2" w:name="_Ref475877078"/>
      <w:r w:rsidR="00F82424" w:rsidRPr="00F82424">
        <w:rPr>
          <w:color w:val="4F81BD" w:themeColor="accent1"/>
        </w:rPr>
        <w:t xml:space="preserve">Table </w:t>
      </w:r>
      <w:r w:rsidR="00F82424" w:rsidRPr="00F82424">
        <w:rPr>
          <w:color w:val="4F81BD" w:themeColor="accent1"/>
        </w:rPr>
        <w:fldChar w:fldCharType="begin"/>
      </w:r>
      <w:r w:rsidR="00F82424" w:rsidRPr="00F82424">
        <w:rPr>
          <w:color w:val="4F81BD" w:themeColor="accent1"/>
        </w:rPr>
        <w:instrText xml:space="preserve"> SEQ Table \* ARABIC </w:instrText>
      </w:r>
      <w:r w:rsidR="00F82424" w:rsidRPr="00F82424">
        <w:rPr>
          <w:color w:val="4F81BD" w:themeColor="accent1"/>
        </w:rPr>
        <w:fldChar w:fldCharType="separate"/>
      </w:r>
      <w:r w:rsidR="00394B56">
        <w:rPr>
          <w:noProof/>
          <w:color w:val="4F81BD" w:themeColor="accent1"/>
        </w:rPr>
        <w:t>1</w:t>
      </w:r>
      <w:r w:rsidR="00F82424" w:rsidRPr="00F82424">
        <w:rPr>
          <w:color w:val="4F81BD" w:themeColor="accent1"/>
        </w:rPr>
        <w:fldChar w:fldCharType="end"/>
      </w:r>
      <w:bookmarkEnd w:id="2"/>
      <w:r w:rsidR="00F82424" w:rsidRPr="00F82424">
        <w:rPr>
          <w:color w:val="4F81BD" w:themeColor="accent1"/>
        </w:rPr>
        <w:tab/>
        <w:t>Characteristics of commercia</w:t>
      </w:r>
      <w:r w:rsidR="004B2260">
        <w:rPr>
          <w:color w:val="4F81BD" w:themeColor="accent1"/>
        </w:rPr>
        <w:t>lly available Y-90 microspheres</w:t>
      </w:r>
    </w:p>
    <w:tbl>
      <w:tblPr>
        <w:tblStyle w:val="TableGrid"/>
        <w:tblW w:w="8988" w:type="dxa"/>
        <w:tblInd w:w="79" w:type="dxa"/>
        <w:tblLook w:val="04A0" w:firstRow="1" w:lastRow="0" w:firstColumn="1" w:lastColumn="0" w:noHBand="0" w:noVBand="1"/>
        <w:tblDescription w:val="Characteristics of commercially available Y-90 microspheres"/>
      </w:tblPr>
      <w:tblGrid>
        <w:gridCol w:w="3224"/>
        <w:gridCol w:w="2882"/>
        <w:gridCol w:w="2882"/>
      </w:tblGrid>
      <w:tr w:rsidR="006F20D5" w:rsidRPr="006F20D5" w:rsidTr="004B2260">
        <w:trPr>
          <w:tblHeader/>
        </w:trPr>
        <w:tc>
          <w:tcPr>
            <w:tcW w:w="3224" w:type="dxa"/>
          </w:tcPr>
          <w:p w:rsidR="006F20D5" w:rsidRPr="006F20D5" w:rsidRDefault="006F20D5" w:rsidP="007A4136">
            <w:pPr>
              <w:keepNext/>
              <w:keepLines/>
              <w:spacing w:before="40" w:after="40"/>
              <w:rPr>
                <w:b/>
                <w:color w:val="4F81BD" w:themeColor="accent1"/>
                <w:sz w:val="18"/>
              </w:rPr>
            </w:pPr>
            <w:r w:rsidRPr="006F20D5">
              <w:rPr>
                <w:b/>
                <w:color w:val="4F81BD" w:themeColor="accent1"/>
                <w:sz w:val="18"/>
              </w:rPr>
              <w:t xml:space="preserve">Characteristic </w:t>
            </w:r>
          </w:p>
        </w:tc>
        <w:tc>
          <w:tcPr>
            <w:tcW w:w="2882" w:type="dxa"/>
          </w:tcPr>
          <w:p w:rsidR="006F20D5" w:rsidRPr="006F20D5" w:rsidRDefault="006F20D5" w:rsidP="007A4136">
            <w:pPr>
              <w:keepNext/>
              <w:keepLines/>
              <w:spacing w:before="40" w:after="40"/>
              <w:jc w:val="center"/>
              <w:rPr>
                <w:b/>
                <w:color w:val="4F81BD" w:themeColor="accent1"/>
                <w:sz w:val="18"/>
              </w:rPr>
            </w:pPr>
            <w:proofErr w:type="spellStart"/>
            <w:r w:rsidRPr="006F20D5">
              <w:rPr>
                <w:b/>
                <w:color w:val="4F81BD" w:themeColor="accent1"/>
                <w:sz w:val="18"/>
              </w:rPr>
              <w:t>TheraSphere</w:t>
            </w:r>
            <w:proofErr w:type="spellEnd"/>
          </w:p>
          <w:p w:rsidR="006F20D5" w:rsidRPr="006F20D5" w:rsidRDefault="006F20D5" w:rsidP="007A4136">
            <w:pPr>
              <w:keepNext/>
              <w:keepLines/>
              <w:spacing w:before="40" w:after="40"/>
              <w:jc w:val="center"/>
              <w:rPr>
                <w:b/>
                <w:color w:val="4F81BD" w:themeColor="accent1"/>
                <w:sz w:val="18"/>
              </w:rPr>
            </w:pPr>
            <w:r w:rsidRPr="006F20D5">
              <w:rPr>
                <w:b/>
                <w:color w:val="4F81BD" w:themeColor="accent1"/>
                <w:sz w:val="18"/>
              </w:rPr>
              <w:t>(BTG International)</w:t>
            </w:r>
          </w:p>
        </w:tc>
        <w:tc>
          <w:tcPr>
            <w:tcW w:w="2882" w:type="dxa"/>
          </w:tcPr>
          <w:p w:rsidR="006F20D5" w:rsidRPr="006F20D5" w:rsidRDefault="006F20D5" w:rsidP="007A4136">
            <w:pPr>
              <w:keepNext/>
              <w:keepLines/>
              <w:spacing w:before="40" w:after="40"/>
              <w:jc w:val="center"/>
              <w:rPr>
                <w:b/>
                <w:color w:val="4F81BD" w:themeColor="accent1"/>
                <w:sz w:val="18"/>
              </w:rPr>
            </w:pPr>
            <w:r w:rsidRPr="006F20D5">
              <w:rPr>
                <w:b/>
                <w:color w:val="4F81BD" w:themeColor="accent1"/>
                <w:sz w:val="18"/>
              </w:rPr>
              <w:t>SIR-Spheres</w:t>
            </w:r>
          </w:p>
          <w:p w:rsidR="006F20D5" w:rsidRPr="006F20D5" w:rsidRDefault="006F20D5" w:rsidP="007A4136">
            <w:pPr>
              <w:keepNext/>
              <w:keepLines/>
              <w:spacing w:before="40" w:after="40"/>
              <w:jc w:val="center"/>
              <w:rPr>
                <w:b/>
                <w:color w:val="4F81BD" w:themeColor="accent1"/>
                <w:sz w:val="18"/>
              </w:rPr>
            </w:pPr>
            <w:r w:rsidRPr="006F20D5">
              <w:rPr>
                <w:b/>
                <w:color w:val="4F81BD" w:themeColor="accent1"/>
                <w:sz w:val="18"/>
              </w:rPr>
              <w:t>(</w:t>
            </w:r>
            <w:proofErr w:type="spellStart"/>
            <w:r w:rsidRPr="006F20D5">
              <w:rPr>
                <w:b/>
                <w:color w:val="4F81BD" w:themeColor="accent1"/>
                <w:sz w:val="18"/>
              </w:rPr>
              <w:t>Sirtex</w:t>
            </w:r>
            <w:proofErr w:type="spellEnd"/>
            <w:r w:rsidRPr="006F20D5">
              <w:rPr>
                <w:b/>
                <w:color w:val="4F81BD" w:themeColor="accent1"/>
                <w:sz w:val="18"/>
              </w:rPr>
              <w:t xml:space="preserve"> Medical)</w:t>
            </w:r>
          </w:p>
        </w:tc>
      </w:tr>
      <w:tr w:rsidR="006F20D5" w:rsidRPr="006F20D5" w:rsidTr="00F82424">
        <w:tc>
          <w:tcPr>
            <w:tcW w:w="3224" w:type="dxa"/>
          </w:tcPr>
          <w:p w:rsidR="006F20D5" w:rsidRPr="006F20D5" w:rsidRDefault="006F20D5" w:rsidP="007A4136">
            <w:pPr>
              <w:keepNext/>
              <w:keepLines/>
              <w:spacing w:before="40" w:after="40"/>
              <w:rPr>
                <w:color w:val="4F81BD" w:themeColor="accent1"/>
                <w:sz w:val="18"/>
              </w:rPr>
            </w:pPr>
            <w:r w:rsidRPr="006F20D5">
              <w:rPr>
                <w:color w:val="4F81BD" w:themeColor="accent1"/>
                <w:sz w:val="18"/>
              </w:rPr>
              <w:t>Isotope</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Yttrium</w:t>
            </w:r>
            <w:r w:rsidR="00972C6A">
              <w:rPr>
                <w:color w:val="4F81BD" w:themeColor="accent1"/>
                <w:sz w:val="18"/>
              </w:rPr>
              <w:t>-90</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Yttrium</w:t>
            </w:r>
            <w:r w:rsidR="00972C6A">
              <w:rPr>
                <w:color w:val="4F81BD" w:themeColor="accent1"/>
                <w:sz w:val="18"/>
              </w:rPr>
              <w:t>-90</w:t>
            </w:r>
          </w:p>
        </w:tc>
      </w:tr>
      <w:tr w:rsidR="006F20D5" w:rsidRPr="006F20D5" w:rsidTr="00F82424">
        <w:tc>
          <w:tcPr>
            <w:tcW w:w="3224" w:type="dxa"/>
          </w:tcPr>
          <w:p w:rsidR="006F20D5" w:rsidRPr="006F20D5" w:rsidRDefault="006F20D5" w:rsidP="007A4136">
            <w:pPr>
              <w:keepNext/>
              <w:keepLines/>
              <w:spacing w:before="40" w:after="40"/>
              <w:rPr>
                <w:color w:val="4F81BD" w:themeColor="accent1"/>
                <w:sz w:val="18"/>
              </w:rPr>
            </w:pPr>
            <w:r w:rsidRPr="006F20D5">
              <w:rPr>
                <w:color w:val="4F81BD" w:themeColor="accent1"/>
                <w:sz w:val="18"/>
              </w:rPr>
              <w:t>Half-life; h</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 xml:space="preserve">64.2 </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64.2</w:t>
            </w:r>
          </w:p>
        </w:tc>
      </w:tr>
      <w:tr w:rsidR="006F20D5" w:rsidRPr="006F20D5" w:rsidTr="00F82424">
        <w:tc>
          <w:tcPr>
            <w:tcW w:w="3224" w:type="dxa"/>
          </w:tcPr>
          <w:p w:rsidR="006F20D5" w:rsidRPr="006F20D5" w:rsidRDefault="006F20D5" w:rsidP="007A4136">
            <w:pPr>
              <w:keepNext/>
              <w:keepLines/>
              <w:spacing w:before="40" w:after="40"/>
              <w:rPr>
                <w:color w:val="4F81BD" w:themeColor="accent1"/>
                <w:sz w:val="18"/>
              </w:rPr>
            </w:pPr>
            <w:r w:rsidRPr="006F20D5">
              <w:rPr>
                <w:color w:val="4F81BD" w:themeColor="accent1"/>
                <w:sz w:val="18"/>
              </w:rPr>
              <w:t>Material</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Glass with yttrium in matrix</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Resin bound with yttrium</w:t>
            </w:r>
          </w:p>
        </w:tc>
      </w:tr>
      <w:tr w:rsidR="006F20D5" w:rsidRPr="006F20D5" w:rsidTr="00F82424">
        <w:tc>
          <w:tcPr>
            <w:tcW w:w="3224" w:type="dxa"/>
          </w:tcPr>
          <w:p w:rsidR="006F20D5" w:rsidRPr="006F20D5" w:rsidRDefault="006F20D5" w:rsidP="007A4136">
            <w:pPr>
              <w:keepNext/>
              <w:keepLines/>
              <w:spacing w:before="40" w:after="40"/>
              <w:rPr>
                <w:color w:val="4F81BD" w:themeColor="accent1"/>
                <w:sz w:val="18"/>
              </w:rPr>
            </w:pPr>
            <w:r w:rsidRPr="006F20D5">
              <w:rPr>
                <w:color w:val="4F81BD" w:themeColor="accent1"/>
                <w:sz w:val="18"/>
              </w:rPr>
              <w:t xml:space="preserve">Diameter; mean </w:t>
            </w:r>
            <w:proofErr w:type="spellStart"/>
            <w:r w:rsidRPr="006F20D5">
              <w:rPr>
                <w:rFonts w:cstheme="minorHAnsi"/>
                <w:color w:val="4F81BD" w:themeColor="accent1"/>
                <w:sz w:val="18"/>
              </w:rPr>
              <w:t>μ</w:t>
            </w:r>
            <w:r w:rsidRPr="006F20D5">
              <w:rPr>
                <w:color w:val="4F81BD" w:themeColor="accent1"/>
                <w:sz w:val="18"/>
              </w:rPr>
              <w:t>m</w:t>
            </w:r>
            <w:proofErr w:type="spellEnd"/>
            <w:r w:rsidRPr="006F20D5">
              <w:rPr>
                <w:color w:val="4F81BD" w:themeColor="accent1"/>
                <w:sz w:val="18"/>
              </w:rPr>
              <w:t xml:space="preserve"> (range)</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25 (20-30)</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35 (20-60)</w:t>
            </w:r>
          </w:p>
        </w:tc>
      </w:tr>
      <w:tr w:rsidR="006F20D5" w:rsidRPr="006F20D5" w:rsidTr="00F82424">
        <w:tc>
          <w:tcPr>
            <w:tcW w:w="3224" w:type="dxa"/>
          </w:tcPr>
          <w:p w:rsidR="006F20D5" w:rsidRPr="006F20D5" w:rsidRDefault="006F20D5" w:rsidP="007A4136">
            <w:pPr>
              <w:keepNext/>
              <w:keepLines/>
              <w:spacing w:before="40" w:after="40"/>
              <w:rPr>
                <w:color w:val="4F81BD" w:themeColor="accent1"/>
                <w:sz w:val="18"/>
              </w:rPr>
            </w:pPr>
            <w:r w:rsidRPr="006F20D5">
              <w:rPr>
                <w:color w:val="4F81BD" w:themeColor="accent1"/>
                <w:sz w:val="18"/>
              </w:rPr>
              <w:t xml:space="preserve">Activity per particle; </w:t>
            </w:r>
            <w:proofErr w:type="spellStart"/>
            <w:r w:rsidRPr="006F20D5">
              <w:rPr>
                <w:color w:val="4F81BD" w:themeColor="accent1"/>
                <w:sz w:val="18"/>
              </w:rPr>
              <w:t>Bq</w:t>
            </w:r>
            <w:proofErr w:type="spellEnd"/>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2500</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50</w:t>
            </w:r>
          </w:p>
        </w:tc>
      </w:tr>
      <w:tr w:rsidR="006F20D5" w:rsidRPr="006F20D5" w:rsidTr="00F82424">
        <w:tc>
          <w:tcPr>
            <w:tcW w:w="3224" w:type="dxa"/>
          </w:tcPr>
          <w:p w:rsidR="006F20D5" w:rsidRPr="006F20D5" w:rsidRDefault="006F20D5" w:rsidP="007A4136">
            <w:pPr>
              <w:keepNext/>
              <w:keepLines/>
              <w:spacing w:before="40" w:after="40"/>
              <w:rPr>
                <w:color w:val="4F81BD" w:themeColor="accent1"/>
                <w:sz w:val="18"/>
              </w:rPr>
            </w:pPr>
            <w:r w:rsidRPr="006F20D5">
              <w:rPr>
                <w:color w:val="4F81BD" w:themeColor="accent1"/>
                <w:sz w:val="18"/>
              </w:rPr>
              <w:t xml:space="preserve">Spheres per 3 </w:t>
            </w:r>
            <w:proofErr w:type="spellStart"/>
            <w:r w:rsidRPr="006F20D5">
              <w:rPr>
                <w:color w:val="4F81BD" w:themeColor="accent1"/>
                <w:sz w:val="18"/>
              </w:rPr>
              <w:t>Bq</w:t>
            </w:r>
            <w:proofErr w:type="spellEnd"/>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1.2 million</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40-80 million</w:t>
            </w:r>
          </w:p>
        </w:tc>
      </w:tr>
      <w:tr w:rsidR="006F20D5" w:rsidRPr="006F20D5" w:rsidTr="00F82424">
        <w:tc>
          <w:tcPr>
            <w:tcW w:w="3224" w:type="dxa"/>
          </w:tcPr>
          <w:p w:rsidR="006F20D5" w:rsidRPr="006F20D5" w:rsidRDefault="006F20D5" w:rsidP="007A4136">
            <w:pPr>
              <w:keepNext/>
              <w:keepLines/>
              <w:spacing w:before="40" w:after="40"/>
              <w:rPr>
                <w:color w:val="4F81BD" w:themeColor="accent1"/>
                <w:sz w:val="18"/>
              </w:rPr>
            </w:pPr>
            <w:r w:rsidRPr="006F20D5">
              <w:rPr>
                <w:color w:val="4F81BD" w:themeColor="accent1"/>
                <w:sz w:val="18"/>
              </w:rPr>
              <w:t>Spheres per dose</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4 million</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30-60 million</w:t>
            </w:r>
          </w:p>
        </w:tc>
      </w:tr>
      <w:tr w:rsidR="006F20D5" w:rsidRPr="006F20D5" w:rsidTr="00F82424">
        <w:tc>
          <w:tcPr>
            <w:tcW w:w="3224" w:type="dxa"/>
          </w:tcPr>
          <w:p w:rsidR="006F20D5" w:rsidRPr="006F20D5" w:rsidRDefault="006F20D5" w:rsidP="007A4136">
            <w:pPr>
              <w:keepNext/>
              <w:keepLines/>
              <w:spacing w:before="40" w:after="40"/>
              <w:rPr>
                <w:color w:val="4F81BD" w:themeColor="accent1"/>
                <w:sz w:val="18"/>
              </w:rPr>
            </w:pPr>
            <w:r w:rsidRPr="006F20D5">
              <w:rPr>
                <w:color w:val="4F81BD" w:themeColor="accent1"/>
                <w:sz w:val="18"/>
              </w:rPr>
              <w:t>Specific gravity; g/mL</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3.2</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1.6</w:t>
            </w:r>
          </w:p>
        </w:tc>
      </w:tr>
      <w:tr w:rsidR="006F20D5" w:rsidRPr="006F20D5" w:rsidTr="00F82424">
        <w:tc>
          <w:tcPr>
            <w:tcW w:w="3224" w:type="dxa"/>
          </w:tcPr>
          <w:p w:rsidR="006F20D5" w:rsidRPr="006F20D5" w:rsidRDefault="006F20D5" w:rsidP="007A4136">
            <w:pPr>
              <w:keepNext/>
              <w:keepLines/>
              <w:spacing w:before="40" w:after="40"/>
              <w:rPr>
                <w:color w:val="4F81BD" w:themeColor="accent1"/>
                <w:sz w:val="18"/>
              </w:rPr>
            </w:pPr>
            <w:r w:rsidRPr="006F20D5">
              <w:rPr>
                <w:color w:val="4F81BD" w:themeColor="accent1"/>
                <w:sz w:val="18"/>
              </w:rPr>
              <w:t>Embolic effect</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Negligible</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Mild</w:t>
            </w:r>
          </w:p>
        </w:tc>
      </w:tr>
      <w:tr w:rsidR="006F20D5" w:rsidRPr="006F20D5" w:rsidTr="00F82424">
        <w:tc>
          <w:tcPr>
            <w:tcW w:w="3224" w:type="dxa"/>
          </w:tcPr>
          <w:p w:rsidR="006F20D5" w:rsidRPr="006F20D5" w:rsidRDefault="006F20D5" w:rsidP="007A4136">
            <w:pPr>
              <w:keepNext/>
              <w:keepLines/>
              <w:spacing w:before="40" w:after="40"/>
              <w:rPr>
                <w:color w:val="4F81BD" w:themeColor="accent1"/>
                <w:sz w:val="18"/>
              </w:rPr>
            </w:pPr>
            <w:r w:rsidRPr="006F20D5">
              <w:rPr>
                <w:color w:val="4F81BD" w:themeColor="accent1"/>
                <w:sz w:val="18"/>
              </w:rPr>
              <w:t>Contrast injection</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No</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During infusion</w:t>
            </w:r>
          </w:p>
        </w:tc>
      </w:tr>
      <w:tr w:rsidR="006F20D5" w:rsidRPr="006F20D5" w:rsidTr="00F82424">
        <w:tc>
          <w:tcPr>
            <w:tcW w:w="3224" w:type="dxa"/>
          </w:tcPr>
          <w:p w:rsidR="006F20D5" w:rsidRPr="006F20D5" w:rsidRDefault="006F20D5" w:rsidP="007A4136">
            <w:pPr>
              <w:keepNext/>
              <w:keepLines/>
              <w:spacing w:before="40" w:after="40"/>
              <w:rPr>
                <w:color w:val="4F81BD" w:themeColor="accent1"/>
                <w:sz w:val="18"/>
              </w:rPr>
            </w:pPr>
            <w:r w:rsidRPr="006F20D5">
              <w:rPr>
                <w:color w:val="4F81BD" w:themeColor="accent1"/>
                <w:sz w:val="18"/>
              </w:rPr>
              <w:t>FDA approved indication</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HCC</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 xml:space="preserve">CLM with intrahepatic </w:t>
            </w:r>
            <w:proofErr w:type="spellStart"/>
            <w:r w:rsidRPr="006F20D5">
              <w:rPr>
                <w:color w:val="4F81BD" w:themeColor="accent1"/>
                <w:sz w:val="18"/>
              </w:rPr>
              <w:t>floxuridine</w:t>
            </w:r>
            <w:proofErr w:type="spellEnd"/>
          </w:p>
        </w:tc>
      </w:tr>
      <w:tr w:rsidR="006F20D5" w:rsidRPr="006F20D5" w:rsidTr="00F82424">
        <w:tc>
          <w:tcPr>
            <w:tcW w:w="3224" w:type="dxa"/>
          </w:tcPr>
          <w:p w:rsidR="006F20D5" w:rsidRPr="006F20D5" w:rsidRDefault="006F20D5" w:rsidP="007A4136">
            <w:pPr>
              <w:keepNext/>
              <w:keepLines/>
              <w:spacing w:before="40" w:after="40"/>
              <w:rPr>
                <w:color w:val="4F81BD" w:themeColor="accent1"/>
                <w:sz w:val="18"/>
              </w:rPr>
            </w:pPr>
            <w:r w:rsidRPr="006F20D5">
              <w:rPr>
                <w:color w:val="4F81BD" w:themeColor="accent1"/>
                <w:sz w:val="18"/>
              </w:rPr>
              <w:t>Australian approved indication</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Not yet registered</w:t>
            </w:r>
          </w:p>
        </w:tc>
        <w:tc>
          <w:tcPr>
            <w:tcW w:w="2882" w:type="dxa"/>
          </w:tcPr>
          <w:p w:rsidR="006F20D5" w:rsidRPr="006F20D5" w:rsidRDefault="006F20D5" w:rsidP="007A4136">
            <w:pPr>
              <w:keepNext/>
              <w:keepLines/>
              <w:spacing w:before="40" w:after="40"/>
              <w:jc w:val="center"/>
              <w:rPr>
                <w:color w:val="4F81BD" w:themeColor="accent1"/>
                <w:sz w:val="18"/>
              </w:rPr>
            </w:pPr>
            <w:r w:rsidRPr="006F20D5">
              <w:rPr>
                <w:color w:val="4F81BD" w:themeColor="accent1"/>
                <w:sz w:val="18"/>
              </w:rPr>
              <w:t>Inoperable liver cancer</w:t>
            </w:r>
          </w:p>
        </w:tc>
      </w:tr>
    </w:tbl>
    <w:p w:rsidR="006F20D5" w:rsidRPr="006F20D5" w:rsidRDefault="006F20D5" w:rsidP="007A4136">
      <w:pPr>
        <w:keepNext/>
        <w:keepLines/>
        <w:spacing w:before="0" w:after="0"/>
        <w:ind w:left="720" w:hanging="295"/>
        <w:rPr>
          <w:color w:val="4F81BD" w:themeColor="accent1"/>
          <w:sz w:val="16"/>
          <w:szCs w:val="16"/>
        </w:rPr>
      </w:pPr>
      <w:r w:rsidRPr="006F20D5">
        <w:rPr>
          <w:color w:val="4F81BD" w:themeColor="accent1"/>
          <w:sz w:val="16"/>
          <w:szCs w:val="16"/>
        </w:rPr>
        <w:t xml:space="preserve">Source: </w:t>
      </w:r>
      <w:r w:rsidR="00757873">
        <w:rPr>
          <w:color w:val="4F81BD" w:themeColor="accent1"/>
          <w:sz w:val="16"/>
          <w:szCs w:val="16"/>
        </w:rPr>
        <w:t>adapted</w:t>
      </w:r>
      <w:r w:rsidRPr="006F20D5">
        <w:rPr>
          <w:color w:val="4F81BD" w:themeColor="accent1"/>
          <w:sz w:val="16"/>
          <w:szCs w:val="16"/>
        </w:rPr>
        <w:t xml:space="preserve"> from </w:t>
      </w:r>
      <w:proofErr w:type="spellStart"/>
      <w:r w:rsidRPr="006F20D5">
        <w:rPr>
          <w:color w:val="4F81BD" w:themeColor="accent1"/>
          <w:sz w:val="16"/>
          <w:szCs w:val="16"/>
        </w:rPr>
        <w:t>Mahnken</w:t>
      </w:r>
      <w:proofErr w:type="spellEnd"/>
      <w:r w:rsidRPr="006F20D5">
        <w:rPr>
          <w:color w:val="4F81BD" w:themeColor="accent1"/>
          <w:sz w:val="16"/>
          <w:szCs w:val="16"/>
        </w:rPr>
        <w:t xml:space="preserve"> (2016)</w:t>
      </w:r>
      <w:r w:rsidR="00757873">
        <w:rPr>
          <w:rStyle w:val="FootnoteReference"/>
          <w:color w:val="4F81BD" w:themeColor="accent1"/>
          <w:sz w:val="16"/>
          <w:szCs w:val="16"/>
        </w:rPr>
        <w:footnoteReference w:id="17"/>
      </w:r>
    </w:p>
    <w:p w:rsidR="006F20D5" w:rsidRDefault="006F20D5" w:rsidP="007A4136">
      <w:pPr>
        <w:keepNext/>
        <w:keepLines/>
        <w:spacing w:before="0" w:after="0"/>
        <w:ind w:left="720" w:hanging="294"/>
        <w:rPr>
          <w:color w:val="4F81BD" w:themeColor="accent1"/>
          <w:sz w:val="16"/>
          <w:szCs w:val="16"/>
        </w:rPr>
      </w:pPr>
      <w:r w:rsidRPr="006F20D5">
        <w:rPr>
          <w:color w:val="4F81BD" w:themeColor="accent1"/>
          <w:sz w:val="16"/>
          <w:szCs w:val="16"/>
        </w:rPr>
        <w:t xml:space="preserve">Abbreviations: CLM, colorectal liver metastases; HCC, hepatocellular carcinoma. </w:t>
      </w:r>
    </w:p>
    <w:p w:rsidR="00FE02C6" w:rsidRPr="006F20D5" w:rsidRDefault="00FE02C6" w:rsidP="00FE02C6"/>
    <w:p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DF0C51" w:rsidRPr="004347D0" w:rsidRDefault="004347D0" w:rsidP="00E357B9">
      <w:pPr>
        <w:ind w:left="426"/>
        <w:rPr>
          <w:b/>
          <w:color w:val="4F81BD" w:themeColor="accent1"/>
          <w:szCs w:val="20"/>
        </w:rPr>
      </w:pPr>
      <w:r w:rsidRPr="004347D0">
        <w:rPr>
          <w:color w:val="4F81BD" w:themeColor="accent1"/>
        </w:rPr>
        <w:t xml:space="preserve">Yes, </w:t>
      </w:r>
      <w:r w:rsidR="00B40FDE">
        <w:rPr>
          <w:color w:val="4F81BD" w:themeColor="accent1"/>
        </w:rPr>
        <w:t>TARE</w:t>
      </w:r>
      <w:r w:rsidRPr="004347D0">
        <w:rPr>
          <w:color w:val="4F81BD" w:themeColor="accent1"/>
        </w:rPr>
        <w:t>-Y represents a new approach to treating a specific type of patient – those with unresectable HCC. While pharmacological agents are currently available for this patient group (</w:t>
      </w:r>
      <w:r w:rsidR="007A4136">
        <w:rPr>
          <w:color w:val="4F81BD" w:themeColor="accent1"/>
        </w:rPr>
        <w:t xml:space="preserve">chemotherapy delivered </w:t>
      </w:r>
      <w:proofErr w:type="spellStart"/>
      <w:r w:rsidR="007A4136">
        <w:rPr>
          <w:color w:val="4F81BD" w:themeColor="accent1"/>
        </w:rPr>
        <w:t>transarterially</w:t>
      </w:r>
      <w:proofErr w:type="spellEnd"/>
      <w:r w:rsidR="007A4136">
        <w:rPr>
          <w:color w:val="4F81BD" w:themeColor="accent1"/>
        </w:rPr>
        <w:t xml:space="preserve"> [TACE]</w:t>
      </w:r>
      <w:r w:rsidRPr="004347D0">
        <w:rPr>
          <w:color w:val="4F81BD" w:themeColor="accent1"/>
        </w:rPr>
        <w:t xml:space="preserve"> and </w:t>
      </w:r>
      <w:proofErr w:type="spellStart"/>
      <w:r w:rsidRPr="004347D0">
        <w:rPr>
          <w:color w:val="4F81BD" w:themeColor="accent1"/>
        </w:rPr>
        <w:t>sorafenib</w:t>
      </w:r>
      <w:proofErr w:type="spellEnd"/>
      <w:r w:rsidRPr="004347D0">
        <w:rPr>
          <w:color w:val="4F81BD" w:themeColor="accent1"/>
        </w:rPr>
        <w:t xml:space="preserve">), this localised radiotherapy technique offers an alternative mode of treatment for these patients, as well as providing a new treatment option for patients who fail </w:t>
      </w:r>
      <w:r>
        <w:rPr>
          <w:color w:val="4F81BD" w:themeColor="accent1"/>
        </w:rPr>
        <w:t xml:space="preserve">or are contraindicated for </w:t>
      </w:r>
      <w:r w:rsidRPr="004347D0">
        <w:rPr>
          <w:color w:val="4F81BD" w:themeColor="accent1"/>
        </w:rPr>
        <w:t xml:space="preserve">treatment with TACE or </w:t>
      </w:r>
      <w:proofErr w:type="spellStart"/>
      <w:r w:rsidRPr="004347D0">
        <w:rPr>
          <w:color w:val="4F81BD" w:themeColor="accent1"/>
        </w:rPr>
        <w:t>sorafenib</w:t>
      </w:r>
      <w:proofErr w:type="spellEnd"/>
      <w:r w:rsidR="007A4136">
        <w:rPr>
          <w:color w:val="4F81BD" w:themeColor="accent1"/>
        </w:rPr>
        <w:t>,</w:t>
      </w:r>
      <w:r w:rsidRPr="004347D0">
        <w:rPr>
          <w:color w:val="4F81BD" w:themeColor="accent1"/>
        </w:rPr>
        <w:t xml:space="preserve"> but who are still eligible for further treatment. </w:t>
      </w:r>
    </w:p>
    <w:p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CC09D7" w:rsidRPr="00821920" w:rsidRDefault="001A3977" w:rsidP="00E357B9">
      <w:pPr>
        <w:ind w:left="426"/>
        <w:rPr>
          <w:color w:val="4F81BD" w:themeColor="accent1"/>
        </w:rPr>
      </w:pPr>
      <w:r w:rsidRPr="00821920">
        <w:rPr>
          <w:color w:val="4F81BD" w:themeColor="accent1"/>
        </w:rPr>
        <w:t>Yes, as follows:</w:t>
      </w:r>
    </w:p>
    <w:p w:rsidR="005A0614" w:rsidRDefault="005A0614" w:rsidP="005D05D5">
      <w:pPr>
        <w:pStyle w:val="ListParagraph"/>
        <w:numPr>
          <w:ilvl w:val="0"/>
          <w:numId w:val="22"/>
        </w:numPr>
        <w:rPr>
          <w:color w:val="4F81BD" w:themeColor="accent1"/>
        </w:rPr>
      </w:pPr>
      <w:r>
        <w:rPr>
          <w:color w:val="4F81BD" w:themeColor="accent1"/>
        </w:rPr>
        <w:t xml:space="preserve">Accessibility – </w:t>
      </w:r>
      <w:r w:rsidRPr="005A0614">
        <w:rPr>
          <w:color w:val="4F81BD" w:themeColor="accent1"/>
        </w:rPr>
        <w:t xml:space="preserve">access to the proposed service </w:t>
      </w:r>
      <w:r>
        <w:rPr>
          <w:color w:val="4F81BD" w:themeColor="accent1"/>
        </w:rPr>
        <w:t>may</w:t>
      </w:r>
      <w:r w:rsidRPr="005A0614">
        <w:rPr>
          <w:color w:val="4F81BD" w:themeColor="accent1"/>
        </w:rPr>
        <w:t xml:space="preserve"> be limited by the number of approved facilities and the number of certified specialists</w:t>
      </w:r>
      <w:r>
        <w:rPr>
          <w:color w:val="4F81BD" w:themeColor="accent1"/>
        </w:rPr>
        <w:t xml:space="preserve"> available</w:t>
      </w:r>
      <w:r w:rsidRPr="005A0614">
        <w:rPr>
          <w:color w:val="4F81BD" w:themeColor="accent1"/>
        </w:rPr>
        <w:t>.</w:t>
      </w:r>
    </w:p>
    <w:p w:rsidR="008E4A1A" w:rsidRPr="00821920" w:rsidRDefault="008E4A1A" w:rsidP="005D05D5">
      <w:pPr>
        <w:pStyle w:val="ListParagraph"/>
        <w:numPr>
          <w:ilvl w:val="0"/>
          <w:numId w:val="22"/>
        </w:numPr>
        <w:rPr>
          <w:color w:val="4F81BD" w:themeColor="accent1"/>
        </w:rPr>
      </w:pPr>
      <w:r w:rsidRPr="00821920">
        <w:rPr>
          <w:color w:val="4F81BD" w:themeColor="accent1"/>
        </w:rPr>
        <w:lastRenderedPageBreak/>
        <w:t>Dos</w:t>
      </w:r>
      <w:r w:rsidR="005A0614">
        <w:rPr>
          <w:color w:val="4F81BD" w:themeColor="accent1"/>
        </w:rPr>
        <w:t>age</w:t>
      </w:r>
      <w:r w:rsidRPr="00821920">
        <w:rPr>
          <w:color w:val="4F81BD" w:themeColor="accent1"/>
        </w:rPr>
        <w:t xml:space="preserve"> –lung exposure to radiation should not be greater than 30 </w:t>
      </w:r>
      <w:proofErr w:type="spellStart"/>
      <w:r w:rsidRPr="00821920">
        <w:rPr>
          <w:color w:val="4F81BD" w:themeColor="accent1"/>
        </w:rPr>
        <w:t>Gy</w:t>
      </w:r>
      <w:proofErr w:type="spellEnd"/>
      <w:r w:rsidRPr="00821920">
        <w:rPr>
          <w:color w:val="4F81BD" w:themeColor="accent1"/>
        </w:rPr>
        <w:t xml:space="preserve"> per treatment and 50 </w:t>
      </w:r>
      <w:proofErr w:type="spellStart"/>
      <w:r w:rsidRPr="00821920">
        <w:rPr>
          <w:color w:val="4F81BD" w:themeColor="accent1"/>
        </w:rPr>
        <w:t>Gy</w:t>
      </w:r>
      <w:proofErr w:type="spellEnd"/>
      <w:r w:rsidRPr="00821920">
        <w:rPr>
          <w:color w:val="4F81BD" w:themeColor="accent1"/>
        </w:rPr>
        <w:t xml:space="preserve"> cumulatively. Patients who require more than two treatments to achieve tumour coverage, or patients being treated repeatedly in the same target volume after progression, may require repeat Tc-99m MAA </w:t>
      </w:r>
      <w:r w:rsidR="00506181" w:rsidRPr="00821920">
        <w:rPr>
          <w:color w:val="4F81BD" w:themeColor="accent1"/>
        </w:rPr>
        <w:t>lung shunting fraction</w:t>
      </w:r>
      <w:r w:rsidRPr="00821920">
        <w:rPr>
          <w:color w:val="4F81BD" w:themeColor="accent1"/>
        </w:rPr>
        <w:t xml:space="preserve"> assessment.</w:t>
      </w:r>
    </w:p>
    <w:p w:rsidR="008E4A1A" w:rsidRPr="00821920" w:rsidRDefault="008E4A1A" w:rsidP="005D05D5">
      <w:pPr>
        <w:pStyle w:val="ListParagraph"/>
        <w:numPr>
          <w:ilvl w:val="0"/>
          <w:numId w:val="22"/>
        </w:numPr>
        <w:rPr>
          <w:color w:val="4F81BD" w:themeColor="accent1"/>
        </w:rPr>
      </w:pPr>
      <w:r w:rsidRPr="00821920">
        <w:rPr>
          <w:color w:val="4F81BD" w:themeColor="accent1"/>
        </w:rPr>
        <w:t xml:space="preserve">Quantity – </w:t>
      </w:r>
      <w:r w:rsidR="00757873">
        <w:rPr>
          <w:color w:val="4F81BD" w:themeColor="accent1"/>
        </w:rPr>
        <w:t>In</w:t>
      </w:r>
      <w:r w:rsidR="00F82B2E" w:rsidRPr="00F82B2E">
        <w:rPr>
          <w:color w:val="4F81BD" w:themeColor="accent1"/>
        </w:rPr>
        <w:t xml:space="preserve"> </w:t>
      </w:r>
      <w:r w:rsidR="00757873">
        <w:rPr>
          <w:color w:val="4F81BD" w:themeColor="accent1"/>
        </w:rPr>
        <w:t>many</w:t>
      </w:r>
      <w:r w:rsidR="00F82B2E" w:rsidRPr="00F82B2E">
        <w:rPr>
          <w:color w:val="4F81BD" w:themeColor="accent1"/>
        </w:rPr>
        <w:t xml:space="preserve"> cases</w:t>
      </w:r>
      <w:r w:rsidR="00757873">
        <w:rPr>
          <w:color w:val="4F81BD" w:themeColor="accent1"/>
        </w:rPr>
        <w:t>,</w:t>
      </w:r>
      <w:r w:rsidR="00F82B2E" w:rsidRPr="00F82B2E">
        <w:rPr>
          <w:color w:val="4F81BD" w:themeColor="accent1"/>
        </w:rPr>
        <w:t xml:space="preserve"> the service will be del</w:t>
      </w:r>
      <w:r w:rsidR="00F82B2E">
        <w:rPr>
          <w:color w:val="4F81BD" w:themeColor="accent1"/>
        </w:rPr>
        <w:t>ivered once only in a lifetime.</w:t>
      </w:r>
      <w:r w:rsidR="00F82B2E" w:rsidRPr="00F82B2E">
        <w:rPr>
          <w:color w:val="4F81BD" w:themeColor="accent1"/>
        </w:rPr>
        <w:t xml:space="preserve"> However, there may be occasions when </w:t>
      </w:r>
      <w:r w:rsidR="00757873">
        <w:rPr>
          <w:color w:val="4F81BD" w:themeColor="accent1"/>
        </w:rPr>
        <w:t>the service is delivered twice.</w:t>
      </w:r>
      <w:r w:rsidR="00F82B2E" w:rsidRPr="00F82B2E">
        <w:rPr>
          <w:color w:val="4F81BD" w:themeColor="accent1"/>
        </w:rPr>
        <w:t xml:space="preserve"> This may occur when the service is delivered in separate administrations to individual lobes of the liver</w:t>
      </w:r>
      <w:r w:rsidR="00F82B2E">
        <w:rPr>
          <w:color w:val="4F81BD" w:themeColor="accent1"/>
        </w:rPr>
        <w:t>,</w:t>
      </w:r>
      <w:r w:rsidR="00F82B2E" w:rsidRPr="00F82B2E">
        <w:rPr>
          <w:color w:val="4F81BD" w:themeColor="accent1"/>
        </w:rPr>
        <w:t xml:space="preserve"> or in the case where a patient responds well and upon disease recurrence or new tumours, treatment is repeated</w:t>
      </w:r>
      <w:r w:rsidR="00F82B2E">
        <w:rPr>
          <w:color w:val="4F81BD" w:themeColor="accent1"/>
        </w:rPr>
        <w:t>.</w:t>
      </w:r>
      <w:r w:rsidR="00F82B2E" w:rsidRPr="00F82B2E">
        <w:rPr>
          <w:color w:val="4F81BD" w:themeColor="accent1"/>
        </w:rPr>
        <w:t xml:space="preserve"> Patients receive on average 1.8 treatments per lifetime.</w:t>
      </w:r>
      <w:r w:rsidR="00F82B2E">
        <w:rPr>
          <w:color w:val="4F81BD" w:themeColor="accent1"/>
        </w:rPr>
        <w:t xml:space="preserve"> </w:t>
      </w:r>
    </w:p>
    <w:p w:rsidR="001A3977" w:rsidRPr="00821920" w:rsidRDefault="001A3977" w:rsidP="005D05D5">
      <w:pPr>
        <w:pStyle w:val="ListParagraph"/>
        <w:numPr>
          <w:ilvl w:val="0"/>
          <w:numId w:val="21"/>
        </w:numPr>
        <w:rPr>
          <w:color w:val="4F81BD" w:themeColor="accent1"/>
          <w:szCs w:val="20"/>
        </w:rPr>
      </w:pPr>
      <w:r w:rsidRPr="00821920">
        <w:rPr>
          <w:color w:val="4F81BD" w:themeColor="accent1"/>
          <w:szCs w:val="20"/>
        </w:rPr>
        <w:t>Frequency</w:t>
      </w:r>
      <w:r w:rsidR="008E4A1A" w:rsidRPr="00821920">
        <w:rPr>
          <w:color w:val="4F81BD" w:themeColor="accent1"/>
          <w:szCs w:val="20"/>
        </w:rPr>
        <w:t xml:space="preserve"> – </w:t>
      </w:r>
      <w:r w:rsidRPr="00821920">
        <w:rPr>
          <w:color w:val="4F81BD" w:themeColor="accent1"/>
          <w:szCs w:val="20"/>
        </w:rPr>
        <w:t xml:space="preserve">follow-up occurs </w:t>
      </w:r>
      <w:r w:rsidR="008E4A1A" w:rsidRPr="00821920">
        <w:rPr>
          <w:color w:val="4F81BD" w:themeColor="accent1"/>
          <w:szCs w:val="20"/>
        </w:rPr>
        <w:t xml:space="preserve">no earlier than </w:t>
      </w:r>
      <w:r w:rsidRPr="00821920">
        <w:rPr>
          <w:color w:val="4F81BD" w:themeColor="accent1"/>
          <w:szCs w:val="20"/>
        </w:rPr>
        <w:t xml:space="preserve">30 days after initial treatment and </w:t>
      </w:r>
      <w:r w:rsidR="008E4A1A" w:rsidRPr="00821920">
        <w:rPr>
          <w:color w:val="4F81BD" w:themeColor="accent1"/>
          <w:szCs w:val="20"/>
        </w:rPr>
        <w:t>at this stage administration to another lobe, or a subsequent administration, may be considered and planned. Reasons for not continuing with treatment may include: (</w:t>
      </w:r>
      <w:proofErr w:type="spellStart"/>
      <w:r w:rsidR="008E4A1A" w:rsidRPr="00821920">
        <w:rPr>
          <w:color w:val="4F81BD" w:themeColor="accent1"/>
          <w:szCs w:val="20"/>
        </w:rPr>
        <w:t>i</w:t>
      </w:r>
      <w:proofErr w:type="spellEnd"/>
      <w:r w:rsidR="008E4A1A" w:rsidRPr="00821920">
        <w:rPr>
          <w:color w:val="4F81BD" w:themeColor="accent1"/>
          <w:szCs w:val="20"/>
        </w:rPr>
        <w:t xml:space="preserve">) progression in the treated area implying radiation resistance; (ii) development of significant </w:t>
      </w:r>
      <w:proofErr w:type="spellStart"/>
      <w:r w:rsidR="008E4A1A" w:rsidRPr="00821920">
        <w:rPr>
          <w:color w:val="4F81BD" w:themeColor="accent1"/>
          <w:szCs w:val="20"/>
        </w:rPr>
        <w:t>extrahepatic</w:t>
      </w:r>
      <w:proofErr w:type="spellEnd"/>
      <w:r w:rsidR="008E4A1A" w:rsidRPr="00821920">
        <w:rPr>
          <w:color w:val="4F81BD" w:themeColor="accent1"/>
          <w:szCs w:val="20"/>
        </w:rPr>
        <w:t xml:space="preserve"> disease; (iii) worsening of liver function; </w:t>
      </w:r>
      <w:proofErr w:type="gramStart"/>
      <w:r w:rsidR="008E4A1A" w:rsidRPr="00821920">
        <w:rPr>
          <w:color w:val="4F81BD" w:themeColor="accent1"/>
          <w:szCs w:val="20"/>
        </w:rPr>
        <w:t>(iv) worsening</w:t>
      </w:r>
      <w:proofErr w:type="gramEnd"/>
      <w:r w:rsidR="008E4A1A" w:rsidRPr="00821920">
        <w:rPr>
          <w:color w:val="4F81BD" w:themeColor="accent1"/>
          <w:szCs w:val="20"/>
        </w:rPr>
        <w:t xml:space="preserve"> of performance status. </w:t>
      </w:r>
    </w:p>
    <w:p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791C8D" w:rsidRPr="00CD5DD7" w:rsidRDefault="00CD5DD7" w:rsidP="00884E69">
      <w:pPr>
        <w:ind w:left="426"/>
        <w:rPr>
          <w:color w:val="4F81BD" w:themeColor="accent1"/>
        </w:rPr>
      </w:pPr>
      <w:r w:rsidRPr="00CD5DD7">
        <w:rPr>
          <w:color w:val="4F81BD" w:themeColor="accent1"/>
        </w:rPr>
        <w:t>Other resources/services required at the same time as proposed medical services include:</w:t>
      </w:r>
    </w:p>
    <w:p w:rsidR="00CD5DD7" w:rsidRPr="00CD5DD7" w:rsidRDefault="00CD5DD7" w:rsidP="00CD5DD7">
      <w:pPr>
        <w:pStyle w:val="ListParagraph"/>
        <w:numPr>
          <w:ilvl w:val="0"/>
          <w:numId w:val="21"/>
        </w:numPr>
        <w:rPr>
          <w:color w:val="4F81BD" w:themeColor="accent1"/>
          <w:szCs w:val="20"/>
        </w:rPr>
      </w:pPr>
      <w:r w:rsidRPr="00CD5DD7">
        <w:rPr>
          <w:color w:val="4F81BD" w:themeColor="accent1"/>
          <w:szCs w:val="20"/>
        </w:rPr>
        <w:t>Drugs including a pre-treatment H2 antag</w:t>
      </w:r>
      <w:r w:rsidR="00972C6A">
        <w:rPr>
          <w:color w:val="4F81BD" w:themeColor="accent1"/>
          <w:szCs w:val="20"/>
        </w:rPr>
        <w:t xml:space="preserve">onist or proton pump inhibitor and </w:t>
      </w:r>
      <w:r w:rsidRPr="00CD5DD7">
        <w:rPr>
          <w:color w:val="4F81BD" w:themeColor="accent1"/>
          <w:szCs w:val="20"/>
        </w:rPr>
        <w:t>pain medication</w:t>
      </w:r>
    </w:p>
    <w:p w:rsidR="00CD5DD7" w:rsidRPr="00CD5DD7" w:rsidRDefault="00CD5DD7" w:rsidP="00CD5DD7">
      <w:pPr>
        <w:pStyle w:val="ListParagraph"/>
        <w:numPr>
          <w:ilvl w:val="0"/>
          <w:numId w:val="21"/>
        </w:numPr>
        <w:rPr>
          <w:color w:val="4F81BD" w:themeColor="accent1"/>
          <w:szCs w:val="20"/>
        </w:rPr>
      </w:pPr>
      <w:r w:rsidRPr="00CD5DD7">
        <w:rPr>
          <w:color w:val="4F81BD" w:themeColor="accent1"/>
          <w:szCs w:val="20"/>
        </w:rPr>
        <w:t>Hospitalisation during and after the implantation of the Y-90 microspheres</w:t>
      </w:r>
    </w:p>
    <w:p w:rsidR="00CD5DD7" w:rsidRPr="00CD5DD7" w:rsidRDefault="00CD5DD7" w:rsidP="00CD5DD7">
      <w:pPr>
        <w:pStyle w:val="ListParagraph"/>
        <w:numPr>
          <w:ilvl w:val="0"/>
          <w:numId w:val="21"/>
        </w:numPr>
        <w:rPr>
          <w:color w:val="4F81BD" w:themeColor="accent1"/>
          <w:szCs w:val="20"/>
        </w:rPr>
      </w:pPr>
      <w:r w:rsidRPr="00CD5DD7">
        <w:rPr>
          <w:color w:val="4F81BD" w:themeColor="accent1"/>
          <w:szCs w:val="20"/>
        </w:rPr>
        <w:t xml:space="preserve">The Y-90 microspheres. </w:t>
      </w:r>
    </w:p>
    <w:p w:rsidR="00B17E26"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4E1B85" w:rsidRPr="001964C7" w:rsidRDefault="00F74B19" w:rsidP="00F74B19">
      <w:pPr>
        <w:ind w:left="360"/>
        <w:rPr>
          <w:color w:val="4F81BD" w:themeColor="accent1"/>
        </w:rPr>
      </w:pPr>
      <w:r w:rsidRPr="001964C7">
        <w:rPr>
          <w:color w:val="4F81BD" w:themeColor="accent1"/>
        </w:rPr>
        <w:t>Interventional radiologist</w:t>
      </w:r>
    </w:p>
    <w:p w:rsidR="00B17E26"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740E69" w:rsidRPr="00CD5DD7" w:rsidRDefault="00CD5DD7" w:rsidP="00740E69">
      <w:pPr>
        <w:ind w:left="360"/>
        <w:rPr>
          <w:color w:val="4F81BD" w:themeColor="accent1"/>
        </w:rPr>
      </w:pPr>
      <w:r w:rsidRPr="00CD5DD7">
        <w:rPr>
          <w:color w:val="4F81BD" w:themeColor="accent1"/>
        </w:rPr>
        <w:t>Not applicable</w:t>
      </w:r>
      <w:r w:rsidR="001E1372">
        <w:rPr>
          <w:color w:val="4F81BD" w:themeColor="accent1"/>
        </w:rPr>
        <w:t>.</w:t>
      </w:r>
      <w:r w:rsidR="0030556A">
        <w:rPr>
          <w:color w:val="4F81BD" w:themeColor="accent1"/>
        </w:rPr>
        <w:t xml:space="preserve"> The service cannot be delegated or referred to another professional; only the interventional radiologist can conduct the implant of microspheres. </w:t>
      </w:r>
    </w:p>
    <w:p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740E69" w:rsidRDefault="00CD5DD7" w:rsidP="00740E69">
      <w:pPr>
        <w:ind w:left="360"/>
        <w:rPr>
          <w:color w:val="4F81BD" w:themeColor="accent1"/>
          <w:szCs w:val="20"/>
        </w:rPr>
      </w:pPr>
      <w:r w:rsidRPr="00CD5DD7">
        <w:rPr>
          <w:color w:val="4F81BD" w:themeColor="accent1"/>
          <w:szCs w:val="20"/>
        </w:rPr>
        <w:t>As noted in the current MBS item (35406) for administration of SIR-Spheres in patients with hepatic metastases secondary to colorectal cancer, and the proposed MBS item for administration of TARE-Y using resin or glass microspheres, “the procedure must be performed by a specialist or consultant physician recognised in the specialties of nuclear medicine or radiation oncology on an admitted patient in a hospital.”</w:t>
      </w:r>
    </w:p>
    <w:p w:rsidR="00CD5DD7" w:rsidRPr="00CD5DD7" w:rsidRDefault="00CA27D5" w:rsidP="00740E69">
      <w:pPr>
        <w:ind w:left="360"/>
        <w:rPr>
          <w:color w:val="4F81BD" w:themeColor="accent1"/>
          <w:szCs w:val="20"/>
        </w:rPr>
      </w:pPr>
      <w:r>
        <w:rPr>
          <w:color w:val="4F81BD" w:themeColor="accent1"/>
          <w:szCs w:val="20"/>
        </w:rPr>
        <w:t xml:space="preserve">Referral for this service would be limited to specialist physicians including </w:t>
      </w:r>
      <w:r w:rsidR="0030556A">
        <w:rPr>
          <w:color w:val="4F81BD" w:themeColor="accent1"/>
          <w:szCs w:val="20"/>
        </w:rPr>
        <w:t xml:space="preserve">gastroenterologists, </w:t>
      </w:r>
      <w:proofErr w:type="spellStart"/>
      <w:r>
        <w:rPr>
          <w:color w:val="4F81BD" w:themeColor="accent1"/>
          <w:szCs w:val="20"/>
        </w:rPr>
        <w:t>hepatologists</w:t>
      </w:r>
      <w:proofErr w:type="spellEnd"/>
      <w:r>
        <w:rPr>
          <w:color w:val="4F81BD" w:themeColor="accent1"/>
          <w:szCs w:val="20"/>
        </w:rPr>
        <w:t>, medical oncologists and surgeons.</w:t>
      </w:r>
    </w:p>
    <w:p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740E69" w:rsidRPr="00F82B2E" w:rsidRDefault="00740E69" w:rsidP="00740E69">
      <w:pPr>
        <w:ind w:left="426"/>
        <w:rPr>
          <w:color w:val="4F81BD" w:themeColor="accent1"/>
        </w:rPr>
      </w:pPr>
      <w:r w:rsidRPr="00F82B2E">
        <w:rPr>
          <w:color w:val="4F81BD" w:themeColor="accent1"/>
        </w:rPr>
        <w:t xml:space="preserve">Interventional </w:t>
      </w:r>
      <w:r w:rsidR="003277B1">
        <w:rPr>
          <w:color w:val="4F81BD" w:themeColor="accent1"/>
        </w:rPr>
        <w:t>r</w:t>
      </w:r>
      <w:r w:rsidRPr="00F82B2E">
        <w:rPr>
          <w:color w:val="4F81BD" w:themeColor="accent1"/>
        </w:rPr>
        <w:t xml:space="preserve">adiologists are required to </w:t>
      </w:r>
      <w:r>
        <w:rPr>
          <w:color w:val="4F81BD" w:themeColor="accent1"/>
        </w:rPr>
        <w:t xml:space="preserve">be trained in the use of </w:t>
      </w:r>
      <w:proofErr w:type="spellStart"/>
      <w:r>
        <w:rPr>
          <w:color w:val="4F81BD" w:themeColor="accent1"/>
        </w:rPr>
        <w:t>TheraS</w:t>
      </w:r>
      <w:r w:rsidRPr="00F82B2E">
        <w:rPr>
          <w:color w:val="4F81BD" w:themeColor="accent1"/>
        </w:rPr>
        <w:t>phere</w:t>
      </w:r>
      <w:proofErr w:type="spellEnd"/>
      <w:r>
        <w:rPr>
          <w:color w:val="4F81BD" w:themeColor="accent1"/>
        </w:rPr>
        <w:t xml:space="preserve"> and SIR-Spheres</w:t>
      </w:r>
      <w:r w:rsidRPr="00F82B2E">
        <w:rPr>
          <w:color w:val="4F81BD" w:themeColor="accent1"/>
        </w:rPr>
        <w:t xml:space="preserve">.  Training covers patient selection via clinical outcomes review, </w:t>
      </w:r>
      <w:proofErr w:type="spellStart"/>
      <w:r w:rsidRPr="00F82B2E">
        <w:rPr>
          <w:color w:val="4F81BD" w:themeColor="accent1"/>
        </w:rPr>
        <w:t>dosimetry</w:t>
      </w:r>
      <w:proofErr w:type="spellEnd"/>
      <w:r w:rsidRPr="00F82B2E">
        <w:rPr>
          <w:color w:val="4F81BD" w:themeColor="accent1"/>
        </w:rPr>
        <w:t xml:space="preserve">/treatment planning, infusion techniques and radiation safety. The training is supplied by the </w:t>
      </w:r>
      <w:r>
        <w:rPr>
          <w:color w:val="4F81BD" w:themeColor="accent1"/>
        </w:rPr>
        <w:t xml:space="preserve">relevant </w:t>
      </w:r>
      <w:r w:rsidRPr="00F82B2E">
        <w:rPr>
          <w:color w:val="4F81BD" w:themeColor="accent1"/>
        </w:rPr>
        <w:t xml:space="preserve">company </w:t>
      </w:r>
      <w:r>
        <w:rPr>
          <w:color w:val="4F81BD" w:themeColor="accent1"/>
        </w:rPr>
        <w:t xml:space="preserve">(BTG and </w:t>
      </w:r>
      <w:proofErr w:type="spellStart"/>
      <w:r>
        <w:rPr>
          <w:color w:val="4F81BD" w:themeColor="accent1"/>
        </w:rPr>
        <w:t>Sirtex</w:t>
      </w:r>
      <w:proofErr w:type="spellEnd"/>
      <w:r>
        <w:rPr>
          <w:color w:val="4F81BD" w:themeColor="accent1"/>
        </w:rPr>
        <w:t xml:space="preserve">) </w:t>
      </w:r>
      <w:r w:rsidRPr="00F82B2E">
        <w:rPr>
          <w:color w:val="4F81BD" w:themeColor="accent1"/>
        </w:rPr>
        <w:t xml:space="preserve">and no cost to the hospital is incurred. No capital purchase is required by the hospital. </w:t>
      </w:r>
    </w:p>
    <w:p w:rsidR="00CD5DD7" w:rsidRDefault="00CD5DD7" w:rsidP="00CD5DD7">
      <w:pPr>
        <w:pStyle w:val="Heading2"/>
      </w:pPr>
      <w:r>
        <w:t>(</w:t>
      </w:r>
      <w:proofErr w:type="gramStart"/>
      <w:r>
        <w:t>a</w:t>
      </w:r>
      <w:proofErr w:type="gramEnd"/>
      <w:r>
        <w:t xml:space="preserve">) </w:t>
      </w:r>
      <w:r w:rsidRPr="00154B00">
        <w:t>Indicate the proposed setting</w:t>
      </w:r>
      <w:r>
        <w:t>(</w:t>
      </w:r>
      <w:r w:rsidRPr="00154B00">
        <w:t>s</w:t>
      </w:r>
      <w:r>
        <w:t>)</w:t>
      </w:r>
      <w:r w:rsidRPr="00154B00">
        <w:t xml:space="preserve"> in which the proposed medical service will be delivered</w:t>
      </w:r>
      <w:r>
        <w:t xml:space="preserve"> (select all relevant settings):</w:t>
      </w:r>
    </w:p>
    <w:p w:rsidR="00CD5DD7" w:rsidRPr="00892D90" w:rsidRDefault="00CD5DD7" w:rsidP="00CD5DD7">
      <w:pPr>
        <w:ind w:left="426"/>
        <w:rPr>
          <w:b/>
          <w:color w:val="4F81BD" w:themeColor="accent1"/>
          <w:szCs w:val="20"/>
        </w:rPr>
      </w:pPr>
      <w:r w:rsidRPr="00892D90">
        <w:rPr>
          <w:color w:val="4F81BD" w:themeColor="accent1"/>
        </w:rPr>
        <w:t xml:space="preserve">The service can be provided in both the public and private hospital sector.  The requirement for an inpatient service is that the pre-treatment screening and treatment itself requires the administration of radioactive substances.  The patient will require appropriate monitoring following the procedure and to </w:t>
      </w:r>
      <w:r w:rsidRPr="00892D90">
        <w:rPr>
          <w:color w:val="4F81BD" w:themeColor="accent1"/>
        </w:rPr>
        <w:lastRenderedPageBreak/>
        <w:t xml:space="preserve">ensure that patient and radiation safety requirements are met, the service is most reasonably delivered in an inpatient setting.  The facility will require a license to receive, handle, store and manage radioactive waste disposal.  The need for overnight versus </w:t>
      </w:r>
      <w:r>
        <w:rPr>
          <w:color w:val="4F81BD" w:themeColor="accent1"/>
        </w:rPr>
        <w:t xml:space="preserve">day-only </w:t>
      </w:r>
      <w:r w:rsidRPr="00892D90">
        <w:rPr>
          <w:color w:val="4F81BD" w:themeColor="accent1"/>
        </w:rPr>
        <w:t>service is primarily determined by the nuclear medicine requirements of the hospital and regional regulations.</w:t>
      </w:r>
    </w:p>
    <w:p w:rsidR="00CD5DD7" w:rsidRPr="00821920" w:rsidRDefault="00CD5DD7" w:rsidP="00CD5DD7">
      <w:pPr>
        <w:spacing w:before="0" w:after="0"/>
        <w:ind w:left="426"/>
        <w:rPr>
          <w:color w:val="4F81BD" w:themeColor="accent1"/>
        </w:rPr>
      </w:pPr>
      <w:r w:rsidRPr="00821920">
        <w:rPr>
          <w:color w:val="4F81BD" w:themeColor="accent1"/>
          <w:szCs w:val="20"/>
        </w:rPr>
        <w:sym w:font="Wingdings" w:char="F078"/>
      </w:r>
      <w:r w:rsidRPr="00821920">
        <w:rPr>
          <w:color w:val="4F81BD" w:themeColor="accent1"/>
          <w:szCs w:val="20"/>
        </w:rPr>
        <w:t xml:space="preserve"> </w:t>
      </w:r>
      <w:r w:rsidRPr="00821920">
        <w:rPr>
          <w:color w:val="4F81BD" w:themeColor="accent1"/>
        </w:rPr>
        <w:t>Inpatient private hospital</w:t>
      </w:r>
    </w:p>
    <w:p w:rsidR="00CD5DD7" w:rsidRPr="00821920" w:rsidRDefault="00CD5DD7" w:rsidP="00CD5DD7">
      <w:pPr>
        <w:spacing w:before="0" w:after="0"/>
        <w:ind w:left="426"/>
        <w:rPr>
          <w:color w:val="4F81BD" w:themeColor="accent1"/>
        </w:rPr>
      </w:pPr>
      <w:r w:rsidRPr="00821920">
        <w:rPr>
          <w:color w:val="4F81BD" w:themeColor="accent1"/>
          <w:szCs w:val="20"/>
        </w:rPr>
        <w:sym w:font="Wingdings" w:char="F078"/>
      </w:r>
      <w:r w:rsidRPr="00821920">
        <w:rPr>
          <w:color w:val="4F81BD" w:themeColor="accent1"/>
          <w:szCs w:val="20"/>
        </w:rPr>
        <w:t xml:space="preserve"> </w:t>
      </w:r>
      <w:r w:rsidRPr="00821920">
        <w:rPr>
          <w:color w:val="4F81BD" w:themeColor="accent1"/>
        </w:rPr>
        <w:t>Inpatient public hospital</w:t>
      </w:r>
    </w:p>
    <w:p w:rsidR="00CD5DD7" w:rsidRPr="00740E69" w:rsidRDefault="00CD5DD7" w:rsidP="00CD5DD7">
      <w:pPr>
        <w:spacing w:before="0" w:after="0"/>
        <w:ind w:left="426"/>
        <w:rPr>
          <w:color w:val="4F81BD" w:themeColor="accent1"/>
        </w:rPr>
      </w:pPr>
      <w:r w:rsidRPr="00740E69">
        <w:rPr>
          <w:color w:val="4F81BD" w:themeColor="accent1"/>
          <w:szCs w:val="20"/>
        </w:rPr>
        <w:sym w:font="Wingdings" w:char="F078"/>
      </w:r>
      <w:r w:rsidRPr="00740E69">
        <w:rPr>
          <w:color w:val="4F81BD" w:themeColor="accent1"/>
          <w:szCs w:val="20"/>
        </w:rPr>
        <w:t xml:space="preserve"> </w:t>
      </w:r>
      <w:r w:rsidRPr="00740E69">
        <w:rPr>
          <w:color w:val="4F81BD" w:themeColor="accent1"/>
        </w:rPr>
        <w:t>Outpatient clinic</w:t>
      </w:r>
      <w:r>
        <w:rPr>
          <w:color w:val="4F81BD" w:themeColor="accent1"/>
        </w:rPr>
        <w:t xml:space="preserve"> – but only where they have capacity for nuclear medicine licensing or affiliation with a local hospital, and capacity to perform interventional radiology. </w:t>
      </w:r>
    </w:p>
    <w:p w:rsidR="00CD5DD7" w:rsidRDefault="00CD5DD7" w:rsidP="00CD5DD7">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Pr>
          <w:szCs w:val="20"/>
        </w:rPr>
        <w:t xml:space="preserve"> </w:t>
      </w:r>
      <w:r>
        <w:t>Emergency Department</w:t>
      </w:r>
    </w:p>
    <w:p w:rsidR="00CD5DD7" w:rsidRDefault="00CD5DD7" w:rsidP="00CD5DD7">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Pr>
          <w:szCs w:val="20"/>
        </w:rPr>
        <w:t xml:space="preserve"> </w:t>
      </w:r>
      <w:r>
        <w:t>Consulting rooms</w:t>
      </w:r>
    </w:p>
    <w:p w:rsidR="00CD5DD7" w:rsidRDefault="00CD5DD7" w:rsidP="00CD5DD7">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Pr>
          <w:szCs w:val="20"/>
        </w:rPr>
        <w:t xml:space="preserve"> </w:t>
      </w:r>
      <w:r>
        <w:t>Day surgery centre</w:t>
      </w:r>
    </w:p>
    <w:p w:rsidR="00CD5DD7" w:rsidRDefault="00CD5DD7" w:rsidP="00CD5DD7">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Pr>
          <w:szCs w:val="20"/>
        </w:rPr>
        <w:t xml:space="preserve"> </w:t>
      </w:r>
      <w:r>
        <w:t>Residential aged care facility</w:t>
      </w:r>
    </w:p>
    <w:p w:rsidR="00CD5DD7" w:rsidRDefault="00CD5DD7" w:rsidP="00CD5DD7">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Pr>
          <w:szCs w:val="20"/>
        </w:rPr>
        <w:t xml:space="preserve"> </w:t>
      </w:r>
      <w:r>
        <w:t>Patient’s home</w:t>
      </w:r>
    </w:p>
    <w:p w:rsidR="00CD5DD7" w:rsidRDefault="00CD5DD7" w:rsidP="00CD5DD7">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Pr>
          <w:szCs w:val="20"/>
        </w:rPr>
        <w:t xml:space="preserve"> </w:t>
      </w:r>
      <w:r>
        <w:t>Laboratory</w:t>
      </w:r>
    </w:p>
    <w:p w:rsidR="00CD5DD7" w:rsidRPr="000A478F" w:rsidRDefault="00CD5DD7" w:rsidP="00CD5DD7">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E4ED7">
        <w:rPr>
          <w:szCs w:val="20"/>
        </w:rPr>
      </w:r>
      <w:r w:rsidR="00DE4ED7">
        <w:rPr>
          <w:szCs w:val="20"/>
        </w:rPr>
        <w:fldChar w:fldCharType="separate"/>
      </w:r>
      <w:r w:rsidRPr="000A5B32">
        <w:rPr>
          <w:szCs w:val="20"/>
        </w:rPr>
        <w:fldChar w:fldCharType="end"/>
      </w:r>
      <w:r>
        <w:rPr>
          <w:szCs w:val="20"/>
        </w:rPr>
        <w:t xml:space="preserve"> </w:t>
      </w:r>
      <w:r>
        <w:t>Other – please specify below</w:t>
      </w:r>
    </w:p>
    <w:p w:rsidR="00CD5DD7" w:rsidRPr="005C3AE7" w:rsidRDefault="00CD5DD7" w:rsidP="00CD5DD7">
      <w:pPr>
        <w:pStyle w:val="ListParagraph"/>
        <w:numPr>
          <w:ilvl w:val="0"/>
          <w:numId w:val="8"/>
        </w:numPr>
        <w:rPr>
          <w:b/>
          <w:szCs w:val="20"/>
        </w:rPr>
      </w:pPr>
      <w:r w:rsidRPr="005C3AE7">
        <w:rPr>
          <w:b/>
          <w:szCs w:val="20"/>
        </w:rPr>
        <w:t>Where the proposed medical service is provided in more than one setting, please describe the rationale related to each:</w:t>
      </w:r>
    </w:p>
    <w:p w:rsidR="00CD5DD7" w:rsidRPr="00821920" w:rsidRDefault="00CD5DD7" w:rsidP="00CD5DD7">
      <w:pPr>
        <w:ind w:left="426"/>
        <w:rPr>
          <w:b/>
          <w:color w:val="4F81BD" w:themeColor="accent1"/>
          <w:szCs w:val="20"/>
        </w:rPr>
      </w:pPr>
      <w:r>
        <w:rPr>
          <w:color w:val="4F81BD" w:themeColor="accent1"/>
        </w:rPr>
        <w:t>Not applicable</w:t>
      </w:r>
    </w:p>
    <w:p w:rsidR="003E30FB" w:rsidRDefault="003E30FB" w:rsidP="00530204">
      <w:pPr>
        <w:pStyle w:val="Heading2"/>
      </w:pPr>
      <w:r>
        <w:t xml:space="preserve">Is the </w:t>
      </w:r>
      <w:r w:rsidRPr="001B29A1">
        <w:t>proposed</w:t>
      </w:r>
      <w:r>
        <w:t xml:space="preserve"> medical service intended to be entirely rendered in Australia?</w:t>
      </w:r>
    </w:p>
    <w:p w:rsidR="000A478F" w:rsidRPr="0042206F" w:rsidRDefault="0042206F" w:rsidP="000A478F">
      <w:pPr>
        <w:spacing w:before="0" w:after="0"/>
        <w:ind w:left="426"/>
        <w:rPr>
          <w:color w:val="4F81BD" w:themeColor="accent1"/>
          <w:szCs w:val="20"/>
        </w:rPr>
      </w:pPr>
      <w:r w:rsidRPr="0042206F">
        <w:rPr>
          <w:color w:val="4F81BD" w:themeColor="accent1"/>
          <w:szCs w:val="20"/>
        </w:rPr>
        <w:sym w:font="Wingdings" w:char="F078"/>
      </w:r>
      <w:r w:rsidR="000A478F" w:rsidRPr="0042206F">
        <w:rPr>
          <w:color w:val="4F81BD" w:themeColor="accent1"/>
          <w:szCs w:val="20"/>
        </w:rPr>
        <w:t xml:space="preserve"> Yes</w:t>
      </w:r>
    </w:p>
    <w:p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E4ED7">
        <w:rPr>
          <w:szCs w:val="20"/>
        </w:rPr>
      </w:r>
      <w:r w:rsidR="00DE4ED7">
        <w:rPr>
          <w:szCs w:val="20"/>
        </w:rPr>
        <w:fldChar w:fldCharType="separate"/>
      </w:r>
      <w:r w:rsidRPr="00753C44">
        <w:rPr>
          <w:szCs w:val="20"/>
        </w:rPr>
        <w:fldChar w:fldCharType="end"/>
      </w:r>
      <w:r>
        <w:rPr>
          <w:szCs w:val="20"/>
        </w:rPr>
        <w:t xml:space="preserve"> No</w:t>
      </w:r>
      <w:r w:rsidR="00C4696B">
        <w:rPr>
          <w:szCs w:val="20"/>
        </w:rPr>
        <w:t xml:space="preserve"> – please specify below</w:t>
      </w:r>
    </w:p>
    <w:p w:rsidR="003E30FB" w:rsidRPr="000A478F" w:rsidRDefault="001B29A1" w:rsidP="000A478F">
      <w:pPr>
        <w:ind w:left="426"/>
      </w:pPr>
      <w:r>
        <w:fldChar w:fldCharType="begin">
          <w:ffData>
            <w:name w:val="Text1"/>
            <w:enabled/>
            <w:calcOnExit w:val="0"/>
            <w:textInput>
              <w:default w:val="Specify further details here"/>
            </w:textInput>
          </w:ffData>
        </w:fldChar>
      </w:r>
      <w:bookmarkStart w:id="3" w:name="Text1"/>
      <w:r>
        <w:instrText xml:space="preserve"> FORMTEXT </w:instrText>
      </w:r>
      <w:r>
        <w:fldChar w:fldCharType="separate"/>
      </w:r>
      <w:r>
        <w:rPr>
          <w:noProof/>
        </w:rPr>
        <w:t>Specify further details here</w:t>
      </w:r>
      <w:r>
        <w:fldChar w:fldCharType="end"/>
      </w:r>
      <w:bookmarkEnd w:id="3"/>
    </w:p>
    <w:p w:rsidR="000A478F" w:rsidRDefault="000A478F" w:rsidP="00881F93">
      <w:pPr>
        <w:rPr>
          <w:b/>
          <w:i/>
          <w:szCs w:val="20"/>
          <w:u w:val="single"/>
        </w:rPr>
      </w:pPr>
      <w:r>
        <w:rPr>
          <w:b/>
          <w:i/>
          <w:szCs w:val="20"/>
          <w:u w:val="single"/>
        </w:rPr>
        <w:br w:type="page"/>
      </w:r>
    </w:p>
    <w:p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E60529" w:rsidRPr="00B305C8" w:rsidRDefault="0044798A" w:rsidP="001B29A1">
      <w:pPr>
        <w:ind w:left="426"/>
        <w:rPr>
          <w:color w:val="4F81BD" w:themeColor="accent1"/>
        </w:rPr>
      </w:pPr>
      <w:r w:rsidRPr="00B305C8">
        <w:rPr>
          <w:color w:val="4F81BD" w:themeColor="accent1"/>
        </w:rPr>
        <w:t>According to the BCLC management pathway, and the interim results of a clinician survey, t</w:t>
      </w:r>
      <w:r w:rsidR="0042206F" w:rsidRPr="00B305C8">
        <w:rPr>
          <w:color w:val="4F81BD" w:themeColor="accent1"/>
        </w:rPr>
        <w:t xml:space="preserve">he most commonly used treatments for </w:t>
      </w:r>
      <w:r w:rsidR="007A4136" w:rsidRPr="00B305C8">
        <w:rPr>
          <w:color w:val="4F81BD" w:themeColor="accent1"/>
        </w:rPr>
        <w:t xml:space="preserve">unresectable </w:t>
      </w:r>
      <w:r w:rsidR="0042206F" w:rsidRPr="00B305C8">
        <w:rPr>
          <w:color w:val="4F81BD" w:themeColor="accent1"/>
        </w:rPr>
        <w:t xml:space="preserve">HCC are </w:t>
      </w:r>
      <w:r w:rsidR="0042206F" w:rsidRPr="00B305C8">
        <w:rPr>
          <w:b/>
          <w:color w:val="4F81BD" w:themeColor="accent1"/>
        </w:rPr>
        <w:t xml:space="preserve">TACE </w:t>
      </w:r>
      <w:r w:rsidR="007A4136" w:rsidRPr="00B305C8">
        <w:rPr>
          <w:color w:val="4F81BD" w:themeColor="accent1"/>
        </w:rPr>
        <w:t xml:space="preserve">and </w:t>
      </w:r>
      <w:proofErr w:type="spellStart"/>
      <w:r w:rsidR="0042206F" w:rsidRPr="00B305C8">
        <w:rPr>
          <w:b/>
          <w:color w:val="4F81BD" w:themeColor="accent1"/>
        </w:rPr>
        <w:t>sorafenib</w:t>
      </w:r>
      <w:proofErr w:type="spellEnd"/>
      <w:r w:rsidR="00CA27D5" w:rsidRPr="00B305C8">
        <w:rPr>
          <w:color w:val="4F81BD" w:themeColor="accent1"/>
        </w:rPr>
        <w:t xml:space="preserve">, with </w:t>
      </w:r>
      <w:r w:rsidR="00CA27D5" w:rsidRPr="00B305C8">
        <w:rPr>
          <w:b/>
          <w:color w:val="4F81BD" w:themeColor="accent1"/>
        </w:rPr>
        <w:t>drug-eluting bead-TACE (DEB-TACE)</w:t>
      </w:r>
      <w:r w:rsidR="00CA27D5" w:rsidRPr="00B305C8">
        <w:rPr>
          <w:color w:val="4F81BD" w:themeColor="accent1"/>
        </w:rPr>
        <w:t xml:space="preserve"> also used (although substantially less than conventional TACE).</w:t>
      </w:r>
      <w:r w:rsidR="0042206F" w:rsidRPr="00B305C8">
        <w:rPr>
          <w:color w:val="4F81BD" w:themeColor="accent1"/>
        </w:rPr>
        <w:t xml:space="preserve"> </w:t>
      </w:r>
      <w:r w:rsidR="00D66449" w:rsidRPr="00B305C8">
        <w:rPr>
          <w:color w:val="4F81BD" w:themeColor="accent1"/>
        </w:rPr>
        <w:t>If</w:t>
      </w:r>
      <w:r w:rsidR="0042206F" w:rsidRPr="00B305C8">
        <w:rPr>
          <w:color w:val="4F81BD" w:themeColor="accent1"/>
        </w:rPr>
        <w:t xml:space="preserve"> </w:t>
      </w:r>
      <w:r w:rsidR="00B40FDE" w:rsidRPr="00B305C8">
        <w:rPr>
          <w:color w:val="4F81BD" w:themeColor="accent1"/>
        </w:rPr>
        <w:t>TARE</w:t>
      </w:r>
      <w:r w:rsidR="0042206F" w:rsidRPr="00B305C8">
        <w:rPr>
          <w:color w:val="4F81BD" w:themeColor="accent1"/>
        </w:rPr>
        <w:t xml:space="preserve">-Y is limited to use in patients who </w:t>
      </w:r>
      <w:r w:rsidR="00D66449" w:rsidRPr="00B305C8">
        <w:rPr>
          <w:color w:val="4F81BD" w:themeColor="accent1"/>
        </w:rPr>
        <w:t>cannot tolerate or have</w:t>
      </w:r>
      <w:r w:rsidR="0042206F" w:rsidRPr="00B305C8">
        <w:rPr>
          <w:color w:val="4F81BD" w:themeColor="accent1"/>
        </w:rPr>
        <w:t xml:space="preserve"> failed </w:t>
      </w:r>
      <w:r w:rsidR="00D66449" w:rsidRPr="00B305C8">
        <w:rPr>
          <w:color w:val="4F81BD" w:themeColor="accent1"/>
        </w:rPr>
        <w:t xml:space="preserve">first-line </w:t>
      </w:r>
      <w:r w:rsidR="0042206F" w:rsidRPr="00B305C8">
        <w:rPr>
          <w:color w:val="4F81BD" w:themeColor="accent1"/>
        </w:rPr>
        <w:t>treatment with TACE</w:t>
      </w:r>
      <w:r w:rsidR="00FF6E02" w:rsidRPr="00B305C8">
        <w:rPr>
          <w:color w:val="4F81BD" w:themeColor="accent1"/>
        </w:rPr>
        <w:t>/DEB-TACE</w:t>
      </w:r>
      <w:r w:rsidR="0042206F" w:rsidRPr="00B305C8">
        <w:rPr>
          <w:color w:val="4F81BD" w:themeColor="accent1"/>
        </w:rPr>
        <w:t xml:space="preserve"> or </w:t>
      </w:r>
      <w:proofErr w:type="spellStart"/>
      <w:r w:rsidR="0042206F" w:rsidRPr="00B305C8">
        <w:rPr>
          <w:color w:val="4F81BD" w:themeColor="accent1"/>
        </w:rPr>
        <w:t>sorafenib</w:t>
      </w:r>
      <w:proofErr w:type="spellEnd"/>
      <w:r w:rsidR="0042206F" w:rsidRPr="00B305C8">
        <w:rPr>
          <w:color w:val="4F81BD" w:themeColor="accent1"/>
        </w:rPr>
        <w:t xml:space="preserve"> for</w:t>
      </w:r>
      <w:r w:rsidR="007A4136" w:rsidRPr="00B305C8">
        <w:rPr>
          <w:color w:val="4F81BD" w:themeColor="accent1"/>
        </w:rPr>
        <w:t xml:space="preserve"> unresectable </w:t>
      </w:r>
      <w:r w:rsidR="0042206F" w:rsidRPr="00B305C8">
        <w:rPr>
          <w:color w:val="4F81BD" w:themeColor="accent1"/>
        </w:rPr>
        <w:t>HCC, then</w:t>
      </w:r>
      <w:r w:rsidRPr="00B305C8">
        <w:rPr>
          <w:color w:val="4F81BD" w:themeColor="accent1"/>
        </w:rPr>
        <w:t xml:space="preserve"> </w:t>
      </w:r>
      <w:r w:rsidR="00D66449" w:rsidRPr="00B305C8">
        <w:rPr>
          <w:b/>
          <w:color w:val="4F81BD" w:themeColor="accent1"/>
        </w:rPr>
        <w:t>no therapy (or best supportive care)</w:t>
      </w:r>
      <w:r w:rsidR="00D66449" w:rsidRPr="00B305C8">
        <w:rPr>
          <w:color w:val="4F81BD" w:themeColor="accent1"/>
        </w:rPr>
        <w:t xml:space="preserve">, is the most appropriate comparator. </w:t>
      </w:r>
    </w:p>
    <w:p w:rsidR="00D66449" w:rsidRPr="00D66449" w:rsidRDefault="00D66449" w:rsidP="001B29A1">
      <w:pPr>
        <w:ind w:left="426"/>
        <w:rPr>
          <w:i/>
          <w:color w:val="4F81BD" w:themeColor="accent1"/>
        </w:rPr>
      </w:pPr>
      <w:r w:rsidRPr="00B305C8">
        <w:rPr>
          <w:i/>
          <w:color w:val="4F81BD" w:themeColor="accent1"/>
        </w:rPr>
        <w:t xml:space="preserve">While the main comparison will be no therapy/best supportive care, comparisons </w:t>
      </w:r>
      <w:r w:rsidR="00C1248B" w:rsidRPr="00B305C8">
        <w:rPr>
          <w:i/>
          <w:color w:val="4F81BD" w:themeColor="accent1"/>
        </w:rPr>
        <w:t xml:space="preserve">of TARE-Y </w:t>
      </w:r>
      <w:r w:rsidRPr="00B305C8">
        <w:rPr>
          <w:i/>
          <w:color w:val="4F81BD" w:themeColor="accent1"/>
        </w:rPr>
        <w:t xml:space="preserve">against the first-line treatments TACE/DEB-TACE and </w:t>
      </w:r>
      <w:proofErr w:type="spellStart"/>
      <w:r w:rsidRPr="00B305C8">
        <w:rPr>
          <w:i/>
          <w:color w:val="4F81BD" w:themeColor="accent1"/>
        </w:rPr>
        <w:t>sorafenib</w:t>
      </w:r>
      <w:proofErr w:type="spellEnd"/>
      <w:r w:rsidRPr="00B305C8">
        <w:rPr>
          <w:i/>
          <w:color w:val="4F81BD" w:themeColor="accent1"/>
        </w:rPr>
        <w:t xml:space="preserve"> will also be included </w:t>
      </w:r>
      <w:r w:rsidR="00C1248B" w:rsidRPr="00B305C8">
        <w:rPr>
          <w:i/>
          <w:color w:val="4F81BD" w:themeColor="accent1"/>
        </w:rPr>
        <w:t>to provide assurance of its the comparative efficacy and safety.</w:t>
      </w:r>
      <w:r w:rsidR="00C1248B">
        <w:rPr>
          <w:i/>
          <w:color w:val="4F81BD" w:themeColor="accent1"/>
        </w:rPr>
        <w:t xml:space="preserve"> </w:t>
      </w:r>
    </w:p>
    <w:p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rsidR="006A1038" w:rsidRPr="0042206F" w:rsidRDefault="0042206F" w:rsidP="006A1038">
      <w:pPr>
        <w:spacing w:before="0" w:after="0"/>
        <w:ind w:left="426"/>
        <w:rPr>
          <w:color w:val="4F81BD" w:themeColor="accent1"/>
          <w:szCs w:val="20"/>
        </w:rPr>
      </w:pPr>
      <w:r w:rsidRPr="0042206F">
        <w:rPr>
          <w:color w:val="4F81BD" w:themeColor="accent1"/>
          <w:szCs w:val="20"/>
        </w:rPr>
        <w:sym w:font="Wingdings" w:char="F078"/>
      </w:r>
      <w:r w:rsidR="00C04F41">
        <w:rPr>
          <w:color w:val="4F81BD" w:themeColor="accent1"/>
          <w:szCs w:val="20"/>
        </w:rPr>
        <w:t xml:space="preserve"> Yes</w:t>
      </w:r>
      <w:r w:rsidRPr="0042206F">
        <w:rPr>
          <w:color w:val="4F81BD" w:themeColor="accent1"/>
          <w:szCs w:val="20"/>
        </w:rPr>
        <w:t xml:space="preserve"> – for TACE</w:t>
      </w:r>
    </w:p>
    <w:p w:rsidR="000159B9" w:rsidRPr="0042206F" w:rsidRDefault="0042206F" w:rsidP="006A1038">
      <w:pPr>
        <w:spacing w:before="0" w:after="0"/>
        <w:ind w:left="426"/>
        <w:rPr>
          <w:color w:val="4F81BD" w:themeColor="accent1"/>
          <w:szCs w:val="20"/>
        </w:rPr>
      </w:pPr>
      <w:r w:rsidRPr="00B305C8">
        <w:rPr>
          <w:color w:val="4F81BD" w:themeColor="accent1"/>
          <w:szCs w:val="20"/>
        </w:rPr>
        <w:sym w:font="Wingdings" w:char="F078"/>
      </w:r>
      <w:r w:rsidR="003B0FE9" w:rsidRPr="00B305C8">
        <w:rPr>
          <w:color w:val="4F81BD" w:themeColor="accent1"/>
          <w:szCs w:val="20"/>
        </w:rPr>
        <w:t xml:space="preserve"> No </w:t>
      </w:r>
      <w:r w:rsidR="00C04F41" w:rsidRPr="00B305C8">
        <w:rPr>
          <w:color w:val="4F81BD" w:themeColor="accent1"/>
          <w:szCs w:val="20"/>
        </w:rPr>
        <w:t>–</w:t>
      </w:r>
      <w:r w:rsidRPr="00B305C8">
        <w:rPr>
          <w:color w:val="4F81BD" w:themeColor="accent1"/>
          <w:szCs w:val="20"/>
        </w:rPr>
        <w:t xml:space="preserve"> </w:t>
      </w:r>
      <w:r w:rsidR="00C1248B" w:rsidRPr="00B305C8">
        <w:rPr>
          <w:color w:val="4F81BD" w:themeColor="accent1"/>
          <w:szCs w:val="20"/>
        </w:rPr>
        <w:t xml:space="preserve">for no therapy/best supportive care and </w:t>
      </w:r>
      <w:proofErr w:type="spellStart"/>
      <w:r w:rsidRPr="00B305C8">
        <w:rPr>
          <w:color w:val="4F81BD" w:themeColor="accent1"/>
          <w:szCs w:val="20"/>
        </w:rPr>
        <w:t>sorafenib</w:t>
      </w:r>
      <w:proofErr w:type="spellEnd"/>
      <w:r w:rsidRPr="00B305C8">
        <w:rPr>
          <w:color w:val="4F81BD" w:themeColor="accent1"/>
          <w:szCs w:val="20"/>
        </w:rPr>
        <w:t xml:space="preserve"> (although it does have a PBS item number – see below)</w:t>
      </w:r>
    </w:p>
    <w:p w:rsidR="000159B9" w:rsidRPr="0042206F" w:rsidRDefault="0042206F" w:rsidP="001B29A1">
      <w:pPr>
        <w:ind w:left="426"/>
        <w:rPr>
          <w:color w:val="4F81BD" w:themeColor="accent1"/>
          <w:u w:val="single"/>
        </w:rPr>
      </w:pPr>
      <w:r w:rsidRPr="0042206F">
        <w:rPr>
          <w:color w:val="4F81BD" w:themeColor="accent1"/>
          <w:u w:val="single"/>
        </w:rPr>
        <w:t>TACE</w:t>
      </w:r>
    </w:p>
    <w:p w:rsidR="0080773D" w:rsidRDefault="0080773D" w:rsidP="00FF6E02">
      <w:pPr>
        <w:ind w:left="426"/>
        <w:rPr>
          <w:color w:val="4F81BD" w:themeColor="accent1"/>
          <w:szCs w:val="20"/>
        </w:rPr>
      </w:pPr>
      <w:r>
        <w:rPr>
          <w:color w:val="4F81BD" w:themeColor="accent1"/>
          <w:szCs w:val="20"/>
        </w:rPr>
        <w:t xml:space="preserve">Item 35321 – </w:t>
      </w:r>
      <w:r w:rsidRPr="0080773D">
        <w:rPr>
          <w:color w:val="4F81BD" w:themeColor="accent1"/>
          <w:szCs w:val="20"/>
        </w:rPr>
        <w:t xml:space="preserve">PERIPHERAL ARTERIAL OR VENOUS CATHETERISATION to administer agents to occlude arteries, veins or </w:t>
      </w:r>
      <w:proofErr w:type="spellStart"/>
      <w:r w:rsidRPr="0080773D">
        <w:rPr>
          <w:color w:val="4F81BD" w:themeColor="accent1"/>
          <w:szCs w:val="20"/>
        </w:rPr>
        <w:t>arterio</w:t>
      </w:r>
      <w:proofErr w:type="spellEnd"/>
      <w:r w:rsidRPr="0080773D">
        <w:rPr>
          <w:color w:val="4F81BD" w:themeColor="accent1"/>
          <w:szCs w:val="20"/>
        </w:rPr>
        <w:t xml:space="preserve">-venous fistulae or to arrest haemorrhage, (but not for the treatment of uterine fibroids or varicose veins) percutaneous or by open exposure, excluding associated radiological services or preparation, and excluding aftercare, not being a service associated with photodynamic therapy with </w:t>
      </w:r>
      <w:proofErr w:type="spellStart"/>
      <w:r w:rsidRPr="0080773D">
        <w:rPr>
          <w:color w:val="4F81BD" w:themeColor="accent1"/>
          <w:szCs w:val="20"/>
        </w:rPr>
        <w:t>verteporfin</w:t>
      </w:r>
      <w:proofErr w:type="spellEnd"/>
    </w:p>
    <w:p w:rsidR="0080773D" w:rsidRDefault="0080773D" w:rsidP="00FF6E02">
      <w:pPr>
        <w:ind w:left="426"/>
        <w:rPr>
          <w:color w:val="4F81BD" w:themeColor="accent1"/>
          <w:szCs w:val="20"/>
        </w:rPr>
      </w:pPr>
      <w:r>
        <w:rPr>
          <w:color w:val="4F81BD" w:themeColor="accent1"/>
          <w:szCs w:val="20"/>
        </w:rPr>
        <w:t xml:space="preserve">Item 35317 - </w:t>
      </w:r>
      <w:r w:rsidRPr="0080773D">
        <w:rPr>
          <w:color w:val="4F81BD" w:themeColor="accent1"/>
          <w:szCs w:val="20"/>
        </w:rPr>
        <w:t xml:space="preserve">PERIPHERAL ARTERIAL OR VENOUS CATHETERISATION with administration of thrombolytic or chemotherapeutic agents, BY CONTINUOUS INFUSION, using percutaneous approach, excluding associated radiological services or preparation, and excluding aftercare (not being a service associated with a service to which another item in Subgroup 11 of Group T1 or items 35319 or 35320 applies and not being a service associated with photodynamic therapy with </w:t>
      </w:r>
      <w:proofErr w:type="spellStart"/>
      <w:r w:rsidRPr="0080773D">
        <w:rPr>
          <w:color w:val="4F81BD" w:themeColor="accent1"/>
          <w:szCs w:val="20"/>
        </w:rPr>
        <w:t>verteporfin</w:t>
      </w:r>
      <w:proofErr w:type="spellEnd"/>
      <w:r w:rsidRPr="0080773D">
        <w:rPr>
          <w:color w:val="4F81BD" w:themeColor="accent1"/>
          <w:szCs w:val="20"/>
        </w:rPr>
        <w:t>)</w:t>
      </w:r>
    </w:p>
    <w:p w:rsidR="0042206F" w:rsidRPr="0042206F" w:rsidRDefault="0042206F" w:rsidP="001B29A1">
      <w:pPr>
        <w:ind w:left="426"/>
        <w:rPr>
          <w:color w:val="4F81BD" w:themeColor="accent1"/>
          <w:szCs w:val="20"/>
          <w:u w:val="single"/>
        </w:rPr>
      </w:pPr>
      <w:proofErr w:type="spellStart"/>
      <w:r w:rsidRPr="0042206F">
        <w:rPr>
          <w:color w:val="4F81BD" w:themeColor="accent1"/>
          <w:szCs w:val="20"/>
          <w:u w:val="single"/>
        </w:rPr>
        <w:t>Sorafenib</w:t>
      </w:r>
      <w:proofErr w:type="spellEnd"/>
    </w:p>
    <w:p w:rsidR="0042206F" w:rsidRPr="0042206F" w:rsidRDefault="0042206F" w:rsidP="001B29A1">
      <w:pPr>
        <w:ind w:left="426"/>
        <w:rPr>
          <w:color w:val="4F81BD" w:themeColor="accent1"/>
          <w:szCs w:val="20"/>
        </w:rPr>
      </w:pPr>
      <w:r w:rsidRPr="0042206F">
        <w:rPr>
          <w:color w:val="4F81BD" w:themeColor="accent1"/>
          <w:szCs w:val="20"/>
        </w:rPr>
        <w:t xml:space="preserve">PBS item number </w:t>
      </w:r>
      <w:r w:rsidRPr="0042206F">
        <w:rPr>
          <w:color w:val="4F81BD" w:themeColor="accent1"/>
          <w:sz w:val="18"/>
          <w:szCs w:val="16"/>
        </w:rPr>
        <w:t>9380Q</w:t>
      </w:r>
    </w:p>
    <w:p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rsidR="00C1248B" w:rsidRDefault="00C1248B" w:rsidP="0044798A">
      <w:pPr>
        <w:ind w:left="360"/>
        <w:rPr>
          <w:color w:val="4F81BD" w:themeColor="accent1"/>
        </w:rPr>
      </w:pPr>
      <w:r w:rsidRPr="00B305C8">
        <w:rPr>
          <w:color w:val="4F81BD" w:themeColor="accent1"/>
        </w:rPr>
        <w:t>Patients on no therapy/best supportive care would be monitored regularly for signs of disease progression.</w:t>
      </w:r>
      <w:r>
        <w:rPr>
          <w:color w:val="4F81BD" w:themeColor="accent1"/>
        </w:rPr>
        <w:t xml:space="preserve"> </w:t>
      </w:r>
    </w:p>
    <w:p w:rsidR="0044798A" w:rsidRPr="00B70E6F" w:rsidRDefault="0044798A" w:rsidP="0044798A">
      <w:pPr>
        <w:ind w:left="360"/>
        <w:rPr>
          <w:color w:val="4F81BD" w:themeColor="accent1"/>
        </w:rPr>
      </w:pPr>
      <w:r w:rsidRPr="00B70E6F">
        <w:rPr>
          <w:color w:val="4F81BD" w:themeColor="accent1"/>
        </w:rPr>
        <w:t xml:space="preserve">Follow-up after treatment with </w:t>
      </w:r>
      <w:r w:rsidR="00B70E6F">
        <w:rPr>
          <w:color w:val="4F81BD" w:themeColor="accent1"/>
        </w:rPr>
        <w:t>TACE</w:t>
      </w:r>
      <w:r w:rsidRPr="00B70E6F">
        <w:rPr>
          <w:color w:val="4F81BD" w:themeColor="accent1"/>
        </w:rPr>
        <w:t xml:space="preserve"> would be the same as that for the proposed medical service TARE-Y. Follow-up imaging to determine treatment response would be conducted using CT or MRI and the timing would be similar (1-2 </w:t>
      </w:r>
      <w:r w:rsidR="00B70E6F" w:rsidRPr="00B70E6F">
        <w:rPr>
          <w:color w:val="4F81BD" w:themeColor="accent1"/>
        </w:rPr>
        <w:t>months</w:t>
      </w:r>
      <w:r w:rsidRPr="00B70E6F">
        <w:rPr>
          <w:color w:val="4F81BD" w:themeColor="accent1"/>
        </w:rPr>
        <w:t xml:space="preserve"> post-treatment and then 3-6 months thereafter). </w:t>
      </w:r>
      <w:r w:rsidR="00B70E6F">
        <w:rPr>
          <w:color w:val="4F81BD" w:themeColor="accent1"/>
        </w:rPr>
        <w:t xml:space="preserve">Patients on </w:t>
      </w:r>
      <w:proofErr w:type="spellStart"/>
      <w:r w:rsidR="00B70E6F">
        <w:rPr>
          <w:color w:val="4F81BD" w:themeColor="accent1"/>
        </w:rPr>
        <w:t>sorafenib</w:t>
      </w:r>
      <w:proofErr w:type="spellEnd"/>
      <w:r w:rsidR="00B70E6F">
        <w:rPr>
          <w:color w:val="4F81BD" w:themeColor="accent1"/>
        </w:rPr>
        <w:t xml:space="preserve"> would also likely be monitored for treatment response using imaging at similar intervals. </w:t>
      </w:r>
      <w:r w:rsidRPr="00B70E6F">
        <w:rPr>
          <w:color w:val="4F81BD" w:themeColor="accent1"/>
        </w:rPr>
        <w:t>During follow-up visits</w:t>
      </w:r>
      <w:r w:rsidR="00B70E6F" w:rsidRPr="00B70E6F">
        <w:rPr>
          <w:color w:val="4F81BD" w:themeColor="accent1"/>
        </w:rPr>
        <w:t>, patients would also be assessed for</w:t>
      </w:r>
      <w:r w:rsidRPr="00B70E6F">
        <w:rPr>
          <w:color w:val="4F81BD" w:themeColor="accent1"/>
        </w:rPr>
        <w:t xml:space="preserve"> treatment-related adverse events</w:t>
      </w:r>
      <w:r w:rsidR="00B70E6F">
        <w:rPr>
          <w:color w:val="4F81BD" w:themeColor="accent1"/>
        </w:rPr>
        <w:t>.</w:t>
      </w:r>
    </w:p>
    <w:p w:rsidR="003433D1" w:rsidRDefault="003433D1" w:rsidP="001B29A1">
      <w:pPr>
        <w:ind w:left="426"/>
        <w:rPr>
          <w:b/>
          <w:szCs w:val="20"/>
        </w:rPr>
      </w:pPr>
    </w:p>
    <w:p w:rsidR="00A83EC6" w:rsidRPr="00154B00" w:rsidRDefault="005C3AE7" w:rsidP="00C1248B">
      <w:pPr>
        <w:pStyle w:val="Heading2"/>
        <w:keepNext/>
        <w:ind w:left="357" w:hanging="357"/>
      </w:pPr>
      <w:r>
        <w:lastRenderedPageBreak/>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Pr="0042206F" w:rsidRDefault="00B305C8" w:rsidP="001B29A1">
      <w:pPr>
        <w:spacing w:before="0" w:after="0"/>
        <w:ind w:left="426"/>
        <w:rPr>
          <w:color w:val="4F81BD" w:themeColor="accent1"/>
          <w:szCs w:val="20"/>
        </w:rPr>
      </w:pPr>
      <w:r w:rsidRPr="00B305C8">
        <w:rPr>
          <w:color w:val="4F81BD" w:themeColor="accent1"/>
          <w:szCs w:val="20"/>
        </w:rPr>
        <w:sym w:font="Wingdings" w:char="F078"/>
      </w:r>
      <w:r w:rsidR="00C1248B">
        <w:rPr>
          <w:szCs w:val="20"/>
        </w:rPr>
        <w:t xml:space="preserve"> </w:t>
      </w:r>
      <w:r w:rsidR="001B29A1" w:rsidRPr="0042206F">
        <w:rPr>
          <w:color w:val="4F81BD" w:themeColor="accent1"/>
          <w:szCs w:val="20"/>
        </w:rPr>
        <w:t xml:space="preserve"> Yes </w:t>
      </w:r>
      <w:r>
        <w:rPr>
          <w:color w:val="4F81BD" w:themeColor="accent1"/>
          <w:szCs w:val="20"/>
        </w:rPr>
        <w:t xml:space="preserve">– </w:t>
      </w:r>
      <w:r w:rsidRPr="00B305C8">
        <w:rPr>
          <w:color w:val="4F81BD" w:themeColor="accent1"/>
          <w:szCs w:val="20"/>
        </w:rPr>
        <w:t xml:space="preserve">will be used instead of no treatment/best supportive care in patients who cannot tolerate, or have failed, first-line treatment with TACE or </w:t>
      </w:r>
      <w:proofErr w:type="spellStart"/>
      <w:r w:rsidRPr="00B305C8">
        <w:rPr>
          <w:color w:val="4F81BD" w:themeColor="accent1"/>
          <w:szCs w:val="20"/>
        </w:rPr>
        <w:t>sorafenib</w:t>
      </w:r>
      <w:proofErr w:type="spellEnd"/>
    </w:p>
    <w:p w:rsidR="001B29A1" w:rsidRPr="0042206F" w:rsidRDefault="00B305C8" w:rsidP="001B29A1">
      <w:pPr>
        <w:spacing w:before="0" w:after="0"/>
        <w:ind w:left="426"/>
        <w:rPr>
          <w:color w:val="4F81BD" w:themeColor="accent1"/>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E4ED7">
        <w:rPr>
          <w:szCs w:val="20"/>
        </w:rPr>
      </w:r>
      <w:r w:rsidR="00DE4ED7">
        <w:rPr>
          <w:szCs w:val="20"/>
        </w:rPr>
        <w:fldChar w:fldCharType="separate"/>
      </w:r>
      <w:r w:rsidRPr="00753C44">
        <w:rPr>
          <w:szCs w:val="20"/>
        </w:rPr>
        <w:fldChar w:fldCharType="end"/>
      </w:r>
      <w:r>
        <w:rPr>
          <w:szCs w:val="20"/>
        </w:rPr>
        <w:t xml:space="preserve"> </w:t>
      </w:r>
      <w:r w:rsidR="0000785E" w:rsidRPr="00B305C8">
        <w:rPr>
          <w:color w:val="4F81BD" w:themeColor="accent1"/>
          <w:szCs w:val="20"/>
        </w:rPr>
        <w:t xml:space="preserve">No </w:t>
      </w:r>
    </w:p>
    <w:p w:rsidR="00E70D86" w:rsidRPr="00154B00" w:rsidRDefault="00E70D86" w:rsidP="005D05D5">
      <w:pPr>
        <w:pStyle w:val="Heading2"/>
        <w:numPr>
          <w:ilvl w:val="0"/>
          <w:numId w:val="9"/>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rsidR="003433D1" w:rsidRPr="00FF6E02" w:rsidRDefault="003B7CF8" w:rsidP="001B29A1">
      <w:pPr>
        <w:ind w:left="426"/>
        <w:rPr>
          <w:color w:val="4F81BD" w:themeColor="accent1"/>
          <w:szCs w:val="20"/>
        </w:rPr>
      </w:pPr>
      <w:r>
        <w:rPr>
          <w:color w:val="4F81BD" w:themeColor="accent1"/>
        </w:rPr>
        <w:t xml:space="preserve">Up to </w:t>
      </w:r>
      <w:r w:rsidR="00B305C8">
        <w:rPr>
          <w:color w:val="4F81BD" w:themeColor="accent1"/>
        </w:rPr>
        <w:t>100%</w:t>
      </w:r>
    </w:p>
    <w:p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rsidR="0054594B" w:rsidRPr="00972C6A" w:rsidRDefault="005637B8" w:rsidP="00D10B47">
      <w:pPr>
        <w:pStyle w:val="ListParagraph"/>
        <w:ind w:left="360"/>
        <w:rPr>
          <w:b/>
          <w:color w:val="4F81BD" w:themeColor="accent1"/>
          <w:szCs w:val="20"/>
        </w:rPr>
      </w:pPr>
      <w:r w:rsidRPr="00B305C8">
        <w:rPr>
          <w:color w:val="4F81BD" w:themeColor="accent1"/>
        </w:rPr>
        <w:t xml:space="preserve">The introduction of TARE-Y is not expected to change the current clinical pathway following treatment. Whether receiving </w:t>
      </w:r>
      <w:r w:rsidR="00C1248B" w:rsidRPr="00B305C8">
        <w:rPr>
          <w:color w:val="4F81BD" w:themeColor="accent1"/>
        </w:rPr>
        <w:t>no treatment/best supportive care</w:t>
      </w:r>
      <w:r w:rsidRPr="00B305C8">
        <w:rPr>
          <w:color w:val="4F81BD" w:themeColor="accent1"/>
        </w:rPr>
        <w:t xml:space="preserve"> or TARE-Y, patients would undergo periodic clinical and imaging assessments to determine </w:t>
      </w:r>
      <w:r w:rsidR="00C1248B" w:rsidRPr="00B305C8">
        <w:rPr>
          <w:color w:val="4F81BD" w:themeColor="accent1"/>
        </w:rPr>
        <w:t>disease progression</w:t>
      </w:r>
      <w:r w:rsidRPr="00B305C8">
        <w:rPr>
          <w:color w:val="4F81BD" w:themeColor="accent1"/>
        </w:rPr>
        <w:t>.</w:t>
      </w:r>
      <w:r w:rsidRPr="00317975">
        <w:rPr>
          <w:color w:val="4F81BD" w:themeColor="accent1"/>
        </w:rPr>
        <w:t xml:space="preserve"> </w:t>
      </w:r>
    </w:p>
    <w:p w:rsidR="002053F2" w:rsidRPr="00154B00" w:rsidRDefault="002053F2" w:rsidP="00D10B47">
      <w:pPr>
        <w:pStyle w:val="ListParagraph"/>
        <w:ind w:left="360"/>
        <w:rPr>
          <w:b/>
          <w:szCs w:val="20"/>
        </w:rPr>
      </w:pPr>
    </w:p>
    <w:p w:rsidR="001B29A1" w:rsidRDefault="001B29A1" w:rsidP="00881F93">
      <w:pPr>
        <w:rPr>
          <w:b/>
          <w:i/>
          <w:szCs w:val="20"/>
          <w:u w:val="single"/>
        </w:rPr>
      </w:pPr>
      <w:r>
        <w:rPr>
          <w:b/>
          <w:i/>
          <w:szCs w:val="20"/>
          <w:u w:val="single"/>
        </w:rPr>
        <w:br w:type="page"/>
      </w:r>
    </w:p>
    <w:p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4E3CC7" w:rsidRPr="00B96A56" w:rsidRDefault="007A7F6D" w:rsidP="001B29A1">
      <w:pPr>
        <w:ind w:left="426"/>
        <w:rPr>
          <w:color w:val="4F81BD" w:themeColor="accent1"/>
          <w:szCs w:val="20"/>
        </w:rPr>
      </w:pPr>
      <w:r w:rsidRPr="003B7CF8">
        <w:rPr>
          <w:color w:val="4F81BD" w:themeColor="accent1"/>
        </w:rPr>
        <w:t xml:space="preserve">The clinical claim </w:t>
      </w:r>
      <w:r w:rsidR="003B7CF8">
        <w:rPr>
          <w:color w:val="4F81BD" w:themeColor="accent1"/>
        </w:rPr>
        <w:t>for</w:t>
      </w:r>
      <w:r w:rsidR="00B96A56" w:rsidRPr="003B7CF8">
        <w:rPr>
          <w:color w:val="4F81BD" w:themeColor="accent1"/>
        </w:rPr>
        <w:t xml:space="preserve"> </w:t>
      </w:r>
      <w:r w:rsidRPr="003B7CF8">
        <w:rPr>
          <w:color w:val="4F81BD" w:themeColor="accent1"/>
        </w:rPr>
        <w:t xml:space="preserve">use in patients who cannot tolerate or who have failed </w:t>
      </w:r>
      <w:r w:rsidR="00B96A56" w:rsidRPr="003B7CF8">
        <w:rPr>
          <w:color w:val="4F81BD" w:themeColor="accent1"/>
        </w:rPr>
        <w:t>TACE</w:t>
      </w:r>
      <w:r w:rsidR="003A4811" w:rsidRPr="003B7CF8">
        <w:rPr>
          <w:color w:val="4F81BD" w:themeColor="accent1"/>
        </w:rPr>
        <w:t>/DEB-TACE</w:t>
      </w:r>
      <w:r w:rsidR="00B96A56" w:rsidRPr="003B7CF8">
        <w:rPr>
          <w:color w:val="4F81BD" w:themeColor="accent1"/>
        </w:rPr>
        <w:t xml:space="preserve"> or </w:t>
      </w:r>
      <w:proofErr w:type="spellStart"/>
      <w:r w:rsidR="00B96A56" w:rsidRPr="003B7CF8">
        <w:rPr>
          <w:color w:val="4F81BD" w:themeColor="accent1"/>
        </w:rPr>
        <w:t>sorafenib</w:t>
      </w:r>
      <w:proofErr w:type="spellEnd"/>
      <w:r w:rsidR="00B96A56" w:rsidRPr="003B7CF8">
        <w:rPr>
          <w:color w:val="4F81BD" w:themeColor="accent1"/>
        </w:rPr>
        <w:t xml:space="preserve"> would be superior</w:t>
      </w:r>
      <w:r w:rsidR="003B7CF8">
        <w:rPr>
          <w:color w:val="4F81BD" w:themeColor="accent1"/>
        </w:rPr>
        <w:t xml:space="preserve"> efficacy</w:t>
      </w:r>
      <w:r w:rsidR="00B96A56" w:rsidRPr="003B7CF8">
        <w:rPr>
          <w:color w:val="4F81BD" w:themeColor="accent1"/>
        </w:rPr>
        <w:t xml:space="preserve"> </w:t>
      </w:r>
      <w:r w:rsidR="003B7CF8">
        <w:rPr>
          <w:color w:val="4F81BD" w:themeColor="accent1"/>
        </w:rPr>
        <w:t>and inferior harms</w:t>
      </w:r>
      <w:r w:rsidR="003B7CF8" w:rsidRPr="003B7CF8">
        <w:rPr>
          <w:color w:val="4F81BD" w:themeColor="accent1"/>
        </w:rPr>
        <w:t xml:space="preserve"> </w:t>
      </w:r>
      <w:r w:rsidR="00B96A56" w:rsidRPr="003B7CF8">
        <w:rPr>
          <w:color w:val="4F81BD" w:themeColor="accent1"/>
        </w:rPr>
        <w:t xml:space="preserve">over </w:t>
      </w:r>
      <w:r w:rsidRPr="003B7CF8">
        <w:rPr>
          <w:color w:val="4F81BD" w:themeColor="accent1"/>
        </w:rPr>
        <w:t>no treatment/</w:t>
      </w:r>
      <w:r w:rsidR="003A4811" w:rsidRPr="003B7CF8">
        <w:rPr>
          <w:color w:val="4F81BD" w:themeColor="accent1"/>
        </w:rPr>
        <w:t>best supportive care</w:t>
      </w:r>
      <w:r w:rsidR="003B7CF8">
        <w:rPr>
          <w:color w:val="4F81BD" w:themeColor="accent1"/>
        </w:rPr>
        <w:t xml:space="preserve"> and</w:t>
      </w:r>
      <w:r w:rsidRPr="003B7CF8">
        <w:rPr>
          <w:color w:val="4F81BD" w:themeColor="accent1"/>
        </w:rPr>
        <w:t>.</w:t>
      </w:r>
      <w:r w:rsidR="00B96A56" w:rsidRPr="00B96A56">
        <w:rPr>
          <w:color w:val="4F81BD" w:themeColor="accent1"/>
        </w:rPr>
        <w:t xml:space="preserve"> </w:t>
      </w:r>
    </w:p>
    <w:p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rsidR="003A4811" w:rsidRPr="003B7CF8" w:rsidRDefault="007A7F6D" w:rsidP="003A4811">
      <w:pPr>
        <w:spacing w:before="0" w:after="0"/>
        <w:ind w:left="851" w:hanging="425"/>
        <w:rPr>
          <w:color w:val="4F81BD" w:themeColor="accent1"/>
          <w:szCs w:val="20"/>
        </w:rPr>
      </w:pPr>
      <w:r w:rsidRPr="003B7CF8">
        <w:rPr>
          <w:szCs w:val="20"/>
        </w:rPr>
        <w:fldChar w:fldCharType="begin">
          <w:ffData>
            <w:name w:val="Check2"/>
            <w:enabled/>
            <w:calcOnExit w:val="0"/>
            <w:checkBox>
              <w:sizeAuto/>
              <w:default w:val="0"/>
            </w:checkBox>
          </w:ffData>
        </w:fldChar>
      </w:r>
      <w:r w:rsidRPr="003B7CF8">
        <w:rPr>
          <w:szCs w:val="20"/>
        </w:rPr>
        <w:instrText xml:space="preserve"> FORMCHECKBOX </w:instrText>
      </w:r>
      <w:r w:rsidR="00DE4ED7">
        <w:rPr>
          <w:szCs w:val="20"/>
        </w:rPr>
      </w:r>
      <w:r w:rsidR="00DE4ED7">
        <w:rPr>
          <w:szCs w:val="20"/>
        </w:rPr>
        <w:fldChar w:fldCharType="separate"/>
      </w:r>
      <w:r w:rsidRPr="003B7CF8">
        <w:rPr>
          <w:szCs w:val="20"/>
        </w:rPr>
        <w:fldChar w:fldCharType="end"/>
      </w:r>
      <w:r w:rsidR="003A4811" w:rsidRPr="003B7CF8">
        <w:rPr>
          <w:color w:val="4F81BD" w:themeColor="accent1"/>
          <w:szCs w:val="20"/>
        </w:rPr>
        <w:t xml:space="preserve"> </w:t>
      </w:r>
      <w:r w:rsidR="003A4811" w:rsidRPr="003B7CF8">
        <w:rPr>
          <w:color w:val="4F81BD" w:themeColor="accent1"/>
          <w:szCs w:val="20"/>
        </w:rPr>
        <w:tab/>
        <w:t>Non-inferiority</w:t>
      </w:r>
      <w:r w:rsidR="003A4811" w:rsidRPr="003B7CF8">
        <w:rPr>
          <w:szCs w:val="20"/>
        </w:rPr>
        <w:tab/>
      </w:r>
    </w:p>
    <w:p w:rsidR="001B29A1" w:rsidRPr="00B96A56" w:rsidRDefault="00454322" w:rsidP="007A7F6D">
      <w:pPr>
        <w:spacing w:before="0" w:after="0"/>
        <w:ind w:left="851" w:hanging="425"/>
        <w:rPr>
          <w:color w:val="4F81BD" w:themeColor="accent1"/>
          <w:szCs w:val="20"/>
        </w:rPr>
      </w:pPr>
      <w:r w:rsidRPr="003B7CF8">
        <w:rPr>
          <w:color w:val="4F81BD" w:themeColor="accent1"/>
          <w:szCs w:val="20"/>
        </w:rPr>
        <w:sym w:font="Wingdings" w:char="F078"/>
      </w:r>
      <w:r w:rsidR="001B29A1" w:rsidRPr="003B7CF8">
        <w:rPr>
          <w:color w:val="4F81BD" w:themeColor="accent1"/>
          <w:szCs w:val="20"/>
        </w:rPr>
        <w:t xml:space="preserve"> </w:t>
      </w:r>
      <w:r w:rsidR="003A4811" w:rsidRPr="003B7CF8">
        <w:rPr>
          <w:color w:val="4F81BD" w:themeColor="accent1"/>
          <w:szCs w:val="20"/>
        </w:rPr>
        <w:tab/>
      </w:r>
      <w:proofErr w:type="gramStart"/>
      <w:r w:rsidR="001B29A1" w:rsidRPr="003B7CF8">
        <w:rPr>
          <w:color w:val="4F81BD" w:themeColor="accent1"/>
          <w:szCs w:val="20"/>
        </w:rPr>
        <w:t>Superiority</w:t>
      </w:r>
      <w:r w:rsidR="00B96A56" w:rsidRPr="003B7CF8">
        <w:rPr>
          <w:color w:val="4F81BD" w:themeColor="accent1"/>
          <w:szCs w:val="20"/>
        </w:rPr>
        <w:t xml:space="preserve"> </w:t>
      </w:r>
      <w:r w:rsidRPr="003B7CF8">
        <w:rPr>
          <w:color w:val="4F81BD" w:themeColor="accent1"/>
        </w:rPr>
        <w:t xml:space="preserve">over no treatment/best supportive care for use </w:t>
      </w:r>
      <w:r w:rsidR="007A7F6D" w:rsidRPr="003B7CF8">
        <w:rPr>
          <w:color w:val="4F81BD" w:themeColor="accent1"/>
        </w:rPr>
        <w:t xml:space="preserve">in patients who cannot tolerate or who have failed TACE/DEB-TACE or </w:t>
      </w:r>
      <w:proofErr w:type="spellStart"/>
      <w:r w:rsidR="007A7F6D" w:rsidRPr="003B7CF8">
        <w:rPr>
          <w:color w:val="4F81BD" w:themeColor="accent1"/>
        </w:rPr>
        <w:t>sorafenib</w:t>
      </w:r>
      <w:proofErr w:type="spellEnd"/>
      <w:r w:rsidRPr="003B7CF8">
        <w:rPr>
          <w:color w:val="4F81BD" w:themeColor="accent1"/>
          <w:szCs w:val="20"/>
        </w:rPr>
        <w:t>.</w:t>
      </w:r>
      <w:proofErr w:type="gramEnd"/>
      <w:r w:rsidR="001B29A1" w:rsidRPr="00B96A56">
        <w:rPr>
          <w:color w:val="4F81BD" w:themeColor="accent1"/>
          <w:szCs w:val="20"/>
        </w:rPr>
        <w:tab/>
      </w:r>
    </w:p>
    <w:p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rsidR="001B29A1" w:rsidRPr="00B96A56" w:rsidRDefault="001B29A1" w:rsidP="001B29A1">
      <w:pPr>
        <w:pBdr>
          <w:top w:val="single" w:sz="4" w:space="1" w:color="auto"/>
          <w:left w:val="single" w:sz="4" w:space="4" w:color="auto"/>
          <w:bottom w:val="single" w:sz="4" w:space="1" w:color="auto"/>
          <w:right w:val="single" w:sz="4" w:space="4" w:color="auto"/>
        </w:pBdr>
        <w:rPr>
          <w:b/>
          <w:color w:val="4F81BD" w:themeColor="accent1"/>
          <w:szCs w:val="20"/>
        </w:rPr>
      </w:pPr>
      <w:r w:rsidRPr="00B96A56">
        <w:rPr>
          <w:b/>
          <w:color w:val="4F81BD" w:themeColor="accent1"/>
          <w:szCs w:val="20"/>
        </w:rPr>
        <w:t xml:space="preserve">Safety Outcomes: </w:t>
      </w:r>
      <w:r w:rsidR="00174816">
        <w:rPr>
          <w:color w:val="4F81BD" w:themeColor="accent1"/>
        </w:rPr>
        <w:t>l</w:t>
      </w:r>
      <w:r w:rsidR="00B96A56" w:rsidRPr="00B96A56">
        <w:rPr>
          <w:color w:val="4F81BD" w:themeColor="accent1"/>
        </w:rPr>
        <w:t>iver toxicity</w:t>
      </w:r>
      <w:r w:rsidR="00FE02C6">
        <w:rPr>
          <w:color w:val="4F81BD" w:themeColor="accent1"/>
        </w:rPr>
        <w:t>; lung toxicity; adverse events</w:t>
      </w:r>
      <w:r w:rsidR="005637B8">
        <w:rPr>
          <w:color w:val="4F81BD" w:themeColor="accent1"/>
        </w:rPr>
        <w:t>; others that are identified from the evidence</w:t>
      </w:r>
      <w:r w:rsidR="00174816">
        <w:rPr>
          <w:color w:val="4F81BD" w:themeColor="accent1"/>
        </w:rPr>
        <w:t>.</w:t>
      </w:r>
      <w:r w:rsidR="005637B8">
        <w:rPr>
          <w:color w:val="4F81BD" w:themeColor="accent1"/>
        </w:rPr>
        <w:t xml:space="preserve"> </w:t>
      </w:r>
    </w:p>
    <w:p w:rsidR="001B29A1" w:rsidRPr="00FE02C6" w:rsidRDefault="001B29A1" w:rsidP="001B29A1">
      <w:pPr>
        <w:pBdr>
          <w:top w:val="single" w:sz="4" w:space="1" w:color="auto"/>
          <w:left w:val="single" w:sz="4" w:space="4" w:color="auto"/>
          <w:bottom w:val="single" w:sz="4" w:space="1" w:color="auto"/>
          <w:right w:val="single" w:sz="4" w:space="4" w:color="auto"/>
        </w:pBdr>
        <w:rPr>
          <w:color w:val="4F81BD" w:themeColor="accent1"/>
          <w:szCs w:val="20"/>
        </w:rPr>
      </w:pPr>
      <w:r w:rsidRPr="00B96A56">
        <w:rPr>
          <w:b/>
          <w:color w:val="4F81BD" w:themeColor="accent1"/>
          <w:szCs w:val="20"/>
        </w:rPr>
        <w:t xml:space="preserve">Clinical Effectiveness Outcomes: </w:t>
      </w:r>
      <w:r w:rsidR="00B96A56" w:rsidRPr="00B96A56">
        <w:rPr>
          <w:color w:val="4F81BD" w:themeColor="accent1"/>
        </w:rPr>
        <w:t xml:space="preserve">overall survival; progression-free survival; tumour response; quality of life; </w:t>
      </w:r>
      <w:r w:rsidR="003A4811">
        <w:rPr>
          <w:color w:val="4F81BD" w:themeColor="accent1"/>
        </w:rPr>
        <w:t>healthcare resource utilisation</w:t>
      </w:r>
      <w:r w:rsidR="005637B8">
        <w:rPr>
          <w:color w:val="4F81BD" w:themeColor="accent1"/>
        </w:rPr>
        <w:t>; others that a</w:t>
      </w:r>
      <w:r w:rsidR="00174816">
        <w:rPr>
          <w:color w:val="4F81BD" w:themeColor="accent1"/>
        </w:rPr>
        <w:t>re identified from the evidence.</w:t>
      </w:r>
    </w:p>
    <w:p w:rsidR="00C776B1" w:rsidRPr="00C776B1" w:rsidRDefault="005637B8" w:rsidP="00092580">
      <w:pPr>
        <w:pStyle w:val="Heading1"/>
      </w:pPr>
      <w:r>
        <w:rPr>
          <w:b/>
          <w:sz w:val="32"/>
        </w:rPr>
        <w:t xml:space="preserve"> </w:t>
      </w:r>
      <w:r w:rsidR="003433D1">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rsidR="00B52B00" w:rsidRPr="00B52B00" w:rsidRDefault="0050110C" w:rsidP="00EB02D7">
      <w:pPr>
        <w:ind w:left="360"/>
        <w:rPr>
          <w:color w:val="4F81BD" w:themeColor="accent1"/>
        </w:rPr>
      </w:pPr>
      <w:r w:rsidRPr="003B7CF8">
        <w:rPr>
          <w:color w:val="4F81BD" w:themeColor="accent1"/>
        </w:rPr>
        <w:t xml:space="preserve">The following table estimates the total population who might be eligible for treatment with TARE-Y </w:t>
      </w:r>
      <w:r w:rsidRPr="00EA65E8">
        <w:rPr>
          <w:b/>
          <w:color w:val="4F81BD" w:themeColor="accent1"/>
        </w:rPr>
        <w:t xml:space="preserve">if it was available for use in </w:t>
      </w:r>
      <w:r w:rsidR="00EA65E8">
        <w:rPr>
          <w:b/>
          <w:color w:val="4F81BD" w:themeColor="accent1"/>
        </w:rPr>
        <w:t>all</w:t>
      </w:r>
      <w:r w:rsidR="00EA65E8" w:rsidRPr="00EA65E8">
        <w:rPr>
          <w:b/>
          <w:color w:val="4F81BD" w:themeColor="accent1"/>
        </w:rPr>
        <w:t xml:space="preserve"> </w:t>
      </w:r>
      <w:r w:rsidRPr="00EA65E8">
        <w:rPr>
          <w:b/>
          <w:color w:val="4F81BD" w:themeColor="accent1"/>
        </w:rPr>
        <w:t>patients with unresectable HCC.</w:t>
      </w:r>
      <w:r w:rsidRPr="003B7CF8">
        <w:rPr>
          <w:color w:val="4F81BD" w:themeColor="accent1"/>
        </w:rPr>
        <w:t xml:space="preserve"> </w:t>
      </w:r>
      <w:r w:rsidR="00B52B00" w:rsidRPr="003B7CF8">
        <w:rPr>
          <w:color w:val="4F81BD" w:themeColor="accent1"/>
        </w:rPr>
        <w:t xml:space="preserve">As shown in </w:t>
      </w:r>
      <w:r w:rsidR="00B52B00" w:rsidRPr="003B7CF8">
        <w:rPr>
          <w:b/>
          <w:color w:val="4F81BD" w:themeColor="accent1"/>
        </w:rPr>
        <w:fldChar w:fldCharType="begin"/>
      </w:r>
      <w:r w:rsidR="00B52B00" w:rsidRPr="003B7CF8">
        <w:rPr>
          <w:b/>
          <w:color w:val="4F81BD" w:themeColor="accent1"/>
        </w:rPr>
        <w:instrText xml:space="preserve"> REF _Ref475869983 \h  \* MERGEFORMAT </w:instrText>
      </w:r>
      <w:r w:rsidR="00B52B00" w:rsidRPr="003B7CF8">
        <w:rPr>
          <w:b/>
          <w:color w:val="4F81BD" w:themeColor="accent1"/>
        </w:rPr>
      </w:r>
      <w:r w:rsidR="00B52B00" w:rsidRPr="003B7CF8">
        <w:rPr>
          <w:b/>
          <w:color w:val="4F81BD" w:themeColor="accent1"/>
        </w:rPr>
        <w:fldChar w:fldCharType="separate"/>
      </w:r>
      <w:r w:rsidR="00394B56" w:rsidRPr="00394B56">
        <w:rPr>
          <w:b/>
          <w:color w:val="4F81BD" w:themeColor="accent1"/>
        </w:rPr>
        <w:t xml:space="preserve">Table </w:t>
      </w:r>
      <w:r w:rsidR="00394B56" w:rsidRPr="00394B56">
        <w:rPr>
          <w:b/>
          <w:noProof/>
          <w:color w:val="4F81BD" w:themeColor="accent1"/>
        </w:rPr>
        <w:t>2</w:t>
      </w:r>
      <w:r w:rsidR="00B52B00" w:rsidRPr="003B7CF8">
        <w:rPr>
          <w:b/>
          <w:color w:val="4F81BD" w:themeColor="accent1"/>
        </w:rPr>
        <w:fldChar w:fldCharType="end"/>
      </w:r>
      <w:r w:rsidR="00B52B00" w:rsidRPr="003B7CF8">
        <w:rPr>
          <w:color w:val="4F81BD" w:themeColor="accent1"/>
        </w:rPr>
        <w:t xml:space="preserve">, the estimated number of patients who </w:t>
      </w:r>
      <w:r w:rsidRPr="003B7CF8">
        <w:rPr>
          <w:color w:val="4F81BD" w:themeColor="accent1"/>
        </w:rPr>
        <w:t xml:space="preserve">could potentially </w:t>
      </w:r>
      <w:r w:rsidR="00B52B00" w:rsidRPr="003B7CF8">
        <w:rPr>
          <w:color w:val="4F81BD" w:themeColor="accent1"/>
        </w:rPr>
        <w:t>receive treatment with TARE-Y is low, ranging from 7</w:t>
      </w:r>
      <w:r w:rsidR="001964C7" w:rsidRPr="003B7CF8">
        <w:rPr>
          <w:color w:val="4F81BD" w:themeColor="accent1"/>
        </w:rPr>
        <w:t>6</w:t>
      </w:r>
      <w:r w:rsidR="00B52B00" w:rsidRPr="003B7CF8">
        <w:rPr>
          <w:color w:val="4F81BD" w:themeColor="accent1"/>
        </w:rPr>
        <w:t>–8</w:t>
      </w:r>
      <w:r w:rsidR="001964C7" w:rsidRPr="003B7CF8">
        <w:rPr>
          <w:color w:val="4F81BD" w:themeColor="accent1"/>
        </w:rPr>
        <w:t>6</w:t>
      </w:r>
      <w:r w:rsidR="00B52B00" w:rsidRPr="003B7CF8">
        <w:rPr>
          <w:color w:val="4F81BD" w:themeColor="accent1"/>
        </w:rPr>
        <w:t xml:space="preserve"> per year over the period examined.</w:t>
      </w:r>
      <w:r w:rsidRPr="003B7CF8">
        <w:rPr>
          <w:color w:val="4F81BD" w:themeColor="accent1"/>
        </w:rPr>
        <w:t xml:space="preserve"> Based on the requested indications (i.e. second-line use and for bridge-to-transplant) the numbers will likely be substantially lower.</w:t>
      </w:r>
      <w:r>
        <w:rPr>
          <w:color w:val="4F81BD" w:themeColor="accent1"/>
        </w:rPr>
        <w:t xml:space="preserve"> </w:t>
      </w:r>
      <w:r w:rsidR="00B52B00" w:rsidRPr="00B52B00">
        <w:rPr>
          <w:color w:val="4F81BD" w:themeColor="accent1"/>
        </w:rPr>
        <w:t xml:space="preserve"> </w:t>
      </w:r>
    </w:p>
    <w:p w:rsidR="005637B8" w:rsidRPr="00AE63C3" w:rsidRDefault="00B52B00" w:rsidP="00B52B00">
      <w:pPr>
        <w:pStyle w:val="Caption"/>
        <w:rPr>
          <w:rFonts w:cstheme="minorHAnsi"/>
          <w:color w:val="4F81BD" w:themeColor="accent1"/>
        </w:rPr>
      </w:pPr>
      <w:bookmarkStart w:id="4" w:name="_Ref475869983"/>
      <w:r w:rsidRPr="00AE63C3">
        <w:rPr>
          <w:rFonts w:cstheme="minorHAnsi"/>
          <w:color w:val="4F81BD" w:themeColor="accent1"/>
        </w:rPr>
        <w:t xml:space="preserve">Table </w:t>
      </w:r>
      <w:r w:rsidRPr="00AE63C3">
        <w:rPr>
          <w:rFonts w:cstheme="minorHAnsi"/>
          <w:color w:val="4F81BD" w:themeColor="accent1"/>
        </w:rPr>
        <w:fldChar w:fldCharType="begin"/>
      </w:r>
      <w:r w:rsidRPr="00AE63C3">
        <w:rPr>
          <w:rFonts w:cstheme="minorHAnsi"/>
          <w:color w:val="4F81BD" w:themeColor="accent1"/>
        </w:rPr>
        <w:instrText xml:space="preserve"> SEQ Table \* ARABIC </w:instrText>
      </w:r>
      <w:r w:rsidRPr="00AE63C3">
        <w:rPr>
          <w:rFonts w:cstheme="minorHAnsi"/>
          <w:color w:val="4F81BD" w:themeColor="accent1"/>
        </w:rPr>
        <w:fldChar w:fldCharType="separate"/>
      </w:r>
      <w:r w:rsidR="00394B56">
        <w:rPr>
          <w:rFonts w:cstheme="minorHAnsi"/>
          <w:noProof/>
          <w:color w:val="4F81BD" w:themeColor="accent1"/>
        </w:rPr>
        <w:t>2</w:t>
      </w:r>
      <w:r w:rsidRPr="00AE63C3">
        <w:rPr>
          <w:rFonts w:cstheme="minorHAnsi"/>
          <w:color w:val="4F81BD" w:themeColor="accent1"/>
        </w:rPr>
        <w:fldChar w:fldCharType="end"/>
      </w:r>
      <w:bookmarkEnd w:id="4"/>
      <w:r w:rsidRPr="00AE63C3">
        <w:rPr>
          <w:rFonts w:cstheme="minorHAnsi"/>
          <w:color w:val="4F81BD" w:themeColor="accent1"/>
        </w:rPr>
        <w:tab/>
        <w:t>Estimated number of patients who may receive treatment with TARE-Y</w:t>
      </w:r>
    </w:p>
    <w:tbl>
      <w:tblPr>
        <w:tblStyle w:val="TableGrid"/>
        <w:tblW w:w="9016" w:type="dxa"/>
        <w:tblLook w:val="04A0" w:firstRow="1" w:lastRow="0" w:firstColumn="1" w:lastColumn="0" w:noHBand="0" w:noVBand="1"/>
        <w:tblDescription w:val="Estimated number of patients who may receive treatment with TARE-Y"/>
      </w:tblPr>
      <w:tblGrid>
        <w:gridCol w:w="551"/>
        <w:gridCol w:w="2279"/>
        <w:gridCol w:w="1276"/>
        <w:gridCol w:w="992"/>
        <w:gridCol w:w="993"/>
        <w:gridCol w:w="992"/>
        <w:gridCol w:w="988"/>
        <w:gridCol w:w="945"/>
      </w:tblGrid>
      <w:tr w:rsidR="005637B8" w:rsidRPr="00AE63C3" w:rsidTr="004B2260">
        <w:trPr>
          <w:trHeight w:val="300"/>
          <w:tblHeader/>
        </w:trPr>
        <w:tc>
          <w:tcPr>
            <w:tcW w:w="551" w:type="dxa"/>
            <w:noWrap/>
            <w:hideMark/>
          </w:tcPr>
          <w:p w:rsidR="005637B8" w:rsidRPr="00AE63C3" w:rsidRDefault="005637B8" w:rsidP="005637B8">
            <w:pPr>
              <w:keepNext/>
              <w:spacing w:before="0" w:after="0"/>
              <w:rPr>
                <w:rFonts w:cstheme="minorHAnsi"/>
                <w:b/>
                <w:color w:val="4F81BD" w:themeColor="accent1"/>
                <w:sz w:val="16"/>
                <w:szCs w:val="16"/>
              </w:rPr>
            </w:pPr>
          </w:p>
        </w:tc>
        <w:tc>
          <w:tcPr>
            <w:tcW w:w="2279" w:type="dxa"/>
            <w:noWrap/>
            <w:hideMark/>
          </w:tcPr>
          <w:p w:rsidR="005637B8" w:rsidRPr="00AE63C3" w:rsidRDefault="005637B8" w:rsidP="005637B8">
            <w:pPr>
              <w:keepNext/>
              <w:spacing w:before="0" w:after="0"/>
              <w:rPr>
                <w:rFonts w:cstheme="minorHAnsi"/>
                <w:b/>
                <w:color w:val="4F81BD" w:themeColor="accent1"/>
                <w:sz w:val="16"/>
                <w:szCs w:val="16"/>
              </w:rPr>
            </w:pPr>
            <w:r w:rsidRPr="00AE63C3">
              <w:rPr>
                <w:rFonts w:cstheme="minorHAnsi"/>
                <w:b/>
                <w:color w:val="4F81BD" w:themeColor="accent1"/>
                <w:sz w:val="16"/>
                <w:szCs w:val="16"/>
              </w:rPr>
              <w:t>Description</w:t>
            </w:r>
          </w:p>
        </w:tc>
        <w:tc>
          <w:tcPr>
            <w:tcW w:w="1276" w:type="dxa"/>
            <w:noWrap/>
            <w:hideMark/>
          </w:tcPr>
          <w:p w:rsidR="005637B8" w:rsidRPr="00AE63C3" w:rsidRDefault="005637B8" w:rsidP="008E3926">
            <w:pPr>
              <w:keepNext/>
              <w:spacing w:before="0" w:after="0"/>
              <w:jc w:val="center"/>
              <w:rPr>
                <w:rFonts w:cstheme="minorHAnsi"/>
                <w:b/>
                <w:color w:val="4F81BD" w:themeColor="accent1"/>
                <w:sz w:val="16"/>
                <w:szCs w:val="16"/>
              </w:rPr>
            </w:pPr>
            <w:r w:rsidRPr="00AE63C3">
              <w:rPr>
                <w:rFonts w:cstheme="minorHAnsi"/>
                <w:b/>
                <w:color w:val="4F81BD" w:themeColor="accent1"/>
                <w:sz w:val="16"/>
                <w:szCs w:val="16"/>
              </w:rPr>
              <w:t>Source</w:t>
            </w:r>
          </w:p>
        </w:tc>
        <w:tc>
          <w:tcPr>
            <w:tcW w:w="992" w:type="dxa"/>
            <w:noWrap/>
            <w:hideMark/>
          </w:tcPr>
          <w:p w:rsidR="005637B8" w:rsidRPr="00AE63C3" w:rsidRDefault="005637B8" w:rsidP="008E3926">
            <w:pPr>
              <w:keepNext/>
              <w:spacing w:before="0" w:after="0"/>
              <w:jc w:val="center"/>
              <w:rPr>
                <w:rFonts w:cstheme="minorHAnsi"/>
                <w:b/>
                <w:color w:val="4F81BD" w:themeColor="accent1"/>
                <w:sz w:val="16"/>
                <w:szCs w:val="16"/>
              </w:rPr>
            </w:pPr>
            <w:r w:rsidRPr="00AE63C3">
              <w:rPr>
                <w:rFonts w:cstheme="minorHAnsi"/>
                <w:b/>
                <w:color w:val="4F81BD" w:themeColor="accent1"/>
                <w:sz w:val="16"/>
                <w:szCs w:val="16"/>
              </w:rPr>
              <w:t>2018</w:t>
            </w:r>
          </w:p>
        </w:tc>
        <w:tc>
          <w:tcPr>
            <w:tcW w:w="993" w:type="dxa"/>
            <w:noWrap/>
            <w:hideMark/>
          </w:tcPr>
          <w:p w:rsidR="005637B8" w:rsidRPr="00AE63C3" w:rsidRDefault="005637B8" w:rsidP="008E3926">
            <w:pPr>
              <w:keepNext/>
              <w:spacing w:before="0" w:after="0"/>
              <w:jc w:val="center"/>
              <w:rPr>
                <w:rFonts w:cstheme="minorHAnsi"/>
                <w:b/>
                <w:color w:val="4F81BD" w:themeColor="accent1"/>
                <w:sz w:val="16"/>
                <w:szCs w:val="16"/>
              </w:rPr>
            </w:pPr>
            <w:r w:rsidRPr="00AE63C3">
              <w:rPr>
                <w:rFonts w:cstheme="minorHAnsi"/>
                <w:b/>
                <w:color w:val="4F81BD" w:themeColor="accent1"/>
                <w:sz w:val="16"/>
                <w:szCs w:val="16"/>
              </w:rPr>
              <w:t>2019</w:t>
            </w:r>
          </w:p>
        </w:tc>
        <w:tc>
          <w:tcPr>
            <w:tcW w:w="992" w:type="dxa"/>
            <w:noWrap/>
            <w:hideMark/>
          </w:tcPr>
          <w:p w:rsidR="005637B8" w:rsidRPr="00AE63C3" w:rsidRDefault="005637B8" w:rsidP="008E3926">
            <w:pPr>
              <w:keepNext/>
              <w:spacing w:before="0" w:after="0"/>
              <w:jc w:val="center"/>
              <w:rPr>
                <w:rFonts w:cstheme="minorHAnsi"/>
                <w:b/>
                <w:color w:val="4F81BD" w:themeColor="accent1"/>
                <w:sz w:val="16"/>
                <w:szCs w:val="16"/>
              </w:rPr>
            </w:pPr>
            <w:r w:rsidRPr="00AE63C3">
              <w:rPr>
                <w:rFonts w:cstheme="minorHAnsi"/>
                <w:b/>
                <w:color w:val="4F81BD" w:themeColor="accent1"/>
                <w:sz w:val="16"/>
                <w:szCs w:val="16"/>
              </w:rPr>
              <w:t>2020</w:t>
            </w:r>
          </w:p>
        </w:tc>
        <w:tc>
          <w:tcPr>
            <w:tcW w:w="988" w:type="dxa"/>
            <w:noWrap/>
            <w:hideMark/>
          </w:tcPr>
          <w:p w:rsidR="005637B8" w:rsidRPr="00AE63C3" w:rsidRDefault="005637B8" w:rsidP="008E3926">
            <w:pPr>
              <w:keepNext/>
              <w:spacing w:before="0" w:after="0"/>
              <w:jc w:val="center"/>
              <w:rPr>
                <w:rFonts w:cstheme="minorHAnsi"/>
                <w:b/>
                <w:color w:val="4F81BD" w:themeColor="accent1"/>
                <w:sz w:val="16"/>
                <w:szCs w:val="16"/>
              </w:rPr>
            </w:pPr>
            <w:r w:rsidRPr="00AE63C3">
              <w:rPr>
                <w:rFonts w:cstheme="minorHAnsi"/>
                <w:b/>
                <w:color w:val="4F81BD" w:themeColor="accent1"/>
                <w:sz w:val="16"/>
                <w:szCs w:val="16"/>
              </w:rPr>
              <w:t>2021</w:t>
            </w:r>
          </w:p>
        </w:tc>
        <w:tc>
          <w:tcPr>
            <w:tcW w:w="945" w:type="dxa"/>
            <w:noWrap/>
            <w:hideMark/>
          </w:tcPr>
          <w:p w:rsidR="005637B8" w:rsidRPr="00AE63C3" w:rsidRDefault="005637B8" w:rsidP="008E3926">
            <w:pPr>
              <w:keepNext/>
              <w:spacing w:before="0" w:after="0"/>
              <w:jc w:val="center"/>
              <w:rPr>
                <w:rFonts w:cstheme="minorHAnsi"/>
                <w:b/>
                <w:color w:val="4F81BD" w:themeColor="accent1"/>
                <w:sz w:val="16"/>
                <w:szCs w:val="16"/>
              </w:rPr>
            </w:pPr>
            <w:r w:rsidRPr="00AE63C3">
              <w:rPr>
                <w:rFonts w:cstheme="minorHAnsi"/>
                <w:b/>
                <w:color w:val="4F81BD" w:themeColor="accent1"/>
                <w:sz w:val="16"/>
                <w:szCs w:val="16"/>
              </w:rPr>
              <w:t>2022</w:t>
            </w:r>
          </w:p>
        </w:tc>
      </w:tr>
      <w:tr w:rsidR="005637B8" w:rsidRPr="00AE63C3" w:rsidTr="00B52B00">
        <w:trPr>
          <w:trHeight w:val="300"/>
        </w:trPr>
        <w:tc>
          <w:tcPr>
            <w:tcW w:w="551"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A</w:t>
            </w:r>
          </w:p>
        </w:tc>
        <w:tc>
          <w:tcPr>
            <w:tcW w:w="2279"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Australian Population</w:t>
            </w:r>
          </w:p>
        </w:tc>
        <w:tc>
          <w:tcPr>
            <w:tcW w:w="1276" w:type="dxa"/>
            <w:noWrap/>
            <w:hideMark/>
          </w:tcPr>
          <w:p w:rsidR="005637B8" w:rsidRPr="00AE63C3" w:rsidRDefault="00EB02D7"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AIHW</w:t>
            </w:r>
            <w:bookmarkStart w:id="5" w:name="_Ref475870368"/>
            <w:r w:rsidRPr="00AE63C3">
              <w:rPr>
                <w:rStyle w:val="FootnoteReference"/>
                <w:rFonts w:cstheme="minorHAnsi"/>
                <w:color w:val="4F81BD" w:themeColor="accent1"/>
                <w:sz w:val="16"/>
                <w:szCs w:val="16"/>
              </w:rPr>
              <w:footnoteReference w:id="18"/>
            </w:r>
            <w:bookmarkEnd w:id="5"/>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25,201,001</w:t>
            </w:r>
          </w:p>
        </w:tc>
        <w:tc>
          <w:tcPr>
            <w:tcW w:w="993"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25,635,818</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26,078,139</w:t>
            </w:r>
          </w:p>
        </w:tc>
        <w:tc>
          <w:tcPr>
            <w:tcW w:w="988"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26,528,090</w:t>
            </w:r>
          </w:p>
        </w:tc>
        <w:tc>
          <w:tcPr>
            <w:tcW w:w="945"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26,985,806</w:t>
            </w:r>
          </w:p>
        </w:tc>
      </w:tr>
      <w:tr w:rsidR="005637B8" w:rsidRPr="00AE63C3" w:rsidTr="00B52B00">
        <w:trPr>
          <w:trHeight w:val="300"/>
        </w:trPr>
        <w:tc>
          <w:tcPr>
            <w:tcW w:w="551"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B</w:t>
            </w:r>
          </w:p>
        </w:tc>
        <w:tc>
          <w:tcPr>
            <w:tcW w:w="2279"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Proportion with liver cancer (C22)</w:t>
            </w:r>
          </w:p>
        </w:tc>
        <w:tc>
          <w:tcPr>
            <w:tcW w:w="1276" w:type="dxa"/>
            <w:noWrap/>
            <w:hideMark/>
          </w:tcPr>
          <w:p w:rsidR="005637B8" w:rsidRPr="00AE63C3" w:rsidRDefault="00EB02D7"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Estimated from AIHW</w:t>
            </w:r>
            <w:r w:rsidRPr="00AE63C3">
              <w:rPr>
                <w:rFonts w:cstheme="minorHAnsi"/>
                <w:color w:val="4F81BD" w:themeColor="accent1"/>
                <w:sz w:val="16"/>
                <w:szCs w:val="16"/>
                <w:vertAlign w:val="superscript"/>
              </w:rPr>
              <w:fldChar w:fldCharType="begin"/>
            </w:r>
            <w:r w:rsidRPr="00AE63C3">
              <w:rPr>
                <w:rFonts w:cstheme="minorHAnsi"/>
                <w:color w:val="4F81BD" w:themeColor="accent1"/>
                <w:sz w:val="16"/>
                <w:szCs w:val="16"/>
                <w:vertAlign w:val="superscript"/>
              </w:rPr>
              <w:instrText xml:space="preserve"> NOTEREF _Ref475870368 \h  \* MERGEFORMAT </w:instrText>
            </w:r>
            <w:r w:rsidRPr="00AE63C3">
              <w:rPr>
                <w:rFonts w:cstheme="minorHAnsi"/>
                <w:color w:val="4F81BD" w:themeColor="accent1"/>
                <w:sz w:val="16"/>
                <w:szCs w:val="16"/>
                <w:vertAlign w:val="superscript"/>
              </w:rPr>
            </w:r>
            <w:r w:rsidRPr="00AE63C3">
              <w:rPr>
                <w:rFonts w:cstheme="minorHAnsi"/>
                <w:color w:val="4F81BD" w:themeColor="accent1"/>
                <w:sz w:val="16"/>
                <w:szCs w:val="16"/>
                <w:vertAlign w:val="superscript"/>
              </w:rPr>
              <w:fldChar w:fldCharType="separate"/>
            </w:r>
            <w:r w:rsidR="00394B56">
              <w:rPr>
                <w:rFonts w:cstheme="minorHAnsi"/>
                <w:color w:val="4F81BD" w:themeColor="accent1"/>
                <w:sz w:val="16"/>
                <w:szCs w:val="16"/>
                <w:vertAlign w:val="superscript"/>
              </w:rPr>
              <w:t>19</w:t>
            </w:r>
            <w:r w:rsidRPr="00AE63C3">
              <w:rPr>
                <w:rFonts w:cstheme="minorHAnsi"/>
                <w:color w:val="4F81BD" w:themeColor="accent1"/>
                <w:sz w:val="16"/>
                <w:szCs w:val="16"/>
                <w:vertAlign w:val="superscript"/>
              </w:rPr>
              <w:fldChar w:fldCharType="end"/>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0.000069</w:t>
            </w:r>
          </w:p>
        </w:tc>
        <w:tc>
          <w:tcPr>
            <w:tcW w:w="993"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0.000070</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0.000071</w:t>
            </w:r>
          </w:p>
        </w:tc>
        <w:tc>
          <w:tcPr>
            <w:tcW w:w="988"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0.000072</w:t>
            </w:r>
          </w:p>
        </w:tc>
        <w:tc>
          <w:tcPr>
            <w:tcW w:w="945"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0.00</w:t>
            </w:r>
            <w:r w:rsidR="001964C7" w:rsidRPr="00AE63C3">
              <w:rPr>
                <w:rFonts w:cstheme="minorHAnsi"/>
                <w:color w:val="4F81BD" w:themeColor="accent1"/>
                <w:sz w:val="16"/>
                <w:szCs w:val="16"/>
              </w:rPr>
              <w:t>007</w:t>
            </w:r>
            <w:r w:rsidR="002C6D7F" w:rsidRPr="00AE63C3">
              <w:rPr>
                <w:rFonts w:cstheme="minorHAnsi"/>
                <w:color w:val="4F81BD" w:themeColor="accent1"/>
                <w:sz w:val="16"/>
                <w:szCs w:val="16"/>
              </w:rPr>
              <w:t>3</w:t>
            </w:r>
          </w:p>
        </w:tc>
      </w:tr>
      <w:tr w:rsidR="005637B8" w:rsidRPr="00AE63C3" w:rsidTr="00B52B00">
        <w:trPr>
          <w:trHeight w:val="300"/>
        </w:trPr>
        <w:tc>
          <w:tcPr>
            <w:tcW w:w="551"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C</w:t>
            </w:r>
          </w:p>
        </w:tc>
        <w:tc>
          <w:tcPr>
            <w:tcW w:w="2279"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Number of patients with liver cancer</w:t>
            </w:r>
          </w:p>
        </w:tc>
        <w:tc>
          <w:tcPr>
            <w:tcW w:w="1276"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A*B</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1738</w:t>
            </w:r>
          </w:p>
        </w:tc>
        <w:tc>
          <w:tcPr>
            <w:tcW w:w="993"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1791</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1845</w:t>
            </w:r>
          </w:p>
        </w:tc>
        <w:tc>
          <w:tcPr>
            <w:tcW w:w="988"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1901</w:t>
            </w:r>
          </w:p>
        </w:tc>
        <w:tc>
          <w:tcPr>
            <w:tcW w:w="945"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1959</w:t>
            </w:r>
          </w:p>
        </w:tc>
      </w:tr>
      <w:tr w:rsidR="005637B8" w:rsidRPr="00AE63C3" w:rsidTr="00B52B00">
        <w:trPr>
          <w:trHeight w:val="300"/>
        </w:trPr>
        <w:tc>
          <w:tcPr>
            <w:tcW w:w="551"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D</w:t>
            </w:r>
          </w:p>
        </w:tc>
        <w:tc>
          <w:tcPr>
            <w:tcW w:w="2279"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Adjustment for underreporting to Cancer Registries (C22)</w:t>
            </w:r>
          </w:p>
        </w:tc>
        <w:tc>
          <w:tcPr>
            <w:tcW w:w="1276"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Hong et al. (2016)</w:t>
            </w:r>
            <w:r w:rsidR="00B52B00" w:rsidRPr="00AE63C3">
              <w:rPr>
                <w:rStyle w:val="FootnoteReference"/>
                <w:rFonts w:cstheme="minorHAnsi"/>
                <w:color w:val="4F81BD" w:themeColor="accent1"/>
                <w:sz w:val="16"/>
                <w:szCs w:val="16"/>
              </w:rPr>
              <w:footnoteReference w:id="19"/>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1.80</w:t>
            </w:r>
          </w:p>
        </w:tc>
        <w:tc>
          <w:tcPr>
            <w:tcW w:w="993"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1.80</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1.80</w:t>
            </w:r>
          </w:p>
        </w:tc>
        <w:tc>
          <w:tcPr>
            <w:tcW w:w="988"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1.80</w:t>
            </w:r>
          </w:p>
        </w:tc>
        <w:tc>
          <w:tcPr>
            <w:tcW w:w="945"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1.80</w:t>
            </w:r>
          </w:p>
        </w:tc>
      </w:tr>
      <w:tr w:rsidR="005637B8" w:rsidRPr="00AE63C3" w:rsidTr="00B52B00">
        <w:trPr>
          <w:trHeight w:val="300"/>
        </w:trPr>
        <w:tc>
          <w:tcPr>
            <w:tcW w:w="551"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E</w:t>
            </w:r>
          </w:p>
        </w:tc>
        <w:tc>
          <w:tcPr>
            <w:tcW w:w="2279"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Adjusted number of patients with liver cancer</w:t>
            </w:r>
          </w:p>
        </w:tc>
        <w:tc>
          <w:tcPr>
            <w:tcW w:w="1276"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C</w:t>
            </w:r>
            <w:bookmarkStart w:id="6" w:name="_GoBack"/>
            <w:r w:rsidRPr="00AE63C3">
              <w:rPr>
                <w:rFonts w:cstheme="minorHAnsi"/>
                <w:color w:val="4F81BD" w:themeColor="accent1"/>
                <w:sz w:val="16"/>
                <w:szCs w:val="16"/>
              </w:rPr>
              <w:t>*</w:t>
            </w:r>
            <w:bookmarkEnd w:id="6"/>
            <w:r w:rsidRPr="00AE63C3">
              <w:rPr>
                <w:rFonts w:cstheme="minorHAnsi"/>
                <w:color w:val="4F81BD" w:themeColor="accent1"/>
                <w:sz w:val="16"/>
                <w:szCs w:val="16"/>
              </w:rPr>
              <w:t>D</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3128</w:t>
            </w:r>
          </w:p>
        </w:tc>
        <w:tc>
          <w:tcPr>
            <w:tcW w:w="993"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3223</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3321</w:t>
            </w:r>
          </w:p>
        </w:tc>
        <w:tc>
          <w:tcPr>
            <w:tcW w:w="988"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3422</w:t>
            </w:r>
          </w:p>
        </w:tc>
        <w:tc>
          <w:tcPr>
            <w:tcW w:w="945"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3527</w:t>
            </w:r>
          </w:p>
        </w:tc>
      </w:tr>
      <w:tr w:rsidR="005637B8" w:rsidRPr="00AE63C3" w:rsidTr="00B52B00">
        <w:trPr>
          <w:trHeight w:val="300"/>
        </w:trPr>
        <w:tc>
          <w:tcPr>
            <w:tcW w:w="551"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F</w:t>
            </w:r>
          </w:p>
        </w:tc>
        <w:tc>
          <w:tcPr>
            <w:tcW w:w="2279"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Proportion with HCC (C22.0)</w:t>
            </w:r>
          </w:p>
        </w:tc>
        <w:tc>
          <w:tcPr>
            <w:tcW w:w="1276" w:type="dxa"/>
            <w:noWrap/>
            <w:hideMark/>
          </w:tcPr>
          <w:p w:rsidR="005637B8" w:rsidRPr="00AE63C3" w:rsidRDefault="00B52B00"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UKCR</w:t>
            </w:r>
            <w:r w:rsidRPr="00AE63C3">
              <w:rPr>
                <w:rStyle w:val="FootnoteReference"/>
                <w:rFonts w:cstheme="minorHAnsi"/>
                <w:color w:val="4F81BD" w:themeColor="accent1"/>
                <w:sz w:val="16"/>
                <w:szCs w:val="16"/>
              </w:rPr>
              <w:footnoteReference w:id="20"/>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0.50</w:t>
            </w:r>
          </w:p>
        </w:tc>
        <w:tc>
          <w:tcPr>
            <w:tcW w:w="993"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0.5</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0.5</w:t>
            </w:r>
          </w:p>
        </w:tc>
        <w:tc>
          <w:tcPr>
            <w:tcW w:w="988"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0.5</w:t>
            </w:r>
          </w:p>
        </w:tc>
        <w:tc>
          <w:tcPr>
            <w:tcW w:w="945"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0.5</w:t>
            </w:r>
          </w:p>
        </w:tc>
      </w:tr>
      <w:tr w:rsidR="005637B8" w:rsidRPr="00AE63C3" w:rsidTr="00B52B00">
        <w:trPr>
          <w:trHeight w:val="300"/>
        </w:trPr>
        <w:tc>
          <w:tcPr>
            <w:tcW w:w="551"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G</w:t>
            </w:r>
          </w:p>
        </w:tc>
        <w:tc>
          <w:tcPr>
            <w:tcW w:w="2279"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Number of patients with HCC</w:t>
            </w:r>
          </w:p>
        </w:tc>
        <w:tc>
          <w:tcPr>
            <w:tcW w:w="1276"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E*F</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1564</w:t>
            </w:r>
          </w:p>
        </w:tc>
        <w:tc>
          <w:tcPr>
            <w:tcW w:w="993"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1612</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1661</w:t>
            </w:r>
          </w:p>
        </w:tc>
        <w:tc>
          <w:tcPr>
            <w:tcW w:w="988"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1711</w:t>
            </w:r>
          </w:p>
        </w:tc>
        <w:tc>
          <w:tcPr>
            <w:tcW w:w="945"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1763</w:t>
            </w:r>
          </w:p>
        </w:tc>
      </w:tr>
      <w:tr w:rsidR="005637B8" w:rsidRPr="00AE63C3" w:rsidTr="00B52B00">
        <w:trPr>
          <w:trHeight w:val="300"/>
        </w:trPr>
        <w:tc>
          <w:tcPr>
            <w:tcW w:w="551"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H</w:t>
            </w:r>
          </w:p>
        </w:tc>
        <w:tc>
          <w:tcPr>
            <w:tcW w:w="2279"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Proportion with unresectable tumours</w:t>
            </w:r>
          </w:p>
        </w:tc>
        <w:tc>
          <w:tcPr>
            <w:tcW w:w="1276"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Interim survey analysis</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0.44</w:t>
            </w:r>
          </w:p>
        </w:tc>
        <w:tc>
          <w:tcPr>
            <w:tcW w:w="993"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0.44</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0.44</w:t>
            </w:r>
          </w:p>
        </w:tc>
        <w:tc>
          <w:tcPr>
            <w:tcW w:w="988"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0.44</w:t>
            </w:r>
          </w:p>
        </w:tc>
        <w:tc>
          <w:tcPr>
            <w:tcW w:w="945"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0.44</w:t>
            </w:r>
          </w:p>
        </w:tc>
      </w:tr>
      <w:tr w:rsidR="005637B8" w:rsidRPr="00AE63C3" w:rsidTr="00B52B00">
        <w:trPr>
          <w:trHeight w:val="300"/>
        </w:trPr>
        <w:tc>
          <w:tcPr>
            <w:tcW w:w="551"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I</w:t>
            </w:r>
          </w:p>
        </w:tc>
        <w:tc>
          <w:tcPr>
            <w:tcW w:w="2279"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Number of patients with unresectable HCC</w:t>
            </w:r>
          </w:p>
        </w:tc>
        <w:tc>
          <w:tcPr>
            <w:tcW w:w="1276"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G*H</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688</w:t>
            </w:r>
          </w:p>
        </w:tc>
        <w:tc>
          <w:tcPr>
            <w:tcW w:w="993"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709</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731</w:t>
            </w:r>
          </w:p>
        </w:tc>
        <w:tc>
          <w:tcPr>
            <w:tcW w:w="988"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753</w:t>
            </w:r>
          </w:p>
        </w:tc>
        <w:tc>
          <w:tcPr>
            <w:tcW w:w="945"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776</w:t>
            </w:r>
          </w:p>
        </w:tc>
      </w:tr>
      <w:tr w:rsidR="005637B8" w:rsidRPr="00AE63C3" w:rsidTr="00B52B00">
        <w:trPr>
          <w:trHeight w:val="300"/>
        </w:trPr>
        <w:tc>
          <w:tcPr>
            <w:tcW w:w="551"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J</w:t>
            </w:r>
          </w:p>
        </w:tc>
        <w:tc>
          <w:tcPr>
            <w:tcW w:w="2279"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 xml:space="preserve">Proportion potentially eligible for </w:t>
            </w:r>
            <w:r w:rsidR="004C038B" w:rsidRPr="00AE63C3">
              <w:rPr>
                <w:rFonts w:cstheme="minorHAnsi"/>
                <w:color w:val="4F81BD" w:themeColor="accent1"/>
                <w:sz w:val="16"/>
                <w:szCs w:val="16"/>
              </w:rPr>
              <w:t>TARE-Y</w:t>
            </w:r>
          </w:p>
        </w:tc>
        <w:tc>
          <w:tcPr>
            <w:tcW w:w="1276"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Interim survey analysis</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0.42</w:t>
            </w:r>
          </w:p>
        </w:tc>
        <w:tc>
          <w:tcPr>
            <w:tcW w:w="993"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0.42</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0.42</w:t>
            </w:r>
          </w:p>
        </w:tc>
        <w:tc>
          <w:tcPr>
            <w:tcW w:w="988"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0.42</w:t>
            </w:r>
          </w:p>
        </w:tc>
        <w:tc>
          <w:tcPr>
            <w:tcW w:w="945"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0.42</w:t>
            </w:r>
          </w:p>
        </w:tc>
      </w:tr>
      <w:tr w:rsidR="005637B8" w:rsidRPr="00AE63C3" w:rsidTr="00B52B00">
        <w:trPr>
          <w:trHeight w:val="300"/>
        </w:trPr>
        <w:tc>
          <w:tcPr>
            <w:tcW w:w="551"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K</w:t>
            </w:r>
          </w:p>
        </w:tc>
        <w:tc>
          <w:tcPr>
            <w:tcW w:w="2279"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 xml:space="preserve">Number of patients with who are potentially eligible for </w:t>
            </w:r>
            <w:r w:rsidR="004C038B" w:rsidRPr="00AE63C3">
              <w:rPr>
                <w:rFonts w:cstheme="minorHAnsi"/>
                <w:color w:val="4F81BD" w:themeColor="accent1"/>
                <w:sz w:val="16"/>
                <w:szCs w:val="16"/>
              </w:rPr>
              <w:t>TARE-Y</w:t>
            </w:r>
          </w:p>
        </w:tc>
        <w:tc>
          <w:tcPr>
            <w:tcW w:w="1276"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I*J</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289</w:t>
            </w:r>
          </w:p>
        </w:tc>
        <w:tc>
          <w:tcPr>
            <w:tcW w:w="993"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298</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307</w:t>
            </w:r>
          </w:p>
        </w:tc>
        <w:tc>
          <w:tcPr>
            <w:tcW w:w="988"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316</w:t>
            </w:r>
          </w:p>
        </w:tc>
        <w:tc>
          <w:tcPr>
            <w:tcW w:w="945"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326</w:t>
            </w:r>
          </w:p>
        </w:tc>
      </w:tr>
      <w:tr w:rsidR="005637B8" w:rsidRPr="00AE63C3" w:rsidTr="00B52B00">
        <w:trPr>
          <w:trHeight w:val="300"/>
        </w:trPr>
        <w:tc>
          <w:tcPr>
            <w:tcW w:w="551"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L</w:t>
            </w:r>
          </w:p>
        </w:tc>
        <w:tc>
          <w:tcPr>
            <w:tcW w:w="2279"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Proportion of patients put forward for workup</w:t>
            </w:r>
          </w:p>
        </w:tc>
        <w:tc>
          <w:tcPr>
            <w:tcW w:w="1276"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Interim survey analysis</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0.5</w:t>
            </w:r>
          </w:p>
        </w:tc>
        <w:tc>
          <w:tcPr>
            <w:tcW w:w="993"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0.5</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0.5</w:t>
            </w:r>
          </w:p>
        </w:tc>
        <w:tc>
          <w:tcPr>
            <w:tcW w:w="988"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0.5</w:t>
            </w:r>
          </w:p>
        </w:tc>
        <w:tc>
          <w:tcPr>
            <w:tcW w:w="945"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0.5</w:t>
            </w:r>
          </w:p>
        </w:tc>
      </w:tr>
      <w:tr w:rsidR="005637B8" w:rsidRPr="00AE63C3" w:rsidTr="00B52B00">
        <w:trPr>
          <w:trHeight w:val="300"/>
        </w:trPr>
        <w:tc>
          <w:tcPr>
            <w:tcW w:w="551"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M</w:t>
            </w:r>
          </w:p>
        </w:tc>
        <w:tc>
          <w:tcPr>
            <w:tcW w:w="2279"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Number of patients put forward for workup</w:t>
            </w:r>
          </w:p>
        </w:tc>
        <w:tc>
          <w:tcPr>
            <w:tcW w:w="1276"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K*L</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145</w:t>
            </w:r>
          </w:p>
        </w:tc>
        <w:tc>
          <w:tcPr>
            <w:tcW w:w="993"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149</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153</w:t>
            </w:r>
          </w:p>
        </w:tc>
        <w:tc>
          <w:tcPr>
            <w:tcW w:w="988"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158</w:t>
            </w:r>
          </w:p>
        </w:tc>
        <w:tc>
          <w:tcPr>
            <w:tcW w:w="945"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163</w:t>
            </w:r>
          </w:p>
        </w:tc>
      </w:tr>
      <w:tr w:rsidR="005637B8" w:rsidRPr="00AE63C3" w:rsidTr="00B52B00">
        <w:trPr>
          <w:trHeight w:val="300"/>
        </w:trPr>
        <w:tc>
          <w:tcPr>
            <w:tcW w:w="551"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N</w:t>
            </w:r>
          </w:p>
        </w:tc>
        <w:tc>
          <w:tcPr>
            <w:tcW w:w="2279"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Proportion of patients with &lt; 20% lung shunting</w:t>
            </w:r>
          </w:p>
        </w:tc>
        <w:tc>
          <w:tcPr>
            <w:tcW w:w="1276"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Interim survey analysis</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0.7</w:t>
            </w:r>
            <w:r w:rsidR="001964C7" w:rsidRPr="00AE63C3">
              <w:rPr>
                <w:rFonts w:cstheme="minorHAnsi"/>
                <w:color w:val="4F81BD" w:themeColor="accent1"/>
                <w:sz w:val="16"/>
                <w:szCs w:val="16"/>
              </w:rPr>
              <w:t>5</w:t>
            </w:r>
          </w:p>
        </w:tc>
        <w:tc>
          <w:tcPr>
            <w:tcW w:w="993"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0.7</w:t>
            </w:r>
            <w:r w:rsidR="001964C7" w:rsidRPr="00AE63C3">
              <w:rPr>
                <w:rFonts w:cstheme="minorHAnsi"/>
                <w:color w:val="4F81BD" w:themeColor="accent1"/>
                <w:sz w:val="16"/>
                <w:szCs w:val="16"/>
              </w:rPr>
              <w:t>5</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0.7</w:t>
            </w:r>
            <w:r w:rsidR="001964C7" w:rsidRPr="00AE63C3">
              <w:rPr>
                <w:rFonts w:cstheme="minorHAnsi"/>
                <w:color w:val="4F81BD" w:themeColor="accent1"/>
                <w:sz w:val="16"/>
                <w:szCs w:val="16"/>
              </w:rPr>
              <w:t>5</w:t>
            </w:r>
          </w:p>
        </w:tc>
        <w:tc>
          <w:tcPr>
            <w:tcW w:w="988"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0.7</w:t>
            </w:r>
            <w:r w:rsidR="001964C7" w:rsidRPr="00AE63C3">
              <w:rPr>
                <w:rFonts w:cstheme="minorHAnsi"/>
                <w:color w:val="4F81BD" w:themeColor="accent1"/>
                <w:sz w:val="16"/>
                <w:szCs w:val="16"/>
              </w:rPr>
              <w:t>5</w:t>
            </w:r>
          </w:p>
        </w:tc>
        <w:tc>
          <w:tcPr>
            <w:tcW w:w="945"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0.7</w:t>
            </w:r>
            <w:r w:rsidR="001964C7" w:rsidRPr="00AE63C3">
              <w:rPr>
                <w:rFonts w:cstheme="minorHAnsi"/>
                <w:color w:val="4F81BD" w:themeColor="accent1"/>
                <w:sz w:val="16"/>
                <w:szCs w:val="16"/>
              </w:rPr>
              <w:t>5</w:t>
            </w:r>
          </w:p>
        </w:tc>
      </w:tr>
      <w:tr w:rsidR="005637B8" w:rsidRPr="00AE63C3" w:rsidTr="00B52B00">
        <w:trPr>
          <w:trHeight w:val="300"/>
        </w:trPr>
        <w:tc>
          <w:tcPr>
            <w:tcW w:w="551"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O</w:t>
            </w:r>
          </w:p>
        </w:tc>
        <w:tc>
          <w:tcPr>
            <w:tcW w:w="2279"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 xml:space="preserve">Number of patients eligible for therapy with </w:t>
            </w:r>
            <w:r w:rsidR="004C038B" w:rsidRPr="00AE63C3">
              <w:rPr>
                <w:rFonts w:cstheme="minorHAnsi"/>
                <w:color w:val="4F81BD" w:themeColor="accent1"/>
                <w:sz w:val="16"/>
                <w:szCs w:val="16"/>
              </w:rPr>
              <w:t>TARE-Y</w:t>
            </w:r>
          </w:p>
        </w:tc>
        <w:tc>
          <w:tcPr>
            <w:tcW w:w="1276"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M*N</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101</w:t>
            </w:r>
          </w:p>
        </w:tc>
        <w:tc>
          <w:tcPr>
            <w:tcW w:w="993"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104</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107</w:t>
            </w:r>
          </w:p>
        </w:tc>
        <w:tc>
          <w:tcPr>
            <w:tcW w:w="988"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111</w:t>
            </w:r>
          </w:p>
        </w:tc>
        <w:tc>
          <w:tcPr>
            <w:tcW w:w="945"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114</w:t>
            </w:r>
          </w:p>
        </w:tc>
      </w:tr>
      <w:tr w:rsidR="005637B8" w:rsidRPr="00AE63C3" w:rsidTr="00B52B00">
        <w:trPr>
          <w:trHeight w:val="300"/>
        </w:trPr>
        <w:tc>
          <w:tcPr>
            <w:tcW w:w="551"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P</w:t>
            </w:r>
          </w:p>
        </w:tc>
        <w:tc>
          <w:tcPr>
            <w:tcW w:w="2279" w:type="dxa"/>
            <w:noWrap/>
            <w:hideMark/>
          </w:tcPr>
          <w:p w:rsidR="005637B8" w:rsidRPr="00AE63C3" w:rsidRDefault="005637B8" w:rsidP="005637B8">
            <w:pPr>
              <w:keepNext/>
              <w:spacing w:before="0" w:after="0"/>
              <w:rPr>
                <w:rFonts w:cstheme="minorHAnsi"/>
                <w:color w:val="4F81BD" w:themeColor="accent1"/>
                <w:sz w:val="16"/>
                <w:szCs w:val="16"/>
              </w:rPr>
            </w:pPr>
            <w:r w:rsidRPr="00AE63C3">
              <w:rPr>
                <w:rFonts w:cstheme="minorHAnsi"/>
                <w:color w:val="4F81BD" w:themeColor="accent1"/>
                <w:sz w:val="16"/>
                <w:szCs w:val="16"/>
              </w:rPr>
              <w:t>Uptake rate</w:t>
            </w:r>
          </w:p>
        </w:tc>
        <w:tc>
          <w:tcPr>
            <w:tcW w:w="1276"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Interim survey analysis</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0.7</w:t>
            </w:r>
          </w:p>
        </w:tc>
        <w:tc>
          <w:tcPr>
            <w:tcW w:w="993"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0.7</w:t>
            </w:r>
          </w:p>
        </w:tc>
        <w:tc>
          <w:tcPr>
            <w:tcW w:w="992"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0.7</w:t>
            </w:r>
          </w:p>
        </w:tc>
        <w:tc>
          <w:tcPr>
            <w:tcW w:w="988"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0.7</w:t>
            </w:r>
          </w:p>
        </w:tc>
        <w:tc>
          <w:tcPr>
            <w:tcW w:w="945" w:type="dxa"/>
            <w:noWrap/>
            <w:hideMark/>
          </w:tcPr>
          <w:p w:rsidR="005637B8" w:rsidRPr="00AE63C3" w:rsidRDefault="005637B8" w:rsidP="008E3926">
            <w:pPr>
              <w:keepNext/>
              <w:spacing w:before="0" w:after="0"/>
              <w:jc w:val="center"/>
              <w:rPr>
                <w:rFonts w:cstheme="minorHAnsi"/>
                <w:color w:val="4F81BD" w:themeColor="accent1"/>
                <w:sz w:val="16"/>
                <w:szCs w:val="16"/>
              </w:rPr>
            </w:pPr>
            <w:r w:rsidRPr="00AE63C3">
              <w:rPr>
                <w:rFonts w:cstheme="minorHAnsi"/>
                <w:color w:val="4F81BD" w:themeColor="accent1"/>
                <w:sz w:val="16"/>
                <w:szCs w:val="16"/>
              </w:rPr>
              <w:t>0.7</w:t>
            </w:r>
          </w:p>
        </w:tc>
      </w:tr>
      <w:tr w:rsidR="005637B8" w:rsidRPr="00AE63C3" w:rsidTr="00B52B00">
        <w:trPr>
          <w:trHeight w:val="300"/>
        </w:trPr>
        <w:tc>
          <w:tcPr>
            <w:tcW w:w="551" w:type="dxa"/>
            <w:noWrap/>
            <w:hideMark/>
          </w:tcPr>
          <w:p w:rsidR="005637B8" w:rsidRPr="00AE63C3" w:rsidRDefault="005637B8" w:rsidP="005637B8">
            <w:pPr>
              <w:keepNext/>
              <w:spacing w:before="0" w:after="0"/>
              <w:rPr>
                <w:rFonts w:cstheme="minorHAnsi"/>
                <w:b/>
                <w:color w:val="4F81BD" w:themeColor="accent1"/>
                <w:sz w:val="16"/>
                <w:szCs w:val="16"/>
              </w:rPr>
            </w:pPr>
            <w:r w:rsidRPr="00AE63C3">
              <w:rPr>
                <w:rFonts w:cstheme="minorHAnsi"/>
                <w:b/>
                <w:color w:val="4F81BD" w:themeColor="accent1"/>
                <w:sz w:val="16"/>
                <w:szCs w:val="16"/>
              </w:rPr>
              <w:t>Q</w:t>
            </w:r>
          </w:p>
        </w:tc>
        <w:tc>
          <w:tcPr>
            <w:tcW w:w="2279" w:type="dxa"/>
            <w:noWrap/>
            <w:hideMark/>
          </w:tcPr>
          <w:p w:rsidR="005637B8" w:rsidRPr="00AE63C3" w:rsidRDefault="005637B8" w:rsidP="005637B8">
            <w:pPr>
              <w:keepNext/>
              <w:spacing w:before="0" w:after="0"/>
              <w:rPr>
                <w:rFonts w:cstheme="minorHAnsi"/>
                <w:b/>
                <w:color w:val="4F81BD" w:themeColor="accent1"/>
                <w:sz w:val="16"/>
                <w:szCs w:val="16"/>
              </w:rPr>
            </w:pPr>
            <w:r w:rsidRPr="00AE63C3">
              <w:rPr>
                <w:rFonts w:cstheme="minorHAnsi"/>
                <w:b/>
                <w:color w:val="4F81BD" w:themeColor="accent1"/>
                <w:sz w:val="16"/>
                <w:szCs w:val="16"/>
              </w:rPr>
              <w:t xml:space="preserve">Expected number of patients receiving </w:t>
            </w:r>
            <w:r w:rsidR="004C038B" w:rsidRPr="00AE63C3">
              <w:rPr>
                <w:rFonts w:cstheme="minorHAnsi"/>
                <w:b/>
                <w:color w:val="4F81BD" w:themeColor="accent1"/>
                <w:sz w:val="16"/>
                <w:szCs w:val="16"/>
              </w:rPr>
              <w:t>TARE-Y</w:t>
            </w:r>
          </w:p>
        </w:tc>
        <w:tc>
          <w:tcPr>
            <w:tcW w:w="1276" w:type="dxa"/>
            <w:noWrap/>
            <w:hideMark/>
          </w:tcPr>
          <w:p w:rsidR="005637B8" w:rsidRPr="00AE63C3" w:rsidRDefault="005637B8" w:rsidP="008E3926">
            <w:pPr>
              <w:keepNext/>
              <w:spacing w:before="0" w:after="0"/>
              <w:jc w:val="center"/>
              <w:rPr>
                <w:rFonts w:cstheme="minorHAnsi"/>
                <w:b/>
                <w:color w:val="4F81BD" w:themeColor="accent1"/>
                <w:sz w:val="16"/>
                <w:szCs w:val="16"/>
              </w:rPr>
            </w:pPr>
            <w:r w:rsidRPr="00AE63C3">
              <w:rPr>
                <w:rFonts w:cstheme="minorHAnsi"/>
                <w:b/>
                <w:color w:val="4F81BD" w:themeColor="accent1"/>
                <w:sz w:val="16"/>
                <w:szCs w:val="16"/>
              </w:rPr>
              <w:t>O*P</w:t>
            </w:r>
          </w:p>
        </w:tc>
        <w:tc>
          <w:tcPr>
            <w:tcW w:w="992" w:type="dxa"/>
            <w:noWrap/>
            <w:hideMark/>
          </w:tcPr>
          <w:p w:rsidR="005637B8" w:rsidRPr="00AE63C3" w:rsidRDefault="001964C7" w:rsidP="008E3926">
            <w:pPr>
              <w:keepNext/>
              <w:spacing w:before="0" w:after="0"/>
              <w:jc w:val="center"/>
              <w:rPr>
                <w:rFonts w:cstheme="minorHAnsi"/>
                <w:b/>
                <w:color w:val="4F81BD" w:themeColor="accent1"/>
                <w:sz w:val="16"/>
                <w:szCs w:val="16"/>
              </w:rPr>
            </w:pPr>
            <w:r w:rsidRPr="00AE63C3">
              <w:rPr>
                <w:rFonts w:cstheme="minorHAnsi"/>
                <w:b/>
                <w:color w:val="4F81BD" w:themeColor="accent1"/>
                <w:sz w:val="16"/>
                <w:szCs w:val="16"/>
              </w:rPr>
              <w:t>76</w:t>
            </w:r>
          </w:p>
        </w:tc>
        <w:tc>
          <w:tcPr>
            <w:tcW w:w="993" w:type="dxa"/>
            <w:noWrap/>
            <w:hideMark/>
          </w:tcPr>
          <w:p w:rsidR="005637B8" w:rsidRPr="00AE63C3" w:rsidRDefault="001964C7" w:rsidP="008E3926">
            <w:pPr>
              <w:keepNext/>
              <w:spacing w:before="0" w:after="0"/>
              <w:jc w:val="center"/>
              <w:rPr>
                <w:rFonts w:cstheme="minorHAnsi"/>
                <w:b/>
                <w:color w:val="4F81BD" w:themeColor="accent1"/>
                <w:sz w:val="16"/>
                <w:szCs w:val="16"/>
              </w:rPr>
            </w:pPr>
            <w:r w:rsidRPr="00AE63C3">
              <w:rPr>
                <w:rFonts w:cstheme="minorHAnsi"/>
                <w:b/>
                <w:color w:val="4F81BD" w:themeColor="accent1"/>
                <w:sz w:val="16"/>
                <w:szCs w:val="16"/>
              </w:rPr>
              <w:t>78</w:t>
            </w:r>
          </w:p>
        </w:tc>
        <w:tc>
          <w:tcPr>
            <w:tcW w:w="992" w:type="dxa"/>
            <w:noWrap/>
            <w:hideMark/>
          </w:tcPr>
          <w:p w:rsidR="005637B8" w:rsidRPr="00AE63C3" w:rsidRDefault="001964C7" w:rsidP="008E3926">
            <w:pPr>
              <w:keepNext/>
              <w:spacing w:before="0" w:after="0"/>
              <w:jc w:val="center"/>
              <w:rPr>
                <w:rFonts w:cstheme="minorHAnsi"/>
                <w:b/>
                <w:color w:val="4F81BD" w:themeColor="accent1"/>
                <w:sz w:val="16"/>
                <w:szCs w:val="16"/>
              </w:rPr>
            </w:pPr>
            <w:r w:rsidRPr="00AE63C3">
              <w:rPr>
                <w:rFonts w:cstheme="minorHAnsi"/>
                <w:b/>
                <w:color w:val="4F81BD" w:themeColor="accent1"/>
                <w:sz w:val="16"/>
                <w:szCs w:val="16"/>
              </w:rPr>
              <w:t>81</w:t>
            </w:r>
          </w:p>
        </w:tc>
        <w:tc>
          <w:tcPr>
            <w:tcW w:w="988" w:type="dxa"/>
            <w:noWrap/>
            <w:hideMark/>
          </w:tcPr>
          <w:p w:rsidR="005637B8" w:rsidRPr="00AE63C3" w:rsidRDefault="001964C7" w:rsidP="008E3926">
            <w:pPr>
              <w:keepNext/>
              <w:spacing w:before="0" w:after="0"/>
              <w:jc w:val="center"/>
              <w:rPr>
                <w:rFonts w:cstheme="minorHAnsi"/>
                <w:b/>
                <w:color w:val="4F81BD" w:themeColor="accent1"/>
                <w:sz w:val="16"/>
                <w:szCs w:val="16"/>
              </w:rPr>
            </w:pPr>
            <w:r w:rsidRPr="00AE63C3">
              <w:rPr>
                <w:rFonts w:cstheme="minorHAnsi"/>
                <w:b/>
                <w:color w:val="4F81BD" w:themeColor="accent1"/>
                <w:sz w:val="16"/>
                <w:szCs w:val="16"/>
              </w:rPr>
              <w:t>83</w:t>
            </w:r>
          </w:p>
        </w:tc>
        <w:tc>
          <w:tcPr>
            <w:tcW w:w="945" w:type="dxa"/>
            <w:noWrap/>
            <w:hideMark/>
          </w:tcPr>
          <w:p w:rsidR="005637B8" w:rsidRPr="00AE63C3" w:rsidRDefault="001964C7" w:rsidP="008E3926">
            <w:pPr>
              <w:keepNext/>
              <w:spacing w:before="0" w:after="0"/>
              <w:jc w:val="center"/>
              <w:rPr>
                <w:rFonts w:cstheme="minorHAnsi"/>
                <w:b/>
                <w:color w:val="4F81BD" w:themeColor="accent1"/>
                <w:sz w:val="16"/>
                <w:szCs w:val="16"/>
              </w:rPr>
            </w:pPr>
            <w:r w:rsidRPr="00AE63C3">
              <w:rPr>
                <w:rFonts w:cstheme="minorHAnsi"/>
                <w:b/>
                <w:color w:val="4F81BD" w:themeColor="accent1"/>
                <w:sz w:val="16"/>
                <w:szCs w:val="16"/>
              </w:rPr>
              <w:t>86</w:t>
            </w:r>
          </w:p>
        </w:tc>
      </w:tr>
    </w:tbl>
    <w:p w:rsidR="00523019" w:rsidRDefault="00523019" w:rsidP="00523019">
      <w:pPr>
        <w:rPr>
          <w:color w:val="4F81BD" w:themeColor="accent1"/>
          <w:sz w:val="16"/>
          <w:szCs w:val="16"/>
        </w:rPr>
      </w:pPr>
      <w:r w:rsidRPr="00C04F41">
        <w:rPr>
          <w:color w:val="4F81BD" w:themeColor="accent1"/>
          <w:sz w:val="16"/>
        </w:rPr>
        <w:t xml:space="preserve">Abbreviations: ABS, Australian Bureau of Statistics; AIHW, Australian Institute of Health and Welfare; CRUK, Cancer Research United Kingdom; HCC, hepatocellular carcinoma; </w:t>
      </w:r>
      <w:r w:rsidR="004C038B">
        <w:rPr>
          <w:color w:val="4F81BD" w:themeColor="accent1"/>
          <w:sz w:val="16"/>
        </w:rPr>
        <w:t xml:space="preserve">TARE-Y, </w:t>
      </w:r>
      <w:proofErr w:type="spellStart"/>
      <w:r w:rsidR="004C038B">
        <w:rPr>
          <w:color w:val="4F81BD" w:themeColor="accent1"/>
          <w:sz w:val="16"/>
        </w:rPr>
        <w:t>transarterial</w:t>
      </w:r>
      <w:proofErr w:type="spellEnd"/>
      <w:r w:rsidR="004C038B">
        <w:rPr>
          <w:color w:val="4F81BD" w:themeColor="accent1"/>
          <w:sz w:val="16"/>
        </w:rPr>
        <w:t xml:space="preserve"> </w:t>
      </w:r>
      <w:proofErr w:type="spellStart"/>
      <w:r w:rsidR="004C038B">
        <w:rPr>
          <w:color w:val="4F81BD" w:themeColor="accent1"/>
          <w:sz w:val="16"/>
        </w:rPr>
        <w:t>radioembolisation</w:t>
      </w:r>
      <w:proofErr w:type="spellEnd"/>
      <w:r w:rsidR="004C038B">
        <w:rPr>
          <w:color w:val="4F81BD" w:themeColor="accent1"/>
          <w:sz w:val="16"/>
        </w:rPr>
        <w:t xml:space="preserve"> with yttrium-90</w:t>
      </w:r>
      <w:r w:rsidRPr="00C04F41">
        <w:rPr>
          <w:color w:val="4F81BD" w:themeColor="accent1"/>
          <w:sz w:val="16"/>
          <w:szCs w:val="16"/>
        </w:rPr>
        <w:t xml:space="preserve">. </w:t>
      </w:r>
    </w:p>
    <w:p w:rsidR="00B52B00" w:rsidRPr="00C04F41" w:rsidRDefault="00B52B00" w:rsidP="00523019">
      <w:pPr>
        <w:rPr>
          <w:color w:val="4F81BD" w:themeColor="accent1"/>
          <w:sz w:val="16"/>
        </w:rPr>
      </w:pPr>
    </w:p>
    <w:p w:rsidR="00382407" w:rsidRPr="00154B00" w:rsidRDefault="00382407" w:rsidP="00523019">
      <w:pPr>
        <w:pStyle w:val="Heading2"/>
        <w:keepNext/>
        <w:ind w:left="357" w:hanging="357"/>
      </w:pPr>
      <w:r w:rsidRPr="00154B00">
        <w:lastRenderedPageBreak/>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382407" w:rsidRPr="0036769B" w:rsidRDefault="00EB02D7" w:rsidP="00AE1188">
      <w:pPr>
        <w:ind w:left="426"/>
        <w:rPr>
          <w:color w:val="4F81BD" w:themeColor="accent1"/>
          <w:szCs w:val="20"/>
        </w:rPr>
      </w:pPr>
      <w:r>
        <w:rPr>
          <w:color w:val="4F81BD" w:themeColor="accent1"/>
        </w:rPr>
        <w:t>In many</w:t>
      </w:r>
      <w:r w:rsidR="00523019" w:rsidRPr="00523019">
        <w:rPr>
          <w:color w:val="4F81BD" w:themeColor="accent1"/>
        </w:rPr>
        <w:t xml:space="preserve"> cases the service will be delivered once only in a lifetime. However, there may be occasions when the service is deliver</w:t>
      </w:r>
      <w:r w:rsidR="002C6D7F">
        <w:rPr>
          <w:color w:val="4F81BD" w:themeColor="accent1"/>
        </w:rPr>
        <w:t xml:space="preserve">ed twice. </w:t>
      </w:r>
      <w:r w:rsidR="00523019" w:rsidRPr="00523019">
        <w:rPr>
          <w:color w:val="4F81BD" w:themeColor="accent1"/>
        </w:rPr>
        <w:t>This may occur when the service is delivered in separate administrations to individual lobes of the liver, or in the case where a patient responds well and upon disease recurrence or new tumours, treatment is repeated. Patients receive on average 1.8 treatments per lifetime.</w:t>
      </w:r>
    </w:p>
    <w:p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rsidR="00382407" w:rsidRPr="0036769B" w:rsidRDefault="00523019" w:rsidP="00AE1188">
      <w:pPr>
        <w:ind w:left="426"/>
        <w:rPr>
          <w:b/>
          <w:color w:val="4F81BD" w:themeColor="accent1"/>
          <w:szCs w:val="20"/>
        </w:rPr>
      </w:pPr>
      <w:r>
        <w:rPr>
          <w:color w:val="4F81BD" w:themeColor="accent1"/>
        </w:rPr>
        <w:t>See above</w:t>
      </w:r>
    </w:p>
    <w:p w:rsidR="002A6753" w:rsidRPr="003B7CF8"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 xml:space="preserve">vice(s) for the first </w:t>
      </w:r>
      <w:r w:rsidR="00AE1188" w:rsidRPr="003B7CF8">
        <w:t>full year:</w:t>
      </w:r>
    </w:p>
    <w:p w:rsidR="00AE1188" w:rsidRPr="00EA6941" w:rsidRDefault="00EA6941" w:rsidP="00AE1188">
      <w:pPr>
        <w:ind w:left="426"/>
        <w:rPr>
          <w:color w:val="4F81BD" w:themeColor="accent1"/>
          <w:szCs w:val="20"/>
        </w:rPr>
      </w:pPr>
      <w:r w:rsidRPr="003B7CF8">
        <w:rPr>
          <w:color w:val="4F81BD" w:themeColor="accent1"/>
        </w:rPr>
        <w:t xml:space="preserve">It is estimated that </w:t>
      </w:r>
      <w:r w:rsidR="00AB0B8E" w:rsidRPr="003B7CF8">
        <w:rPr>
          <w:color w:val="4F81BD" w:themeColor="accent1"/>
        </w:rPr>
        <w:t xml:space="preserve">if TARE-Y was available for </w:t>
      </w:r>
      <w:r w:rsidR="003B7CF8" w:rsidRPr="003B7CF8">
        <w:rPr>
          <w:color w:val="4F81BD" w:themeColor="accent1"/>
        </w:rPr>
        <w:t>any</w:t>
      </w:r>
      <w:r w:rsidR="00AB0B8E" w:rsidRPr="003B7CF8">
        <w:rPr>
          <w:color w:val="4F81BD" w:themeColor="accent1"/>
        </w:rPr>
        <w:t xml:space="preserve"> treatment, </w:t>
      </w:r>
      <w:r w:rsidR="00EB02D7" w:rsidRPr="003B7CF8">
        <w:rPr>
          <w:color w:val="4F81BD" w:themeColor="accent1"/>
        </w:rPr>
        <w:t>7</w:t>
      </w:r>
      <w:r w:rsidR="00AD2CCA" w:rsidRPr="003B7CF8">
        <w:rPr>
          <w:color w:val="4F81BD" w:themeColor="accent1"/>
        </w:rPr>
        <w:t>6</w:t>
      </w:r>
      <w:r w:rsidRPr="003B7CF8">
        <w:rPr>
          <w:color w:val="4F81BD" w:themeColor="accent1"/>
        </w:rPr>
        <w:t xml:space="preserve"> patients with unresectable HCC may utilise TARE-Y in the first full year.</w:t>
      </w:r>
      <w:r w:rsidRPr="00EA6941">
        <w:rPr>
          <w:color w:val="4F81BD" w:themeColor="accent1"/>
        </w:rPr>
        <w:t xml:space="preserve"> </w:t>
      </w:r>
    </w:p>
    <w:p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EB02D7" w:rsidRDefault="00EA6941" w:rsidP="00AE1188">
      <w:pPr>
        <w:ind w:left="426"/>
        <w:rPr>
          <w:color w:val="4F81BD" w:themeColor="accent1"/>
        </w:rPr>
      </w:pPr>
      <w:r w:rsidRPr="00EA6941">
        <w:rPr>
          <w:color w:val="4F81BD" w:themeColor="accent1"/>
        </w:rPr>
        <w:t>The estimated uptake</w:t>
      </w:r>
      <w:r w:rsidR="00EB02D7">
        <w:rPr>
          <w:color w:val="4F81BD" w:themeColor="accent1"/>
        </w:rPr>
        <w:t xml:space="preserve"> based on an interim analysis of a clinician survey</w:t>
      </w:r>
      <w:r w:rsidR="008E3926">
        <w:rPr>
          <w:color w:val="4F81BD" w:themeColor="accent1"/>
        </w:rPr>
        <w:t xml:space="preserve">, as shown in </w:t>
      </w:r>
      <w:r w:rsidR="008E3926" w:rsidRPr="008E3926">
        <w:rPr>
          <w:b/>
          <w:color w:val="4F81BD" w:themeColor="accent1"/>
        </w:rPr>
        <w:fldChar w:fldCharType="begin"/>
      </w:r>
      <w:r w:rsidR="008E3926" w:rsidRPr="008E3926">
        <w:rPr>
          <w:b/>
          <w:color w:val="4F81BD" w:themeColor="accent1"/>
        </w:rPr>
        <w:instrText xml:space="preserve"> REF _Ref475869983 \h </w:instrText>
      </w:r>
      <w:r w:rsidR="008E3926">
        <w:rPr>
          <w:b/>
          <w:color w:val="4F81BD" w:themeColor="accent1"/>
        </w:rPr>
        <w:instrText xml:space="preserve"> \* MERGEFORMAT </w:instrText>
      </w:r>
      <w:r w:rsidR="008E3926" w:rsidRPr="008E3926">
        <w:rPr>
          <w:b/>
          <w:color w:val="4F81BD" w:themeColor="accent1"/>
        </w:rPr>
      </w:r>
      <w:r w:rsidR="008E3926" w:rsidRPr="008E3926">
        <w:rPr>
          <w:b/>
          <w:color w:val="4F81BD" w:themeColor="accent1"/>
        </w:rPr>
        <w:fldChar w:fldCharType="separate"/>
      </w:r>
      <w:r w:rsidR="00394B56" w:rsidRPr="00394B56">
        <w:rPr>
          <w:b/>
          <w:color w:val="4F81BD" w:themeColor="accent1"/>
        </w:rPr>
        <w:t xml:space="preserve">Table </w:t>
      </w:r>
      <w:r w:rsidR="00394B56" w:rsidRPr="00394B56">
        <w:rPr>
          <w:b/>
          <w:noProof/>
          <w:color w:val="4F81BD" w:themeColor="accent1"/>
        </w:rPr>
        <w:t>2</w:t>
      </w:r>
      <w:r w:rsidR="008E3926" w:rsidRPr="008E3926">
        <w:rPr>
          <w:b/>
          <w:color w:val="4F81BD" w:themeColor="accent1"/>
        </w:rPr>
        <w:fldChar w:fldCharType="end"/>
      </w:r>
      <w:r w:rsidR="008E3926">
        <w:rPr>
          <w:color w:val="4F81BD" w:themeColor="accent1"/>
        </w:rPr>
        <w:t xml:space="preserve">, </w:t>
      </w:r>
      <w:r w:rsidR="00EB02D7">
        <w:rPr>
          <w:color w:val="4F81BD" w:themeColor="accent1"/>
        </w:rPr>
        <w:t xml:space="preserve">is </w:t>
      </w:r>
      <w:r w:rsidR="00512DDE">
        <w:rPr>
          <w:color w:val="4F81BD" w:themeColor="accent1"/>
        </w:rPr>
        <w:t>70%</w:t>
      </w:r>
      <w:r w:rsidR="008E3926">
        <w:rPr>
          <w:color w:val="4F81BD" w:themeColor="accent1"/>
        </w:rPr>
        <w:t>. T</w:t>
      </w:r>
      <w:r w:rsidR="00EB02D7">
        <w:rPr>
          <w:color w:val="4F81BD" w:themeColor="accent1"/>
        </w:rPr>
        <w:t xml:space="preserve">his current estimate seems high, but </w:t>
      </w:r>
      <w:r w:rsidR="00990D69">
        <w:rPr>
          <w:color w:val="4F81BD" w:themeColor="accent1"/>
        </w:rPr>
        <w:t xml:space="preserve">ultimately </w:t>
      </w:r>
      <w:r w:rsidR="00EB02D7">
        <w:rPr>
          <w:color w:val="4F81BD" w:themeColor="accent1"/>
        </w:rPr>
        <w:t xml:space="preserve">results in only a small number of patients receiving TARE-Y each year. The likely uptake of TARE-Y is dependent on which population/s </w:t>
      </w:r>
      <w:proofErr w:type="gramStart"/>
      <w:r w:rsidR="00EB02D7">
        <w:rPr>
          <w:color w:val="4F81BD" w:themeColor="accent1"/>
        </w:rPr>
        <w:t>are</w:t>
      </w:r>
      <w:proofErr w:type="gramEnd"/>
      <w:r w:rsidR="00EB02D7">
        <w:rPr>
          <w:color w:val="4F81BD" w:themeColor="accent1"/>
        </w:rPr>
        <w:t xml:space="preserve"> requested and so will be examined in greater detail when that decision is made. </w:t>
      </w:r>
    </w:p>
    <w:p w:rsidR="001B171D" w:rsidRPr="00EA6941" w:rsidRDefault="00EA6941" w:rsidP="00AE1188">
      <w:pPr>
        <w:ind w:left="426"/>
        <w:rPr>
          <w:color w:val="4F81BD" w:themeColor="accent1"/>
          <w:szCs w:val="20"/>
        </w:rPr>
      </w:pPr>
      <w:r w:rsidRPr="00EA6941">
        <w:rPr>
          <w:color w:val="4F81BD" w:themeColor="accent1"/>
        </w:rPr>
        <w:t xml:space="preserve">It is not anticipated that there will be any constraints in meeting the needs of the proposed population. In addition, it is not expected that there would be leakage to another population. TARE-Y is only appropriate for the treatment of liver cancers, the most common of which are HCC and colorectal liver metastases. TARE-Y using SIR-Spheres </w:t>
      </w:r>
      <w:proofErr w:type="gramStart"/>
      <w:r w:rsidRPr="00EA6941">
        <w:rPr>
          <w:color w:val="4F81BD" w:themeColor="accent1"/>
        </w:rPr>
        <w:t>is</w:t>
      </w:r>
      <w:proofErr w:type="gramEnd"/>
      <w:r w:rsidRPr="00EA6941">
        <w:rPr>
          <w:color w:val="4F81BD" w:themeColor="accent1"/>
        </w:rPr>
        <w:t xml:space="preserve"> already reimbursed on the MBS for colorectal liver metastases. </w:t>
      </w:r>
    </w:p>
    <w:p w:rsidR="003433D1" w:rsidRDefault="003433D1">
      <w:pPr>
        <w:rPr>
          <w:b/>
          <w:sz w:val="32"/>
          <w:szCs w:val="32"/>
        </w:rPr>
      </w:pPr>
      <w:r>
        <w:rPr>
          <w:b/>
          <w:sz w:val="32"/>
          <w:szCs w:val="32"/>
        </w:rPr>
        <w:br w:type="page"/>
      </w:r>
    </w:p>
    <w:p w:rsidR="00951933" w:rsidRPr="00C57EE4" w:rsidRDefault="001B5169" w:rsidP="00AE1188">
      <w:pPr>
        <w:pStyle w:val="Heading1"/>
      </w:pPr>
      <w:r w:rsidRPr="00C57EE4">
        <w:lastRenderedPageBreak/>
        <w:t>PART 8</w:t>
      </w:r>
      <w:r w:rsidR="00F93784" w:rsidRPr="00C57EE4">
        <w:t xml:space="preserve"> – </w:t>
      </w:r>
      <w:r w:rsidR="005A58BA" w:rsidRPr="00C57EE4">
        <w:t>COST</w:t>
      </w:r>
      <w:r w:rsidR="00951933" w:rsidRPr="00C57EE4">
        <w:t xml:space="preserve"> INFORMATION</w:t>
      </w:r>
    </w:p>
    <w:p w:rsidR="006A649A" w:rsidRPr="00802B3F" w:rsidRDefault="006A649A" w:rsidP="001B5169">
      <w:pPr>
        <w:pStyle w:val="Heading2"/>
      </w:pPr>
      <w:r w:rsidRPr="00802B3F">
        <w:t>Indicate the likely</w:t>
      </w:r>
      <w:r w:rsidR="005A58BA" w:rsidRPr="00802B3F">
        <w:t xml:space="preserve"> </w:t>
      </w:r>
      <w:r w:rsidRPr="00802B3F">
        <w:t xml:space="preserve">cost of </w:t>
      </w:r>
      <w:r w:rsidR="005A58BA" w:rsidRPr="00802B3F">
        <w:t xml:space="preserve">providing the </w:t>
      </w:r>
      <w:r w:rsidRPr="00802B3F">
        <w:t>proposed medical service.</w:t>
      </w:r>
      <w:r w:rsidR="005A5D30" w:rsidRPr="00802B3F">
        <w:t xml:space="preserve"> Where possible</w:t>
      </w:r>
      <w:r w:rsidR="00802553" w:rsidRPr="00802B3F">
        <w:t>,</w:t>
      </w:r>
      <w:r w:rsidR="005A5D30" w:rsidRPr="00802B3F">
        <w:t xml:space="preserve"> please pro</w:t>
      </w:r>
      <w:r w:rsidR="00AE1188" w:rsidRPr="00802B3F">
        <w:t>vide overall cost and breakdown:</w:t>
      </w:r>
    </w:p>
    <w:p w:rsidR="00EB02D7" w:rsidRPr="00802B3F" w:rsidRDefault="00EB02D7" w:rsidP="00EB02D7">
      <w:pPr>
        <w:ind w:left="360"/>
        <w:rPr>
          <w:color w:val="4F81BD" w:themeColor="accent1"/>
        </w:rPr>
      </w:pPr>
      <w:r w:rsidRPr="00802B3F">
        <w:rPr>
          <w:b/>
          <w:color w:val="4F81BD" w:themeColor="accent1"/>
        </w:rPr>
        <w:t>The likely cost to the MBS of providing the proposed medical procedure is approximately $</w:t>
      </w:r>
      <w:r w:rsidR="00802B3F" w:rsidRPr="00802B3F">
        <w:rPr>
          <w:b/>
          <w:color w:val="4F81BD" w:themeColor="accent1"/>
        </w:rPr>
        <w:t>5,151.65</w:t>
      </w:r>
      <w:r w:rsidRPr="00802B3F">
        <w:rPr>
          <w:b/>
          <w:color w:val="4F81BD" w:themeColor="accent1"/>
        </w:rPr>
        <w:t>.</w:t>
      </w:r>
      <w:r w:rsidRPr="00802B3F">
        <w:rPr>
          <w:color w:val="4F81BD" w:themeColor="accent1"/>
        </w:rPr>
        <w:t xml:space="preserve"> </w:t>
      </w:r>
    </w:p>
    <w:p w:rsidR="00EB02D7" w:rsidRPr="00802B3F" w:rsidRDefault="00EB02D7" w:rsidP="00EB02D7">
      <w:pPr>
        <w:ind w:left="360"/>
        <w:rPr>
          <w:color w:val="4F81BD" w:themeColor="accent1"/>
        </w:rPr>
      </w:pPr>
      <w:r w:rsidRPr="00802B3F">
        <w:rPr>
          <w:color w:val="4F81BD" w:themeColor="accent1"/>
        </w:rPr>
        <w:t xml:space="preserve">As described in Part 2, the medical procedure is TARE-Y for the treatment of unresectable HCC. This procedure involves the delivery of yttrium-90-containing microspheres of 20-60 </w:t>
      </w:r>
      <w:proofErr w:type="spellStart"/>
      <w:r w:rsidRPr="00802B3F">
        <w:rPr>
          <w:color w:val="4F81BD" w:themeColor="accent1"/>
        </w:rPr>
        <w:t>μm</w:t>
      </w:r>
      <w:proofErr w:type="spellEnd"/>
      <w:r w:rsidRPr="00802B3F">
        <w:rPr>
          <w:color w:val="4F81BD" w:themeColor="accent1"/>
        </w:rPr>
        <w:t xml:space="preserve"> </w:t>
      </w:r>
      <w:proofErr w:type="gramStart"/>
      <w:r w:rsidRPr="00802B3F">
        <w:rPr>
          <w:color w:val="4F81BD" w:themeColor="accent1"/>
        </w:rPr>
        <w:t>diameter</w:t>
      </w:r>
      <w:proofErr w:type="gramEnd"/>
      <w:r w:rsidRPr="00802B3F">
        <w:rPr>
          <w:color w:val="4F81BD" w:themeColor="accent1"/>
        </w:rPr>
        <w:t xml:space="preserve"> to the liver via catheterisation of the hepatic artery. </w:t>
      </w:r>
    </w:p>
    <w:p w:rsidR="00EB02D7" w:rsidRPr="00802B3F" w:rsidRDefault="00EB02D7" w:rsidP="00EB02D7">
      <w:pPr>
        <w:ind w:left="360"/>
        <w:rPr>
          <w:color w:val="4F81BD" w:themeColor="accent1"/>
        </w:rPr>
      </w:pPr>
      <w:r w:rsidRPr="00802B3F">
        <w:rPr>
          <w:color w:val="4F81BD" w:themeColor="accent1"/>
        </w:rPr>
        <w:t xml:space="preserve">The key components and clinical steps involved in delivering the proposed medical service were presented in Section 28 and form the basis of the costings. The likely cost to the MBS of providing the proposed medical service is summarised in </w:t>
      </w:r>
      <w:r w:rsidRPr="00802B3F">
        <w:rPr>
          <w:b/>
          <w:color w:val="4F81BD" w:themeColor="accent1"/>
        </w:rPr>
        <w:fldChar w:fldCharType="begin"/>
      </w:r>
      <w:r w:rsidRPr="00802B3F">
        <w:rPr>
          <w:b/>
          <w:color w:val="4F81BD" w:themeColor="accent1"/>
        </w:rPr>
        <w:instrText xml:space="preserve"> REF _Ref475695756 \h </w:instrText>
      </w:r>
      <w:r w:rsidR="00317975" w:rsidRPr="00802B3F">
        <w:rPr>
          <w:b/>
          <w:color w:val="4F81BD" w:themeColor="accent1"/>
        </w:rPr>
        <w:instrText xml:space="preserve"> \* MERGEFORMAT </w:instrText>
      </w:r>
      <w:r w:rsidRPr="00802B3F">
        <w:rPr>
          <w:b/>
          <w:color w:val="4F81BD" w:themeColor="accent1"/>
        </w:rPr>
      </w:r>
      <w:r w:rsidRPr="00802B3F">
        <w:rPr>
          <w:b/>
          <w:color w:val="4F81BD" w:themeColor="accent1"/>
        </w:rPr>
        <w:fldChar w:fldCharType="separate"/>
      </w:r>
      <w:r w:rsidR="00394B56" w:rsidRPr="00394B56">
        <w:rPr>
          <w:b/>
          <w:color w:val="4F81BD" w:themeColor="accent1"/>
        </w:rPr>
        <w:t xml:space="preserve">Table </w:t>
      </w:r>
      <w:r w:rsidR="00394B56" w:rsidRPr="00394B56">
        <w:rPr>
          <w:b/>
          <w:noProof/>
          <w:color w:val="4F81BD" w:themeColor="accent1"/>
        </w:rPr>
        <w:t>3</w:t>
      </w:r>
      <w:r w:rsidRPr="00802B3F">
        <w:rPr>
          <w:b/>
          <w:color w:val="4F81BD" w:themeColor="accent1"/>
        </w:rPr>
        <w:fldChar w:fldCharType="end"/>
      </w:r>
      <w:r w:rsidRPr="00802B3F">
        <w:rPr>
          <w:color w:val="4F81BD" w:themeColor="accent1"/>
        </w:rPr>
        <w:t xml:space="preserve"> and has been split by:</w:t>
      </w:r>
    </w:p>
    <w:p w:rsidR="00EB02D7" w:rsidRPr="00802B3F" w:rsidRDefault="00EB02D7" w:rsidP="00EB02D7">
      <w:pPr>
        <w:pStyle w:val="ListParagraph"/>
        <w:numPr>
          <w:ilvl w:val="0"/>
          <w:numId w:val="24"/>
        </w:numPr>
        <w:rPr>
          <w:color w:val="4F81BD" w:themeColor="accent1"/>
        </w:rPr>
      </w:pPr>
      <w:r w:rsidRPr="00802B3F">
        <w:rPr>
          <w:color w:val="4F81BD" w:themeColor="accent1"/>
        </w:rPr>
        <w:t>Pre-surgery costs – incl</w:t>
      </w:r>
      <w:r w:rsidR="00802B3F" w:rsidRPr="00802B3F">
        <w:rPr>
          <w:color w:val="4F81BD" w:themeColor="accent1"/>
        </w:rPr>
        <w:t>uding attendances, pathology, r</w:t>
      </w:r>
      <w:r w:rsidRPr="00802B3F">
        <w:rPr>
          <w:color w:val="4F81BD" w:themeColor="accent1"/>
        </w:rPr>
        <w:t>adiology</w:t>
      </w:r>
      <w:r w:rsidR="00802B3F" w:rsidRPr="00802B3F">
        <w:rPr>
          <w:color w:val="4F81BD" w:themeColor="accent1"/>
        </w:rPr>
        <w:t>, angiography and the lung shunting study</w:t>
      </w:r>
      <w:r w:rsidRPr="00802B3F">
        <w:rPr>
          <w:color w:val="4F81BD" w:themeColor="accent1"/>
        </w:rPr>
        <w:t xml:space="preserve">; </w:t>
      </w:r>
    </w:p>
    <w:p w:rsidR="00EB02D7" w:rsidRPr="00802B3F" w:rsidRDefault="00EB02D7" w:rsidP="00EB02D7">
      <w:pPr>
        <w:pStyle w:val="ListParagraph"/>
        <w:numPr>
          <w:ilvl w:val="0"/>
          <w:numId w:val="24"/>
        </w:numPr>
        <w:rPr>
          <w:color w:val="4F81BD" w:themeColor="accent1"/>
        </w:rPr>
      </w:pPr>
      <w:r w:rsidRPr="00802B3F">
        <w:rPr>
          <w:color w:val="4F81BD" w:themeColor="accent1"/>
        </w:rPr>
        <w:t xml:space="preserve">Surgery costs - including </w:t>
      </w:r>
      <w:r w:rsidR="00802B3F" w:rsidRPr="00802B3F">
        <w:rPr>
          <w:color w:val="4F81BD" w:themeColor="accent1"/>
        </w:rPr>
        <w:t xml:space="preserve">radiology, angiography and </w:t>
      </w:r>
      <w:r w:rsidRPr="00802B3F">
        <w:rPr>
          <w:color w:val="4F81BD" w:themeColor="accent1"/>
        </w:rPr>
        <w:t xml:space="preserve">catheterisation of the hepatic artery, as well as </w:t>
      </w:r>
      <w:proofErr w:type="spellStart"/>
      <w:r w:rsidRPr="00802B3F">
        <w:rPr>
          <w:color w:val="4F81BD" w:themeColor="accent1"/>
        </w:rPr>
        <w:t>dosimetry</w:t>
      </w:r>
      <w:proofErr w:type="spellEnd"/>
      <w:r w:rsidRPr="00802B3F">
        <w:rPr>
          <w:color w:val="4F81BD" w:themeColor="accent1"/>
        </w:rPr>
        <w:t>, handling and injection of the microspheres;</w:t>
      </w:r>
    </w:p>
    <w:p w:rsidR="00EB02D7" w:rsidRPr="00802B3F" w:rsidRDefault="00EB02D7" w:rsidP="00EB02D7">
      <w:pPr>
        <w:pStyle w:val="ListParagraph"/>
        <w:numPr>
          <w:ilvl w:val="0"/>
          <w:numId w:val="24"/>
        </w:numPr>
        <w:rPr>
          <w:color w:val="4F81BD" w:themeColor="accent1"/>
        </w:rPr>
      </w:pPr>
      <w:r w:rsidRPr="00802B3F">
        <w:rPr>
          <w:color w:val="4F81BD" w:themeColor="accent1"/>
        </w:rPr>
        <w:t>Post-surgery costs – including follow-up investigations such as radiology</w:t>
      </w:r>
      <w:r w:rsidR="00802B3F" w:rsidRPr="00802B3F">
        <w:rPr>
          <w:color w:val="4F81BD" w:themeColor="accent1"/>
        </w:rPr>
        <w:t xml:space="preserve"> and associated attendances</w:t>
      </w:r>
      <w:r w:rsidRPr="00802B3F">
        <w:rPr>
          <w:color w:val="4F81BD" w:themeColor="accent1"/>
        </w:rPr>
        <w:t>.</w:t>
      </w:r>
    </w:p>
    <w:p w:rsidR="00EB02D7" w:rsidRPr="00C27A03" w:rsidRDefault="00EB02D7" w:rsidP="00EB02D7">
      <w:pPr>
        <w:ind w:left="360"/>
        <w:rPr>
          <w:color w:val="4F81BD" w:themeColor="accent1"/>
        </w:rPr>
      </w:pPr>
      <w:r w:rsidRPr="00C27A03">
        <w:rPr>
          <w:color w:val="4F81BD" w:themeColor="accent1"/>
        </w:rPr>
        <w:t>The methodology and assumptions used in the cost calculation are described below:</w:t>
      </w:r>
    </w:p>
    <w:p w:rsidR="00C27A03" w:rsidRDefault="00C27A03" w:rsidP="00EB02D7">
      <w:pPr>
        <w:pStyle w:val="ListParagraph"/>
        <w:numPr>
          <w:ilvl w:val="0"/>
          <w:numId w:val="25"/>
        </w:numPr>
        <w:spacing w:after="120"/>
        <w:ind w:left="714" w:hanging="357"/>
        <w:contextualSpacing w:val="0"/>
        <w:rPr>
          <w:color w:val="4F81BD" w:themeColor="accent1"/>
        </w:rPr>
      </w:pPr>
      <w:r>
        <w:rPr>
          <w:color w:val="4F81BD" w:themeColor="accent1"/>
        </w:rPr>
        <w:t xml:space="preserve">The costings provided </w:t>
      </w:r>
      <w:r w:rsidR="001E1372">
        <w:rPr>
          <w:color w:val="4F81BD" w:themeColor="accent1"/>
        </w:rPr>
        <w:t>are</w:t>
      </w:r>
      <w:r>
        <w:rPr>
          <w:color w:val="4F81BD" w:themeColor="accent1"/>
        </w:rPr>
        <w:t xml:space="preserve"> for the </w:t>
      </w:r>
      <w:r w:rsidRPr="00C27A03">
        <w:rPr>
          <w:color w:val="4F81BD" w:themeColor="accent1"/>
          <w:u w:val="single"/>
        </w:rPr>
        <w:t>first</w:t>
      </w:r>
      <w:r>
        <w:rPr>
          <w:color w:val="4F81BD" w:themeColor="accent1"/>
        </w:rPr>
        <w:t xml:space="preserve"> treatment only. </w:t>
      </w:r>
    </w:p>
    <w:p w:rsidR="00EB02D7" w:rsidRPr="00C27A03" w:rsidRDefault="00802B3F" w:rsidP="00EB02D7">
      <w:pPr>
        <w:pStyle w:val="ListParagraph"/>
        <w:numPr>
          <w:ilvl w:val="0"/>
          <w:numId w:val="25"/>
        </w:numPr>
        <w:spacing w:after="120"/>
        <w:ind w:left="714" w:hanging="357"/>
        <w:contextualSpacing w:val="0"/>
        <w:rPr>
          <w:color w:val="4F81BD" w:themeColor="accent1"/>
        </w:rPr>
      </w:pPr>
      <w:r w:rsidRPr="00C27A03">
        <w:rPr>
          <w:color w:val="4F81BD" w:themeColor="accent1"/>
        </w:rPr>
        <w:t xml:space="preserve">The relevant MBS codes relating to the </w:t>
      </w:r>
      <w:r w:rsidR="00C27A03" w:rsidRPr="00C27A03">
        <w:rPr>
          <w:color w:val="4F81BD" w:themeColor="accent1"/>
        </w:rPr>
        <w:t>radiological and angiographic</w:t>
      </w:r>
      <w:r w:rsidR="008E3926">
        <w:rPr>
          <w:color w:val="4F81BD" w:themeColor="accent1"/>
        </w:rPr>
        <w:t>/lu</w:t>
      </w:r>
      <w:r w:rsidR="00C27A03" w:rsidRPr="00C27A03">
        <w:rPr>
          <w:color w:val="4F81BD" w:themeColor="accent1"/>
        </w:rPr>
        <w:t xml:space="preserve">ng shunting work-up and the interventional procedure were </w:t>
      </w:r>
      <w:r w:rsidR="008E3926">
        <w:rPr>
          <w:color w:val="4F81BD" w:themeColor="accent1"/>
        </w:rPr>
        <w:t>provided</w:t>
      </w:r>
      <w:r w:rsidR="00C27A03" w:rsidRPr="00C27A03">
        <w:rPr>
          <w:color w:val="4F81BD" w:themeColor="accent1"/>
        </w:rPr>
        <w:t xml:space="preserve"> by an interventional radiologist. </w:t>
      </w:r>
    </w:p>
    <w:p w:rsidR="00EB02D7" w:rsidRPr="00C27A03" w:rsidRDefault="00EB02D7" w:rsidP="00EB02D7">
      <w:pPr>
        <w:pStyle w:val="ListParagraph"/>
        <w:numPr>
          <w:ilvl w:val="0"/>
          <w:numId w:val="25"/>
        </w:numPr>
        <w:spacing w:after="120"/>
        <w:ind w:left="714" w:hanging="357"/>
        <w:contextualSpacing w:val="0"/>
        <w:rPr>
          <w:color w:val="4F81BD" w:themeColor="accent1"/>
        </w:rPr>
      </w:pPr>
      <w:r w:rsidRPr="00C27A03">
        <w:rPr>
          <w:color w:val="4F81BD" w:themeColor="accent1"/>
        </w:rPr>
        <w:t xml:space="preserve">For the MBS services included in this costing, the financial unit cost used is the rebate amount, which </w:t>
      </w:r>
      <w:proofErr w:type="gramStart"/>
      <w:r w:rsidRPr="00C27A03">
        <w:rPr>
          <w:color w:val="4F81BD" w:themeColor="accent1"/>
        </w:rPr>
        <w:t>is</w:t>
      </w:r>
      <w:proofErr w:type="gramEnd"/>
      <w:r w:rsidRPr="00C27A03">
        <w:rPr>
          <w:color w:val="4F81BD" w:themeColor="accent1"/>
        </w:rPr>
        <w:t xml:space="preserve"> 75% of the Schedule Fee for in hospital services and 85% for out of hospital services. Costs are sourced from the February 2017 Medicare Benefits Schedule Book.</w:t>
      </w:r>
    </w:p>
    <w:p w:rsidR="00EB02D7" w:rsidRPr="00C27A03" w:rsidRDefault="00EB02D7" w:rsidP="00EB02D7">
      <w:pPr>
        <w:pStyle w:val="ListParagraph"/>
        <w:numPr>
          <w:ilvl w:val="0"/>
          <w:numId w:val="25"/>
        </w:numPr>
        <w:rPr>
          <w:color w:val="4F81BD" w:themeColor="accent1"/>
        </w:rPr>
      </w:pPr>
      <w:r w:rsidRPr="00C27A03">
        <w:rPr>
          <w:color w:val="4F81BD" w:themeColor="accent1"/>
        </w:rPr>
        <w:t>Follow-up imaging to determine treatment response is assumed to be conducted using CT. There is no standard protocol for timing of imaging; however, the first scan should be approximately 1-2 months’ post-treatment, and with follow-ups at 3-6 months thereafter. Thus, this costing assumes two follow-up scan</w:t>
      </w:r>
      <w:r w:rsidR="001E1372">
        <w:rPr>
          <w:color w:val="4F81BD" w:themeColor="accent1"/>
        </w:rPr>
        <w:t>s</w:t>
      </w:r>
      <w:r w:rsidRPr="00C27A03">
        <w:rPr>
          <w:color w:val="4F81BD" w:themeColor="accent1"/>
        </w:rPr>
        <w:t xml:space="preserve"> per patient.</w:t>
      </w:r>
    </w:p>
    <w:p w:rsidR="00EB02D7" w:rsidRPr="00C27A03" w:rsidRDefault="00EB02D7" w:rsidP="00EB02D7">
      <w:pPr>
        <w:ind w:left="360"/>
        <w:rPr>
          <w:color w:val="4F81BD" w:themeColor="accent1"/>
        </w:rPr>
      </w:pPr>
      <w:r w:rsidRPr="00C27A03">
        <w:rPr>
          <w:color w:val="4F81BD" w:themeColor="accent1"/>
        </w:rPr>
        <w:t xml:space="preserve">As the perspective of the costings is from the MBS, PBS services for medications on the day of surgery are not included. Similarly, hospital costs such as overnight stay or a radiation safety officer are not included because they will be paid by the hospital or private health funds. </w:t>
      </w:r>
    </w:p>
    <w:p w:rsidR="00EB02D7" w:rsidRPr="00C27A03" w:rsidRDefault="00EB02D7" w:rsidP="00EB02D7">
      <w:pPr>
        <w:ind w:left="360"/>
        <w:rPr>
          <w:color w:val="4F81BD" w:themeColor="accent1"/>
        </w:rPr>
      </w:pPr>
      <w:r w:rsidRPr="00C27A03">
        <w:rPr>
          <w:color w:val="4F81BD" w:themeColor="accent1"/>
        </w:rPr>
        <w:t xml:space="preserve">The Y-90 microspheres </w:t>
      </w:r>
      <w:r w:rsidR="00C27A03" w:rsidRPr="00C27A03">
        <w:rPr>
          <w:color w:val="4F81BD" w:themeColor="accent1"/>
        </w:rPr>
        <w:t>will be available on the P</w:t>
      </w:r>
      <w:r w:rsidRPr="00C27A03">
        <w:rPr>
          <w:color w:val="4F81BD" w:themeColor="accent1"/>
        </w:rPr>
        <w:t>rosthes</w:t>
      </w:r>
      <w:r w:rsidR="00C27A03" w:rsidRPr="00C27A03">
        <w:rPr>
          <w:color w:val="4F81BD" w:themeColor="accent1"/>
        </w:rPr>
        <w:t>es L</w:t>
      </w:r>
      <w:r w:rsidRPr="00C27A03">
        <w:rPr>
          <w:color w:val="4F81BD" w:themeColor="accent1"/>
        </w:rPr>
        <w:t xml:space="preserve">ist and as such are not a cost to MBS as they will be paid by private health funds. At present, the only brand of microsphere </w:t>
      </w:r>
      <w:r w:rsidR="00C27A03" w:rsidRPr="00C27A03">
        <w:rPr>
          <w:color w:val="4F81BD" w:themeColor="accent1"/>
        </w:rPr>
        <w:t xml:space="preserve">currently </w:t>
      </w:r>
      <w:r w:rsidRPr="00C27A03">
        <w:rPr>
          <w:color w:val="4F81BD" w:themeColor="accent1"/>
        </w:rPr>
        <w:t xml:space="preserve">commercially available is SIR-Spheres. An application for inclusion of </w:t>
      </w:r>
      <w:proofErr w:type="spellStart"/>
      <w:r w:rsidRPr="00C27A03">
        <w:rPr>
          <w:color w:val="4F81BD" w:themeColor="accent1"/>
        </w:rPr>
        <w:t>TheraSphere</w:t>
      </w:r>
      <w:proofErr w:type="spellEnd"/>
      <w:r w:rsidRPr="00C27A03">
        <w:rPr>
          <w:color w:val="4F81BD" w:themeColor="accent1"/>
        </w:rPr>
        <w:t xml:space="preserve"> on the Prostheses List will be made by BTG International in due course.</w:t>
      </w:r>
    </w:p>
    <w:p w:rsidR="00EB02D7" w:rsidRPr="00C27A03" w:rsidRDefault="00EB02D7" w:rsidP="00EB02D7">
      <w:pPr>
        <w:ind w:left="360"/>
        <w:rPr>
          <w:color w:val="4F81BD" w:themeColor="accent1"/>
        </w:rPr>
      </w:pPr>
      <w:r w:rsidRPr="00C27A03">
        <w:rPr>
          <w:color w:val="4F81BD" w:themeColor="accent1"/>
        </w:rPr>
        <w:t xml:space="preserve">There </w:t>
      </w:r>
      <w:r w:rsidR="00317975" w:rsidRPr="00C27A03">
        <w:rPr>
          <w:color w:val="4F81BD" w:themeColor="accent1"/>
        </w:rPr>
        <w:t>will likely</w:t>
      </w:r>
      <w:r w:rsidRPr="00C27A03">
        <w:rPr>
          <w:color w:val="4F81BD" w:themeColor="accent1"/>
        </w:rPr>
        <w:t xml:space="preserve"> be a proportion of patients who undergo pre-surgery work-up (attendances, pathology and radiology) who are unsuitable for delivery of the microspheres due to significant lung shunting; this proportion is estimated to be approximately </w:t>
      </w:r>
      <w:r w:rsidR="007C06AA" w:rsidRPr="00C27A03">
        <w:rPr>
          <w:color w:val="4F81BD" w:themeColor="accent1"/>
        </w:rPr>
        <w:t>2</w:t>
      </w:r>
      <w:r w:rsidRPr="00C27A03">
        <w:rPr>
          <w:color w:val="4F81BD" w:themeColor="accent1"/>
        </w:rPr>
        <w:t xml:space="preserve">5%. Weighting the workup costs to account for these patients increases the average cost per patient for the first treatment to </w:t>
      </w:r>
      <w:r w:rsidRPr="00C27A03">
        <w:rPr>
          <w:b/>
          <w:color w:val="4F81BD" w:themeColor="accent1"/>
        </w:rPr>
        <w:t>$</w:t>
      </w:r>
      <w:r w:rsidR="00802B3F" w:rsidRPr="00C27A03">
        <w:rPr>
          <w:b/>
          <w:color w:val="4F81BD" w:themeColor="accent1"/>
        </w:rPr>
        <w:t>5777.58</w:t>
      </w:r>
      <w:r w:rsidRPr="00C27A03">
        <w:rPr>
          <w:color w:val="4F81BD" w:themeColor="accent1"/>
        </w:rPr>
        <w:t xml:space="preserve">.  </w:t>
      </w:r>
    </w:p>
    <w:p w:rsidR="00802B3F" w:rsidRPr="00C27A03" w:rsidRDefault="00C27A03" w:rsidP="00802B3F">
      <w:pPr>
        <w:ind w:left="357"/>
        <w:rPr>
          <w:color w:val="4F81BD" w:themeColor="accent1"/>
        </w:rPr>
      </w:pPr>
      <w:r w:rsidRPr="00C27A03">
        <w:rPr>
          <w:color w:val="4F81BD" w:themeColor="accent1"/>
        </w:rPr>
        <w:t>As stated, the</w:t>
      </w:r>
      <w:r w:rsidR="00802B3F" w:rsidRPr="00C27A03">
        <w:rPr>
          <w:color w:val="4F81BD" w:themeColor="accent1"/>
        </w:rPr>
        <w:t xml:space="preserve"> costings provided </w:t>
      </w:r>
      <w:r w:rsidRPr="00C27A03">
        <w:rPr>
          <w:color w:val="4F81BD" w:themeColor="accent1"/>
        </w:rPr>
        <w:t xml:space="preserve">in the table </w:t>
      </w:r>
      <w:r w:rsidR="00802B3F" w:rsidRPr="00C27A03">
        <w:rPr>
          <w:color w:val="4F81BD" w:themeColor="accent1"/>
        </w:rPr>
        <w:t xml:space="preserve">are per patient for the </w:t>
      </w:r>
      <w:r w:rsidR="00802B3F" w:rsidRPr="00C27A03">
        <w:rPr>
          <w:color w:val="4F81BD" w:themeColor="accent1"/>
          <w:u w:val="single"/>
        </w:rPr>
        <w:t>first</w:t>
      </w:r>
      <w:r w:rsidR="00802B3F" w:rsidRPr="00C27A03">
        <w:rPr>
          <w:color w:val="4F81BD" w:themeColor="accent1"/>
        </w:rPr>
        <w:t xml:space="preserve"> treatment only. Subsequent treatments (on average an additional 0.8</w:t>
      </w:r>
      <w:r w:rsidR="001E1372">
        <w:rPr>
          <w:color w:val="4F81BD" w:themeColor="accent1"/>
        </w:rPr>
        <w:t xml:space="preserve"> per patient</w:t>
      </w:r>
      <w:r w:rsidR="00802B3F" w:rsidRPr="00C27A03">
        <w:rPr>
          <w:color w:val="4F81BD" w:themeColor="accent1"/>
        </w:rPr>
        <w:t>) are expected to increase the cost</w:t>
      </w:r>
      <w:r w:rsidRPr="00C27A03">
        <w:rPr>
          <w:color w:val="4F81BD" w:themeColor="accent1"/>
        </w:rPr>
        <w:t xml:space="preserve"> (</w:t>
      </w:r>
      <w:r w:rsidR="00802B3F" w:rsidRPr="00C27A03">
        <w:rPr>
          <w:color w:val="4F81BD" w:themeColor="accent1"/>
        </w:rPr>
        <w:t xml:space="preserve">assuming the work-up does not need to be repeated) to </w:t>
      </w:r>
      <w:r w:rsidR="00802B3F" w:rsidRPr="00C27A03">
        <w:rPr>
          <w:b/>
          <w:color w:val="4F81BD" w:themeColor="accent1"/>
        </w:rPr>
        <w:t>$7764.36</w:t>
      </w:r>
      <w:r w:rsidR="00802B3F" w:rsidRPr="00C27A03">
        <w:rPr>
          <w:color w:val="4F81BD" w:themeColor="accent1"/>
        </w:rPr>
        <w:t xml:space="preserve">. </w:t>
      </w:r>
    </w:p>
    <w:p w:rsidR="00EB02D7" w:rsidRPr="00C57EE4" w:rsidRDefault="00EB02D7" w:rsidP="00EB02D7">
      <w:pPr>
        <w:ind w:left="360"/>
      </w:pPr>
      <w:r w:rsidRPr="00C57EE4">
        <w:rPr>
          <w:color w:val="4F81BD" w:themeColor="accent1"/>
        </w:rPr>
        <w:t xml:space="preserve">The management of adverse events has not been included in the costings. This is because the common events such as abdominal pain, nausea, vomiting and fatigue are generally mild in nature and easily managed. Regarding the specific rare side effects including hepatic abscess, </w:t>
      </w:r>
      <w:proofErr w:type="spellStart"/>
      <w:r w:rsidRPr="00C57EE4">
        <w:rPr>
          <w:color w:val="4F81BD" w:themeColor="accent1"/>
        </w:rPr>
        <w:t>perihepatic</w:t>
      </w:r>
      <w:proofErr w:type="spellEnd"/>
      <w:r w:rsidRPr="00C57EE4">
        <w:rPr>
          <w:color w:val="4F81BD" w:themeColor="accent1"/>
        </w:rPr>
        <w:t xml:space="preserve"> ascites, pleural effusion, radiation </w:t>
      </w:r>
      <w:proofErr w:type="spellStart"/>
      <w:r w:rsidRPr="00C57EE4">
        <w:rPr>
          <w:color w:val="4F81BD" w:themeColor="accent1"/>
        </w:rPr>
        <w:t>cholecystitis</w:t>
      </w:r>
      <w:proofErr w:type="spellEnd"/>
      <w:r w:rsidRPr="00C57EE4">
        <w:rPr>
          <w:color w:val="4F81BD" w:themeColor="accent1"/>
        </w:rPr>
        <w:t xml:space="preserve"> and radiation pneumonitis, these are reduced by having a thorough pre-</w:t>
      </w:r>
      <w:r w:rsidRPr="00C57EE4">
        <w:rPr>
          <w:color w:val="4F81BD" w:themeColor="accent1"/>
        </w:rPr>
        <w:lastRenderedPageBreak/>
        <w:t>surgery work up. Inclusion of costs relating to both adverse events and the work-up may double count costs to an extent.</w:t>
      </w:r>
    </w:p>
    <w:p w:rsidR="00EB02D7" w:rsidRPr="00802B3F" w:rsidRDefault="00EB02D7" w:rsidP="00EB02D7">
      <w:pPr>
        <w:pStyle w:val="Caption"/>
        <w:rPr>
          <w:color w:val="4F81BD" w:themeColor="accent1"/>
        </w:rPr>
      </w:pPr>
      <w:bookmarkStart w:id="7" w:name="_Ref475695756"/>
      <w:r w:rsidRPr="00802B3F">
        <w:rPr>
          <w:color w:val="4F81BD" w:themeColor="accent1"/>
        </w:rPr>
        <w:t xml:space="preserve">Table </w:t>
      </w:r>
      <w:r w:rsidRPr="00802B3F">
        <w:rPr>
          <w:color w:val="4F81BD" w:themeColor="accent1"/>
        </w:rPr>
        <w:fldChar w:fldCharType="begin"/>
      </w:r>
      <w:r w:rsidRPr="00802B3F">
        <w:rPr>
          <w:color w:val="4F81BD" w:themeColor="accent1"/>
        </w:rPr>
        <w:instrText xml:space="preserve"> SEQ Table \* ARABIC </w:instrText>
      </w:r>
      <w:r w:rsidRPr="00802B3F">
        <w:rPr>
          <w:color w:val="4F81BD" w:themeColor="accent1"/>
        </w:rPr>
        <w:fldChar w:fldCharType="separate"/>
      </w:r>
      <w:r w:rsidR="00394B56">
        <w:rPr>
          <w:noProof/>
          <w:color w:val="4F81BD" w:themeColor="accent1"/>
        </w:rPr>
        <w:t>3</w:t>
      </w:r>
      <w:r w:rsidRPr="00802B3F">
        <w:rPr>
          <w:color w:val="4F81BD" w:themeColor="accent1"/>
        </w:rPr>
        <w:fldChar w:fldCharType="end"/>
      </w:r>
      <w:bookmarkEnd w:id="7"/>
      <w:r w:rsidRPr="00802B3F">
        <w:rPr>
          <w:color w:val="4F81BD" w:themeColor="accent1"/>
        </w:rPr>
        <w:tab/>
        <w:t xml:space="preserve">Likely per patient cost of providing the proposed medical service </w:t>
      </w:r>
      <w:r w:rsidR="001E1372">
        <w:rPr>
          <w:color w:val="4F81BD" w:themeColor="accent1"/>
        </w:rPr>
        <w:t>– first treatment only</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901"/>
        <w:gridCol w:w="901"/>
        <w:gridCol w:w="1165"/>
        <w:gridCol w:w="1020"/>
        <w:gridCol w:w="1500"/>
      </w:tblGrid>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
                <w:bCs/>
                <w:color w:val="4F81BD" w:themeColor="accent1"/>
                <w:sz w:val="16"/>
                <w:szCs w:val="16"/>
                <w:lang w:eastAsia="en-AU"/>
              </w:rPr>
            </w:pPr>
            <w:r w:rsidRPr="00802B3F">
              <w:rPr>
                <w:rFonts w:eastAsia="Times New Roman" w:cstheme="minorHAnsi"/>
                <w:b/>
                <w:bCs/>
                <w:color w:val="4F81BD" w:themeColor="accent1"/>
                <w:sz w:val="16"/>
                <w:szCs w:val="16"/>
                <w:lang w:eastAsia="en-AU"/>
              </w:rPr>
              <w:t>Description</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
                <w:bCs/>
                <w:color w:val="4F81BD" w:themeColor="accent1"/>
                <w:sz w:val="16"/>
                <w:szCs w:val="16"/>
                <w:lang w:eastAsia="en-AU"/>
              </w:rPr>
            </w:pPr>
            <w:r w:rsidRPr="00802B3F">
              <w:rPr>
                <w:rFonts w:eastAsia="Times New Roman" w:cstheme="minorHAnsi"/>
                <w:b/>
                <w:bCs/>
                <w:color w:val="4F81BD" w:themeColor="accent1"/>
                <w:sz w:val="16"/>
                <w:szCs w:val="16"/>
                <w:lang w:eastAsia="en-AU"/>
              </w:rPr>
              <w:t>Fee</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
                <w:bCs/>
                <w:color w:val="4F81BD" w:themeColor="accent1"/>
                <w:sz w:val="16"/>
                <w:szCs w:val="16"/>
                <w:lang w:eastAsia="en-AU"/>
              </w:rPr>
            </w:pPr>
            <w:r w:rsidRPr="00802B3F">
              <w:rPr>
                <w:rFonts w:eastAsia="Times New Roman" w:cstheme="minorHAnsi"/>
                <w:b/>
                <w:bCs/>
                <w:color w:val="4F81BD" w:themeColor="accent1"/>
                <w:sz w:val="16"/>
                <w:szCs w:val="16"/>
                <w:lang w:eastAsia="en-AU"/>
              </w:rPr>
              <w:t>Benefit</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
                <w:bCs/>
                <w:color w:val="4F81BD" w:themeColor="accent1"/>
                <w:sz w:val="16"/>
                <w:szCs w:val="16"/>
                <w:lang w:eastAsia="en-AU"/>
              </w:rPr>
            </w:pPr>
            <w:r w:rsidRPr="00802B3F">
              <w:rPr>
                <w:rFonts w:eastAsia="Times New Roman" w:cstheme="minorHAnsi"/>
                <w:b/>
                <w:bCs/>
                <w:color w:val="4F81BD" w:themeColor="accent1"/>
                <w:sz w:val="16"/>
                <w:szCs w:val="16"/>
                <w:lang w:eastAsia="en-AU"/>
              </w:rPr>
              <w:t>Source</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
                <w:bCs/>
                <w:color w:val="4F81BD" w:themeColor="accent1"/>
                <w:sz w:val="16"/>
                <w:szCs w:val="16"/>
                <w:lang w:eastAsia="en-AU"/>
              </w:rPr>
            </w:pPr>
            <w:r w:rsidRPr="00802B3F">
              <w:rPr>
                <w:rFonts w:eastAsia="Times New Roman" w:cstheme="minorHAnsi"/>
                <w:b/>
                <w:bCs/>
                <w:color w:val="4F81BD" w:themeColor="accent1"/>
                <w:sz w:val="16"/>
                <w:szCs w:val="16"/>
                <w:lang w:eastAsia="en-AU"/>
              </w:rPr>
              <w:t>Base units per person</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
                <w:bCs/>
                <w:color w:val="4F81BD" w:themeColor="accent1"/>
                <w:sz w:val="16"/>
                <w:szCs w:val="16"/>
                <w:lang w:eastAsia="en-AU"/>
              </w:rPr>
            </w:pPr>
            <w:r w:rsidRPr="00802B3F">
              <w:rPr>
                <w:rFonts w:eastAsia="Times New Roman" w:cstheme="minorHAnsi"/>
                <w:b/>
                <w:bCs/>
                <w:color w:val="4F81BD" w:themeColor="accent1"/>
                <w:sz w:val="16"/>
                <w:szCs w:val="16"/>
                <w:lang w:eastAsia="en-AU"/>
              </w:rPr>
              <w:t xml:space="preserve">Cost </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
                <w:bCs/>
                <w:color w:val="4F81BD" w:themeColor="accent1"/>
                <w:sz w:val="16"/>
                <w:szCs w:val="16"/>
                <w:lang w:eastAsia="en-AU"/>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
                <w:bCs/>
                <w:color w:val="4F81BD" w:themeColor="accent1"/>
                <w:sz w:val="16"/>
                <w:szCs w:val="16"/>
                <w:lang w:eastAsia="en-AU"/>
              </w:rPr>
            </w:pPr>
            <w:r w:rsidRPr="00802B3F">
              <w:rPr>
                <w:rFonts w:eastAsia="Times New Roman" w:cstheme="minorHAnsi"/>
                <w:b/>
                <w:bCs/>
                <w:color w:val="4F81BD" w:themeColor="accent1"/>
                <w:sz w:val="16"/>
                <w:szCs w:val="16"/>
                <w:lang w:eastAsia="en-AU"/>
              </w:rPr>
              <w:t>A</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
                <w:bCs/>
                <w:color w:val="4F81BD" w:themeColor="accent1"/>
                <w:sz w:val="16"/>
                <w:szCs w:val="16"/>
                <w:lang w:eastAsia="en-AU"/>
              </w:rPr>
            </w:pPr>
            <w:r w:rsidRPr="00802B3F">
              <w:rPr>
                <w:rFonts w:eastAsia="Times New Roman" w:cstheme="minorHAnsi"/>
                <w:b/>
                <w:bCs/>
                <w:color w:val="4F81BD" w:themeColor="accent1"/>
                <w:sz w:val="16"/>
                <w:szCs w:val="16"/>
                <w:lang w:eastAsia="en-AU"/>
              </w:rPr>
              <w:t>B</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
                <w:bCs/>
                <w:color w:val="4F81BD" w:themeColor="accent1"/>
                <w:sz w:val="16"/>
                <w:szCs w:val="16"/>
                <w:lang w:eastAsia="en-AU"/>
              </w:rPr>
            </w:pPr>
            <w:r w:rsidRPr="00802B3F">
              <w:rPr>
                <w:rFonts w:eastAsia="Times New Roman" w:cstheme="minorHAnsi"/>
                <w:b/>
                <w:bCs/>
                <w:color w:val="4F81BD" w:themeColor="accent1"/>
                <w:sz w:val="16"/>
                <w:szCs w:val="16"/>
                <w:lang w:eastAsia="en-AU"/>
              </w:rPr>
              <w:t>C</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
                <w:bCs/>
                <w:color w:val="4F81BD" w:themeColor="accent1"/>
                <w:sz w:val="16"/>
                <w:szCs w:val="16"/>
                <w:lang w:eastAsia="en-AU"/>
              </w:rPr>
            </w:pPr>
            <w:r w:rsidRPr="00802B3F">
              <w:rPr>
                <w:rFonts w:eastAsia="Times New Roman" w:cstheme="minorHAnsi"/>
                <w:b/>
                <w:bCs/>
                <w:color w:val="4F81BD" w:themeColor="accent1"/>
                <w:sz w:val="16"/>
                <w:szCs w:val="16"/>
                <w:lang w:eastAsia="en-AU"/>
              </w:rPr>
              <w:t>D</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
                <w:bCs/>
                <w:color w:val="4F81BD" w:themeColor="accent1"/>
                <w:sz w:val="16"/>
                <w:szCs w:val="16"/>
                <w:lang w:eastAsia="en-AU"/>
              </w:rPr>
            </w:pPr>
            <w:r w:rsidRPr="00802B3F">
              <w:rPr>
                <w:rFonts w:eastAsia="Times New Roman" w:cstheme="minorHAnsi"/>
                <w:b/>
                <w:bCs/>
                <w:color w:val="4F81BD" w:themeColor="accent1"/>
                <w:sz w:val="16"/>
                <w:szCs w:val="16"/>
                <w:lang w:eastAsia="en-AU"/>
              </w:rPr>
              <w:t>E = B x D</w:t>
            </w:r>
          </w:p>
        </w:tc>
      </w:tr>
      <w:tr w:rsidR="00802B3F" w:rsidRPr="00802B3F" w:rsidTr="00802B3F">
        <w:tc>
          <w:tcPr>
            <w:tcW w:w="915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02B3F" w:rsidRPr="00802B3F" w:rsidRDefault="00802B3F" w:rsidP="00802B3F">
            <w:pPr>
              <w:spacing w:before="40" w:after="40"/>
              <w:rPr>
                <w:rFonts w:eastAsia="Times New Roman" w:cstheme="minorHAnsi"/>
                <w:b/>
                <w:bCs/>
                <w:color w:val="4F81BD" w:themeColor="accent1"/>
                <w:sz w:val="16"/>
                <w:szCs w:val="16"/>
                <w:lang w:eastAsia="en-AU"/>
              </w:rPr>
            </w:pPr>
            <w:r>
              <w:rPr>
                <w:rFonts w:eastAsia="Times New Roman" w:cstheme="minorHAnsi"/>
                <w:b/>
                <w:bCs/>
                <w:color w:val="4F81BD" w:themeColor="accent1"/>
                <w:sz w:val="16"/>
                <w:szCs w:val="16"/>
                <w:lang w:eastAsia="en-AU"/>
              </w:rPr>
              <w:t>Pre-</w:t>
            </w:r>
            <w:r w:rsidRPr="00802B3F">
              <w:rPr>
                <w:rFonts w:eastAsia="Times New Roman" w:cstheme="minorHAnsi"/>
                <w:b/>
                <w:bCs/>
                <w:color w:val="4F81BD" w:themeColor="accent1"/>
                <w:sz w:val="16"/>
                <w:szCs w:val="16"/>
                <w:lang w:eastAsia="en-AU"/>
              </w:rPr>
              <w:t>surgery work-up</w:t>
            </w:r>
          </w:p>
        </w:tc>
      </w:tr>
      <w:tr w:rsidR="00802B3F" w:rsidRPr="00802B3F" w:rsidTr="00A860EA">
        <w:tc>
          <w:tcPr>
            <w:tcW w:w="915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i/>
                <w:color w:val="4F81BD" w:themeColor="accent1"/>
                <w:sz w:val="16"/>
                <w:szCs w:val="16"/>
                <w:lang w:eastAsia="en-AU"/>
              </w:rPr>
            </w:pPr>
            <w:r w:rsidRPr="00802B3F">
              <w:rPr>
                <w:rFonts w:eastAsia="Times New Roman" w:cstheme="minorHAnsi"/>
                <w:bCs/>
                <w:i/>
                <w:color w:val="4F81BD" w:themeColor="accent1"/>
                <w:sz w:val="16"/>
                <w:szCs w:val="16"/>
                <w:lang w:eastAsia="en-AU"/>
              </w:rPr>
              <w:t>Attendances - History and physical exam</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 consultant physician</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$85.55</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$72.75</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MBS 104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$72.75</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 haematologist</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$85.55</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$72.75</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MBS 104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$72.75</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 radiologist</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$85.55</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$72.75</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MBS 104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$72.75</w:t>
            </w:r>
          </w:p>
        </w:tc>
      </w:tr>
      <w:tr w:rsidR="00802B3F" w:rsidRPr="00802B3F" w:rsidTr="00A860EA">
        <w:tc>
          <w:tcPr>
            <w:tcW w:w="915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i/>
                <w:color w:val="4F81BD" w:themeColor="accent1"/>
                <w:sz w:val="16"/>
                <w:szCs w:val="16"/>
                <w:lang w:eastAsia="en-AU"/>
              </w:rPr>
            </w:pPr>
            <w:r w:rsidRPr="00802B3F">
              <w:rPr>
                <w:rFonts w:eastAsia="Times New Roman" w:cstheme="minorHAnsi"/>
                <w:bCs/>
                <w:i/>
                <w:color w:val="4F81BD" w:themeColor="accent1"/>
                <w:sz w:val="16"/>
                <w:szCs w:val="16"/>
                <w:lang w:eastAsia="en-AU"/>
              </w:rPr>
              <w:t>Pathology</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 full blood count</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$16.95</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$14.45</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MBS 65070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$14.45</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 Liver function test</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$17.70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$15.05</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MBS 66512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$15.05</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 Alpha-fetoprotein test</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$44.60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$37.95</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MBS 66653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$37.95</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 coagulation test</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$13.70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$11.65</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MBS 65120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$11.65</w:t>
            </w:r>
          </w:p>
        </w:tc>
      </w:tr>
      <w:tr w:rsidR="00802B3F" w:rsidRPr="00802B3F" w:rsidTr="00A860EA">
        <w:tc>
          <w:tcPr>
            <w:tcW w:w="915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i/>
                <w:color w:val="4F81BD" w:themeColor="accent1"/>
                <w:sz w:val="16"/>
                <w:szCs w:val="16"/>
                <w:lang w:eastAsia="en-AU"/>
              </w:rPr>
            </w:pPr>
            <w:r w:rsidRPr="00802B3F">
              <w:rPr>
                <w:rFonts w:eastAsia="Times New Roman" w:cstheme="minorHAnsi"/>
                <w:bCs/>
                <w:i/>
                <w:color w:val="4F81BD" w:themeColor="accent1"/>
                <w:sz w:val="16"/>
                <w:szCs w:val="16"/>
                <w:lang w:eastAsia="en-AU"/>
              </w:rPr>
              <w:t>Radiology</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 CT scan with contrast (lungs abdomen)</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$560.00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$479.80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MBS 56807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$479.80</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 Ultrasonic cross-sectional echography</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$109.10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$92.75</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MBS 55054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$92.75</w:t>
            </w:r>
          </w:p>
        </w:tc>
      </w:tr>
      <w:tr w:rsidR="00802B3F" w:rsidRPr="00802B3F" w:rsidTr="00A860EA">
        <w:tc>
          <w:tcPr>
            <w:tcW w:w="915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i/>
                <w:color w:val="4F81BD" w:themeColor="accent1"/>
                <w:sz w:val="16"/>
                <w:szCs w:val="16"/>
                <w:lang w:eastAsia="en-AU"/>
              </w:rPr>
            </w:pPr>
            <w:r w:rsidRPr="00802B3F">
              <w:rPr>
                <w:rFonts w:eastAsia="Times New Roman" w:cstheme="minorHAnsi"/>
                <w:bCs/>
                <w:i/>
                <w:color w:val="4F81BD" w:themeColor="accent1"/>
                <w:sz w:val="16"/>
                <w:szCs w:val="16"/>
                <w:lang w:eastAsia="en-AU"/>
              </w:rPr>
              <w:t>Angiography</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 Selective arteriography or selective venography by DSA technique - 3+ vessels</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$144.25</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$122.65</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MBS 60078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$122.65</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 DSA - 10+ runs</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$1,376.30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$1,296.10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MBS 60033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$1,296.10</w:t>
            </w:r>
          </w:p>
        </w:tc>
      </w:tr>
      <w:tr w:rsidR="00802B3F" w:rsidRPr="00802B3F" w:rsidTr="00A860EA">
        <w:tc>
          <w:tcPr>
            <w:tcW w:w="915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i/>
                <w:color w:val="4F81BD" w:themeColor="accent1"/>
                <w:sz w:val="16"/>
                <w:szCs w:val="16"/>
                <w:lang w:eastAsia="en-AU"/>
              </w:rPr>
            </w:pPr>
            <w:r w:rsidRPr="00802B3F">
              <w:rPr>
                <w:rFonts w:eastAsia="Times New Roman" w:cstheme="minorHAnsi"/>
                <w:bCs/>
                <w:i/>
                <w:color w:val="4F81BD" w:themeColor="accent1"/>
                <w:sz w:val="16"/>
                <w:szCs w:val="16"/>
                <w:lang w:eastAsia="en-AU"/>
              </w:rPr>
              <w:t>Nuclear medicine</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 xml:space="preserve">- Technetium 99m scan with MAA </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$253.00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$215.05</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MBS 61499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$215.05</w:t>
            </w:r>
          </w:p>
        </w:tc>
      </w:tr>
      <w:tr w:rsidR="00802B3F" w:rsidRPr="00802B3F" w:rsidTr="00802B3F">
        <w:tc>
          <w:tcPr>
            <w:tcW w:w="915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02B3F" w:rsidRPr="00802B3F" w:rsidRDefault="00802B3F" w:rsidP="00802B3F">
            <w:pPr>
              <w:spacing w:before="40" w:after="40"/>
              <w:rPr>
                <w:rFonts w:eastAsia="Times New Roman" w:cstheme="minorHAnsi"/>
                <w:b/>
                <w:bCs/>
                <w:color w:val="4F81BD" w:themeColor="accent1"/>
                <w:sz w:val="16"/>
                <w:szCs w:val="16"/>
                <w:lang w:eastAsia="en-AU"/>
              </w:rPr>
            </w:pPr>
            <w:r w:rsidRPr="00802B3F">
              <w:rPr>
                <w:rFonts w:eastAsia="Times New Roman" w:cstheme="minorHAnsi"/>
                <w:b/>
                <w:bCs/>
                <w:color w:val="4F81BD" w:themeColor="accent1"/>
                <w:sz w:val="16"/>
                <w:szCs w:val="16"/>
                <w:lang w:eastAsia="en-AU"/>
              </w:rPr>
              <w:t>Surgery</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Ultrasonic cross-sectional echography</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$109.10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$81.85</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MBS 55054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$81.85</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Selective arteriography or selective venography by DSA technique - 3+ vessels</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$144.25</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$108.20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MBS 60078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$108.20</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DSA - 10+ runs</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$1,376.30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$1,032.25</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MBS 60033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$1,032.25</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Trans-femoral catheterisation of hepatic artery</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$813.30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$610.00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
                <w:bCs/>
                <w:color w:val="4F81BD" w:themeColor="accent1"/>
                <w:sz w:val="16"/>
                <w:szCs w:val="16"/>
                <w:lang w:eastAsia="en-AU"/>
              </w:rPr>
            </w:pPr>
            <w:r w:rsidRPr="00802B3F">
              <w:rPr>
                <w:rFonts w:eastAsia="Times New Roman" w:cstheme="minorHAnsi"/>
                <w:b/>
                <w:bCs/>
                <w:color w:val="4F81BD" w:themeColor="accent1"/>
                <w:sz w:val="16"/>
                <w:szCs w:val="16"/>
                <w:lang w:eastAsia="en-AU"/>
              </w:rPr>
              <w:t>Proposed</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$610.00</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Injection of Y-90 microspheres</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$346.60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$259.95</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
                <w:bCs/>
                <w:color w:val="4F81BD" w:themeColor="accent1"/>
                <w:sz w:val="16"/>
                <w:szCs w:val="16"/>
                <w:lang w:eastAsia="en-AU"/>
              </w:rPr>
            </w:pPr>
            <w:r w:rsidRPr="00802B3F">
              <w:rPr>
                <w:rFonts w:eastAsia="Times New Roman" w:cstheme="minorHAnsi"/>
                <w:b/>
                <w:bCs/>
                <w:color w:val="4F81BD" w:themeColor="accent1"/>
                <w:sz w:val="16"/>
                <w:szCs w:val="16"/>
                <w:lang w:eastAsia="en-AU"/>
              </w:rPr>
              <w:t>Proposed</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$259.95</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p>
        </w:tc>
      </w:tr>
      <w:tr w:rsidR="00802B3F" w:rsidRPr="00802B3F" w:rsidTr="00802B3F">
        <w:tc>
          <w:tcPr>
            <w:tcW w:w="915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02B3F" w:rsidRPr="00802B3F" w:rsidRDefault="00802B3F" w:rsidP="00802B3F">
            <w:pPr>
              <w:spacing w:before="40" w:after="40"/>
              <w:rPr>
                <w:rFonts w:eastAsia="Times New Roman" w:cstheme="minorHAnsi"/>
                <w:b/>
                <w:bCs/>
                <w:color w:val="4F81BD" w:themeColor="accent1"/>
                <w:sz w:val="16"/>
                <w:szCs w:val="16"/>
                <w:lang w:eastAsia="en-AU"/>
              </w:rPr>
            </w:pPr>
            <w:r>
              <w:rPr>
                <w:rFonts w:eastAsia="Times New Roman" w:cstheme="minorHAnsi"/>
                <w:b/>
                <w:bCs/>
                <w:color w:val="4F81BD" w:themeColor="accent1"/>
                <w:sz w:val="16"/>
                <w:szCs w:val="16"/>
                <w:lang w:eastAsia="en-AU"/>
              </w:rPr>
              <w:t>Post-</w:t>
            </w:r>
            <w:r w:rsidRPr="00802B3F">
              <w:rPr>
                <w:rFonts w:eastAsia="Times New Roman" w:cstheme="minorHAnsi"/>
                <w:b/>
                <w:bCs/>
                <w:color w:val="4F81BD" w:themeColor="accent1"/>
                <w:sz w:val="16"/>
                <w:szCs w:val="16"/>
                <w:lang w:eastAsia="en-AU"/>
              </w:rPr>
              <w:t>surgery - Year 1</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 CT scan with contrast (lungs abdomen)</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$283.85</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$241.30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MBS 56847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2</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$482.60</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 consultant physician (subsequent)</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$43.00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$36.55</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MBS 105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2</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$73.10</w:t>
            </w: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p>
        </w:tc>
      </w:tr>
      <w:tr w:rsidR="00802B3F" w:rsidRPr="00802B3F" w:rsidTr="00802B3F">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TOTAL COSTS</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B3F" w:rsidRPr="00802B3F" w:rsidRDefault="00802B3F" w:rsidP="00802B3F">
            <w:pPr>
              <w:spacing w:before="40" w:after="40"/>
              <w:jc w:val="center"/>
              <w:rPr>
                <w:rFonts w:eastAsia="Times New Roman" w:cstheme="minorHAnsi"/>
                <w:bCs/>
                <w:color w:val="4F81BD" w:themeColor="accent1"/>
                <w:sz w:val="16"/>
                <w:szCs w:val="16"/>
                <w:lang w:eastAsia="en-AU"/>
              </w:rPr>
            </w:pPr>
            <w:r w:rsidRPr="00802B3F">
              <w:rPr>
                <w:rFonts w:eastAsia="Times New Roman" w:cstheme="minorHAnsi"/>
                <w:bCs/>
                <w:color w:val="4F81BD" w:themeColor="accent1"/>
                <w:sz w:val="16"/>
                <w:szCs w:val="16"/>
                <w:lang w:eastAsia="en-AU"/>
              </w:rPr>
              <w:t>$5,151.65</w:t>
            </w:r>
          </w:p>
        </w:tc>
      </w:tr>
    </w:tbl>
    <w:p w:rsidR="00EB02D7" w:rsidRDefault="00EB02D7" w:rsidP="00EB02D7">
      <w:pPr>
        <w:rPr>
          <w:color w:val="4F81BD" w:themeColor="accent1"/>
          <w:sz w:val="16"/>
          <w:szCs w:val="16"/>
          <w:lang w:val="en-US" w:eastAsia="ja-JP"/>
        </w:rPr>
      </w:pPr>
      <w:r w:rsidRPr="00802B3F">
        <w:rPr>
          <w:color w:val="4F81BD" w:themeColor="accent1"/>
          <w:sz w:val="16"/>
          <w:szCs w:val="16"/>
          <w:lang w:val="en-US" w:eastAsia="ja-JP"/>
        </w:rPr>
        <w:t xml:space="preserve">Abbreviations: CT, computed tomography; DSA, digital subtraction angiography; </w:t>
      </w:r>
      <w:r w:rsidR="00EC2FFE" w:rsidRPr="00802B3F">
        <w:rPr>
          <w:color w:val="4F81BD" w:themeColor="accent1"/>
          <w:sz w:val="16"/>
          <w:szCs w:val="16"/>
          <w:lang w:val="en-US" w:eastAsia="ja-JP"/>
        </w:rPr>
        <w:t xml:space="preserve">MAA, </w:t>
      </w:r>
      <w:proofErr w:type="spellStart"/>
      <w:r w:rsidR="00EC2FFE" w:rsidRPr="00802B3F">
        <w:rPr>
          <w:color w:val="4F81BD" w:themeColor="accent1"/>
          <w:sz w:val="16"/>
          <w:szCs w:val="16"/>
          <w:lang w:val="en-US" w:eastAsia="ja-JP"/>
        </w:rPr>
        <w:t>macroaggregated</w:t>
      </w:r>
      <w:proofErr w:type="spellEnd"/>
      <w:r w:rsidR="00EC2FFE" w:rsidRPr="00802B3F">
        <w:rPr>
          <w:color w:val="4F81BD" w:themeColor="accent1"/>
          <w:sz w:val="16"/>
          <w:szCs w:val="16"/>
          <w:lang w:val="en-US" w:eastAsia="ja-JP"/>
        </w:rPr>
        <w:t xml:space="preserve"> albumin; </w:t>
      </w:r>
      <w:r w:rsidRPr="00802B3F">
        <w:rPr>
          <w:color w:val="4F81BD" w:themeColor="accent1"/>
          <w:sz w:val="16"/>
          <w:szCs w:val="16"/>
          <w:lang w:val="en-US" w:eastAsia="ja-JP"/>
        </w:rPr>
        <w:t>MBS, Medicare Benefits Schedule.</w:t>
      </w:r>
      <w:r w:rsidRPr="00C67AC2">
        <w:rPr>
          <w:color w:val="4F81BD" w:themeColor="accent1"/>
          <w:sz w:val="16"/>
          <w:szCs w:val="16"/>
          <w:lang w:val="en-US" w:eastAsia="ja-JP"/>
        </w:rPr>
        <w:t xml:space="preserve"> </w:t>
      </w:r>
    </w:p>
    <w:p w:rsidR="002C6D7F" w:rsidRPr="00C67AC2" w:rsidRDefault="002C6D7F" w:rsidP="00EB02D7">
      <w:pPr>
        <w:rPr>
          <w:color w:val="4F81BD" w:themeColor="accent1"/>
          <w:sz w:val="16"/>
          <w:szCs w:val="16"/>
          <w:lang w:val="en-US" w:eastAsia="ja-JP"/>
        </w:rPr>
      </w:pPr>
    </w:p>
    <w:p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rsidR="00951933" w:rsidRPr="007C06AA" w:rsidRDefault="007C06AA" w:rsidP="00AE1188">
      <w:pPr>
        <w:ind w:left="426"/>
        <w:rPr>
          <w:color w:val="4F81BD" w:themeColor="accent1"/>
        </w:rPr>
      </w:pPr>
      <w:r w:rsidRPr="007C06AA">
        <w:rPr>
          <w:color w:val="4F81BD" w:themeColor="accent1"/>
        </w:rPr>
        <w:t xml:space="preserve">The different components of the service typically take the approximately </w:t>
      </w:r>
      <w:r>
        <w:rPr>
          <w:color w:val="4F81BD" w:themeColor="accent1"/>
        </w:rPr>
        <w:t>1</w:t>
      </w:r>
      <w:r w:rsidRPr="007C06AA">
        <w:rPr>
          <w:color w:val="4F81BD" w:themeColor="accent1"/>
        </w:rPr>
        <w:t>-</w:t>
      </w:r>
      <w:r>
        <w:rPr>
          <w:color w:val="4F81BD" w:themeColor="accent1"/>
        </w:rPr>
        <w:t>2.25</w:t>
      </w:r>
      <w:r w:rsidRPr="007C06AA">
        <w:rPr>
          <w:color w:val="4F81BD" w:themeColor="accent1"/>
        </w:rPr>
        <w:t xml:space="preserve"> hours and include the following:</w:t>
      </w:r>
    </w:p>
    <w:p w:rsidR="007C06AA" w:rsidRDefault="007C06AA" w:rsidP="007C06AA">
      <w:pPr>
        <w:pStyle w:val="ListParagraph"/>
        <w:numPr>
          <w:ilvl w:val="0"/>
          <w:numId w:val="26"/>
        </w:numPr>
        <w:rPr>
          <w:color w:val="4F81BD" w:themeColor="accent1"/>
        </w:rPr>
      </w:pPr>
      <w:proofErr w:type="spellStart"/>
      <w:r>
        <w:rPr>
          <w:color w:val="4F81BD" w:themeColor="accent1"/>
        </w:rPr>
        <w:t>Transfemoral</w:t>
      </w:r>
      <w:proofErr w:type="spellEnd"/>
      <w:r>
        <w:rPr>
          <w:color w:val="4F81BD" w:themeColor="accent1"/>
        </w:rPr>
        <w:t xml:space="preserve"> catheterisation – 0.25 to 1 hour</w:t>
      </w:r>
    </w:p>
    <w:p w:rsidR="007C06AA" w:rsidRDefault="007C06AA" w:rsidP="007C06AA">
      <w:pPr>
        <w:pStyle w:val="ListParagraph"/>
        <w:numPr>
          <w:ilvl w:val="0"/>
          <w:numId w:val="26"/>
        </w:numPr>
        <w:rPr>
          <w:color w:val="4F81BD" w:themeColor="accent1"/>
        </w:rPr>
      </w:pPr>
      <w:r>
        <w:rPr>
          <w:color w:val="4F81BD" w:themeColor="accent1"/>
        </w:rPr>
        <w:t xml:space="preserve">Y-90 microsphere dose handling and injection – 0.5 hour </w:t>
      </w:r>
    </w:p>
    <w:p w:rsidR="007C06AA" w:rsidRPr="007C06AA" w:rsidRDefault="007C06AA" w:rsidP="007C06AA">
      <w:pPr>
        <w:pStyle w:val="ListParagraph"/>
        <w:numPr>
          <w:ilvl w:val="0"/>
          <w:numId w:val="26"/>
        </w:numPr>
        <w:rPr>
          <w:color w:val="4F81BD" w:themeColor="accent1"/>
        </w:rPr>
      </w:pPr>
      <w:r>
        <w:rPr>
          <w:color w:val="4F81BD" w:themeColor="accent1"/>
        </w:rPr>
        <w:t>Y-90 microsphere infusion – 0.25 to 0.75 hour.</w:t>
      </w:r>
    </w:p>
    <w:p w:rsidR="003A4811" w:rsidRDefault="003A4811" w:rsidP="00AE1188">
      <w:pPr>
        <w:ind w:left="426"/>
        <w:rPr>
          <w:b/>
          <w:szCs w:val="20"/>
        </w:rPr>
      </w:pPr>
      <w:r>
        <w:rPr>
          <w:b/>
          <w:szCs w:val="20"/>
        </w:rPr>
        <w:lastRenderedPageBreak/>
        <w:br w:type="page"/>
      </w:r>
    </w:p>
    <w:p w:rsidR="00707D4D" w:rsidRDefault="0054192F" w:rsidP="00530204">
      <w:pPr>
        <w:pStyle w:val="Heading2"/>
      </w:pPr>
      <w:r>
        <w:lastRenderedPageBreak/>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rsidR="00A052A0" w:rsidRDefault="003A4811" w:rsidP="003A4811">
      <w:pPr>
        <w:rPr>
          <w:color w:val="4F81BD" w:themeColor="accent1"/>
        </w:rPr>
      </w:pPr>
      <w:r w:rsidRPr="003A4811">
        <w:rPr>
          <w:color w:val="4F81BD" w:themeColor="accent1"/>
        </w:rPr>
        <w:t xml:space="preserve">The proposed MBS item descriptors are presented below. </w:t>
      </w:r>
      <w:r>
        <w:rPr>
          <w:color w:val="4F81BD" w:themeColor="accent1"/>
        </w:rPr>
        <w:t>These are based on the existing descriptors for SIRT using SIR-Spheres in patients with</w:t>
      </w:r>
      <w:r w:rsidRPr="003A4811">
        <w:rPr>
          <w:color w:val="4F81BD" w:themeColor="accent1"/>
        </w:rPr>
        <w:t xml:space="preserve"> </w:t>
      </w:r>
      <w:r w:rsidRPr="003A4811">
        <w:rPr>
          <w:i/>
          <w:color w:val="4F81BD" w:themeColor="accent1"/>
        </w:rPr>
        <w:t xml:space="preserve">hepatic metastases which are secondary to colorectal cancer and are not suitable for resection or ablation, used in combination with systemic chemotherapy using 5-fluorouracil (5FU) and </w:t>
      </w:r>
      <w:proofErr w:type="spellStart"/>
      <w:r w:rsidRPr="003A4811">
        <w:rPr>
          <w:i/>
          <w:color w:val="4F81BD" w:themeColor="accent1"/>
        </w:rPr>
        <w:t>leucovorin</w:t>
      </w:r>
      <w:proofErr w:type="spellEnd"/>
      <w:r>
        <w:rPr>
          <w:color w:val="4F81BD" w:themeColor="accent1"/>
        </w:rPr>
        <w:t xml:space="preserve">. </w:t>
      </w:r>
      <w:r w:rsidRPr="00742F30">
        <w:rPr>
          <w:color w:val="4F81BD" w:themeColor="accent1"/>
        </w:rPr>
        <w:t xml:space="preserve">Please note that </w:t>
      </w:r>
      <w:r w:rsidR="00A052A0" w:rsidRPr="00742F30">
        <w:rPr>
          <w:color w:val="4F81BD" w:themeColor="accent1"/>
        </w:rPr>
        <w:t>an item based on MBS 35408 (catheterisation of the hepatic artery via a permanently implanted hepatic artery port to administer SIR-</w:t>
      </w:r>
      <w:r w:rsidR="00C57EE4" w:rsidRPr="00742F30">
        <w:rPr>
          <w:color w:val="4F81BD" w:themeColor="accent1"/>
        </w:rPr>
        <w:t>Spheres)</w:t>
      </w:r>
      <w:r w:rsidR="00A052A0" w:rsidRPr="00742F30">
        <w:rPr>
          <w:color w:val="4F81BD" w:themeColor="accent1"/>
        </w:rPr>
        <w:t xml:space="preserve"> has not been requested as this procedure is no longer used.</w:t>
      </w:r>
      <w:r w:rsidR="00A052A0">
        <w:rPr>
          <w:color w:val="4F81BD" w:themeColor="accent1"/>
        </w:rPr>
        <w:t xml:space="preserve"> </w:t>
      </w:r>
    </w:p>
    <w:p w:rsidR="003A4811" w:rsidRPr="003A4811" w:rsidRDefault="00A052A0" w:rsidP="003A4811">
      <w:pPr>
        <w:rPr>
          <w:color w:val="4F81BD" w:themeColor="accent1"/>
        </w:rPr>
      </w:pPr>
      <w:r>
        <w:rPr>
          <w:color w:val="4F81BD" w:themeColor="accent1"/>
        </w:rPr>
        <w:t>T</w:t>
      </w:r>
      <w:r w:rsidR="003A4811" w:rsidRPr="003A4811">
        <w:rPr>
          <w:color w:val="4F81BD" w:themeColor="accent1"/>
        </w:rPr>
        <w:t xml:space="preserve">hese </w:t>
      </w:r>
      <w:r w:rsidR="003A4811">
        <w:rPr>
          <w:color w:val="4F81BD" w:themeColor="accent1"/>
        </w:rPr>
        <w:t xml:space="preserve">proposed descriptors </w:t>
      </w:r>
      <w:r w:rsidR="003A4811" w:rsidRPr="003A4811">
        <w:rPr>
          <w:color w:val="4F81BD" w:themeColor="accent1"/>
        </w:rPr>
        <w:t>may be refined depending on the outcome of discussions with the Department, feedback from PASC, and the availability of clinical evidence.</w:t>
      </w:r>
    </w:p>
    <w:p w:rsidR="00AE1188" w:rsidRPr="003A4811" w:rsidRDefault="00AE1188" w:rsidP="000B171B">
      <w:pPr>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40"/>
        <w:rPr>
          <w:color w:val="4F81BD" w:themeColor="accent1"/>
          <w:szCs w:val="20"/>
        </w:rPr>
      </w:pPr>
      <w:r w:rsidRPr="003A4811">
        <w:rPr>
          <w:color w:val="4F81BD" w:themeColor="accent1"/>
          <w:szCs w:val="20"/>
        </w:rPr>
        <w:t xml:space="preserve">Category </w:t>
      </w:r>
      <w:r w:rsidR="00743AE1" w:rsidRPr="003A4811">
        <w:rPr>
          <w:color w:val="4F81BD" w:themeColor="accent1"/>
        </w:rPr>
        <w:t>3</w:t>
      </w:r>
      <w:r w:rsidRPr="003A4811">
        <w:rPr>
          <w:color w:val="4F81BD" w:themeColor="accent1"/>
          <w:szCs w:val="20"/>
        </w:rPr>
        <w:t xml:space="preserve"> – </w:t>
      </w:r>
      <w:r w:rsidR="00743AE1" w:rsidRPr="003A4811">
        <w:rPr>
          <w:color w:val="4F81BD" w:themeColor="accent1"/>
        </w:rPr>
        <w:t>THERAPEUTIC PROCEDURES</w:t>
      </w:r>
    </w:p>
    <w:p w:rsidR="00AE1188" w:rsidRDefault="000B171B" w:rsidP="000B171B">
      <w:pPr>
        <w:pBdr>
          <w:top w:val="single" w:sz="4" w:space="1" w:color="auto"/>
          <w:left w:val="single" w:sz="4" w:space="4" w:color="auto"/>
          <w:bottom w:val="single" w:sz="4" w:space="1" w:color="auto"/>
          <w:right w:val="single" w:sz="4" w:space="4" w:color="auto"/>
        </w:pBdr>
        <w:spacing w:before="40" w:after="40"/>
        <w:rPr>
          <w:color w:val="4F81BD" w:themeColor="accent1"/>
          <w:szCs w:val="20"/>
        </w:rPr>
      </w:pPr>
      <w:r w:rsidRPr="000B171B">
        <w:rPr>
          <w:b/>
          <w:color w:val="4F81BD" w:themeColor="accent1"/>
          <w:szCs w:val="20"/>
        </w:rPr>
        <w:t>Group</w:t>
      </w:r>
      <w:r>
        <w:rPr>
          <w:color w:val="4F81BD" w:themeColor="accent1"/>
          <w:szCs w:val="20"/>
        </w:rPr>
        <w:tab/>
      </w:r>
      <w:r>
        <w:rPr>
          <w:color w:val="4F81BD" w:themeColor="accent1"/>
          <w:szCs w:val="20"/>
        </w:rPr>
        <w:tab/>
        <w:t>T8 – SURGICAL OPERATIONS</w:t>
      </w:r>
    </w:p>
    <w:p w:rsidR="000B171B" w:rsidRDefault="000B171B" w:rsidP="000B171B">
      <w:pPr>
        <w:pBdr>
          <w:top w:val="single" w:sz="4" w:space="1" w:color="auto"/>
          <w:left w:val="single" w:sz="4" w:space="4" w:color="auto"/>
          <w:bottom w:val="single" w:sz="4" w:space="1" w:color="auto"/>
          <w:right w:val="single" w:sz="4" w:space="4" w:color="auto"/>
        </w:pBdr>
        <w:spacing w:before="40" w:after="40"/>
        <w:rPr>
          <w:color w:val="4F81BD" w:themeColor="accent1"/>
          <w:szCs w:val="20"/>
        </w:rPr>
      </w:pPr>
      <w:r w:rsidRPr="000B171B">
        <w:rPr>
          <w:b/>
          <w:color w:val="4F81BD" w:themeColor="accent1"/>
          <w:szCs w:val="20"/>
        </w:rPr>
        <w:t>Subgroup</w:t>
      </w:r>
      <w:r>
        <w:rPr>
          <w:color w:val="4F81BD" w:themeColor="accent1"/>
          <w:szCs w:val="20"/>
        </w:rPr>
        <w:tab/>
        <w:t xml:space="preserve">3 – VASCULAR </w:t>
      </w:r>
    </w:p>
    <w:p w:rsidR="000B171B" w:rsidRDefault="000B171B" w:rsidP="000B171B">
      <w:pPr>
        <w:pBdr>
          <w:top w:val="single" w:sz="4" w:space="1" w:color="auto"/>
          <w:left w:val="single" w:sz="4" w:space="4" w:color="auto"/>
          <w:bottom w:val="single" w:sz="4" w:space="1" w:color="auto"/>
          <w:right w:val="single" w:sz="4" w:space="4" w:color="auto"/>
        </w:pBdr>
        <w:spacing w:before="40" w:after="40"/>
        <w:rPr>
          <w:color w:val="4F81BD" w:themeColor="accent1"/>
          <w:szCs w:val="20"/>
        </w:rPr>
      </w:pPr>
      <w:r w:rsidRPr="000B171B">
        <w:rPr>
          <w:b/>
          <w:color w:val="4F81BD" w:themeColor="accent1"/>
          <w:szCs w:val="20"/>
        </w:rPr>
        <w:t>Subheading</w:t>
      </w:r>
      <w:r>
        <w:rPr>
          <w:color w:val="4F81BD" w:themeColor="accent1"/>
          <w:szCs w:val="20"/>
        </w:rPr>
        <w:tab/>
        <w:t>13 – INTERVENTIONAL RADIOLOGY PROCEDURES</w:t>
      </w:r>
    </w:p>
    <w:p w:rsidR="004B2260" w:rsidRPr="003A4811" w:rsidRDefault="004B2260" w:rsidP="000B171B">
      <w:pPr>
        <w:pBdr>
          <w:top w:val="single" w:sz="4" w:space="1" w:color="auto"/>
          <w:left w:val="single" w:sz="4" w:space="4" w:color="auto"/>
          <w:bottom w:val="single" w:sz="4" w:space="1" w:color="auto"/>
          <w:right w:val="single" w:sz="4" w:space="4" w:color="auto"/>
        </w:pBdr>
        <w:spacing w:before="40" w:after="40"/>
        <w:rPr>
          <w:color w:val="4F81BD" w:themeColor="accent1"/>
          <w:szCs w:val="20"/>
        </w:rPr>
      </w:pPr>
    </w:p>
    <w:p w:rsidR="00743AE1" w:rsidRPr="003A4811" w:rsidRDefault="00AE1188" w:rsidP="000B171B">
      <w:pPr>
        <w:pBdr>
          <w:top w:val="single" w:sz="4" w:space="1" w:color="auto"/>
          <w:left w:val="single" w:sz="4" w:space="4" w:color="auto"/>
          <w:bottom w:val="single" w:sz="4" w:space="1" w:color="auto"/>
          <w:right w:val="single" w:sz="4" w:space="4" w:color="auto"/>
        </w:pBdr>
        <w:spacing w:before="40" w:after="40"/>
        <w:rPr>
          <w:color w:val="4F81BD" w:themeColor="accent1"/>
          <w:szCs w:val="20"/>
        </w:rPr>
      </w:pPr>
      <w:r w:rsidRPr="003A4811">
        <w:rPr>
          <w:i/>
          <w:color w:val="4F81BD" w:themeColor="accent1"/>
          <w:szCs w:val="20"/>
        </w:rPr>
        <w:t>Proposed item descriptor:</w:t>
      </w:r>
      <w:r w:rsidRPr="003A4811">
        <w:rPr>
          <w:color w:val="4F81BD" w:themeColor="accent1"/>
          <w:szCs w:val="20"/>
        </w:rPr>
        <w:t xml:space="preserve"> </w:t>
      </w:r>
    </w:p>
    <w:p w:rsidR="00743AE1" w:rsidRPr="003A4811" w:rsidRDefault="00743AE1" w:rsidP="000B171B">
      <w:pPr>
        <w:pBdr>
          <w:top w:val="single" w:sz="4" w:space="1" w:color="auto"/>
          <w:left w:val="single" w:sz="4" w:space="4" w:color="auto"/>
          <w:bottom w:val="single" w:sz="4" w:space="1" w:color="auto"/>
          <w:right w:val="single" w:sz="4" w:space="4" w:color="auto"/>
        </w:pBdr>
        <w:spacing w:before="40" w:after="40"/>
        <w:rPr>
          <w:color w:val="4F81BD" w:themeColor="accent1"/>
        </w:rPr>
      </w:pPr>
      <w:r w:rsidRPr="003A4811">
        <w:rPr>
          <w:color w:val="4F81BD" w:themeColor="accent1"/>
        </w:rPr>
        <w:t>DOSIMETRY, HANDLING AND INJECTION OF yttrium-90-emitting microspheres for selective internal radiation therapy of hepatocellular carcinoma that is not suitable for resection or ablation</w:t>
      </w:r>
      <w:r w:rsidR="003B7CF8">
        <w:rPr>
          <w:color w:val="4F81BD" w:themeColor="accent1"/>
        </w:rPr>
        <w:t xml:space="preserve"> [specific population groups to be added as appropriate]</w:t>
      </w:r>
      <w:r w:rsidRPr="003A4811">
        <w:rPr>
          <w:color w:val="4F81BD" w:themeColor="accent1"/>
        </w:rPr>
        <w:t xml:space="preserve">, not being a service to which item 35317, 35319, 35320 or 35321 applies </w:t>
      </w:r>
    </w:p>
    <w:p w:rsidR="00743AE1" w:rsidRPr="003A4811" w:rsidRDefault="00743AE1" w:rsidP="000B171B">
      <w:pPr>
        <w:pBdr>
          <w:top w:val="single" w:sz="4" w:space="1" w:color="auto"/>
          <w:left w:val="single" w:sz="4" w:space="4" w:color="auto"/>
          <w:bottom w:val="single" w:sz="4" w:space="1" w:color="auto"/>
          <w:right w:val="single" w:sz="4" w:space="4" w:color="auto"/>
        </w:pBdr>
        <w:spacing w:before="40" w:after="40"/>
        <w:rPr>
          <w:color w:val="4F81BD" w:themeColor="accent1"/>
        </w:rPr>
      </w:pPr>
    </w:p>
    <w:p w:rsidR="00AE1188" w:rsidRPr="003A4811" w:rsidRDefault="00743AE1" w:rsidP="000B171B">
      <w:pPr>
        <w:pBdr>
          <w:top w:val="single" w:sz="4" w:space="1" w:color="auto"/>
          <w:left w:val="single" w:sz="4" w:space="4" w:color="auto"/>
          <w:bottom w:val="single" w:sz="4" w:space="1" w:color="auto"/>
          <w:right w:val="single" w:sz="4" w:space="4" w:color="auto"/>
        </w:pBdr>
        <w:spacing w:before="40" w:after="40"/>
        <w:rPr>
          <w:color w:val="4F81BD" w:themeColor="accent1"/>
        </w:rPr>
      </w:pPr>
      <w:r w:rsidRPr="003A4811">
        <w:rPr>
          <w:color w:val="4F81BD" w:themeColor="accent1"/>
        </w:rPr>
        <w:t xml:space="preserve">The procedure must be performed by a specialist or consultant physician recognised in the specialties of nuclear medicine or radiation oncology on an admitted patient in a hospital. </w:t>
      </w:r>
    </w:p>
    <w:p w:rsidR="00743AE1" w:rsidRPr="003A4811" w:rsidRDefault="00743AE1" w:rsidP="000B171B">
      <w:pPr>
        <w:pBdr>
          <w:top w:val="single" w:sz="4" w:space="1" w:color="auto"/>
          <w:left w:val="single" w:sz="4" w:space="4" w:color="auto"/>
          <w:bottom w:val="single" w:sz="4" w:space="1" w:color="auto"/>
          <w:right w:val="single" w:sz="4" w:space="4" w:color="auto"/>
        </w:pBdr>
        <w:spacing w:before="40" w:after="40"/>
        <w:rPr>
          <w:color w:val="4F81BD" w:themeColor="accent1"/>
          <w:szCs w:val="20"/>
        </w:rPr>
      </w:pPr>
    </w:p>
    <w:p w:rsidR="00AE1188" w:rsidRPr="003A4811" w:rsidRDefault="00AE1188" w:rsidP="000B171B">
      <w:pPr>
        <w:pBdr>
          <w:top w:val="single" w:sz="4" w:space="1" w:color="auto"/>
          <w:left w:val="single" w:sz="4" w:space="4" w:color="auto"/>
          <w:bottom w:val="single" w:sz="4" w:space="1" w:color="auto"/>
          <w:right w:val="single" w:sz="4" w:space="4" w:color="auto"/>
        </w:pBdr>
        <w:spacing w:before="40" w:after="40"/>
        <w:rPr>
          <w:color w:val="4F81BD" w:themeColor="accent1"/>
          <w:szCs w:val="20"/>
        </w:rPr>
      </w:pPr>
      <w:r w:rsidRPr="003A4811">
        <w:rPr>
          <w:color w:val="4F81BD" w:themeColor="accent1"/>
          <w:szCs w:val="20"/>
        </w:rPr>
        <w:t>Fee:  $</w:t>
      </w:r>
      <w:r w:rsidR="00743AE1" w:rsidRPr="003A4811">
        <w:rPr>
          <w:color w:val="4F81BD" w:themeColor="accent1"/>
        </w:rPr>
        <w:t>346.60 Benefit: 75% = $259.95</w:t>
      </w:r>
    </w:p>
    <w:p w:rsidR="00743AE1" w:rsidRPr="003A4811" w:rsidRDefault="00743AE1" w:rsidP="000B171B">
      <w:pPr>
        <w:spacing w:before="0" w:after="0"/>
        <w:rPr>
          <w:color w:val="4F81BD" w:themeColor="accent1"/>
        </w:rPr>
      </w:pPr>
    </w:p>
    <w:p w:rsidR="00743AE1" w:rsidRPr="003A4811" w:rsidRDefault="00743AE1" w:rsidP="000B171B">
      <w:pPr>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40"/>
        <w:rPr>
          <w:color w:val="4F81BD" w:themeColor="accent1"/>
          <w:szCs w:val="20"/>
        </w:rPr>
      </w:pPr>
      <w:r w:rsidRPr="003A4811">
        <w:rPr>
          <w:color w:val="4F81BD" w:themeColor="accent1"/>
          <w:szCs w:val="20"/>
        </w:rPr>
        <w:t xml:space="preserve">Category </w:t>
      </w:r>
      <w:r w:rsidRPr="003A4811">
        <w:rPr>
          <w:color w:val="4F81BD" w:themeColor="accent1"/>
        </w:rPr>
        <w:t>3</w:t>
      </w:r>
      <w:r w:rsidRPr="003A4811">
        <w:rPr>
          <w:color w:val="4F81BD" w:themeColor="accent1"/>
          <w:szCs w:val="20"/>
        </w:rPr>
        <w:t xml:space="preserve"> – </w:t>
      </w:r>
      <w:r w:rsidRPr="003A4811">
        <w:rPr>
          <w:color w:val="4F81BD" w:themeColor="accent1"/>
        </w:rPr>
        <w:t>THERAPEUTIC PROCEDURES</w:t>
      </w:r>
    </w:p>
    <w:p w:rsidR="000B171B" w:rsidRDefault="000B171B" w:rsidP="000B171B">
      <w:pPr>
        <w:pBdr>
          <w:top w:val="single" w:sz="4" w:space="1" w:color="auto"/>
          <w:left w:val="single" w:sz="4" w:space="4" w:color="auto"/>
          <w:bottom w:val="single" w:sz="4" w:space="1" w:color="auto"/>
          <w:right w:val="single" w:sz="4" w:space="4" w:color="auto"/>
        </w:pBdr>
        <w:spacing w:before="40" w:after="40"/>
        <w:rPr>
          <w:color w:val="4F81BD" w:themeColor="accent1"/>
          <w:szCs w:val="20"/>
        </w:rPr>
      </w:pPr>
      <w:r w:rsidRPr="000B171B">
        <w:rPr>
          <w:b/>
          <w:color w:val="4F81BD" w:themeColor="accent1"/>
          <w:szCs w:val="20"/>
        </w:rPr>
        <w:t>Group</w:t>
      </w:r>
      <w:r>
        <w:rPr>
          <w:color w:val="4F81BD" w:themeColor="accent1"/>
          <w:szCs w:val="20"/>
        </w:rPr>
        <w:tab/>
      </w:r>
      <w:r>
        <w:rPr>
          <w:color w:val="4F81BD" w:themeColor="accent1"/>
          <w:szCs w:val="20"/>
        </w:rPr>
        <w:tab/>
        <w:t>T8 – SURGICAL OPERATIONS</w:t>
      </w:r>
    </w:p>
    <w:p w:rsidR="000B171B" w:rsidRDefault="000B171B" w:rsidP="000B171B">
      <w:pPr>
        <w:pBdr>
          <w:top w:val="single" w:sz="4" w:space="1" w:color="auto"/>
          <w:left w:val="single" w:sz="4" w:space="4" w:color="auto"/>
          <w:bottom w:val="single" w:sz="4" w:space="1" w:color="auto"/>
          <w:right w:val="single" w:sz="4" w:space="4" w:color="auto"/>
        </w:pBdr>
        <w:spacing w:before="40" w:after="40"/>
        <w:rPr>
          <w:color w:val="4F81BD" w:themeColor="accent1"/>
          <w:szCs w:val="20"/>
        </w:rPr>
      </w:pPr>
      <w:r w:rsidRPr="000B171B">
        <w:rPr>
          <w:b/>
          <w:color w:val="4F81BD" w:themeColor="accent1"/>
          <w:szCs w:val="20"/>
        </w:rPr>
        <w:t>Subgroup</w:t>
      </w:r>
      <w:r>
        <w:rPr>
          <w:color w:val="4F81BD" w:themeColor="accent1"/>
          <w:szCs w:val="20"/>
        </w:rPr>
        <w:tab/>
        <w:t xml:space="preserve">3 – VASCULAR </w:t>
      </w:r>
    </w:p>
    <w:p w:rsidR="000B171B" w:rsidRDefault="000B171B" w:rsidP="000B171B">
      <w:pPr>
        <w:pBdr>
          <w:top w:val="single" w:sz="4" w:space="1" w:color="auto"/>
          <w:left w:val="single" w:sz="4" w:space="4" w:color="auto"/>
          <w:bottom w:val="single" w:sz="4" w:space="1" w:color="auto"/>
          <w:right w:val="single" w:sz="4" w:space="4" w:color="auto"/>
        </w:pBdr>
        <w:spacing w:before="40" w:after="40"/>
        <w:rPr>
          <w:color w:val="4F81BD" w:themeColor="accent1"/>
          <w:szCs w:val="20"/>
        </w:rPr>
      </w:pPr>
      <w:r w:rsidRPr="000B171B">
        <w:rPr>
          <w:b/>
          <w:color w:val="4F81BD" w:themeColor="accent1"/>
          <w:szCs w:val="20"/>
        </w:rPr>
        <w:t>Subheading</w:t>
      </w:r>
      <w:r>
        <w:rPr>
          <w:color w:val="4F81BD" w:themeColor="accent1"/>
          <w:szCs w:val="20"/>
        </w:rPr>
        <w:tab/>
        <w:t>13 – INTERVENTIONAL RADIOLOGY PROCEDURES</w:t>
      </w:r>
    </w:p>
    <w:p w:rsidR="004B2260" w:rsidRPr="003A4811" w:rsidRDefault="004B2260" w:rsidP="000B171B">
      <w:pPr>
        <w:pBdr>
          <w:top w:val="single" w:sz="4" w:space="1" w:color="auto"/>
          <w:left w:val="single" w:sz="4" w:space="4" w:color="auto"/>
          <w:bottom w:val="single" w:sz="4" w:space="1" w:color="auto"/>
          <w:right w:val="single" w:sz="4" w:space="4" w:color="auto"/>
        </w:pBdr>
        <w:spacing w:before="40" w:after="40"/>
        <w:rPr>
          <w:color w:val="4F81BD" w:themeColor="accent1"/>
          <w:szCs w:val="20"/>
        </w:rPr>
      </w:pPr>
    </w:p>
    <w:p w:rsidR="00743AE1" w:rsidRPr="003A4811" w:rsidRDefault="00743AE1" w:rsidP="000B171B">
      <w:pPr>
        <w:pBdr>
          <w:top w:val="single" w:sz="4" w:space="1" w:color="auto"/>
          <w:left w:val="single" w:sz="4" w:space="4" w:color="auto"/>
          <w:bottom w:val="single" w:sz="4" w:space="1" w:color="auto"/>
          <w:right w:val="single" w:sz="4" w:space="4" w:color="auto"/>
        </w:pBdr>
        <w:spacing w:before="40" w:after="40"/>
        <w:rPr>
          <w:color w:val="4F81BD" w:themeColor="accent1"/>
          <w:szCs w:val="20"/>
        </w:rPr>
      </w:pPr>
      <w:r w:rsidRPr="003A4811">
        <w:rPr>
          <w:i/>
          <w:color w:val="4F81BD" w:themeColor="accent1"/>
          <w:szCs w:val="20"/>
        </w:rPr>
        <w:t>Proposed item descriptor:</w:t>
      </w:r>
      <w:r w:rsidRPr="003A4811">
        <w:rPr>
          <w:color w:val="4F81BD" w:themeColor="accent1"/>
          <w:szCs w:val="20"/>
        </w:rPr>
        <w:t xml:space="preserve"> </w:t>
      </w:r>
    </w:p>
    <w:p w:rsidR="00743AE1" w:rsidRPr="003A4811" w:rsidRDefault="00743AE1" w:rsidP="000B171B">
      <w:pPr>
        <w:pBdr>
          <w:top w:val="single" w:sz="4" w:space="1" w:color="auto"/>
          <w:left w:val="single" w:sz="4" w:space="4" w:color="auto"/>
          <w:bottom w:val="single" w:sz="4" w:space="1" w:color="auto"/>
          <w:right w:val="single" w:sz="4" w:space="4" w:color="auto"/>
        </w:pBdr>
        <w:spacing w:before="40" w:after="40"/>
        <w:rPr>
          <w:color w:val="4F81BD" w:themeColor="accent1"/>
        </w:rPr>
      </w:pPr>
      <w:r w:rsidRPr="003A4811">
        <w:rPr>
          <w:color w:val="4F81BD" w:themeColor="accent1"/>
        </w:rPr>
        <w:t xml:space="preserve">Trans-femoral catheterisation of the hepatic artery to administer yttrium-90-emitting microspheres to </w:t>
      </w:r>
      <w:proofErr w:type="spellStart"/>
      <w:r w:rsidRPr="003A4811">
        <w:rPr>
          <w:color w:val="4F81BD" w:themeColor="accent1"/>
        </w:rPr>
        <w:t>embolise</w:t>
      </w:r>
      <w:proofErr w:type="spellEnd"/>
      <w:r w:rsidRPr="003A4811">
        <w:rPr>
          <w:color w:val="4F81BD" w:themeColor="accent1"/>
        </w:rPr>
        <w:t xml:space="preserve"> the microvasculature of hepatocellular carcinoma that is not suitable for resection or ablation</w:t>
      </w:r>
      <w:r w:rsidR="003B7CF8">
        <w:rPr>
          <w:color w:val="4F81BD" w:themeColor="accent1"/>
        </w:rPr>
        <w:t xml:space="preserve"> [specific population groups to be added as appropriate]</w:t>
      </w:r>
      <w:r w:rsidRPr="003A4811">
        <w:rPr>
          <w:color w:val="4F81BD" w:themeColor="accent1"/>
        </w:rPr>
        <w:t xml:space="preserve">, for selective internal radiation therapy, not being a service to which item 35317, 35319, 35320 or 35321 applies </w:t>
      </w:r>
    </w:p>
    <w:p w:rsidR="00743AE1" w:rsidRPr="003A4811" w:rsidRDefault="00743AE1" w:rsidP="000B171B">
      <w:pPr>
        <w:pBdr>
          <w:top w:val="single" w:sz="4" w:space="1" w:color="auto"/>
          <w:left w:val="single" w:sz="4" w:space="4" w:color="auto"/>
          <w:bottom w:val="single" w:sz="4" w:space="1" w:color="auto"/>
          <w:right w:val="single" w:sz="4" w:space="4" w:color="auto"/>
        </w:pBdr>
        <w:spacing w:before="40" w:after="40"/>
        <w:rPr>
          <w:color w:val="4F81BD" w:themeColor="accent1"/>
        </w:rPr>
      </w:pPr>
    </w:p>
    <w:p w:rsidR="00743AE1" w:rsidRPr="003A4811" w:rsidRDefault="00743AE1" w:rsidP="000B171B">
      <w:pPr>
        <w:pBdr>
          <w:top w:val="single" w:sz="4" w:space="1" w:color="auto"/>
          <w:left w:val="single" w:sz="4" w:space="4" w:color="auto"/>
          <w:bottom w:val="single" w:sz="4" w:space="1" w:color="auto"/>
          <w:right w:val="single" w:sz="4" w:space="4" w:color="auto"/>
        </w:pBdr>
        <w:spacing w:before="40" w:after="40"/>
        <w:rPr>
          <w:color w:val="4F81BD" w:themeColor="accent1"/>
        </w:rPr>
      </w:pPr>
      <w:proofErr w:type="gramStart"/>
      <w:r w:rsidRPr="003A4811">
        <w:rPr>
          <w:color w:val="4F81BD" w:themeColor="accent1"/>
        </w:rPr>
        <w:t>excluding</w:t>
      </w:r>
      <w:proofErr w:type="gramEnd"/>
      <w:r w:rsidRPr="003A4811">
        <w:rPr>
          <w:color w:val="4F81BD" w:themeColor="accent1"/>
        </w:rPr>
        <w:t xml:space="preserve"> associated radiological services or preparation, and excluding aftercare </w:t>
      </w:r>
    </w:p>
    <w:p w:rsidR="00743AE1" w:rsidRPr="003A4811" w:rsidRDefault="00743AE1" w:rsidP="000B171B">
      <w:pPr>
        <w:pBdr>
          <w:top w:val="single" w:sz="4" w:space="1" w:color="auto"/>
          <w:left w:val="single" w:sz="4" w:space="4" w:color="auto"/>
          <w:bottom w:val="single" w:sz="4" w:space="1" w:color="auto"/>
          <w:right w:val="single" w:sz="4" w:space="4" w:color="auto"/>
        </w:pBdr>
        <w:spacing w:before="40" w:after="40"/>
        <w:rPr>
          <w:color w:val="4F81BD" w:themeColor="accent1"/>
        </w:rPr>
      </w:pPr>
    </w:p>
    <w:p w:rsidR="00743AE1" w:rsidRPr="003A4811" w:rsidRDefault="00743AE1" w:rsidP="000B171B">
      <w:pPr>
        <w:pBdr>
          <w:top w:val="single" w:sz="4" w:space="1" w:color="auto"/>
          <w:left w:val="single" w:sz="4" w:space="4" w:color="auto"/>
          <w:bottom w:val="single" w:sz="4" w:space="1" w:color="auto"/>
          <w:right w:val="single" w:sz="4" w:space="4" w:color="auto"/>
        </w:pBdr>
        <w:spacing w:before="40" w:after="40"/>
        <w:rPr>
          <w:color w:val="4F81BD" w:themeColor="accent1"/>
          <w:szCs w:val="20"/>
        </w:rPr>
      </w:pPr>
      <w:r w:rsidRPr="003A4811">
        <w:rPr>
          <w:color w:val="4F81BD" w:themeColor="accent1"/>
          <w:szCs w:val="20"/>
        </w:rPr>
        <w:t>Fee:  $</w:t>
      </w:r>
      <w:r w:rsidRPr="003A4811">
        <w:rPr>
          <w:color w:val="4F81BD" w:themeColor="accent1"/>
        </w:rPr>
        <w:t>813.30 Benefit: 75% = $610.00</w:t>
      </w:r>
    </w:p>
    <w:p w:rsidR="00AE1188" w:rsidRDefault="00AE1188" w:rsidP="004A0BF4">
      <w:pPr>
        <w:pStyle w:val="Heading2"/>
        <w:numPr>
          <w:ilvl w:val="0"/>
          <w:numId w:val="0"/>
        </w:numPr>
        <w:ind w:left="360"/>
      </w:pPr>
      <w:r>
        <w:br w:type="page"/>
      </w:r>
    </w:p>
    <w:p w:rsidR="00E058F2" w:rsidRPr="00C776B1" w:rsidRDefault="001B5169" w:rsidP="00AE1188">
      <w:pPr>
        <w:pStyle w:val="Heading1"/>
      </w:pPr>
      <w:r>
        <w:lastRenderedPageBreak/>
        <w:t>PART 9</w:t>
      </w:r>
      <w:r w:rsidR="00F93784">
        <w:t xml:space="preserve"> – </w:t>
      </w:r>
      <w:r w:rsidR="00E058F2" w:rsidRPr="00C776B1">
        <w:t>FEEDBACK</w:t>
      </w:r>
    </w:p>
    <w:p w:rsidR="00E058F2" w:rsidRPr="00154B00" w:rsidRDefault="00E058F2" w:rsidP="00E058F2">
      <w:pPr>
        <w:rPr>
          <w:szCs w:val="20"/>
        </w:rPr>
      </w:pPr>
      <w:r w:rsidRPr="00154B00">
        <w:rPr>
          <w:szCs w:val="20"/>
        </w:rPr>
        <w:t>The Department</w:t>
      </w:r>
      <w:r w:rsidR="005A58BA">
        <w:rPr>
          <w:szCs w:val="20"/>
        </w:rPr>
        <w:t xml:space="preserve"> is interested in your feedback.</w:t>
      </w:r>
    </w:p>
    <w:p w:rsidR="00E058F2" w:rsidRPr="00AE1188" w:rsidRDefault="00E058F2" w:rsidP="001B5169">
      <w:pPr>
        <w:pStyle w:val="Heading2"/>
      </w:pPr>
      <w:r w:rsidRPr="00AE1188">
        <w:t>How long did it take to complete the Application Form?</w:t>
      </w:r>
    </w:p>
    <w:p w:rsidR="00E058F2" w:rsidRPr="000B171B" w:rsidRDefault="000B171B" w:rsidP="00603D04">
      <w:pPr>
        <w:ind w:left="426"/>
        <w:rPr>
          <w:color w:val="4F81BD" w:themeColor="accent1"/>
          <w:szCs w:val="20"/>
        </w:rPr>
      </w:pPr>
      <w:r w:rsidRPr="000B171B">
        <w:rPr>
          <w:color w:val="4F81BD" w:themeColor="accent1"/>
        </w:rPr>
        <w:t>~ 15 days</w:t>
      </w:r>
    </w:p>
    <w:p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rsidR="00603D04" w:rsidRPr="000B171B" w:rsidRDefault="000B171B" w:rsidP="00603D04">
      <w:pPr>
        <w:spacing w:before="0" w:after="0"/>
        <w:ind w:left="426"/>
        <w:rPr>
          <w:color w:val="4F81BD" w:themeColor="accent1"/>
          <w:szCs w:val="20"/>
        </w:rPr>
      </w:pPr>
      <w:r w:rsidRPr="000B171B">
        <w:rPr>
          <w:color w:val="4F81BD" w:themeColor="accent1"/>
          <w:szCs w:val="20"/>
        </w:rPr>
        <w:sym w:font="Wingdings" w:char="F078"/>
      </w:r>
      <w:r w:rsidR="00603D04" w:rsidRPr="000B171B">
        <w:rPr>
          <w:color w:val="4F81BD" w:themeColor="accent1"/>
          <w:szCs w:val="20"/>
        </w:rPr>
        <w:t xml:space="preserve"> Yes</w:t>
      </w:r>
      <w:r w:rsidR="00F01388">
        <w:rPr>
          <w:color w:val="4F81BD" w:themeColor="accent1"/>
          <w:szCs w:val="20"/>
        </w:rPr>
        <w:t xml:space="preserve">, </w:t>
      </w:r>
      <w:r>
        <w:rPr>
          <w:color w:val="4F81BD" w:themeColor="accent1"/>
          <w:szCs w:val="20"/>
        </w:rPr>
        <w:t>but see below</w:t>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E4ED7">
        <w:rPr>
          <w:szCs w:val="20"/>
        </w:rPr>
      </w:r>
      <w:r w:rsidR="00DE4ED7">
        <w:rPr>
          <w:szCs w:val="20"/>
        </w:rPr>
        <w:fldChar w:fldCharType="separate"/>
      </w:r>
      <w:r w:rsidRPr="001B29A1">
        <w:rPr>
          <w:szCs w:val="20"/>
        </w:rPr>
        <w:fldChar w:fldCharType="end"/>
      </w:r>
      <w:r w:rsidRPr="001B29A1">
        <w:rPr>
          <w:szCs w:val="20"/>
        </w:rPr>
        <w:t xml:space="preserve"> </w:t>
      </w:r>
      <w:r>
        <w:rPr>
          <w:szCs w:val="20"/>
        </w:rPr>
        <w:t>No</w:t>
      </w:r>
    </w:p>
    <w:p w:rsidR="003D6DE1" w:rsidRPr="00154B00" w:rsidRDefault="00603D04" w:rsidP="005D05D5">
      <w:pPr>
        <w:pStyle w:val="Heading2"/>
        <w:numPr>
          <w:ilvl w:val="0"/>
          <w:numId w:val="10"/>
        </w:numPr>
      </w:pPr>
      <w:r>
        <w:t>If no, provide areas of concern:</w:t>
      </w:r>
    </w:p>
    <w:p w:rsidR="003D6DE1" w:rsidRPr="00F01388" w:rsidRDefault="000B171B" w:rsidP="00603D04">
      <w:pPr>
        <w:ind w:left="426"/>
        <w:rPr>
          <w:color w:val="4F81BD" w:themeColor="accent1"/>
          <w:szCs w:val="20"/>
        </w:rPr>
      </w:pPr>
      <w:r w:rsidRPr="00F01388">
        <w:rPr>
          <w:color w:val="4F81BD" w:themeColor="accent1"/>
        </w:rPr>
        <w:t xml:space="preserve">There is a lot of detail required considering </w:t>
      </w:r>
      <w:r w:rsidR="00F01388" w:rsidRPr="00F01388">
        <w:rPr>
          <w:color w:val="4F81BD" w:themeColor="accent1"/>
        </w:rPr>
        <w:t>all we wanted to do was initiate the discussion with the Department. A mechanism for having a pre-</w:t>
      </w:r>
      <w:r w:rsidR="00F01388">
        <w:rPr>
          <w:color w:val="4F81BD" w:themeColor="accent1"/>
        </w:rPr>
        <w:t>a</w:t>
      </w:r>
      <w:r w:rsidR="00F01388" w:rsidRPr="00F01388">
        <w:rPr>
          <w:color w:val="4F81BD" w:themeColor="accent1"/>
        </w:rPr>
        <w:t>pplication meeting (</w:t>
      </w:r>
      <w:r w:rsidR="00F01388">
        <w:rPr>
          <w:color w:val="4F81BD" w:themeColor="accent1"/>
        </w:rPr>
        <w:t>similar to the PBAC pre-submission meetings</w:t>
      </w:r>
      <w:r w:rsidR="00F01388" w:rsidRPr="00F01388">
        <w:rPr>
          <w:color w:val="4F81BD" w:themeColor="accent1"/>
        </w:rPr>
        <w:t xml:space="preserve">) would have been useful, </w:t>
      </w:r>
      <w:r w:rsidR="00F01388">
        <w:rPr>
          <w:color w:val="4F81BD" w:themeColor="accent1"/>
        </w:rPr>
        <w:t>given that we already know</w:t>
      </w:r>
      <w:r w:rsidR="00F01388" w:rsidRPr="00F01388">
        <w:rPr>
          <w:color w:val="4F81BD" w:themeColor="accent1"/>
        </w:rPr>
        <w:t xml:space="preserve"> that TARE-Y is definitely eligible for MSAC funding</w:t>
      </w:r>
      <w:r w:rsidR="00317975">
        <w:rPr>
          <w:color w:val="4F81BD" w:themeColor="accent1"/>
        </w:rPr>
        <w:t xml:space="preserve"> as </w:t>
      </w:r>
      <w:r w:rsidR="00F01388" w:rsidRPr="00F01388">
        <w:rPr>
          <w:color w:val="4F81BD" w:themeColor="accent1"/>
        </w:rPr>
        <w:t xml:space="preserve">it is </w:t>
      </w:r>
      <w:r w:rsidR="00F01388">
        <w:rPr>
          <w:color w:val="4F81BD" w:themeColor="accent1"/>
        </w:rPr>
        <w:t>currently</w:t>
      </w:r>
      <w:r w:rsidR="00F01388" w:rsidRPr="00F01388">
        <w:rPr>
          <w:color w:val="4F81BD" w:themeColor="accent1"/>
        </w:rPr>
        <w:t xml:space="preserve"> funded</w:t>
      </w:r>
      <w:r w:rsidR="00F01388">
        <w:rPr>
          <w:color w:val="4F81BD" w:themeColor="accent1"/>
        </w:rPr>
        <w:t xml:space="preserve"> on an interim basis for another indication</w:t>
      </w:r>
      <w:r w:rsidR="00F01388" w:rsidRPr="00F01388">
        <w:rPr>
          <w:color w:val="4F81BD" w:themeColor="accent1"/>
        </w:rPr>
        <w:t xml:space="preserve">. </w:t>
      </w:r>
    </w:p>
    <w:p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rsidR="00603D04" w:rsidRPr="001B29A1" w:rsidRDefault="00F01388" w:rsidP="00603D04">
      <w:pPr>
        <w:spacing w:before="0" w:after="0"/>
        <w:ind w:left="426"/>
        <w:rPr>
          <w:szCs w:val="20"/>
        </w:rPr>
      </w:pPr>
      <w:r w:rsidRPr="00F01388">
        <w:rPr>
          <w:color w:val="4F81BD" w:themeColor="accent1"/>
          <w:szCs w:val="20"/>
        </w:rPr>
        <w:sym w:font="Wingdings" w:char="F078"/>
      </w:r>
      <w:r w:rsidR="00603D04" w:rsidRPr="00F01388">
        <w:rPr>
          <w:color w:val="4F81BD" w:themeColor="accent1"/>
          <w:szCs w:val="20"/>
        </w:rPr>
        <w:t xml:space="preserve"> Yes</w:t>
      </w:r>
      <w:r w:rsidR="00603D04" w:rsidRPr="001B29A1">
        <w:rPr>
          <w:szCs w:val="20"/>
        </w:rPr>
        <w:tab/>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E4ED7">
        <w:rPr>
          <w:szCs w:val="20"/>
        </w:rPr>
      </w:r>
      <w:r w:rsidR="00DE4ED7">
        <w:rPr>
          <w:szCs w:val="20"/>
        </w:rPr>
        <w:fldChar w:fldCharType="separate"/>
      </w:r>
      <w:r w:rsidRPr="001B29A1">
        <w:rPr>
          <w:szCs w:val="20"/>
        </w:rPr>
        <w:fldChar w:fldCharType="end"/>
      </w:r>
      <w:r w:rsidRPr="001B29A1">
        <w:rPr>
          <w:szCs w:val="20"/>
        </w:rPr>
        <w:t xml:space="preserve"> </w:t>
      </w:r>
      <w:r>
        <w:rPr>
          <w:szCs w:val="20"/>
        </w:rPr>
        <w:t>No</w:t>
      </w:r>
    </w:p>
    <w:p w:rsidR="003D6DE1" w:rsidRPr="00154B00" w:rsidRDefault="003D6DE1" w:rsidP="005D05D5">
      <w:pPr>
        <w:pStyle w:val="Heading2"/>
        <w:numPr>
          <w:ilvl w:val="0"/>
          <w:numId w:val="11"/>
        </w:numPr>
      </w:pPr>
      <w:r>
        <w:t>If no, what areas did you find not to be useful?</w:t>
      </w:r>
    </w:p>
    <w:p w:rsidR="003D6DE1" w:rsidRPr="00F01388" w:rsidRDefault="00F01388" w:rsidP="00603D04">
      <w:pPr>
        <w:ind w:left="426"/>
        <w:rPr>
          <w:color w:val="4F81BD" w:themeColor="accent1"/>
          <w:szCs w:val="20"/>
        </w:rPr>
      </w:pPr>
      <w:r w:rsidRPr="00F01388">
        <w:rPr>
          <w:color w:val="4F81BD" w:themeColor="accent1"/>
        </w:rPr>
        <w:t>Not applicable</w:t>
      </w:r>
    </w:p>
    <w:p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rsidR="00603D04" w:rsidRPr="001B29A1" w:rsidRDefault="00F01388" w:rsidP="00603D04">
      <w:pPr>
        <w:spacing w:before="0" w:after="0"/>
        <w:ind w:left="426"/>
        <w:rPr>
          <w:szCs w:val="20"/>
        </w:rPr>
      </w:pPr>
      <w:r w:rsidRPr="00F01388">
        <w:rPr>
          <w:color w:val="4F81BD" w:themeColor="accent1"/>
          <w:szCs w:val="20"/>
        </w:rPr>
        <w:sym w:font="Wingdings" w:char="F078"/>
      </w:r>
      <w:r w:rsidR="00603D04" w:rsidRPr="00F01388">
        <w:rPr>
          <w:color w:val="4F81BD" w:themeColor="accent1"/>
          <w:szCs w:val="20"/>
        </w:rPr>
        <w:t xml:space="preserve"> Yes</w:t>
      </w:r>
      <w:r w:rsidR="00603D04" w:rsidRPr="001B29A1">
        <w:rPr>
          <w:szCs w:val="20"/>
        </w:rPr>
        <w:tab/>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E4ED7">
        <w:rPr>
          <w:szCs w:val="20"/>
        </w:rPr>
      </w:r>
      <w:r w:rsidR="00DE4ED7">
        <w:rPr>
          <w:szCs w:val="20"/>
        </w:rPr>
        <w:fldChar w:fldCharType="separate"/>
      </w:r>
      <w:r w:rsidRPr="001B29A1">
        <w:rPr>
          <w:szCs w:val="20"/>
        </w:rPr>
        <w:fldChar w:fldCharType="end"/>
      </w:r>
      <w:r w:rsidRPr="001B29A1">
        <w:rPr>
          <w:szCs w:val="20"/>
        </w:rPr>
        <w:t xml:space="preserve"> </w:t>
      </w:r>
      <w:r>
        <w:rPr>
          <w:szCs w:val="20"/>
        </w:rPr>
        <w:t>No</w:t>
      </w:r>
    </w:p>
    <w:p w:rsidR="001845D9" w:rsidRPr="00154B00" w:rsidRDefault="001845D9" w:rsidP="005D05D5">
      <w:pPr>
        <w:pStyle w:val="Heading2"/>
        <w:numPr>
          <w:ilvl w:val="0"/>
          <w:numId w:val="12"/>
        </w:numPr>
      </w:pPr>
      <w:r w:rsidRPr="00154B00">
        <w:t xml:space="preserve">If yes, please </w:t>
      </w:r>
      <w:proofErr w:type="gramStart"/>
      <w:r w:rsidRPr="00154B00">
        <w:t>advise</w:t>
      </w:r>
      <w:proofErr w:type="gramEnd"/>
      <w:r w:rsidRPr="00154B00">
        <w:t>:</w:t>
      </w:r>
    </w:p>
    <w:p w:rsidR="00B126D7" w:rsidRPr="00F01388" w:rsidRDefault="00F01388" w:rsidP="004B2260">
      <w:pPr>
        <w:ind w:left="426"/>
      </w:pPr>
      <w:r w:rsidRPr="00F01388">
        <w:rPr>
          <w:color w:val="4F81BD" w:themeColor="accent1"/>
        </w:rPr>
        <w:t xml:space="preserve">See comment above. </w:t>
      </w:r>
      <w:r w:rsidR="00B126D7">
        <w:rPr>
          <w:color w:val="4F81BD" w:themeColor="accent1"/>
        </w:rPr>
        <w:t xml:space="preserve"> </w:t>
      </w:r>
    </w:p>
    <w:sectPr w:rsidR="00B126D7" w:rsidRPr="00F01388" w:rsidSect="005401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ED7" w:rsidRDefault="00DE4ED7" w:rsidP="00CF2DFA">
      <w:pPr>
        <w:spacing w:after="0"/>
      </w:pPr>
      <w:r>
        <w:separator/>
      </w:r>
    </w:p>
  </w:endnote>
  <w:endnote w:type="continuationSeparator" w:id="0">
    <w:p w:rsidR="00DE4ED7" w:rsidRDefault="00DE4ED7"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rsidR="00DE4ED7" w:rsidRDefault="00DE4ED7">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275706" w:rsidRPr="00275706">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DE4ED7" w:rsidRPr="003F7CB9" w:rsidRDefault="00DE4ED7"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ED7" w:rsidRDefault="00DE4ED7" w:rsidP="00CF2DFA">
      <w:pPr>
        <w:spacing w:after="0"/>
      </w:pPr>
      <w:r>
        <w:separator/>
      </w:r>
    </w:p>
  </w:footnote>
  <w:footnote w:type="continuationSeparator" w:id="0">
    <w:p w:rsidR="00DE4ED7" w:rsidRDefault="00DE4ED7" w:rsidP="00CF2DFA">
      <w:pPr>
        <w:spacing w:after="0"/>
      </w:pPr>
      <w:r>
        <w:continuationSeparator/>
      </w:r>
    </w:p>
  </w:footnote>
  <w:footnote w:id="1">
    <w:p w:rsidR="00DE4ED7" w:rsidRDefault="00DE4ED7">
      <w:pPr>
        <w:pStyle w:val="FootnoteText"/>
      </w:pPr>
      <w:r w:rsidRPr="00DF6F07">
        <w:rPr>
          <w:rStyle w:val="FootnoteReference"/>
          <w:color w:val="4F81BD" w:themeColor="accent1"/>
          <w:sz w:val="16"/>
        </w:rPr>
        <w:footnoteRef/>
      </w:r>
      <w:r w:rsidRPr="00DF6F07">
        <w:rPr>
          <w:color w:val="4F81BD" w:themeColor="accent1"/>
          <w:sz w:val="16"/>
        </w:rPr>
        <w:t xml:space="preserve"> Park et al</w:t>
      </w:r>
      <w:r>
        <w:rPr>
          <w:color w:val="4F81BD" w:themeColor="accent1"/>
          <w:sz w:val="16"/>
        </w:rPr>
        <w:t>.</w:t>
      </w:r>
      <w:r w:rsidRPr="00DF6F07">
        <w:rPr>
          <w:color w:val="4F81BD" w:themeColor="accent1"/>
          <w:sz w:val="16"/>
        </w:rPr>
        <w:t xml:space="preserve"> (2015) Global patterns of hepatocellular carcinoma management from diagnosis to death: the BRIDGE Study. Liver International 35: 2155-2166.</w:t>
      </w:r>
    </w:p>
  </w:footnote>
  <w:footnote w:id="2">
    <w:p w:rsidR="00DE4ED7" w:rsidRDefault="00DE4ED7">
      <w:pPr>
        <w:pStyle w:val="FootnoteText"/>
      </w:pPr>
      <w:r w:rsidRPr="00DF6F07">
        <w:rPr>
          <w:rStyle w:val="FootnoteReference"/>
          <w:color w:val="4F81BD" w:themeColor="accent1"/>
          <w:sz w:val="16"/>
        </w:rPr>
        <w:footnoteRef/>
      </w:r>
      <w:r w:rsidRPr="00DF6F07">
        <w:rPr>
          <w:color w:val="4F81BD" w:themeColor="accent1"/>
          <w:sz w:val="16"/>
        </w:rPr>
        <w:t xml:space="preserve"> </w:t>
      </w:r>
      <w:proofErr w:type="spellStart"/>
      <w:r w:rsidRPr="00DF6F07">
        <w:rPr>
          <w:color w:val="4F81BD" w:themeColor="accent1"/>
          <w:sz w:val="16"/>
        </w:rPr>
        <w:t>Ferlay</w:t>
      </w:r>
      <w:proofErr w:type="spellEnd"/>
      <w:r w:rsidRPr="00DF6F07">
        <w:rPr>
          <w:color w:val="4F81BD" w:themeColor="accent1"/>
          <w:sz w:val="16"/>
        </w:rPr>
        <w:t xml:space="preserve"> et al (2015) Cancer incidence and mortality worldwide: sources, methods and major patterns in GLOBOCAN 2012. International Journal of Cancer 136: E359-E386.</w:t>
      </w:r>
    </w:p>
  </w:footnote>
  <w:footnote w:id="3">
    <w:p w:rsidR="00275706" w:rsidRDefault="00275706" w:rsidP="00275706">
      <w:pPr>
        <w:pStyle w:val="FootnoteText"/>
      </w:pPr>
      <w:r w:rsidRPr="00FA4DE4">
        <w:rPr>
          <w:rStyle w:val="FootnoteReference"/>
          <w:color w:val="4F81BD" w:themeColor="accent1"/>
          <w:sz w:val="16"/>
        </w:rPr>
        <w:footnoteRef/>
      </w:r>
      <w:r w:rsidRPr="00FA4DE4">
        <w:rPr>
          <w:color w:val="4F81BD" w:themeColor="accent1"/>
          <w:sz w:val="16"/>
        </w:rPr>
        <w:t xml:space="preserve"> Observational studies were only eligible for inclusion in this list if they were comparative, and used appropriate methodology to control for potential confounding (</w:t>
      </w:r>
      <w:proofErr w:type="spellStart"/>
      <w:r w:rsidRPr="00FA4DE4">
        <w:rPr>
          <w:color w:val="4F81BD" w:themeColor="accent1"/>
          <w:sz w:val="16"/>
        </w:rPr>
        <w:t>eg</w:t>
      </w:r>
      <w:proofErr w:type="spellEnd"/>
      <w:r w:rsidRPr="00FA4DE4">
        <w:rPr>
          <w:color w:val="4F81BD" w:themeColor="accent1"/>
          <w:sz w:val="16"/>
        </w:rPr>
        <w:t xml:space="preserve">, multivariate analysis and/or matching). </w:t>
      </w:r>
    </w:p>
  </w:footnote>
  <w:footnote w:id="4">
    <w:p w:rsidR="00275706" w:rsidRDefault="00275706" w:rsidP="00275706">
      <w:pPr>
        <w:pStyle w:val="FootnoteText"/>
      </w:pPr>
      <w:r w:rsidRPr="00FA4DE4">
        <w:rPr>
          <w:rStyle w:val="FootnoteReference"/>
          <w:color w:val="4F81BD" w:themeColor="accent1"/>
          <w:sz w:val="16"/>
        </w:rPr>
        <w:footnoteRef/>
      </w:r>
      <w:r w:rsidRPr="00FA4DE4">
        <w:rPr>
          <w:color w:val="4F81BD" w:themeColor="accent1"/>
          <w:sz w:val="16"/>
        </w:rPr>
        <w:t xml:space="preserve"> Likely represents a subset of the patients included in </w:t>
      </w:r>
      <w:proofErr w:type="spellStart"/>
      <w:r w:rsidRPr="00FA4DE4">
        <w:rPr>
          <w:color w:val="4F81BD" w:themeColor="accent1"/>
          <w:sz w:val="16"/>
        </w:rPr>
        <w:t>Akinwande</w:t>
      </w:r>
      <w:proofErr w:type="spellEnd"/>
      <w:r w:rsidRPr="00FA4DE4">
        <w:rPr>
          <w:color w:val="4F81BD" w:themeColor="accent1"/>
          <w:sz w:val="16"/>
        </w:rPr>
        <w:t xml:space="preserve"> 2016. </w:t>
      </w:r>
    </w:p>
  </w:footnote>
  <w:footnote w:id="5">
    <w:p w:rsidR="00275706" w:rsidRPr="00FA4DE4" w:rsidRDefault="00275706" w:rsidP="00275706">
      <w:pPr>
        <w:pStyle w:val="FootnoteText"/>
        <w:rPr>
          <w:sz w:val="16"/>
        </w:rPr>
      </w:pPr>
      <w:r w:rsidRPr="00FA4DE4">
        <w:rPr>
          <w:rStyle w:val="FootnoteReference"/>
          <w:color w:val="4F81BD" w:themeColor="accent1"/>
          <w:sz w:val="16"/>
        </w:rPr>
        <w:footnoteRef/>
      </w:r>
      <w:r w:rsidRPr="00FA4DE4">
        <w:rPr>
          <w:color w:val="4F81BD" w:themeColor="accent1"/>
          <w:sz w:val="16"/>
        </w:rPr>
        <w:t xml:space="preserve"> Data from </w:t>
      </w:r>
      <w:proofErr w:type="spellStart"/>
      <w:r w:rsidRPr="00FA4DE4">
        <w:rPr>
          <w:color w:val="4F81BD" w:themeColor="accent1"/>
          <w:sz w:val="16"/>
        </w:rPr>
        <w:t>SIRveNIB</w:t>
      </w:r>
      <w:proofErr w:type="spellEnd"/>
      <w:r w:rsidRPr="00FA4DE4">
        <w:rPr>
          <w:color w:val="4F81BD" w:themeColor="accent1"/>
          <w:sz w:val="16"/>
        </w:rPr>
        <w:t xml:space="preserve"> and SARAH will be used in the prospective individual patient meta-analysis study, VESPRO. See page </w:t>
      </w:r>
      <w:r w:rsidRPr="00FA4DE4">
        <w:rPr>
          <w:color w:val="4F81BD" w:themeColor="accent1"/>
          <w:sz w:val="16"/>
        </w:rPr>
        <w:fldChar w:fldCharType="begin"/>
      </w:r>
      <w:r w:rsidRPr="00FA4DE4">
        <w:rPr>
          <w:color w:val="4F81BD" w:themeColor="accent1"/>
          <w:sz w:val="16"/>
        </w:rPr>
        <w:instrText xml:space="preserve"> PAGEREF _Ref475717335 \h </w:instrText>
      </w:r>
      <w:r w:rsidRPr="00FA4DE4">
        <w:rPr>
          <w:color w:val="4F81BD" w:themeColor="accent1"/>
          <w:sz w:val="16"/>
        </w:rPr>
      </w:r>
      <w:r w:rsidRPr="00FA4DE4">
        <w:rPr>
          <w:color w:val="4F81BD" w:themeColor="accent1"/>
          <w:sz w:val="16"/>
        </w:rPr>
        <w:fldChar w:fldCharType="separate"/>
      </w:r>
      <w:r w:rsidRPr="00FA4DE4">
        <w:rPr>
          <w:noProof/>
          <w:color w:val="4F81BD" w:themeColor="accent1"/>
          <w:sz w:val="16"/>
        </w:rPr>
        <w:t>24</w:t>
      </w:r>
      <w:r w:rsidRPr="00FA4DE4">
        <w:rPr>
          <w:color w:val="4F81BD" w:themeColor="accent1"/>
          <w:sz w:val="16"/>
        </w:rPr>
        <w:fldChar w:fldCharType="end"/>
      </w:r>
      <w:r w:rsidRPr="00FA4DE4">
        <w:rPr>
          <w:color w:val="4F81BD" w:themeColor="accent1"/>
          <w:sz w:val="16"/>
        </w:rPr>
        <w:t>.</w:t>
      </w:r>
    </w:p>
  </w:footnote>
  <w:footnote w:id="6">
    <w:p w:rsidR="00275706" w:rsidRDefault="00275706" w:rsidP="00275706">
      <w:pPr>
        <w:pStyle w:val="FootnoteText"/>
      </w:pPr>
      <w:r w:rsidRPr="00FA4DE4">
        <w:rPr>
          <w:rStyle w:val="FootnoteReference"/>
          <w:color w:val="4F81BD" w:themeColor="accent1"/>
          <w:sz w:val="16"/>
        </w:rPr>
        <w:footnoteRef/>
      </w:r>
      <w:r w:rsidRPr="00FA4DE4">
        <w:rPr>
          <w:color w:val="4F81BD" w:themeColor="accent1"/>
          <w:sz w:val="16"/>
        </w:rPr>
        <w:t xml:space="preserve"> No results available as yet. Results will be presented at the European Association for the Study of the Liver, International Liver Congress (EASL/ILC) in Amsterdam, the Netherlands from 19th-23rd April 2017. If not embargoed, the study abstract will be released on 5 April, 2017. </w:t>
      </w:r>
    </w:p>
  </w:footnote>
  <w:footnote w:id="7">
    <w:p w:rsidR="00275706" w:rsidRDefault="00275706" w:rsidP="00275706">
      <w:pPr>
        <w:pStyle w:val="FootnoteText"/>
      </w:pPr>
      <w:r w:rsidRPr="00FA4DE4">
        <w:rPr>
          <w:rStyle w:val="FootnoteReference"/>
          <w:sz w:val="16"/>
        </w:rPr>
        <w:footnoteRef/>
      </w:r>
      <w:r w:rsidRPr="00FA4DE4">
        <w:rPr>
          <w:sz w:val="16"/>
        </w:rPr>
        <w:t xml:space="preserve"> </w:t>
      </w:r>
      <w:r w:rsidRPr="00FA4DE4">
        <w:rPr>
          <w:color w:val="4F81BD" w:themeColor="accent1"/>
          <w:sz w:val="16"/>
        </w:rPr>
        <w:t xml:space="preserve">Data from </w:t>
      </w:r>
      <w:proofErr w:type="spellStart"/>
      <w:r w:rsidRPr="00FA4DE4">
        <w:rPr>
          <w:color w:val="4F81BD" w:themeColor="accent1"/>
          <w:sz w:val="16"/>
        </w:rPr>
        <w:t>SIRveNIB</w:t>
      </w:r>
      <w:proofErr w:type="spellEnd"/>
      <w:r w:rsidRPr="00FA4DE4">
        <w:rPr>
          <w:color w:val="4F81BD" w:themeColor="accent1"/>
          <w:sz w:val="16"/>
        </w:rPr>
        <w:t xml:space="preserve"> and SARAH will be used in the prospective individual patient meta-analysis study, VESPRO. See page </w:t>
      </w:r>
      <w:r w:rsidRPr="00FA4DE4">
        <w:rPr>
          <w:color w:val="4F81BD" w:themeColor="accent1"/>
          <w:sz w:val="16"/>
        </w:rPr>
        <w:fldChar w:fldCharType="begin"/>
      </w:r>
      <w:r w:rsidRPr="00FA4DE4">
        <w:rPr>
          <w:color w:val="4F81BD" w:themeColor="accent1"/>
          <w:sz w:val="16"/>
        </w:rPr>
        <w:instrText xml:space="preserve"> PAGEREF _Ref475717335 \h </w:instrText>
      </w:r>
      <w:r w:rsidRPr="00FA4DE4">
        <w:rPr>
          <w:color w:val="4F81BD" w:themeColor="accent1"/>
          <w:sz w:val="16"/>
        </w:rPr>
      </w:r>
      <w:r w:rsidRPr="00FA4DE4">
        <w:rPr>
          <w:color w:val="4F81BD" w:themeColor="accent1"/>
          <w:sz w:val="16"/>
        </w:rPr>
        <w:fldChar w:fldCharType="separate"/>
      </w:r>
      <w:r w:rsidRPr="00FA4DE4">
        <w:rPr>
          <w:noProof/>
          <w:color w:val="4F81BD" w:themeColor="accent1"/>
          <w:sz w:val="16"/>
        </w:rPr>
        <w:t>24</w:t>
      </w:r>
      <w:r w:rsidRPr="00FA4DE4">
        <w:rPr>
          <w:color w:val="4F81BD" w:themeColor="accent1"/>
          <w:sz w:val="16"/>
        </w:rPr>
        <w:fldChar w:fldCharType="end"/>
      </w:r>
      <w:r w:rsidRPr="00FA4DE4">
        <w:rPr>
          <w:color w:val="4F81BD" w:themeColor="accent1"/>
          <w:sz w:val="16"/>
        </w:rPr>
        <w:t>.</w:t>
      </w:r>
    </w:p>
  </w:footnote>
  <w:footnote w:id="8">
    <w:p w:rsidR="00275706" w:rsidRDefault="00275706" w:rsidP="00275706">
      <w:pPr>
        <w:pStyle w:val="FootnoteText"/>
      </w:pPr>
      <w:r w:rsidRPr="00FA4DE4">
        <w:rPr>
          <w:rStyle w:val="FootnoteReference"/>
          <w:sz w:val="16"/>
        </w:rPr>
        <w:footnoteRef/>
      </w:r>
      <w:r w:rsidRPr="00FA4DE4">
        <w:rPr>
          <w:sz w:val="16"/>
        </w:rPr>
        <w:t xml:space="preserve"> </w:t>
      </w:r>
      <w:r w:rsidRPr="00FA4DE4">
        <w:rPr>
          <w:color w:val="4F81BD" w:themeColor="accent1"/>
          <w:sz w:val="16"/>
        </w:rPr>
        <w:t xml:space="preserve">Data from </w:t>
      </w:r>
      <w:proofErr w:type="spellStart"/>
      <w:r w:rsidRPr="00FA4DE4">
        <w:rPr>
          <w:color w:val="4F81BD" w:themeColor="accent1"/>
          <w:sz w:val="16"/>
        </w:rPr>
        <w:t>SIRveNIB</w:t>
      </w:r>
      <w:proofErr w:type="spellEnd"/>
      <w:r w:rsidRPr="00FA4DE4">
        <w:rPr>
          <w:color w:val="4F81BD" w:themeColor="accent1"/>
          <w:sz w:val="16"/>
        </w:rPr>
        <w:t xml:space="preserve"> and SARAH will be used in the prospective individual patient meta-analysis study, VESPRO. See page </w:t>
      </w:r>
      <w:r w:rsidRPr="00FA4DE4">
        <w:rPr>
          <w:color w:val="4F81BD" w:themeColor="accent1"/>
          <w:sz w:val="16"/>
        </w:rPr>
        <w:fldChar w:fldCharType="begin"/>
      </w:r>
      <w:r w:rsidRPr="00FA4DE4">
        <w:rPr>
          <w:color w:val="4F81BD" w:themeColor="accent1"/>
          <w:sz w:val="16"/>
        </w:rPr>
        <w:instrText xml:space="preserve"> PAGEREF _Ref475717335 \h </w:instrText>
      </w:r>
      <w:r w:rsidRPr="00FA4DE4">
        <w:rPr>
          <w:color w:val="4F81BD" w:themeColor="accent1"/>
          <w:sz w:val="16"/>
        </w:rPr>
      </w:r>
      <w:r w:rsidRPr="00FA4DE4">
        <w:rPr>
          <w:color w:val="4F81BD" w:themeColor="accent1"/>
          <w:sz w:val="16"/>
        </w:rPr>
        <w:fldChar w:fldCharType="separate"/>
      </w:r>
      <w:r w:rsidRPr="00FA4DE4">
        <w:rPr>
          <w:noProof/>
          <w:color w:val="4F81BD" w:themeColor="accent1"/>
          <w:sz w:val="16"/>
        </w:rPr>
        <w:t>24</w:t>
      </w:r>
      <w:r w:rsidRPr="00FA4DE4">
        <w:rPr>
          <w:color w:val="4F81BD" w:themeColor="accent1"/>
          <w:sz w:val="16"/>
        </w:rPr>
        <w:fldChar w:fldCharType="end"/>
      </w:r>
      <w:r w:rsidRPr="00FA4DE4">
        <w:rPr>
          <w:color w:val="4F81BD" w:themeColor="accent1"/>
          <w:sz w:val="16"/>
        </w:rPr>
        <w:t>.</w:t>
      </w:r>
    </w:p>
  </w:footnote>
  <w:footnote w:id="9">
    <w:p w:rsidR="00DE4ED7" w:rsidRDefault="00DE4ED7">
      <w:pPr>
        <w:pStyle w:val="FootnoteText"/>
      </w:pPr>
      <w:r w:rsidRPr="0051535A">
        <w:rPr>
          <w:rStyle w:val="FootnoteReference"/>
          <w:color w:val="4F81BD" w:themeColor="accent1"/>
          <w:sz w:val="16"/>
        </w:rPr>
        <w:footnoteRef/>
      </w:r>
      <w:r w:rsidRPr="0051535A">
        <w:rPr>
          <w:color w:val="4F81BD" w:themeColor="accent1"/>
          <w:sz w:val="16"/>
        </w:rPr>
        <w:t xml:space="preserve"> </w:t>
      </w:r>
      <w:proofErr w:type="spellStart"/>
      <w:r w:rsidRPr="0051535A">
        <w:rPr>
          <w:color w:val="4F81BD" w:themeColor="accent1"/>
          <w:sz w:val="16"/>
        </w:rPr>
        <w:t>Robotin</w:t>
      </w:r>
      <w:proofErr w:type="spellEnd"/>
      <w:r w:rsidRPr="0051535A">
        <w:rPr>
          <w:color w:val="4F81BD" w:themeColor="accent1"/>
          <w:sz w:val="16"/>
        </w:rPr>
        <w:t xml:space="preserve"> et al. (2016) </w:t>
      </w:r>
      <w:proofErr w:type="gramStart"/>
      <w:r w:rsidRPr="0051535A">
        <w:rPr>
          <w:color w:val="4F81BD" w:themeColor="accent1"/>
          <w:sz w:val="16"/>
        </w:rPr>
        <w:t>Listening</w:t>
      </w:r>
      <w:proofErr w:type="gramEnd"/>
      <w:r w:rsidRPr="0051535A">
        <w:rPr>
          <w:color w:val="4F81BD" w:themeColor="accent1"/>
          <w:sz w:val="16"/>
        </w:rPr>
        <w:t xml:space="preserve"> to the consumer voice: developing multilingual cancer information resources for people affected by liver cancer. Health Expectations 20: 171-182.</w:t>
      </w:r>
    </w:p>
  </w:footnote>
  <w:footnote w:id="10">
    <w:p w:rsidR="00DE4ED7" w:rsidRDefault="00DE4ED7">
      <w:pPr>
        <w:pStyle w:val="FootnoteText"/>
      </w:pPr>
      <w:r w:rsidRPr="00C30847">
        <w:rPr>
          <w:rStyle w:val="FootnoteReference"/>
          <w:color w:val="4F81BD" w:themeColor="accent1"/>
          <w:sz w:val="16"/>
        </w:rPr>
        <w:footnoteRef/>
      </w:r>
      <w:r w:rsidRPr="00C30847">
        <w:rPr>
          <w:color w:val="4F81BD" w:themeColor="accent1"/>
          <w:sz w:val="16"/>
        </w:rPr>
        <w:t xml:space="preserve"> </w:t>
      </w:r>
      <w:proofErr w:type="spellStart"/>
      <w:r w:rsidRPr="00C30847">
        <w:rPr>
          <w:color w:val="4F81BD" w:themeColor="accent1"/>
          <w:sz w:val="16"/>
        </w:rPr>
        <w:t>Ferlay</w:t>
      </w:r>
      <w:proofErr w:type="spellEnd"/>
      <w:r w:rsidRPr="00C30847">
        <w:rPr>
          <w:color w:val="4F81BD" w:themeColor="accent1"/>
          <w:sz w:val="16"/>
        </w:rPr>
        <w:t xml:space="preserve"> et al (2015) Cancer incidence and mortality worldwide: sources, methods and major patterns in GLOBOCAN 2012. International Journal of Cancer 136: E359-E386.</w:t>
      </w:r>
    </w:p>
  </w:footnote>
  <w:footnote w:id="11">
    <w:p w:rsidR="00DE4ED7" w:rsidRDefault="00DE4ED7">
      <w:pPr>
        <w:pStyle w:val="FootnoteText"/>
      </w:pPr>
      <w:r w:rsidRPr="00C30847">
        <w:rPr>
          <w:rStyle w:val="FootnoteReference"/>
          <w:color w:val="4F81BD" w:themeColor="accent1"/>
          <w:sz w:val="16"/>
        </w:rPr>
        <w:footnoteRef/>
      </w:r>
      <w:r w:rsidRPr="00C30847">
        <w:rPr>
          <w:color w:val="4F81BD" w:themeColor="accent1"/>
          <w:sz w:val="16"/>
        </w:rPr>
        <w:t xml:space="preserve"> Park et al (2015) Global patterns of hepatocellular carcinoma management from diagnosis to death: the BRIDGE Study. Liver International 35: 2155-2166.</w:t>
      </w:r>
    </w:p>
  </w:footnote>
  <w:footnote w:id="12">
    <w:p w:rsidR="00DE4ED7" w:rsidRPr="00C30847" w:rsidRDefault="00DE4ED7">
      <w:pPr>
        <w:pStyle w:val="FootnoteText"/>
        <w:rPr>
          <w:sz w:val="16"/>
          <w:szCs w:val="16"/>
        </w:rPr>
      </w:pPr>
      <w:r w:rsidRPr="00C30847">
        <w:rPr>
          <w:rStyle w:val="FootnoteReference"/>
          <w:color w:val="4F81BD" w:themeColor="accent1"/>
          <w:sz w:val="16"/>
          <w:szCs w:val="16"/>
        </w:rPr>
        <w:footnoteRef/>
      </w:r>
      <w:r w:rsidRPr="00C30847">
        <w:rPr>
          <w:color w:val="4F81BD" w:themeColor="accent1"/>
          <w:sz w:val="16"/>
          <w:szCs w:val="16"/>
        </w:rPr>
        <w:t xml:space="preserve"> </w:t>
      </w:r>
      <w:proofErr w:type="gramStart"/>
      <w:r w:rsidRPr="00C30847">
        <w:rPr>
          <w:color w:val="4F81BD" w:themeColor="accent1"/>
          <w:sz w:val="16"/>
          <w:szCs w:val="16"/>
        </w:rPr>
        <w:t>Lau et al</w:t>
      </w:r>
      <w:r>
        <w:rPr>
          <w:color w:val="4F81BD" w:themeColor="accent1"/>
          <w:sz w:val="16"/>
          <w:szCs w:val="16"/>
        </w:rPr>
        <w:t>.</w:t>
      </w:r>
      <w:r w:rsidRPr="00C30847">
        <w:rPr>
          <w:color w:val="4F81BD" w:themeColor="accent1"/>
          <w:sz w:val="16"/>
          <w:szCs w:val="16"/>
        </w:rPr>
        <w:t xml:space="preserve"> (2016) Current role of selective internal radiation with yttrium-90 in liver tumours.</w:t>
      </w:r>
      <w:proofErr w:type="gramEnd"/>
      <w:r w:rsidRPr="00C30847">
        <w:rPr>
          <w:color w:val="4F81BD" w:themeColor="accent1"/>
          <w:sz w:val="16"/>
          <w:szCs w:val="16"/>
        </w:rPr>
        <w:t xml:space="preserve"> Future Oncology 12(9): 1193-1204.</w:t>
      </w:r>
    </w:p>
  </w:footnote>
  <w:footnote w:id="13">
    <w:p w:rsidR="00DE4ED7" w:rsidRDefault="00DE4ED7">
      <w:pPr>
        <w:pStyle w:val="FootnoteText"/>
      </w:pPr>
      <w:r w:rsidRPr="00C30847">
        <w:rPr>
          <w:rStyle w:val="FootnoteReference"/>
          <w:color w:val="4F81BD" w:themeColor="accent1"/>
          <w:sz w:val="16"/>
        </w:rPr>
        <w:footnoteRef/>
      </w:r>
      <w:r w:rsidRPr="00C30847">
        <w:rPr>
          <w:color w:val="4F81BD" w:themeColor="accent1"/>
          <w:sz w:val="16"/>
        </w:rPr>
        <w:t xml:space="preserve"> Park et al</w:t>
      </w:r>
      <w:r>
        <w:rPr>
          <w:color w:val="4F81BD" w:themeColor="accent1"/>
          <w:sz w:val="16"/>
        </w:rPr>
        <w:t>.</w:t>
      </w:r>
      <w:r w:rsidRPr="00C30847">
        <w:rPr>
          <w:color w:val="4F81BD" w:themeColor="accent1"/>
          <w:sz w:val="16"/>
        </w:rPr>
        <w:t xml:space="preserve"> (2015) Global patterns of hepatocellular carcinoma management from diagnosis to death: the BRIDGE Study. Liver International 35: 2155-2166.</w:t>
      </w:r>
    </w:p>
  </w:footnote>
  <w:footnote w:id="14">
    <w:p w:rsidR="00DE4ED7" w:rsidRPr="00C30847" w:rsidRDefault="00DE4ED7">
      <w:pPr>
        <w:pStyle w:val="FootnoteText"/>
        <w:rPr>
          <w:color w:val="4F81BD" w:themeColor="accent1"/>
          <w:sz w:val="16"/>
          <w:szCs w:val="16"/>
        </w:rPr>
      </w:pPr>
      <w:r w:rsidRPr="00C30847">
        <w:rPr>
          <w:rStyle w:val="FootnoteReference"/>
          <w:color w:val="4F81BD" w:themeColor="accent1"/>
          <w:sz w:val="16"/>
          <w:szCs w:val="16"/>
        </w:rPr>
        <w:footnoteRef/>
      </w:r>
      <w:r w:rsidRPr="00C30847">
        <w:rPr>
          <w:color w:val="4F81BD" w:themeColor="accent1"/>
          <w:sz w:val="16"/>
          <w:szCs w:val="16"/>
        </w:rPr>
        <w:t xml:space="preserve"> </w:t>
      </w:r>
      <w:proofErr w:type="spellStart"/>
      <w:proofErr w:type="gramStart"/>
      <w:r w:rsidRPr="00C30847">
        <w:rPr>
          <w:color w:val="4F81BD" w:themeColor="accent1"/>
          <w:sz w:val="16"/>
          <w:szCs w:val="16"/>
        </w:rPr>
        <w:t>Choo</w:t>
      </w:r>
      <w:proofErr w:type="spellEnd"/>
      <w:r w:rsidRPr="00C30847">
        <w:rPr>
          <w:color w:val="4F81BD" w:themeColor="accent1"/>
          <w:sz w:val="16"/>
          <w:szCs w:val="16"/>
        </w:rPr>
        <w:t xml:space="preserve"> et al. (2016) Comparison of hepatocellular carcinoma in Eastern versus Western populations.</w:t>
      </w:r>
      <w:proofErr w:type="gramEnd"/>
      <w:r w:rsidRPr="00C30847">
        <w:rPr>
          <w:color w:val="4F81BD" w:themeColor="accent1"/>
          <w:sz w:val="16"/>
          <w:szCs w:val="16"/>
        </w:rPr>
        <w:t xml:space="preserve"> Cancer [</w:t>
      </w:r>
      <w:proofErr w:type="spellStart"/>
      <w:r w:rsidRPr="00C30847">
        <w:rPr>
          <w:color w:val="4F81BD" w:themeColor="accent1"/>
          <w:sz w:val="16"/>
          <w:szCs w:val="16"/>
        </w:rPr>
        <w:t>Epu</w:t>
      </w:r>
      <w:r>
        <w:rPr>
          <w:color w:val="4F81BD" w:themeColor="accent1"/>
          <w:sz w:val="16"/>
          <w:szCs w:val="16"/>
        </w:rPr>
        <w:t>b</w:t>
      </w:r>
      <w:proofErr w:type="spellEnd"/>
      <w:r w:rsidRPr="00C30847">
        <w:rPr>
          <w:color w:val="4F81BD" w:themeColor="accent1"/>
          <w:sz w:val="16"/>
          <w:szCs w:val="16"/>
        </w:rPr>
        <w:t xml:space="preserve"> ahead of print]. </w:t>
      </w:r>
    </w:p>
  </w:footnote>
  <w:footnote w:id="15">
    <w:p w:rsidR="00DE4ED7" w:rsidRDefault="00DE4ED7" w:rsidP="00F82424">
      <w:pPr>
        <w:pStyle w:val="FootnoteText"/>
      </w:pPr>
      <w:r w:rsidRPr="00C30847">
        <w:rPr>
          <w:rStyle w:val="FootnoteReference"/>
          <w:color w:val="4F81BD" w:themeColor="accent1"/>
          <w:sz w:val="16"/>
          <w:szCs w:val="16"/>
        </w:rPr>
        <w:footnoteRef/>
      </w:r>
      <w:r w:rsidRPr="00C30847">
        <w:rPr>
          <w:color w:val="4F81BD" w:themeColor="accent1"/>
          <w:sz w:val="16"/>
          <w:szCs w:val="16"/>
        </w:rPr>
        <w:t xml:space="preserve"> </w:t>
      </w:r>
      <w:hyperlink r:id="rId1" w:anchor="search=%22migration%20%20a%20quick%20guide%22" w:history="1">
        <w:r w:rsidRPr="00F82424">
          <w:rPr>
            <w:rStyle w:val="Hyperlink"/>
            <w:color w:val="4F81BD" w:themeColor="accent1"/>
            <w:sz w:val="16"/>
            <w:szCs w:val="16"/>
          </w:rPr>
          <w:t>http://parlinfo.aph.gov.au/parlInfo/download/library/prspub/3165114/upload_binary/3165114.pdf;fileType=application%2Fpdf#search=%22migration%20%20a%20quick%20guide%22</w:t>
        </w:r>
      </w:hyperlink>
      <w:r w:rsidRPr="00F82424">
        <w:rPr>
          <w:color w:val="4F81BD" w:themeColor="accent1"/>
          <w:sz w:val="16"/>
          <w:szCs w:val="16"/>
        </w:rPr>
        <w:t xml:space="preserve"> </w:t>
      </w:r>
    </w:p>
  </w:footnote>
  <w:footnote w:id="16">
    <w:p w:rsidR="00DE4ED7" w:rsidRPr="00757873" w:rsidRDefault="00DE4ED7" w:rsidP="004E1B85">
      <w:pPr>
        <w:pStyle w:val="FootnoteText"/>
        <w:rPr>
          <w:sz w:val="16"/>
          <w:szCs w:val="16"/>
        </w:rPr>
      </w:pPr>
      <w:r w:rsidRPr="00757873">
        <w:rPr>
          <w:rStyle w:val="FootnoteReference"/>
          <w:color w:val="4F81BD" w:themeColor="accent1"/>
          <w:sz w:val="16"/>
          <w:szCs w:val="16"/>
        </w:rPr>
        <w:footnoteRef/>
      </w:r>
      <w:r w:rsidRPr="00757873">
        <w:rPr>
          <w:color w:val="4F81BD" w:themeColor="accent1"/>
          <w:sz w:val="16"/>
          <w:szCs w:val="16"/>
        </w:rPr>
        <w:t xml:space="preserve"> The dose for the proposed medical service is calculated in the Nuclear Medicine department by a nuclear physicist/nuclear medicine physician or by Radiation Oncology.  The dose is customised for each patient.</w:t>
      </w:r>
    </w:p>
  </w:footnote>
  <w:footnote w:id="17">
    <w:p w:rsidR="00DE4ED7" w:rsidRDefault="00DE4ED7">
      <w:pPr>
        <w:pStyle w:val="FootnoteText"/>
      </w:pPr>
      <w:r w:rsidRPr="00757873">
        <w:rPr>
          <w:rStyle w:val="FootnoteReference"/>
          <w:color w:val="4F81BD" w:themeColor="accent1"/>
          <w:sz w:val="16"/>
        </w:rPr>
        <w:footnoteRef/>
      </w:r>
      <w:r w:rsidRPr="00757873">
        <w:rPr>
          <w:color w:val="4F81BD" w:themeColor="accent1"/>
          <w:sz w:val="16"/>
        </w:rPr>
        <w:t xml:space="preserve"> </w:t>
      </w:r>
      <w:proofErr w:type="spellStart"/>
      <w:proofErr w:type="gramStart"/>
      <w:r w:rsidRPr="00757873">
        <w:rPr>
          <w:color w:val="4F81BD" w:themeColor="accent1"/>
          <w:sz w:val="16"/>
        </w:rPr>
        <w:t>Mahnken</w:t>
      </w:r>
      <w:proofErr w:type="spellEnd"/>
      <w:r w:rsidRPr="00757873">
        <w:rPr>
          <w:color w:val="4F81BD" w:themeColor="accent1"/>
          <w:sz w:val="16"/>
        </w:rPr>
        <w:t xml:space="preserve"> (2016) Current status of </w:t>
      </w:r>
      <w:proofErr w:type="spellStart"/>
      <w:r w:rsidRPr="00757873">
        <w:rPr>
          <w:color w:val="4F81BD" w:themeColor="accent1"/>
          <w:sz w:val="16"/>
        </w:rPr>
        <w:t>transarterial</w:t>
      </w:r>
      <w:proofErr w:type="spellEnd"/>
      <w:r w:rsidRPr="00757873">
        <w:rPr>
          <w:color w:val="4F81BD" w:themeColor="accent1"/>
          <w:sz w:val="16"/>
        </w:rPr>
        <w:t xml:space="preserve"> </w:t>
      </w:r>
      <w:proofErr w:type="spellStart"/>
      <w:r w:rsidRPr="00757873">
        <w:rPr>
          <w:color w:val="4F81BD" w:themeColor="accent1"/>
          <w:sz w:val="16"/>
        </w:rPr>
        <w:t>radioembolisation</w:t>
      </w:r>
      <w:proofErr w:type="spellEnd"/>
      <w:r w:rsidRPr="00757873">
        <w:rPr>
          <w:color w:val="4F81BD" w:themeColor="accent1"/>
          <w:sz w:val="16"/>
        </w:rPr>
        <w:t>.</w:t>
      </w:r>
      <w:proofErr w:type="gramEnd"/>
      <w:r w:rsidRPr="00757873">
        <w:rPr>
          <w:color w:val="4F81BD" w:themeColor="accent1"/>
          <w:sz w:val="16"/>
        </w:rPr>
        <w:t xml:space="preserve"> World Journal of Radiology 8(5): 449-459.</w:t>
      </w:r>
    </w:p>
  </w:footnote>
  <w:footnote w:id="18">
    <w:p w:rsidR="00DE4ED7" w:rsidRDefault="00DE4ED7">
      <w:pPr>
        <w:pStyle w:val="FootnoteText"/>
      </w:pPr>
      <w:r w:rsidRPr="00EB02D7">
        <w:rPr>
          <w:rStyle w:val="FootnoteReference"/>
          <w:color w:val="4F81BD" w:themeColor="accent1"/>
          <w:sz w:val="16"/>
        </w:rPr>
        <w:footnoteRef/>
      </w:r>
      <w:r w:rsidRPr="00EB02D7">
        <w:rPr>
          <w:color w:val="4F81BD" w:themeColor="accent1"/>
          <w:sz w:val="16"/>
        </w:rPr>
        <w:t xml:space="preserve"> </w:t>
      </w:r>
      <w:proofErr w:type="gramStart"/>
      <w:r w:rsidRPr="00EB02D7">
        <w:rPr>
          <w:color w:val="4F81BD" w:themeColor="accent1"/>
          <w:sz w:val="16"/>
        </w:rPr>
        <w:t>Australian Institute of Health and Welfare (AIHW) 2016.</w:t>
      </w:r>
      <w:proofErr w:type="gramEnd"/>
      <w:r w:rsidRPr="00EB02D7">
        <w:rPr>
          <w:color w:val="4F81BD" w:themeColor="accent1"/>
          <w:sz w:val="16"/>
        </w:rPr>
        <w:t xml:space="preserve"> Australian Cancer Incidence and Mortality (ACIM) books: Liver Cancer</w:t>
      </w:r>
      <w:r>
        <w:rPr>
          <w:color w:val="4F81BD" w:themeColor="accent1"/>
          <w:sz w:val="16"/>
        </w:rPr>
        <w:t xml:space="preserve">, Canberra: AIHW. </w:t>
      </w:r>
      <w:hyperlink r:id="rId2" w:history="1">
        <w:r w:rsidRPr="00664FB6">
          <w:rPr>
            <w:rStyle w:val="Hyperlink"/>
            <w:sz w:val="16"/>
          </w:rPr>
          <w:t>http://www.aihw.gov.au/acim-books</w:t>
        </w:r>
      </w:hyperlink>
      <w:r>
        <w:rPr>
          <w:color w:val="4F81BD" w:themeColor="accent1"/>
          <w:sz w:val="16"/>
        </w:rPr>
        <w:t>.</w:t>
      </w:r>
    </w:p>
  </w:footnote>
  <w:footnote w:id="19">
    <w:p w:rsidR="00DE4ED7" w:rsidRDefault="00DE4ED7">
      <w:pPr>
        <w:pStyle w:val="FootnoteText"/>
      </w:pPr>
      <w:r w:rsidRPr="00B52B00">
        <w:rPr>
          <w:rStyle w:val="FootnoteReference"/>
          <w:color w:val="4F81BD" w:themeColor="accent1"/>
          <w:sz w:val="16"/>
        </w:rPr>
        <w:footnoteRef/>
      </w:r>
      <w:r w:rsidRPr="00B52B00">
        <w:rPr>
          <w:color w:val="4F81BD" w:themeColor="accent1"/>
          <w:sz w:val="16"/>
        </w:rPr>
        <w:t xml:space="preserve"> Hong et al. (2016) Novel population-based study finding higher than reported hepatocellular carcinoma incidence suggests an updated approach is needed. </w:t>
      </w:r>
      <w:proofErr w:type="spellStart"/>
      <w:r w:rsidRPr="00B52B00">
        <w:rPr>
          <w:color w:val="4F81BD" w:themeColor="accent1"/>
          <w:sz w:val="16"/>
        </w:rPr>
        <w:t>Hepatology</w:t>
      </w:r>
      <w:proofErr w:type="spellEnd"/>
      <w:r w:rsidRPr="00B52B00">
        <w:rPr>
          <w:color w:val="4F81BD" w:themeColor="accent1"/>
          <w:sz w:val="16"/>
        </w:rPr>
        <w:t xml:space="preserve"> 63(4): 1205-1212. </w:t>
      </w:r>
    </w:p>
  </w:footnote>
  <w:footnote w:id="20">
    <w:p w:rsidR="00DE4ED7" w:rsidRDefault="00DE4ED7">
      <w:pPr>
        <w:pStyle w:val="FootnoteText"/>
      </w:pPr>
      <w:r w:rsidRPr="00B52B00">
        <w:rPr>
          <w:rStyle w:val="FootnoteReference"/>
          <w:color w:val="4F81BD" w:themeColor="accent1"/>
          <w:sz w:val="16"/>
        </w:rPr>
        <w:footnoteRef/>
      </w:r>
      <w:r w:rsidRPr="00B52B00">
        <w:rPr>
          <w:color w:val="4F81BD" w:themeColor="accent1"/>
          <w:sz w:val="16"/>
        </w:rPr>
        <w:t xml:space="preserve"> </w:t>
      </w:r>
      <w:proofErr w:type="gramStart"/>
      <w:r w:rsidRPr="00B52B00">
        <w:rPr>
          <w:color w:val="4F81BD" w:themeColor="accent1"/>
          <w:sz w:val="16"/>
        </w:rPr>
        <w:t xml:space="preserve">Cancer Research UK, </w:t>
      </w:r>
      <w:hyperlink r:id="rId3" w:history="1">
        <w:r w:rsidRPr="00664FB6">
          <w:rPr>
            <w:rStyle w:val="Hyperlink"/>
            <w:sz w:val="16"/>
          </w:rPr>
          <w:t>http://www.cancerresearchuk.org/health-professional/cancer-statistics/statistics-by-cancer-type/liver-cancer</w:t>
        </w:r>
      </w:hyperlink>
      <w:r w:rsidRPr="00B52B00">
        <w:rPr>
          <w:color w:val="4F81BD" w:themeColor="accent1"/>
          <w:sz w:val="16"/>
        </w:rPr>
        <w:t>, Accessed September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551E1E"/>
    <w:multiLevelType w:val="hybridMultilevel"/>
    <w:tmpl w:val="51825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DFA63A9"/>
    <w:multiLevelType w:val="hybridMultilevel"/>
    <w:tmpl w:val="FB5E11A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6D260B"/>
    <w:multiLevelType w:val="hybridMultilevel"/>
    <w:tmpl w:val="6E1CA98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9A567EC"/>
    <w:multiLevelType w:val="hybridMultilevel"/>
    <w:tmpl w:val="4198B65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nsid w:val="395F3EB9"/>
    <w:multiLevelType w:val="hybridMultilevel"/>
    <w:tmpl w:val="DA78E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30E36F7"/>
    <w:multiLevelType w:val="hybridMultilevel"/>
    <w:tmpl w:val="A62687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nsid w:val="45115257"/>
    <w:multiLevelType w:val="hybridMultilevel"/>
    <w:tmpl w:val="14C4DFF4"/>
    <w:lvl w:ilvl="0" w:tplc="0C090001">
      <w:start w:val="1"/>
      <w:numFmt w:val="bullet"/>
      <w:lvlText w:val=""/>
      <w:lvlJc w:val="left"/>
      <w:pPr>
        <w:ind w:left="1130" w:hanging="360"/>
      </w:pPr>
      <w:rPr>
        <w:rFonts w:ascii="Symbol" w:hAnsi="Symbol" w:hint="default"/>
      </w:rPr>
    </w:lvl>
    <w:lvl w:ilvl="1" w:tplc="0C090003" w:tentative="1">
      <w:start w:val="1"/>
      <w:numFmt w:val="bullet"/>
      <w:lvlText w:val="o"/>
      <w:lvlJc w:val="left"/>
      <w:pPr>
        <w:ind w:left="1850" w:hanging="360"/>
      </w:pPr>
      <w:rPr>
        <w:rFonts w:ascii="Courier New" w:hAnsi="Courier New" w:cs="Courier New" w:hint="default"/>
      </w:rPr>
    </w:lvl>
    <w:lvl w:ilvl="2" w:tplc="0C090005" w:tentative="1">
      <w:start w:val="1"/>
      <w:numFmt w:val="bullet"/>
      <w:lvlText w:val=""/>
      <w:lvlJc w:val="left"/>
      <w:pPr>
        <w:ind w:left="2570" w:hanging="360"/>
      </w:pPr>
      <w:rPr>
        <w:rFonts w:ascii="Wingdings" w:hAnsi="Wingdings" w:hint="default"/>
      </w:rPr>
    </w:lvl>
    <w:lvl w:ilvl="3" w:tplc="0C090001" w:tentative="1">
      <w:start w:val="1"/>
      <w:numFmt w:val="bullet"/>
      <w:lvlText w:val=""/>
      <w:lvlJc w:val="left"/>
      <w:pPr>
        <w:ind w:left="3290" w:hanging="360"/>
      </w:pPr>
      <w:rPr>
        <w:rFonts w:ascii="Symbol" w:hAnsi="Symbol" w:hint="default"/>
      </w:rPr>
    </w:lvl>
    <w:lvl w:ilvl="4" w:tplc="0C090003" w:tentative="1">
      <w:start w:val="1"/>
      <w:numFmt w:val="bullet"/>
      <w:lvlText w:val="o"/>
      <w:lvlJc w:val="left"/>
      <w:pPr>
        <w:ind w:left="4010" w:hanging="360"/>
      </w:pPr>
      <w:rPr>
        <w:rFonts w:ascii="Courier New" w:hAnsi="Courier New" w:cs="Courier New" w:hint="default"/>
      </w:rPr>
    </w:lvl>
    <w:lvl w:ilvl="5" w:tplc="0C090005" w:tentative="1">
      <w:start w:val="1"/>
      <w:numFmt w:val="bullet"/>
      <w:lvlText w:val=""/>
      <w:lvlJc w:val="left"/>
      <w:pPr>
        <w:ind w:left="4730" w:hanging="360"/>
      </w:pPr>
      <w:rPr>
        <w:rFonts w:ascii="Wingdings" w:hAnsi="Wingdings" w:hint="default"/>
      </w:rPr>
    </w:lvl>
    <w:lvl w:ilvl="6" w:tplc="0C090001" w:tentative="1">
      <w:start w:val="1"/>
      <w:numFmt w:val="bullet"/>
      <w:lvlText w:val=""/>
      <w:lvlJc w:val="left"/>
      <w:pPr>
        <w:ind w:left="5450" w:hanging="360"/>
      </w:pPr>
      <w:rPr>
        <w:rFonts w:ascii="Symbol" w:hAnsi="Symbol" w:hint="default"/>
      </w:rPr>
    </w:lvl>
    <w:lvl w:ilvl="7" w:tplc="0C090003" w:tentative="1">
      <w:start w:val="1"/>
      <w:numFmt w:val="bullet"/>
      <w:lvlText w:val="o"/>
      <w:lvlJc w:val="left"/>
      <w:pPr>
        <w:ind w:left="6170" w:hanging="360"/>
      </w:pPr>
      <w:rPr>
        <w:rFonts w:ascii="Courier New" w:hAnsi="Courier New" w:cs="Courier New" w:hint="default"/>
      </w:rPr>
    </w:lvl>
    <w:lvl w:ilvl="8" w:tplc="0C090005" w:tentative="1">
      <w:start w:val="1"/>
      <w:numFmt w:val="bullet"/>
      <w:lvlText w:val=""/>
      <w:lvlJc w:val="left"/>
      <w:pPr>
        <w:ind w:left="6890" w:hanging="360"/>
      </w:pPr>
      <w:rPr>
        <w:rFonts w:ascii="Wingdings" w:hAnsi="Wingdings" w:hint="default"/>
      </w:rPr>
    </w:lvl>
  </w:abstractNum>
  <w:abstractNum w:abstractNumId="14">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nsid w:val="4B750CD8"/>
    <w:multiLevelType w:val="hybridMultilevel"/>
    <w:tmpl w:val="03425A8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nsid w:val="4D7018B7"/>
    <w:multiLevelType w:val="hybridMultilevel"/>
    <w:tmpl w:val="98741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54976427"/>
    <w:multiLevelType w:val="hybridMultilevel"/>
    <w:tmpl w:val="45A05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D74262F"/>
    <w:multiLevelType w:val="hybridMultilevel"/>
    <w:tmpl w:val="E9A26C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7"/>
  </w:num>
  <w:num w:numId="2">
    <w:abstractNumId w:val="24"/>
  </w:num>
  <w:num w:numId="3">
    <w:abstractNumId w:val="1"/>
  </w:num>
  <w:num w:numId="4">
    <w:abstractNumId w:val="22"/>
  </w:num>
  <w:num w:numId="5">
    <w:abstractNumId w:val="6"/>
  </w:num>
  <w:num w:numId="6">
    <w:abstractNumId w:val="19"/>
  </w:num>
  <w:num w:numId="7">
    <w:abstractNumId w:val="11"/>
  </w:num>
  <w:num w:numId="8">
    <w:abstractNumId w:val="23"/>
  </w:num>
  <w:num w:numId="9">
    <w:abstractNumId w:val="4"/>
  </w:num>
  <w:num w:numId="10">
    <w:abstractNumId w:val="21"/>
  </w:num>
  <w:num w:numId="11">
    <w:abstractNumId w:val="8"/>
  </w:num>
  <w:num w:numId="12">
    <w:abstractNumId w:val="20"/>
  </w:num>
  <w:num w:numId="13">
    <w:abstractNumId w:val="7"/>
  </w:num>
  <w:num w:numId="14">
    <w:abstractNumId w:val="14"/>
  </w:num>
  <w:num w:numId="15">
    <w:abstractNumId w:val="0"/>
  </w:num>
  <w:num w:numId="16">
    <w:abstractNumId w:val="2"/>
  </w:num>
  <w:num w:numId="17">
    <w:abstractNumId w:val="9"/>
  </w:num>
  <w:num w:numId="18">
    <w:abstractNumId w:val="25"/>
  </w:num>
  <w:num w:numId="19">
    <w:abstractNumId w:val="16"/>
  </w:num>
  <w:num w:numId="20">
    <w:abstractNumId w:val="10"/>
  </w:num>
  <w:num w:numId="21">
    <w:abstractNumId w:val="15"/>
  </w:num>
  <w:num w:numId="22">
    <w:abstractNumId w:val="12"/>
  </w:num>
  <w:num w:numId="23">
    <w:abstractNumId w:val="3"/>
  </w:num>
  <w:num w:numId="24">
    <w:abstractNumId w:val="13"/>
  </w:num>
  <w:num w:numId="25">
    <w:abstractNumId w:val="18"/>
  </w:num>
  <w:num w:numId="2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06F77"/>
    <w:rsid w:val="0000785E"/>
    <w:rsid w:val="000110DC"/>
    <w:rsid w:val="000112CC"/>
    <w:rsid w:val="00013DB2"/>
    <w:rsid w:val="000158AA"/>
    <w:rsid w:val="000159B9"/>
    <w:rsid w:val="00016B6E"/>
    <w:rsid w:val="00023E21"/>
    <w:rsid w:val="00025ABC"/>
    <w:rsid w:val="00026412"/>
    <w:rsid w:val="00031F6F"/>
    <w:rsid w:val="00034D6E"/>
    <w:rsid w:val="0005089D"/>
    <w:rsid w:val="000525BC"/>
    <w:rsid w:val="000551A5"/>
    <w:rsid w:val="000727FE"/>
    <w:rsid w:val="00073222"/>
    <w:rsid w:val="00074675"/>
    <w:rsid w:val="00074754"/>
    <w:rsid w:val="0007564E"/>
    <w:rsid w:val="000770BA"/>
    <w:rsid w:val="000856FD"/>
    <w:rsid w:val="00092580"/>
    <w:rsid w:val="000955E7"/>
    <w:rsid w:val="00096D0B"/>
    <w:rsid w:val="00097970"/>
    <w:rsid w:val="00097CFC"/>
    <w:rsid w:val="000A110D"/>
    <w:rsid w:val="000A4720"/>
    <w:rsid w:val="000A478F"/>
    <w:rsid w:val="000A5189"/>
    <w:rsid w:val="000A5B32"/>
    <w:rsid w:val="000B171B"/>
    <w:rsid w:val="000B3CD0"/>
    <w:rsid w:val="000D066E"/>
    <w:rsid w:val="000D0831"/>
    <w:rsid w:val="000E0034"/>
    <w:rsid w:val="000E47E7"/>
    <w:rsid w:val="000E5439"/>
    <w:rsid w:val="000F602A"/>
    <w:rsid w:val="00102686"/>
    <w:rsid w:val="00103CBC"/>
    <w:rsid w:val="0011036E"/>
    <w:rsid w:val="001130B0"/>
    <w:rsid w:val="0011369B"/>
    <w:rsid w:val="0011742E"/>
    <w:rsid w:val="001178EA"/>
    <w:rsid w:val="0012335F"/>
    <w:rsid w:val="00123D10"/>
    <w:rsid w:val="00124B00"/>
    <w:rsid w:val="00126AB5"/>
    <w:rsid w:val="00126B33"/>
    <w:rsid w:val="0014151C"/>
    <w:rsid w:val="001507D0"/>
    <w:rsid w:val="00150B32"/>
    <w:rsid w:val="0015190C"/>
    <w:rsid w:val="00154B00"/>
    <w:rsid w:val="00162FA5"/>
    <w:rsid w:val="001644E9"/>
    <w:rsid w:val="00174816"/>
    <w:rsid w:val="00180212"/>
    <w:rsid w:val="001845D9"/>
    <w:rsid w:val="0018630F"/>
    <w:rsid w:val="001906CD"/>
    <w:rsid w:val="00191B99"/>
    <w:rsid w:val="001964C7"/>
    <w:rsid w:val="00197D29"/>
    <w:rsid w:val="001A02E3"/>
    <w:rsid w:val="001A1ADF"/>
    <w:rsid w:val="001A365C"/>
    <w:rsid w:val="001A3977"/>
    <w:rsid w:val="001B171D"/>
    <w:rsid w:val="001B29A1"/>
    <w:rsid w:val="001B5169"/>
    <w:rsid w:val="001B6164"/>
    <w:rsid w:val="001B758E"/>
    <w:rsid w:val="001C45D7"/>
    <w:rsid w:val="001C59EB"/>
    <w:rsid w:val="001D77ED"/>
    <w:rsid w:val="001E1180"/>
    <w:rsid w:val="001E1372"/>
    <w:rsid w:val="001E2191"/>
    <w:rsid w:val="001E23EA"/>
    <w:rsid w:val="001E6919"/>
    <w:rsid w:val="001E6958"/>
    <w:rsid w:val="00201924"/>
    <w:rsid w:val="00202473"/>
    <w:rsid w:val="002053F2"/>
    <w:rsid w:val="00206D63"/>
    <w:rsid w:val="00210627"/>
    <w:rsid w:val="0021185D"/>
    <w:rsid w:val="002254E0"/>
    <w:rsid w:val="00226777"/>
    <w:rsid w:val="00235BD1"/>
    <w:rsid w:val="00237D8F"/>
    <w:rsid w:val="00242B0E"/>
    <w:rsid w:val="00243E45"/>
    <w:rsid w:val="0024623F"/>
    <w:rsid w:val="00247DF0"/>
    <w:rsid w:val="002517A6"/>
    <w:rsid w:val="00251CDF"/>
    <w:rsid w:val="00254813"/>
    <w:rsid w:val="00257FF2"/>
    <w:rsid w:val="00265822"/>
    <w:rsid w:val="0027105F"/>
    <w:rsid w:val="002711FB"/>
    <w:rsid w:val="002742A5"/>
    <w:rsid w:val="00275706"/>
    <w:rsid w:val="00275D11"/>
    <w:rsid w:val="00277936"/>
    <w:rsid w:val="00283318"/>
    <w:rsid w:val="00285525"/>
    <w:rsid w:val="00294CD8"/>
    <w:rsid w:val="002A0A4A"/>
    <w:rsid w:val="002A270B"/>
    <w:rsid w:val="002A40AE"/>
    <w:rsid w:val="002A50FD"/>
    <w:rsid w:val="002A6753"/>
    <w:rsid w:val="002B28D7"/>
    <w:rsid w:val="002B7EB6"/>
    <w:rsid w:val="002C0B61"/>
    <w:rsid w:val="002C15E6"/>
    <w:rsid w:val="002C247D"/>
    <w:rsid w:val="002C3345"/>
    <w:rsid w:val="002C4AFD"/>
    <w:rsid w:val="002C6D7F"/>
    <w:rsid w:val="002C7272"/>
    <w:rsid w:val="002C77DA"/>
    <w:rsid w:val="002D409A"/>
    <w:rsid w:val="002F30E7"/>
    <w:rsid w:val="002F55EF"/>
    <w:rsid w:val="00300EEB"/>
    <w:rsid w:val="003013A9"/>
    <w:rsid w:val="003020B5"/>
    <w:rsid w:val="003020BA"/>
    <w:rsid w:val="003027BB"/>
    <w:rsid w:val="0030556A"/>
    <w:rsid w:val="00306150"/>
    <w:rsid w:val="003073A3"/>
    <w:rsid w:val="0031031A"/>
    <w:rsid w:val="00310A10"/>
    <w:rsid w:val="00317975"/>
    <w:rsid w:val="00321FE2"/>
    <w:rsid w:val="00326449"/>
    <w:rsid w:val="003277B1"/>
    <w:rsid w:val="00327D25"/>
    <w:rsid w:val="003319A7"/>
    <w:rsid w:val="00334FE3"/>
    <w:rsid w:val="00337A87"/>
    <w:rsid w:val="003421AE"/>
    <w:rsid w:val="003433D1"/>
    <w:rsid w:val="00344B24"/>
    <w:rsid w:val="003453A5"/>
    <w:rsid w:val="003456B9"/>
    <w:rsid w:val="0035067D"/>
    <w:rsid w:val="00352047"/>
    <w:rsid w:val="00353A16"/>
    <w:rsid w:val="00356691"/>
    <w:rsid w:val="0035776D"/>
    <w:rsid w:val="00363DDF"/>
    <w:rsid w:val="00364FD9"/>
    <w:rsid w:val="00366254"/>
    <w:rsid w:val="0036769B"/>
    <w:rsid w:val="00367C1B"/>
    <w:rsid w:val="00372C1F"/>
    <w:rsid w:val="00373A3E"/>
    <w:rsid w:val="00376B61"/>
    <w:rsid w:val="00382407"/>
    <w:rsid w:val="00386A64"/>
    <w:rsid w:val="00386FA1"/>
    <w:rsid w:val="00390142"/>
    <w:rsid w:val="00392F00"/>
    <w:rsid w:val="00394B56"/>
    <w:rsid w:val="00397377"/>
    <w:rsid w:val="003A22DE"/>
    <w:rsid w:val="003A2860"/>
    <w:rsid w:val="003A3C35"/>
    <w:rsid w:val="003A4811"/>
    <w:rsid w:val="003A7D30"/>
    <w:rsid w:val="003B0FE9"/>
    <w:rsid w:val="003B3A61"/>
    <w:rsid w:val="003B3C5C"/>
    <w:rsid w:val="003B7CF8"/>
    <w:rsid w:val="003C47CA"/>
    <w:rsid w:val="003D6DE1"/>
    <w:rsid w:val="003D795C"/>
    <w:rsid w:val="003E30FB"/>
    <w:rsid w:val="003E7FE1"/>
    <w:rsid w:val="003F2711"/>
    <w:rsid w:val="003F6C70"/>
    <w:rsid w:val="003F7CB9"/>
    <w:rsid w:val="0040122D"/>
    <w:rsid w:val="00401E86"/>
    <w:rsid w:val="00403333"/>
    <w:rsid w:val="00407C0C"/>
    <w:rsid w:val="004114F1"/>
    <w:rsid w:val="00411735"/>
    <w:rsid w:val="004148BA"/>
    <w:rsid w:val="0042206F"/>
    <w:rsid w:val="004347D0"/>
    <w:rsid w:val="004357DC"/>
    <w:rsid w:val="0043654D"/>
    <w:rsid w:val="0044798A"/>
    <w:rsid w:val="00451840"/>
    <w:rsid w:val="00454322"/>
    <w:rsid w:val="00457DE6"/>
    <w:rsid w:val="00460C9A"/>
    <w:rsid w:val="00464924"/>
    <w:rsid w:val="00472FCA"/>
    <w:rsid w:val="00473A4D"/>
    <w:rsid w:val="0047581D"/>
    <w:rsid w:val="00480289"/>
    <w:rsid w:val="00481279"/>
    <w:rsid w:val="00483368"/>
    <w:rsid w:val="004849E7"/>
    <w:rsid w:val="00492720"/>
    <w:rsid w:val="00494011"/>
    <w:rsid w:val="004A0BF4"/>
    <w:rsid w:val="004A1A46"/>
    <w:rsid w:val="004A263B"/>
    <w:rsid w:val="004A3021"/>
    <w:rsid w:val="004A68EF"/>
    <w:rsid w:val="004A7486"/>
    <w:rsid w:val="004A7F5E"/>
    <w:rsid w:val="004B2260"/>
    <w:rsid w:val="004B68AE"/>
    <w:rsid w:val="004C038B"/>
    <w:rsid w:val="004C35B0"/>
    <w:rsid w:val="004C49EF"/>
    <w:rsid w:val="004C4A19"/>
    <w:rsid w:val="004C5209"/>
    <w:rsid w:val="004C5570"/>
    <w:rsid w:val="004C7AAC"/>
    <w:rsid w:val="004D00C9"/>
    <w:rsid w:val="004D052D"/>
    <w:rsid w:val="004E16F5"/>
    <w:rsid w:val="004E1B85"/>
    <w:rsid w:val="004E2A1C"/>
    <w:rsid w:val="004E3CC7"/>
    <w:rsid w:val="004E5B69"/>
    <w:rsid w:val="004F2A87"/>
    <w:rsid w:val="0050110C"/>
    <w:rsid w:val="00503C51"/>
    <w:rsid w:val="00504913"/>
    <w:rsid w:val="0050517E"/>
    <w:rsid w:val="00506181"/>
    <w:rsid w:val="00507C56"/>
    <w:rsid w:val="00512DDE"/>
    <w:rsid w:val="00514BE3"/>
    <w:rsid w:val="0051535A"/>
    <w:rsid w:val="00523019"/>
    <w:rsid w:val="0052344E"/>
    <w:rsid w:val="00526478"/>
    <w:rsid w:val="00530204"/>
    <w:rsid w:val="00534C5F"/>
    <w:rsid w:val="005401D7"/>
    <w:rsid w:val="00540257"/>
    <w:rsid w:val="0054192F"/>
    <w:rsid w:val="00544EB3"/>
    <w:rsid w:val="0054594B"/>
    <w:rsid w:val="00546F64"/>
    <w:rsid w:val="0054749B"/>
    <w:rsid w:val="00551CC6"/>
    <w:rsid w:val="00560541"/>
    <w:rsid w:val="00561018"/>
    <w:rsid w:val="005637B8"/>
    <w:rsid w:val="005672D0"/>
    <w:rsid w:val="00572CEB"/>
    <w:rsid w:val="00573504"/>
    <w:rsid w:val="00574023"/>
    <w:rsid w:val="00574AB8"/>
    <w:rsid w:val="0058339D"/>
    <w:rsid w:val="005834C9"/>
    <w:rsid w:val="00594616"/>
    <w:rsid w:val="0059673C"/>
    <w:rsid w:val="005A0614"/>
    <w:rsid w:val="005A1500"/>
    <w:rsid w:val="005A58BA"/>
    <w:rsid w:val="005A5D30"/>
    <w:rsid w:val="005A5D51"/>
    <w:rsid w:val="005A6AB9"/>
    <w:rsid w:val="005C333E"/>
    <w:rsid w:val="005C3AE7"/>
    <w:rsid w:val="005D05D5"/>
    <w:rsid w:val="005D0677"/>
    <w:rsid w:val="005D0A54"/>
    <w:rsid w:val="005D500C"/>
    <w:rsid w:val="005E294C"/>
    <w:rsid w:val="005E2CE3"/>
    <w:rsid w:val="005F3F07"/>
    <w:rsid w:val="00602578"/>
    <w:rsid w:val="00603D04"/>
    <w:rsid w:val="00604727"/>
    <w:rsid w:val="00606857"/>
    <w:rsid w:val="0061443A"/>
    <w:rsid w:val="00615F42"/>
    <w:rsid w:val="006220FD"/>
    <w:rsid w:val="006258C2"/>
    <w:rsid w:val="00626365"/>
    <w:rsid w:val="00626FFD"/>
    <w:rsid w:val="00630E22"/>
    <w:rsid w:val="0064168C"/>
    <w:rsid w:val="00650C5D"/>
    <w:rsid w:val="00657B46"/>
    <w:rsid w:val="0067117E"/>
    <w:rsid w:val="006751A9"/>
    <w:rsid w:val="006764EC"/>
    <w:rsid w:val="006835FE"/>
    <w:rsid w:val="00687EAE"/>
    <w:rsid w:val="0069124B"/>
    <w:rsid w:val="00693BFD"/>
    <w:rsid w:val="00695065"/>
    <w:rsid w:val="006A1038"/>
    <w:rsid w:val="006A12BF"/>
    <w:rsid w:val="006A44AD"/>
    <w:rsid w:val="006A649A"/>
    <w:rsid w:val="006B1B49"/>
    <w:rsid w:val="006B6390"/>
    <w:rsid w:val="006C0356"/>
    <w:rsid w:val="006C0831"/>
    <w:rsid w:val="006C0843"/>
    <w:rsid w:val="006C74B1"/>
    <w:rsid w:val="006D364D"/>
    <w:rsid w:val="006E57AA"/>
    <w:rsid w:val="006F20CF"/>
    <w:rsid w:val="006F20D5"/>
    <w:rsid w:val="006F38ED"/>
    <w:rsid w:val="00700333"/>
    <w:rsid w:val="0070143B"/>
    <w:rsid w:val="00702D89"/>
    <w:rsid w:val="00704BD1"/>
    <w:rsid w:val="00706A2A"/>
    <w:rsid w:val="007076B3"/>
    <w:rsid w:val="00707D4D"/>
    <w:rsid w:val="00714FC4"/>
    <w:rsid w:val="00723503"/>
    <w:rsid w:val="007252E9"/>
    <w:rsid w:val="00726B31"/>
    <w:rsid w:val="00730C04"/>
    <w:rsid w:val="0073597B"/>
    <w:rsid w:val="007378F6"/>
    <w:rsid w:val="00740E69"/>
    <w:rsid w:val="00740EF3"/>
    <w:rsid w:val="00742F30"/>
    <w:rsid w:val="00743AE1"/>
    <w:rsid w:val="0074545D"/>
    <w:rsid w:val="00745F47"/>
    <w:rsid w:val="00752095"/>
    <w:rsid w:val="007522E3"/>
    <w:rsid w:val="0075335B"/>
    <w:rsid w:val="00753C44"/>
    <w:rsid w:val="00754383"/>
    <w:rsid w:val="007564D1"/>
    <w:rsid w:val="00757232"/>
    <w:rsid w:val="00757873"/>
    <w:rsid w:val="00760679"/>
    <w:rsid w:val="00763628"/>
    <w:rsid w:val="00767E99"/>
    <w:rsid w:val="00771F95"/>
    <w:rsid w:val="00772E62"/>
    <w:rsid w:val="0077789B"/>
    <w:rsid w:val="00780D29"/>
    <w:rsid w:val="007821EC"/>
    <w:rsid w:val="00791C8D"/>
    <w:rsid w:val="00794181"/>
    <w:rsid w:val="007A2A66"/>
    <w:rsid w:val="007A4136"/>
    <w:rsid w:val="007A7F6D"/>
    <w:rsid w:val="007A7F6F"/>
    <w:rsid w:val="007B4C76"/>
    <w:rsid w:val="007C06AA"/>
    <w:rsid w:val="007C2260"/>
    <w:rsid w:val="007D1E52"/>
    <w:rsid w:val="007D2358"/>
    <w:rsid w:val="007D487A"/>
    <w:rsid w:val="007E39E4"/>
    <w:rsid w:val="007E6AEC"/>
    <w:rsid w:val="007E6FB3"/>
    <w:rsid w:val="007E7939"/>
    <w:rsid w:val="007F21B4"/>
    <w:rsid w:val="007F24D9"/>
    <w:rsid w:val="007F2665"/>
    <w:rsid w:val="00802553"/>
    <w:rsid w:val="00802B3F"/>
    <w:rsid w:val="00803EAB"/>
    <w:rsid w:val="00804098"/>
    <w:rsid w:val="008046B5"/>
    <w:rsid w:val="0080773D"/>
    <w:rsid w:val="008127C0"/>
    <w:rsid w:val="00812EDD"/>
    <w:rsid w:val="008139C5"/>
    <w:rsid w:val="0081650F"/>
    <w:rsid w:val="0081785A"/>
    <w:rsid w:val="00821920"/>
    <w:rsid w:val="00832B31"/>
    <w:rsid w:val="00837F67"/>
    <w:rsid w:val="008403E0"/>
    <w:rsid w:val="00840C12"/>
    <w:rsid w:val="00842C32"/>
    <w:rsid w:val="00843A37"/>
    <w:rsid w:val="0084657B"/>
    <w:rsid w:val="00855944"/>
    <w:rsid w:val="00864A18"/>
    <w:rsid w:val="00870833"/>
    <w:rsid w:val="00870A98"/>
    <w:rsid w:val="00874571"/>
    <w:rsid w:val="00881F93"/>
    <w:rsid w:val="00882CB5"/>
    <w:rsid w:val="00883641"/>
    <w:rsid w:val="00884E69"/>
    <w:rsid w:val="00890082"/>
    <w:rsid w:val="00892D90"/>
    <w:rsid w:val="008A04DD"/>
    <w:rsid w:val="008A48D2"/>
    <w:rsid w:val="008A7093"/>
    <w:rsid w:val="008B2610"/>
    <w:rsid w:val="008B3FEF"/>
    <w:rsid w:val="008B471D"/>
    <w:rsid w:val="008B49E4"/>
    <w:rsid w:val="008B729C"/>
    <w:rsid w:val="008B7675"/>
    <w:rsid w:val="008C3891"/>
    <w:rsid w:val="008C4A93"/>
    <w:rsid w:val="008C4DA8"/>
    <w:rsid w:val="008E0374"/>
    <w:rsid w:val="008E0E49"/>
    <w:rsid w:val="008E2781"/>
    <w:rsid w:val="008E35FD"/>
    <w:rsid w:val="008E3926"/>
    <w:rsid w:val="008E4A1A"/>
    <w:rsid w:val="008E6227"/>
    <w:rsid w:val="00900730"/>
    <w:rsid w:val="0090543D"/>
    <w:rsid w:val="009056C5"/>
    <w:rsid w:val="00920D8B"/>
    <w:rsid w:val="00922D42"/>
    <w:rsid w:val="009262F2"/>
    <w:rsid w:val="009305A3"/>
    <w:rsid w:val="00931607"/>
    <w:rsid w:val="00937791"/>
    <w:rsid w:val="00941300"/>
    <w:rsid w:val="00950602"/>
    <w:rsid w:val="00951933"/>
    <w:rsid w:val="00954343"/>
    <w:rsid w:val="00955271"/>
    <w:rsid w:val="00957F40"/>
    <w:rsid w:val="00961213"/>
    <w:rsid w:val="00963C9C"/>
    <w:rsid w:val="00965B6B"/>
    <w:rsid w:val="00967E10"/>
    <w:rsid w:val="00971EDB"/>
    <w:rsid w:val="00972C6A"/>
    <w:rsid w:val="00974D50"/>
    <w:rsid w:val="00974E48"/>
    <w:rsid w:val="00983561"/>
    <w:rsid w:val="00987ABE"/>
    <w:rsid w:val="00990D69"/>
    <w:rsid w:val="00991EE4"/>
    <w:rsid w:val="009939DC"/>
    <w:rsid w:val="00993B9C"/>
    <w:rsid w:val="009A2C06"/>
    <w:rsid w:val="009B4E1E"/>
    <w:rsid w:val="009C03FB"/>
    <w:rsid w:val="009C4B4F"/>
    <w:rsid w:val="009E3278"/>
    <w:rsid w:val="009F0C02"/>
    <w:rsid w:val="009F5758"/>
    <w:rsid w:val="00A01455"/>
    <w:rsid w:val="00A0283F"/>
    <w:rsid w:val="00A0304B"/>
    <w:rsid w:val="00A04F4A"/>
    <w:rsid w:val="00A052A0"/>
    <w:rsid w:val="00A15BAF"/>
    <w:rsid w:val="00A26343"/>
    <w:rsid w:val="00A3145D"/>
    <w:rsid w:val="00A31BD5"/>
    <w:rsid w:val="00A408B5"/>
    <w:rsid w:val="00A41C72"/>
    <w:rsid w:val="00A43E40"/>
    <w:rsid w:val="00A46B4D"/>
    <w:rsid w:val="00A5264F"/>
    <w:rsid w:val="00A529E2"/>
    <w:rsid w:val="00A539F8"/>
    <w:rsid w:val="00A637CC"/>
    <w:rsid w:val="00A6491A"/>
    <w:rsid w:val="00A6594E"/>
    <w:rsid w:val="00A727B6"/>
    <w:rsid w:val="00A74B8F"/>
    <w:rsid w:val="00A77F53"/>
    <w:rsid w:val="00A81CC6"/>
    <w:rsid w:val="00A83EC6"/>
    <w:rsid w:val="00A860EA"/>
    <w:rsid w:val="00A8732C"/>
    <w:rsid w:val="00A9062D"/>
    <w:rsid w:val="00A91BC4"/>
    <w:rsid w:val="00A92FA8"/>
    <w:rsid w:val="00A93F58"/>
    <w:rsid w:val="00A96329"/>
    <w:rsid w:val="00AA134B"/>
    <w:rsid w:val="00AA2CFE"/>
    <w:rsid w:val="00AA5FDA"/>
    <w:rsid w:val="00AA6291"/>
    <w:rsid w:val="00AA6FEC"/>
    <w:rsid w:val="00AB0B8E"/>
    <w:rsid w:val="00AB0EFE"/>
    <w:rsid w:val="00AB376A"/>
    <w:rsid w:val="00AB4B5D"/>
    <w:rsid w:val="00AC0C91"/>
    <w:rsid w:val="00AC14C8"/>
    <w:rsid w:val="00AC68A3"/>
    <w:rsid w:val="00AC6C58"/>
    <w:rsid w:val="00AC6E46"/>
    <w:rsid w:val="00AD2CCA"/>
    <w:rsid w:val="00AD2D9B"/>
    <w:rsid w:val="00AD37D4"/>
    <w:rsid w:val="00AD67B4"/>
    <w:rsid w:val="00AD7986"/>
    <w:rsid w:val="00AE1188"/>
    <w:rsid w:val="00AE63C3"/>
    <w:rsid w:val="00AE738C"/>
    <w:rsid w:val="00AF1046"/>
    <w:rsid w:val="00AF4466"/>
    <w:rsid w:val="00AF5D1E"/>
    <w:rsid w:val="00AF7388"/>
    <w:rsid w:val="00B0305C"/>
    <w:rsid w:val="00B040A9"/>
    <w:rsid w:val="00B126D7"/>
    <w:rsid w:val="00B1711E"/>
    <w:rsid w:val="00B17CBE"/>
    <w:rsid w:val="00B17E26"/>
    <w:rsid w:val="00B231A4"/>
    <w:rsid w:val="00B25D20"/>
    <w:rsid w:val="00B305C8"/>
    <w:rsid w:val="00B31C99"/>
    <w:rsid w:val="00B3418F"/>
    <w:rsid w:val="00B40FDE"/>
    <w:rsid w:val="00B52B00"/>
    <w:rsid w:val="00B53BA6"/>
    <w:rsid w:val="00B5731D"/>
    <w:rsid w:val="00B6378B"/>
    <w:rsid w:val="00B63E3A"/>
    <w:rsid w:val="00B640D2"/>
    <w:rsid w:val="00B70E6F"/>
    <w:rsid w:val="00B71C91"/>
    <w:rsid w:val="00B751DD"/>
    <w:rsid w:val="00B75965"/>
    <w:rsid w:val="00B771AD"/>
    <w:rsid w:val="00B80336"/>
    <w:rsid w:val="00B814CB"/>
    <w:rsid w:val="00B82D38"/>
    <w:rsid w:val="00B96A56"/>
    <w:rsid w:val="00BA0CF8"/>
    <w:rsid w:val="00BA1ADF"/>
    <w:rsid w:val="00BA4E70"/>
    <w:rsid w:val="00BA51FC"/>
    <w:rsid w:val="00BB003A"/>
    <w:rsid w:val="00BB1377"/>
    <w:rsid w:val="00BB14AC"/>
    <w:rsid w:val="00BB3358"/>
    <w:rsid w:val="00BB3382"/>
    <w:rsid w:val="00BB3643"/>
    <w:rsid w:val="00BB7F68"/>
    <w:rsid w:val="00BC2830"/>
    <w:rsid w:val="00BC332E"/>
    <w:rsid w:val="00BC3DA0"/>
    <w:rsid w:val="00BC424B"/>
    <w:rsid w:val="00BC6C22"/>
    <w:rsid w:val="00BE0FDE"/>
    <w:rsid w:val="00BE2944"/>
    <w:rsid w:val="00BE3319"/>
    <w:rsid w:val="00BE425A"/>
    <w:rsid w:val="00BF6AC5"/>
    <w:rsid w:val="00C01121"/>
    <w:rsid w:val="00C030A5"/>
    <w:rsid w:val="00C04F41"/>
    <w:rsid w:val="00C05A45"/>
    <w:rsid w:val="00C0796F"/>
    <w:rsid w:val="00C11B34"/>
    <w:rsid w:val="00C1248B"/>
    <w:rsid w:val="00C12C5C"/>
    <w:rsid w:val="00C171FB"/>
    <w:rsid w:val="00C209C2"/>
    <w:rsid w:val="00C2267F"/>
    <w:rsid w:val="00C22AD8"/>
    <w:rsid w:val="00C27A03"/>
    <w:rsid w:val="00C30847"/>
    <w:rsid w:val="00C3557E"/>
    <w:rsid w:val="00C3594B"/>
    <w:rsid w:val="00C43102"/>
    <w:rsid w:val="00C4696B"/>
    <w:rsid w:val="00C46CE3"/>
    <w:rsid w:val="00C50513"/>
    <w:rsid w:val="00C54503"/>
    <w:rsid w:val="00C57EE4"/>
    <w:rsid w:val="00C63055"/>
    <w:rsid w:val="00C66275"/>
    <w:rsid w:val="00C67470"/>
    <w:rsid w:val="00C67AC2"/>
    <w:rsid w:val="00C73B62"/>
    <w:rsid w:val="00C776B1"/>
    <w:rsid w:val="00C815FE"/>
    <w:rsid w:val="00C847AE"/>
    <w:rsid w:val="00C96C0E"/>
    <w:rsid w:val="00CA04C6"/>
    <w:rsid w:val="00CA25B8"/>
    <w:rsid w:val="00CA26DD"/>
    <w:rsid w:val="00CA27D5"/>
    <w:rsid w:val="00CA322A"/>
    <w:rsid w:val="00CB12EC"/>
    <w:rsid w:val="00CC09D7"/>
    <w:rsid w:val="00CC1069"/>
    <w:rsid w:val="00CC12B8"/>
    <w:rsid w:val="00CC1BCF"/>
    <w:rsid w:val="00CD07DC"/>
    <w:rsid w:val="00CD22E3"/>
    <w:rsid w:val="00CD3FFC"/>
    <w:rsid w:val="00CD4E44"/>
    <w:rsid w:val="00CD5AE4"/>
    <w:rsid w:val="00CD5DD7"/>
    <w:rsid w:val="00CD7A7D"/>
    <w:rsid w:val="00CE1C45"/>
    <w:rsid w:val="00CF1342"/>
    <w:rsid w:val="00CF2D8E"/>
    <w:rsid w:val="00CF2DFA"/>
    <w:rsid w:val="00CF5AD8"/>
    <w:rsid w:val="00D00122"/>
    <w:rsid w:val="00D00A9F"/>
    <w:rsid w:val="00D01D2A"/>
    <w:rsid w:val="00D10B47"/>
    <w:rsid w:val="00D11EB1"/>
    <w:rsid w:val="00D17F17"/>
    <w:rsid w:val="00D23597"/>
    <w:rsid w:val="00D30BDC"/>
    <w:rsid w:val="00D30EE8"/>
    <w:rsid w:val="00D33063"/>
    <w:rsid w:val="00D41AC6"/>
    <w:rsid w:val="00D43547"/>
    <w:rsid w:val="00D56308"/>
    <w:rsid w:val="00D5660E"/>
    <w:rsid w:val="00D57F88"/>
    <w:rsid w:val="00D60078"/>
    <w:rsid w:val="00D66449"/>
    <w:rsid w:val="00D676DF"/>
    <w:rsid w:val="00D7105C"/>
    <w:rsid w:val="00D71C1F"/>
    <w:rsid w:val="00D73646"/>
    <w:rsid w:val="00D73E33"/>
    <w:rsid w:val="00D74F34"/>
    <w:rsid w:val="00D777B4"/>
    <w:rsid w:val="00D77A90"/>
    <w:rsid w:val="00D800C1"/>
    <w:rsid w:val="00D8360B"/>
    <w:rsid w:val="00D85676"/>
    <w:rsid w:val="00D86AEF"/>
    <w:rsid w:val="00D96ADA"/>
    <w:rsid w:val="00DA2886"/>
    <w:rsid w:val="00DA5E50"/>
    <w:rsid w:val="00DA7D0C"/>
    <w:rsid w:val="00DB311C"/>
    <w:rsid w:val="00DB432D"/>
    <w:rsid w:val="00DB519B"/>
    <w:rsid w:val="00DC7694"/>
    <w:rsid w:val="00DC7FBE"/>
    <w:rsid w:val="00DD130E"/>
    <w:rsid w:val="00DD308E"/>
    <w:rsid w:val="00DE1C81"/>
    <w:rsid w:val="00DE4ED7"/>
    <w:rsid w:val="00DE5D2D"/>
    <w:rsid w:val="00DF0C51"/>
    <w:rsid w:val="00DF0D47"/>
    <w:rsid w:val="00DF1652"/>
    <w:rsid w:val="00DF6D37"/>
    <w:rsid w:val="00DF6F07"/>
    <w:rsid w:val="00E02A90"/>
    <w:rsid w:val="00E02D2F"/>
    <w:rsid w:val="00E040FF"/>
    <w:rsid w:val="00E048ED"/>
    <w:rsid w:val="00E04FB3"/>
    <w:rsid w:val="00E058F2"/>
    <w:rsid w:val="00E05D9C"/>
    <w:rsid w:val="00E06102"/>
    <w:rsid w:val="00E23E71"/>
    <w:rsid w:val="00E30F19"/>
    <w:rsid w:val="00E312AB"/>
    <w:rsid w:val="00E33C4A"/>
    <w:rsid w:val="00E357B9"/>
    <w:rsid w:val="00E4321E"/>
    <w:rsid w:val="00E43634"/>
    <w:rsid w:val="00E44B80"/>
    <w:rsid w:val="00E47623"/>
    <w:rsid w:val="00E51444"/>
    <w:rsid w:val="00E60529"/>
    <w:rsid w:val="00E70D86"/>
    <w:rsid w:val="00E7258A"/>
    <w:rsid w:val="00E7628E"/>
    <w:rsid w:val="00E82F54"/>
    <w:rsid w:val="00E84CAC"/>
    <w:rsid w:val="00E8649B"/>
    <w:rsid w:val="00E871CD"/>
    <w:rsid w:val="00E90990"/>
    <w:rsid w:val="00E94343"/>
    <w:rsid w:val="00E95D3D"/>
    <w:rsid w:val="00E95D81"/>
    <w:rsid w:val="00EA0E25"/>
    <w:rsid w:val="00EA173C"/>
    <w:rsid w:val="00EA4092"/>
    <w:rsid w:val="00EA65E8"/>
    <w:rsid w:val="00EA6941"/>
    <w:rsid w:val="00EB0182"/>
    <w:rsid w:val="00EB02D7"/>
    <w:rsid w:val="00EC0D8C"/>
    <w:rsid w:val="00EC127A"/>
    <w:rsid w:val="00EC1FF9"/>
    <w:rsid w:val="00EC2737"/>
    <w:rsid w:val="00EC2FFE"/>
    <w:rsid w:val="00EE1C64"/>
    <w:rsid w:val="00EE2716"/>
    <w:rsid w:val="00EE6450"/>
    <w:rsid w:val="00F01388"/>
    <w:rsid w:val="00F01C2C"/>
    <w:rsid w:val="00F10ED8"/>
    <w:rsid w:val="00F17F78"/>
    <w:rsid w:val="00F222BE"/>
    <w:rsid w:val="00F235D1"/>
    <w:rsid w:val="00F24179"/>
    <w:rsid w:val="00F301F1"/>
    <w:rsid w:val="00F30C22"/>
    <w:rsid w:val="00F33F1A"/>
    <w:rsid w:val="00F34AEC"/>
    <w:rsid w:val="00F433A9"/>
    <w:rsid w:val="00F46AE7"/>
    <w:rsid w:val="00F547F7"/>
    <w:rsid w:val="00F54CCF"/>
    <w:rsid w:val="00F612AF"/>
    <w:rsid w:val="00F61D7A"/>
    <w:rsid w:val="00F637B3"/>
    <w:rsid w:val="00F63A62"/>
    <w:rsid w:val="00F66CF7"/>
    <w:rsid w:val="00F67BCB"/>
    <w:rsid w:val="00F712E9"/>
    <w:rsid w:val="00F72EBB"/>
    <w:rsid w:val="00F74B19"/>
    <w:rsid w:val="00F77C57"/>
    <w:rsid w:val="00F813C7"/>
    <w:rsid w:val="00F82424"/>
    <w:rsid w:val="00F82B2E"/>
    <w:rsid w:val="00F83566"/>
    <w:rsid w:val="00F83A9D"/>
    <w:rsid w:val="00F85E6F"/>
    <w:rsid w:val="00F869F1"/>
    <w:rsid w:val="00F9001D"/>
    <w:rsid w:val="00F9004E"/>
    <w:rsid w:val="00F906B5"/>
    <w:rsid w:val="00F93622"/>
    <w:rsid w:val="00F93784"/>
    <w:rsid w:val="00F971CC"/>
    <w:rsid w:val="00FA2C15"/>
    <w:rsid w:val="00FA2CAA"/>
    <w:rsid w:val="00FA3D62"/>
    <w:rsid w:val="00FA3DA1"/>
    <w:rsid w:val="00FA4DE4"/>
    <w:rsid w:val="00FA6554"/>
    <w:rsid w:val="00FA690E"/>
    <w:rsid w:val="00FE02C6"/>
    <w:rsid w:val="00FE0891"/>
    <w:rsid w:val="00FE16C1"/>
    <w:rsid w:val="00FE19FF"/>
    <w:rsid w:val="00FE33A6"/>
    <w:rsid w:val="00FE4BE8"/>
    <w:rsid w:val="00FE4CB6"/>
    <w:rsid w:val="00FE5452"/>
    <w:rsid w:val="00FE5E88"/>
    <w:rsid w:val="00FF1A00"/>
    <w:rsid w:val="00FF59A8"/>
    <w:rsid w:val="00FF6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43A"/>
    <w:pPr>
      <w:spacing w:after="240"/>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styleId="FollowedHyperlink">
    <w:name w:val="FollowedHyperlink"/>
    <w:basedOn w:val="DefaultParagraphFont"/>
    <w:uiPriority w:val="99"/>
    <w:semiHidden/>
    <w:unhideWhenUsed/>
    <w:rsid w:val="00150B32"/>
    <w:rPr>
      <w:color w:val="800080" w:themeColor="followedHyperlink"/>
      <w:u w:val="single"/>
    </w:rPr>
  </w:style>
  <w:style w:type="paragraph" w:styleId="FootnoteText">
    <w:name w:val="footnote text"/>
    <w:basedOn w:val="Normal"/>
    <w:link w:val="FootnoteTextChar"/>
    <w:uiPriority w:val="99"/>
    <w:unhideWhenUsed/>
    <w:rsid w:val="00840C12"/>
    <w:pPr>
      <w:spacing w:before="0" w:after="0"/>
    </w:pPr>
    <w:rPr>
      <w:szCs w:val="20"/>
    </w:rPr>
  </w:style>
  <w:style w:type="character" w:customStyle="1" w:styleId="FootnoteTextChar">
    <w:name w:val="Footnote Text Char"/>
    <w:basedOn w:val="DefaultParagraphFont"/>
    <w:link w:val="FootnoteText"/>
    <w:uiPriority w:val="99"/>
    <w:rsid w:val="00840C12"/>
    <w:rPr>
      <w:sz w:val="20"/>
      <w:szCs w:val="20"/>
    </w:rPr>
  </w:style>
  <w:style w:type="character" w:styleId="FootnoteReference">
    <w:name w:val="footnote reference"/>
    <w:basedOn w:val="DefaultParagraphFont"/>
    <w:uiPriority w:val="99"/>
    <w:semiHidden/>
    <w:unhideWhenUsed/>
    <w:rsid w:val="00840C12"/>
    <w:rPr>
      <w:vertAlign w:val="superscript"/>
    </w:rPr>
  </w:style>
  <w:style w:type="paragraph" w:styleId="Caption">
    <w:name w:val="caption"/>
    <w:basedOn w:val="Normal"/>
    <w:next w:val="Normal"/>
    <w:uiPriority w:val="35"/>
    <w:unhideWhenUsed/>
    <w:qFormat/>
    <w:rsid w:val="006F20D5"/>
    <w:pPr>
      <w:spacing w:before="0" w:after="200"/>
    </w:pPr>
    <w:rPr>
      <w:rFonts w:eastAsiaTheme="minorEastAsia"/>
      <w:i/>
      <w:iCs/>
      <w:color w:val="1F497D" w:themeColor="text2"/>
      <w:sz w:val="18"/>
      <w:szCs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43A"/>
    <w:pPr>
      <w:spacing w:after="240"/>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styleId="FollowedHyperlink">
    <w:name w:val="FollowedHyperlink"/>
    <w:basedOn w:val="DefaultParagraphFont"/>
    <w:uiPriority w:val="99"/>
    <w:semiHidden/>
    <w:unhideWhenUsed/>
    <w:rsid w:val="00150B32"/>
    <w:rPr>
      <w:color w:val="800080" w:themeColor="followedHyperlink"/>
      <w:u w:val="single"/>
    </w:rPr>
  </w:style>
  <w:style w:type="paragraph" w:styleId="FootnoteText">
    <w:name w:val="footnote text"/>
    <w:basedOn w:val="Normal"/>
    <w:link w:val="FootnoteTextChar"/>
    <w:uiPriority w:val="99"/>
    <w:unhideWhenUsed/>
    <w:rsid w:val="00840C12"/>
    <w:pPr>
      <w:spacing w:before="0" w:after="0"/>
    </w:pPr>
    <w:rPr>
      <w:szCs w:val="20"/>
    </w:rPr>
  </w:style>
  <w:style w:type="character" w:customStyle="1" w:styleId="FootnoteTextChar">
    <w:name w:val="Footnote Text Char"/>
    <w:basedOn w:val="DefaultParagraphFont"/>
    <w:link w:val="FootnoteText"/>
    <w:uiPriority w:val="99"/>
    <w:rsid w:val="00840C12"/>
    <w:rPr>
      <w:sz w:val="20"/>
      <w:szCs w:val="20"/>
    </w:rPr>
  </w:style>
  <w:style w:type="character" w:styleId="FootnoteReference">
    <w:name w:val="footnote reference"/>
    <w:basedOn w:val="DefaultParagraphFont"/>
    <w:uiPriority w:val="99"/>
    <w:semiHidden/>
    <w:unhideWhenUsed/>
    <w:rsid w:val="00840C12"/>
    <w:rPr>
      <w:vertAlign w:val="superscript"/>
    </w:rPr>
  </w:style>
  <w:style w:type="paragraph" w:styleId="Caption">
    <w:name w:val="caption"/>
    <w:basedOn w:val="Normal"/>
    <w:next w:val="Normal"/>
    <w:uiPriority w:val="35"/>
    <w:unhideWhenUsed/>
    <w:qFormat/>
    <w:rsid w:val="006F20D5"/>
    <w:pPr>
      <w:spacing w:before="0" w:after="200"/>
    </w:pPr>
    <w:rPr>
      <w:rFonts w:eastAsiaTheme="minorEastAsia"/>
      <w:i/>
      <w:iCs/>
      <w:color w:val="1F497D" w:themeColor="text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2035">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800153942">
      <w:bodyDiv w:val="1"/>
      <w:marLeft w:val="0"/>
      <w:marRight w:val="0"/>
      <w:marTop w:val="0"/>
      <w:marBottom w:val="0"/>
      <w:divBdr>
        <w:top w:val="none" w:sz="0" w:space="0" w:color="auto"/>
        <w:left w:val="none" w:sz="0" w:space="0" w:color="auto"/>
        <w:bottom w:val="none" w:sz="0" w:space="0" w:color="auto"/>
        <w:right w:val="none" w:sz="0" w:space="0" w:color="auto"/>
      </w:divBdr>
    </w:div>
    <w:div w:id="939526518">
      <w:bodyDiv w:val="1"/>
      <w:marLeft w:val="0"/>
      <w:marRight w:val="0"/>
      <w:marTop w:val="0"/>
      <w:marBottom w:val="0"/>
      <w:divBdr>
        <w:top w:val="none" w:sz="0" w:space="0" w:color="auto"/>
        <w:left w:val="none" w:sz="0" w:space="0" w:color="auto"/>
        <w:bottom w:val="none" w:sz="0" w:space="0" w:color="auto"/>
        <w:right w:val="none" w:sz="0" w:space="0" w:color="auto"/>
      </w:divBdr>
    </w:div>
    <w:div w:id="1550990319">
      <w:bodyDiv w:val="1"/>
      <w:marLeft w:val="0"/>
      <w:marRight w:val="0"/>
      <w:marTop w:val="0"/>
      <w:marBottom w:val="0"/>
      <w:divBdr>
        <w:top w:val="none" w:sz="0" w:space="0" w:color="auto"/>
        <w:left w:val="none" w:sz="0" w:space="0" w:color="auto"/>
        <w:bottom w:val="none" w:sz="0" w:space="0" w:color="auto"/>
        <w:right w:val="none" w:sz="0" w:space="0" w:color="auto"/>
      </w:divBdr>
    </w:div>
    <w:div w:id="1992252080">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nlinelibrary.wiley.com/doi/10.1111/jgh.12621/abstract;jsessionid=099F60D1CEE0DC86CC9114714EFAE542.f04t04" TargetMode="External"/><Relationship Id="rId18" Type="http://schemas.openxmlformats.org/officeDocument/2006/relationships/hyperlink" Target="http://www.hpbonline.org/article/S1365-182X(16)30506-8/pdf" TargetMode="External"/><Relationship Id="rId26" Type="http://schemas.openxmlformats.org/officeDocument/2006/relationships/hyperlink" Target="http://www.so-online.net/article/S0960-7404(15)30008-6/abstract" TargetMode="External"/><Relationship Id="rId39" Type="http://schemas.openxmlformats.org/officeDocument/2006/relationships/hyperlink" Target="https://www.ncbi.nlm.nih.gov/pmc/articles/PMC4921799/pdf/WJH-8-770.pdf" TargetMode="External"/><Relationship Id="rId3" Type="http://schemas.openxmlformats.org/officeDocument/2006/relationships/styles" Target="styles.xml"/><Relationship Id="rId21" Type="http://schemas.openxmlformats.org/officeDocument/2006/relationships/hyperlink" Target="https://www.ncbi.nlm.nih.gov/pmc/articles/PMC4141294/pdf/hbsn-03-04-185.pdf" TargetMode="External"/><Relationship Id="rId34" Type="http://schemas.openxmlformats.org/officeDocument/2006/relationships/hyperlink" Target="https://clinicaltrials.gov/ct2/show/NCT02729506" TargetMode="External"/><Relationship Id="rId42" Type="http://schemas.openxmlformats.org/officeDocument/2006/relationships/hyperlink" Target="http://ascopubs.org/doi/abs/10.1200/jco.2015.33.3_suppl.477" TargetMode="External"/><Relationship Id="rId47"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ncbi.nlm.nih.gov/pmc/articles/PMC4355443/pdf/270_2014_Article_1012.pdf" TargetMode="External"/><Relationship Id="rId25" Type="http://schemas.openxmlformats.org/officeDocument/2006/relationships/hyperlink" Target="http://ar.iiarjournals.org/content/36/1/239.long" TargetMode="External"/><Relationship Id="rId33" Type="http://schemas.openxmlformats.org/officeDocument/2006/relationships/hyperlink" Target="https://www.ncbi.nlm.nih.gov/pmc/articles/PMC3493260/pdf/1745-6215-13-144.pdf" TargetMode="External"/><Relationship Id="rId38" Type="http://schemas.openxmlformats.org/officeDocument/2006/relationships/hyperlink" Target="http://onlinelibrary.wiley.com/doi/10.1002/14651858.CD011313.pub2/full" TargetMode="External"/><Relationship Id="rId46" Type="http://schemas.openxmlformats.org/officeDocument/2006/relationships/hyperlink" Target="http://www.researchprotocols.org/2017/2/e17/" TargetMode="External"/><Relationship Id="rId2" Type="http://schemas.openxmlformats.org/officeDocument/2006/relationships/numbering" Target="numbering.xml"/><Relationship Id="rId16" Type="http://schemas.openxmlformats.org/officeDocument/2006/relationships/hyperlink" Target="http://onlinelibrary.wiley.com/doi/10.1111/liv.12750/abstract" TargetMode="External"/><Relationship Id="rId20" Type="http://schemas.openxmlformats.org/officeDocument/2006/relationships/hyperlink" Target="https://www.ncbi.nlm.nih.gov/pmc/articles/PMC3594060/pdf/nihms417150.pdf" TargetMode="External"/><Relationship Id="rId29" Type="http://schemas.openxmlformats.org/officeDocument/2006/relationships/hyperlink" Target="http://journals.plos.org/plosone/article/file?id=10.1371/journal.pone.0154986&amp;type=printable" TargetMode="External"/><Relationship Id="rId41" Type="http://schemas.openxmlformats.org/officeDocument/2006/relationships/hyperlink" Target="http://www.biomedcentral.com/bmccanc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hyperlink" Target="http://www.jvir.org/article/S1051-0443(09)01049-5/abstract" TargetMode="External"/><Relationship Id="rId32" Type="http://schemas.openxmlformats.org/officeDocument/2006/relationships/hyperlink" Target="http://onlinelibrary.wiley.com/doi/10.1111/liv.12574/abstract" TargetMode="External"/><Relationship Id="rId37" Type="http://schemas.openxmlformats.org/officeDocument/2006/relationships/hyperlink" Target="http://ascopubs.org/doi/abs/10.1200/jco.2015.33.3_suppl.477" TargetMode="External"/><Relationship Id="rId40" Type="http://schemas.openxmlformats.org/officeDocument/2006/relationships/hyperlink" Target="http://link.springer.com/article/10.1007%2Fs00270-016-1426-y" TargetMode="External"/><Relationship Id="rId45" Type="http://schemas.openxmlformats.org/officeDocument/2006/relationships/hyperlink" Target="http://link.springer.com/article/10.1007%2Fs00432-011-1117-7" TargetMode="External"/><Relationship Id="rId5" Type="http://schemas.openxmlformats.org/officeDocument/2006/relationships/settings" Target="settings.xml"/><Relationship Id="rId15" Type="http://schemas.openxmlformats.org/officeDocument/2006/relationships/hyperlink" Target="http://www.gastrojournal.org/article/S0016-5085(16)34971-X/abstract?referrer=https%3A%2F%2Fwww.ncbi.nlm.nih.gov%2Fpubmed%2F27575820" TargetMode="External"/><Relationship Id="rId23" Type="http://schemas.openxmlformats.org/officeDocument/2006/relationships/hyperlink" Target="https://www.ncbi.nlm.nih.gov/pmc/articles/PMC3129335/pdf/nihms250487.pdf" TargetMode="External"/><Relationship Id="rId28" Type="http://schemas.openxmlformats.org/officeDocument/2006/relationships/hyperlink" Target="http://onlinelibrary.wiley.com/doi/10.1111/liv.12622/abstract" TargetMode="External"/><Relationship Id="rId36" Type="http://schemas.openxmlformats.org/officeDocument/2006/relationships/hyperlink" Target="http://www.biomedcentral.com/bmccancer/" TargetMode="External"/><Relationship Id="rId49" Type="http://schemas.openxmlformats.org/officeDocument/2006/relationships/theme" Target="theme/theme1.xml"/><Relationship Id="rId10" Type="http://schemas.openxmlformats.org/officeDocument/2006/relationships/hyperlink" Target="mailto:hta@health.gov.au" TargetMode="External"/><Relationship Id="rId19" Type="http://schemas.openxmlformats.org/officeDocument/2006/relationships/hyperlink" Target="https://www.ncbi.nlm.nih.gov/pmc/articles/PMC4861995/pdf/nihms781895.pdf" TargetMode="External"/><Relationship Id="rId31" Type="http://schemas.openxmlformats.org/officeDocument/2006/relationships/hyperlink" Target="http://link.springer.com/article/10.1007%2Fs00259-015-3210-7" TargetMode="External"/><Relationship Id="rId44" Type="http://schemas.openxmlformats.org/officeDocument/2006/relationships/hyperlink" Target="https://www.jstage.jst.go.jp/article/bst/9/5/9_2015.01089/_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ncbi.nlm.nih.gov/pubmed/20214218" TargetMode="External"/><Relationship Id="rId22" Type="http://schemas.openxmlformats.org/officeDocument/2006/relationships/hyperlink" Target="http://www.jvir.org/article/S1051-0443(11)01180-8/abstract" TargetMode="External"/><Relationship Id="rId27" Type="http://schemas.openxmlformats.org/officeDocument/2006/relationships/hyperlink" Target="https://www.ncbi.nlm.nih.gov/pmc/articles/PMC4265525/pdf/13063_2014_Article_2333.pdf" TargetMode="External"/><Relationship Id="rId30" Type="http://schemas.openxmlformats.org/officeDocument/2006/relationships/hyperlink" Target="http://onlinelibrary.wiley.com/doi/10.1111/liv.13098/abstract" TargetMode="External"/><Relationship Id="rId35" Type="http://schemas.openxmlformats.org/officeDocument/2006/relationships/hyperlink" Target="https://clinicaltrials.gov/ct2/show/NCT01887717" TargetMode="External"/><Relationship Id="rId43" Type="http://schemas.openxmlformats.org/officeDocument/2006/relationships/hyperlink" Target="http://www.impactjournals.com/oncotarget/index.php?journal=oncotarget&amp;page=article&amp;op=download&amp;path%5B%5D=12348&amp;path%5B%5D=39117"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cancerresearchuk.org/health-professional/cancer-statistics/statistics-by-cancer-type/liver-cancer" TargetMode="External"/><Relationship Id="rId2" Type="http://schemas.openxmlformats.org/officeDocument/2006/relationships/hyperlink" Target="http://www.aihw.gov.au/acim-books" TargetMode="External"/><Relationship Id="rId1" Type="http://schemas.openxmlformats.org/officeDocument/2006/relationships/hyperlink" Target="http://parlinfo.aph.gov.au/parlInfo/download/library/prspub/3165114/upload_binary/3165114.pdf;fileType=application%2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2ACBF-07DD-42A5-820E-96272848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12198</Words>
  <Characters>69531</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81566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2017-05-09T05:04:00Z</dcterms:created>
  <dcterms:modified xsi:type="dcterms:W3CDTF">2017-05-11T06:00:00Z</dcterms:modified>
</cp:coreProperties>
</file>