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3650" w14:textId="7A479C92" w:rsidR="00865C25" w:rsidRPr="007654DB" w:rsidRDefault="007654DB" w:rsidP="007654DB">
      <w:pPr>
        <w:pStyle w:val="Subtitle"/>
        <w:spacing w:before="240" w:after="0"/>
        <w:rPr>
          <w:i w:val="0"/>
          <w:sz w:val="36"/>
          <w:szCs w:val="36"/>
        </w:rPr>
      </w:pPr>
      <w:bookmarkStart w:id="0" w:name="_Toc72335271"/>
      <w:bookmarkStart w:id="1" w:name="_Toc112076472"/>
      <w:r>
        <w:rPr>
          <w:i w:val="0"/>
          <w:sz w:val="36"/>
          <w:szCs w:val="36"/>
        </w:rPr>
        <w:t>Medical Services Advisory Committee (MSAC)</w:t>
      </w:r>
      <w:bookmarkEnd w:id="0"/>
      <w:bookmarkEnd w:id="1"/>
    </w:p>
    <w:p w14:paraId="1F228A63" w14:textId="77777777" w:rsidR="00813A4A" w:rsidRDefault="00813A4A" w:rsidP="007654DB">
      <w:pPr>
        <w:pStyle w:val="Subtitle"/>
        <w:spacing w:before="0"/>
        <w:rPr>
          <w:i w:val="0"/>
          <w:sz w:val="36"/>
          <w:szCs w:val="36"/>
        </w:rPr>
      </w:pPr>
      <w:r w:rsidRPr="00AF3A51">
        <w:rPr>
          <w:i w:val="0"/>
          <w:sz w:val="36"/>
          <w:szCs w:val="36"/>
        </w:rPr>
        <w:t xml:space="preserve">Public Summary Document </w:t>
      </w:r>
    </w:p>
    <w:p w14:paraId="6CD6E15A" w14:textId="77777777" w:rsidR="00865C25" w:rsidRPr="00CE28E3" w:rsidRDefault="00865C25" w:rsidP="00865C25">
      <w:pPr>
        <w:pStyle w:val="Subtitle"/>
      </w:pPr>
      <w:r w:rsidRPr="00CE28E3">
        <w:t xml:space="preserve">Application No. </w:t>
      </w:r>
      <w:r>
        <w:t>1721 Small gene panel testing for NSCLC</w:t>
      </w:r>
    </w:p>
    <w:p w14:paraId="0A9033E8" w14:textId="67ECAB65" w:rsidR="00865C25" w:rsidRPr="00CE28E3" w:rsidRDefault="00865C25" w:rsidP="00121596">
      <w:pPr>
        <w:tabs>
          <w:tab w:val="left" w:pos="3686"/>
        </w:tabs>
        <w:spacing w:after="240"/>
        <w:ind w:left="3600" w:hanging="3600"/>
        <w:rPr>
          <w:rFonts w:ascii="Arial" w:hAnsi="Arial" w:cs="Arial"/>
          <w:b/>
          <w:szCs w:val="24"/>
        </w:rPr>
      </w:pPr>
      <w:r w:rsidRPr="00CE28E3">
        <w:rPr>
          <w:rFonts w:ascii="Arial" w:hAnsi="Arial" w:cs="Arial"/>
          <w:b/>
          <w:szCs w:val="24"/>
        </w:rPr>
        <w:t>Applicant:</w:t>
      </w:r>
      <w:r w:rsidRPr="00CE28E3">
        <w:rPr>
          <w:rFonts w:ascii="Arial" w:hAnsi="Arial" w:cs="Arial"/>
          <w:b/>
          <w:szCs w:val="24"/>
        </w:rPr>
        <w:tab/>
      </w:r>
      <w:r>
        <w:rPr>
          <w:rFonts w:ascii="Arial" w:hAnsi="Arial" w:cs="Arial"/>
          <w:b/>
          <w:szCs w:val="24"/>
        </w:rPr>
        <w:t>Royal College of Pathologists of Australasia</w:t>
      </w:r>
      <w:r w:rsidR="00564D8B">
        <w:rPr>
          <w:rFonts w:ascii="Arial" w:hAnsi="Arial" w:cs="Arial"/>
          <w:b/>
          <w:szCs w:val="24"/>
        </w:rPr>
        <w:t xml:space="preserve"> (RCPA)</w:t>
      </w:r>
    </w:p>
    <w:p w14:paraId="0B65533D" w14:textId="77777777" w:rsidR="00813A4A" w:rsidRDefault="00865C25" w:rsidP="00813A4A">
      <w:pPr>
        <w:tabs>
          <w:tab w:val="left" w:pos="3686"/>
        </w:tabs>
        <w:spacing w:after="360"/>
        <w:rPr>
          <w:rFonts w:ascii="Arial" w:hAnsi="Arial" w:cs="Arial"/>
          <w:b/>
          <w:bCs/>
        </w:rPr>
      </w:pPr>
      <w:r w:rsidRPr="00CE28E3">
        <w:rPr>
          <w:rFonts w:ascii="Arial" w:hAnsi="Arial" w:cs="Arial"/>
          <w:b/>
          <w:szCs w:val="24"/>
        </w:rPr>
        <w:t xml:space="preserve">Date of </w:t>
      </w:r>
      <w:r w:rsidR="00813A4A">
        <w:rPr>
          <w:rFonts w:ascii="Arial" w:hAnsi="Arial" w:cs="Arial"/>
          <w:b/>
          <w:szCs w:val="24"/>
        </w:rPr>
        <w:t>MSAC</w:t>
      </w:r>
      <w:r w:rsidR="00564D8B" w:rsidRPr="00CE28E3">
        <w:rPr>
          <w:rFonts w:ascii="Arial" w:hAnsi="Arial" w:cs="Arial"/>
          <w:b/>
          <w:szCs w:val="24"/>
        </w:rPr>
        <w:t xml:space="preserve"> </w:t>
      </w:r>
      <w:r w:rsidRPr="00CE28E3">
        <w:rPr>
          <w:rFonts w:ascii="Arial" w:hAnsi="Arial" w:cs="Arial"/>
          <w:b/>
          <w:szCs w:val="24"/>
        </w:rPr>
        <w:t>consideration:</w:t>
      </w:r>
      <w:r w:rsidRPr="00CE28E3">
        <w:rPr>
          <w:rFonts w:ascii="Arial" w:hAnsi="Arial" w:cs="Arial"/>
          <w:b/>
          <w:szCs w:val="24"/>
        </w:rPr>
        <w:tab/>
      </w:r>
      <w:r w:rsidR="00813A4A">
        <w:rPr>
          <w:rFonts w:ascii="Arial" w:hAnsi="Arial" w:cs="Arial"/>
          <w:b/>
          <w:bCs/>
        </w:rPr>
        <w:t>24-25 November</w:t>
      </w:r>
      <w:r w:rsidR="00813A4A" w:rsidRPr="00624E42">
        <w:rPr>
          <w:rFonts w:ascii="Arial" w:hAnsi="Arial" w:cs="Arial"/>
          <w:b/>
          <w:bCs/>
        </w:rPr>
        <w:t xml:space="preserve"> 2022</w:t>
      </w:r>
    </w:p>
    <w:p w14:paraId="4936FEEF" w14:textId="77777777" w:rsidR="00813A4A" w:rsidRPr="00B03EAB" w:rsidRDefault="00813A4A" w:rsidP="00813A4A">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06142992" w14:textId="77777777" w:rsidR="00865C25" w:rsidRPr="00CE28E3" w:rsidRDefault="00865C25" w:rsidP="00865C25">
      <w:pPr>
        <w:pStyle w:val="Heading2"/>
        <w:numPr>
          <w:ilvl w:val="0"/>
          <w:numId w:val="0"/>
        </w:numPr>
      </w:pPr>
      <w:bookmarkStart w:id="2" w:name="_Toc109149584"/>
      <w:r>
        <w:t>1.</w:t>
      </w:r>
      <w:r>
        <w:tab/>
      </w:r>
      <w:r w:rsidRPr="00CE28E3">
        <w:t xml:space="preserve">Purpose </w:t>
      </w:r>
      <w:r w:rsidRPr="00CE28E3">
        <w:rPr>
          <w:szCs w:val="32"/>
        </w:rPr>
        <w:t>of</w:t>
      </w:r>
      <w:r w:rsidRPr="00CE28E3">
        <w:t xml:space="preserve"> application</w:t>
      </w:r>
      <w:bookmarkEnd w:id="2"/>
    </w:p>
    <w:p w14:paraId="4E8B7A6A" w14:textId="77777777" w:rsidR="00865C25" w:rsidRDefault="00865C25" w:rsidP="00865C25">
      <w:pPr>
        <w:spacing w:after="240"/>
        <w:rPr>
          <w:iCs/>
        </w:rPr>
      </w:pPr>
      <w:bookmarkStart w:id="3" w:name="_Hlk69734469"/>
      <w:r w:rsidRPr="009A3778">
        <w:rPr>
          <w:iCs/>
        </w:rPr>
        <w:t>An application re</w:t>
      </w:r>
      <w:r w:rsidRPr="0075288D">
        <w:rPr>
          <w:iCs/>
        </w:rPr>
        <w:t>questing Medicare Benefits Schedule (MBS) listing for</w:t>
      </w:r>
      <w:r>
        <w:rPr>
          <w:iCs/>
        </w:rPr>
        <w:t xml:space="preserve"> small next generation sequencing (NGS) panels</w:t>
      </w:r>
      <w:r w:rsidRPr="009A3778">
        <w:rPr>
          <w:iCs/>
        </w:rPr>
        <w:t xml:space="preserve"> for </w:t>
      </w:r>
      <w:r>
        <w:rPr>
          <w:iCs/>
        </w:rPr>
        <w:t xml:space="preserve">biomarker testing of patients with non-squamous (or histology not otherwise specified) non-small cell lung cancer (NSCLC), </w:t>
      </w:r>
      <w:r w:rsidRPr="009A3778">
        <w:rPr>
          <w:iCs/>
        </w:rPr>
        <w:t xml:space="preserve">was received from the </w:t>
      </w:r>
      <w:r>
        <w:rPr>
          <w:iCs/>
        </w:rPr>
        <w:t>Royal College of Pathologists of Australasia (RCPA)</w:t>
      </w:r>
      <w:r w:rsidRPr="009A3778">
        <w:rPr>
          <w:iCs/>
        </w:rPr>
        <w:t xml:space="preserve"> by the Department of Health</w:t>
      </w:r>
      <w:r>
        <w:rPr>
          <w:iCs/>
        </w:rPr>
        <w:t xml:space="preserve"> and Aged Care</w:t>
      </w:r>
      <w:r w:rsidRPr="009A3778">
        <w:rPr>
          <w:iCs/>
        </w:rPr>
        <w:t>.</w:t>
      </w:r>
      <w:r>
        <w:rPr>
          <w:iCs/>
        </w:rPr>
        <w:t xml:space="preserve"> In this case, biomarker testing is for the purposes of determining suitability for targeted treatments for non-squamous NSCLC, available through the Pharmaceutical Benefits Scheme (PBS).</w:t>
      </w:r>
    </w:p>
    <w:p w14:paraId="57E40D12" w14:textId="77777777" w:rsidR="00865C25" w:rsidRDefault="00865C25" w:rsidP="00865C25">
      <w:pPr>
        <w:spacing w:after="240"/>
        <w:rPr>
          <w:iCs/>
        </w:rPr>
      </w:pPr>
      <w:r>
        <w:rPr>
          <w:iCs/>
        </w:rPr>
        <w:t>The clinical claim is that the use of either a small combined deoxyribonucleic acid (DNA) and ribonucleic acid (RNA) NGS panel, or sequential use of a DNA panel and (if required) an RNA panel, would be superior in effectiveness and safety compared to sequential single-gene testing for biomarkers in patients with NSCLC. This is due to a small panel (or two) making more efficient use of tumour tissue, resulting in fewer re-biopsies being required, a more rapid turnaround time, and faster initiation of targeted treatment.</w:t>
      </w:r>
    </w:p>
    <w:p w14:paraId="62D66033" w14:textId="4FA7C9C3" w:rsidR="00865C25" w:rsidRDefault="00865C25" w:rsidP="00865C25">
      <w:pPr>
        <w:spacing w:after="240"/>
        <w:rPr>
          <w:iCs/>
        </w:rPr>
      </w:pPr>
      <w:r>
        <w:rPr>
          <w:iCs/>
        </w:rPr>
        <w:t>This Department Contracted Assessment Report (DCAR) assessed the safety, effectiveness, and cost-effectiveness of small NGS panels compared to sequential single gene testing, to provide the evidence-base for the Medical Services Advisory Committee (MSAC) to decide its advice regarding funding on the MBS.</w:t>
      </w:r>
    </w:p>
    <w:p w14:paraId="4A5C592D" w14:textId="77777777" w:rsidR="00813A4A" w:rsidRDefault="00813A4A" w:rsidP="00813A4A">
      <w:pPr>
        <w:pStyle w:val="Heading2"/>
        <w:numPr>
          <w:ilvl w:val="0"/>
          <w:numId w:val="0"/>
        </w:numPr>
      </w:pPr>
      <w:r>
        <w:t>2.</w:t>
      </w:r>
      <w:r>
        <w:tab/>
        <w:t>MSAC’s advice to the Minister</w:t>
      </w:r>
    </w:p>
    <w:p w14:paraId="53D5F008" w14:textId="3912A113" w:rsidR="00813A4A" w:rsidRPr="00BD7A3F" w:rsidRDefault="00813A4A" w:rsidP="00813A4A">
      <w:pPr>
        <w:spacing w:after="240"/>
        <w:rPr>
          <w:color w:val="FF0000"/>
        </w:rPr>
      </w:pPr>
      <w:r>
        <w:t xml:space="preserve">After considering the strength of the available evidence in relation to comparative safety, clinical effectiveness, </w:t>
      </w:r>
      <w:proofErr w:type="gramStart"/>
      <w:r>
        <w:t>cost-effectiveness</w:t>
      </w:r>
      <w:proofErr w:type="gramEnd"/>
      <w:r>
        <w:t xml:space="preserve"> and total cost, </w:t>
      </w:r>
      <w:r>
        <w:rPr>
          <w:szCs w:val="24"/>
        </w:rPr>
        <w:t>MSAC</w:t>
      </w:r>
      <w:r w:rsidR="00D62C1F">
        <w:rPr>
          <w:szCs w:val="24"/>
        </w:rPr>
        <w:t xml:space="preserve"> </w:t>
      </w:r>
      <w:r w:rsidR="00332D97" w:rsidRPr="00F337A2">
        <w:rPr>
          <w:rFonts w:cstheme="minorHAnsi"/>
        </w:rPr>
        <w:t>supported the creation of new Medicare Benefits Schedule (MBS) item</w:t>
      </w:r>
      <w:r w:rsidR="00332D97">
        <w:rPr>
          <w:rFonts w:cstheme="minorHAnsi"/>
        </w:rPr>
        <w:t>s</w:t>
      </w:r>
      <w:r w:rsidR="00332D97" w:rsidRPr="00F337A2">
        <w:rPr>
          <w:rFonts w:cstheme="minorHAnsi"/>
        </w:rPr>
        <w:t xml:space="preserve"> for small NGS panels for biomarker testing of patients with non-squamous (or histology not otherwise specified) NSCLC. </w:t>
      </w:r>
      <w:r w:rsidR="00332D97">
        <w:rPr>
          <w:rFonts w:cstheme="minorHAnsi"/>
        </w:rPr>
        <w:t xml:space="preserve">MSAC did not support the expansion of the new test item to include patients with squamous NSCLC because it was rare for these patients to harbour the variants covered in the supported NSCLC panels. </w:t>
      </w:r>
      <w:r w:rsidR="00332D97" w:rsidRPr="00F337A2">
        <w:rPr>
          <w:rFonts w:cstheme="minorHAnsi"/>
        </w:rPr>
        <w:t xml:space="preserve">MSAC considered that the evidence for small gene panel testing demonstrated its superior effectiveness because of its improved test success </w:t>
      </w:r>
      <w:r w:rsidR="00332D97" w:rsidRPr="002F72D8">
        <w:rPr>
          <w:rFonts w:cstheme="minorHAnsi"/>
        </w:rPr>
        <w:t xml:space="preserve">rate (i.e., more samples with </w:t>
      </w:r>
      <w:proofErr w:type="gramStart"/>
      <w:r w:rsidR="00332D97" w:rsidRPr="002F72D8">
        <w:rPr>
          <w:rFonts w:cstheme="minorHAnsi"/>
        </w:rPr>
        <w:t>sufficient quantity</w:t>
      </w:r>
      <w:proofErr w:type="gramEnd"/>
      <w:r w:rsidR="00332D97" w:rsidRPr="002F72D8">
        <w:rPr>
          <w:rFonts w:cstheme="minorHAnsi"/>
        </w:rPr>
        <w:t xml:space="preserve"> and/or quality to be able to be successfully tested for variants), improved </w:t>
      </w:r>
      <w:r w:rsidR="00332D97" w:rsidRPr="00F337A2">
        <w:rPr>
          <w:rFonts w:cstheme="minorHAnsi"/>
        </w:rPr>
        <w:t xml:space="preserve">variant detection rate and superior safety due </w:t>
      </w:r>
      <w:r w:rsidR="00332D97">
        <w:rPr>
          <w:rFonts w:cstheme="minorHAnsi"/>
        </w:rPr>
        <w:t>to the</w:t>
      </w:r>
      <w:r w:rsidR="00332D97" w:rsidRPr="00F337A2">
        <w:rPr>
          <w:rFonts w:cstheme="minorHAnsi"/>
        </w:rPr>
        <w:t xml:space="preserve"> reduced </w:t>
      </w:r>
      <w:r w:rsidR="00332D97">
        <w:rPr>
          <w:rFonts w:cstheme="minorHAnsi"/>
        </w:rPr>
        <w:t xml:space="preserve">need for </w:t>
      </w:r>
      <w:r w:rsidR="00332D97" w:rsidRPr="00F337A2">
        <w:rPr>
          <w:rFonts w:cstheme="minorHAnsi"/>
        </w:rPr>
        <w:t>re</w:t>
      </w:r>
      <w:r w:rsidR="00C64B25">
        <w:rPr>
          <w:rFonts w:cstheme="minorHAnsi"/>
        </w:rPr>
        <w:t>-</w:t>
      </w:r>
      <w:r w:rsidR="00332D97" w:rsidRPr="00F337A2">
        <w:rPr>
          <w:rFonts w:cstheme="minorHAnsi"/>
        </w:rPr>
        <w:t>biopsy</w:t>
      </w:r>
      <w:r w:rsidR="00C64B25">
        <w:rPr>
          <w:rFonts w:cstheme="minorHAnsi"/>
        </w:rPr>
        <w:t xml:space="preserve"> </w:t>
      </w:r>
      <w:r w:rsidR="00332D97" w:rsidRPr="00F337A2">
        <w:rPr>
          <w:rFonts w:cstheme="minorHAnsi"/>
        </w:rPr>
        <w:t>compared with sequential single gene tests</w:t>
      </w:r>
      <w:r w:rsidR="006D15D2">
        <w:rPr>
          <w:rFonts w:cstheme="minorHAnsi"/>
        </w:rPr>
        <w:t xml:space="preserve">. </w:t>
      </w:r>
      <w:r w:rsidR="006123C8">
        <w:rPr>
          <w:rFonts w:cstheme="minorHAnsi"/>
        </w:rPr>
        <w:t>MSAC considered there to be</w:t>
      </w:r>
      <w:r w:rsidR="00332D97" w:rsidRPr="00F337A2">
        <w:rPr>
          <w:rFonts w:cstheme="minorHAnsi"/>
        </w:rPr>
        <w:t xml:space="preserve"> acceptable cost effectiveness and financial implications.</w:t>
      </w:r>
    </w:p>
    <w:p w14:paraId="135C465A" w14:textId="7F178D85" w:rsidR="00C26545" w:rsidRPr="00D534FA" w:rsidRDefault="00C26545" w:rsidP="00813A4A">
      <w:pPr>
        <w:spacing w:after="240"/>
        <w:rPr>
          <w:szCs w:val="24"/>
        </w:rPr>
      </w:pPr>
      <w:r w:rsidRPr="00BD7A3F">
        <w:rPr>
          <w:szCs w:val="24"/>
        </w:rPr>
        <w:lastRenderedPageBreak/>
        <w:t xml:space="preserve">MSAC also supported amendments to the existing MBS items for </w:t>
      </w:r>
      <w:r w:rsidRPr="00D534FA">
        <w:rPr>
          <w:rFonts w:eastAsia="Times New Roman" w:cs="Calibri"/>
          <w:lang w:eastAsia="en-AU"/>
        </w:rPr>
        <w:t>sequential single gene tests.</w:t>
      </w:r>
    </w:p>
    <w:tbl>
      <w:tblPr>
        <w:tblStyle w:val="TableGrid"/>
        <w:tblW w:w="0" w:type="auto"/>
        <w:tblLook w:val="04A0" w:firstRow="1" w:lastRow="0" w:firstColumn="1" w:lastColumn="0" w:noHBand="0" w:noVBand="1"/>
        <w:tblDescription w:val="Consumer summary of MSAC consideration"/>
      </w:tblPr>
      <w:tblGrid>
        <w:gridCol w:w="9016"/>
      </w:tblGrid>
      <w:tr w:rsidR="00813A4A" w14:paraId="5E2BEF68" w14:textId="77777777" w:rsidTr="009F74CA">
        <w:trPr>
          <w:tblHeader/>
        </w:trPr>
        <w:tc>
          <w:tcPr>
            <w:tcW w:w="9016" w:type="dxa"/>
            <w:tcBorders>
              <w:top w:val="single" w:sz="4" w:space="0" w:color="auto"/>
              <w:left w:val="single" w:sz="4" w:space="0" w:color="auto"/>
              <w:bottom w:val="single" w:sz="4" w:space="0" w:color="auto"/>
              <w:right w:val="single" w:sz="4" w:space="0" w:color="auto"/>
            </w:tcBorders>
            <w:hideMark/>
          </w:tcPr>
          <w:p w14:paraId="51665732" w14:textId="77777777" w:rsidR="00813A4A" w:rsidRPr="00E96E47" w:rsidRDefault="00813A4A" w:rsidP="009F74CA">
            <w:pPr>
              <w:pStyle w:val="Default"/>
              <w:spacing w:before="120" w:after="120"/>
              <w:rPr>
                <w:rFonts w:ascii="Franklin Gothic Book" w:hAnsi="Franklin Gothic Book"/>
                <w:b/>
                <w:bCs/>
                <w:color w:val="auto"/>
                <w:sz w:val="22"/>
                <w:szCs w:val="22"/>
              </w:rPr>
            </w:pPr>
            <w:r w:rsidRPr="00E96E47">
              <w:rPr>
                <w:rFonts w:ascii="Franklin Gothic Book" w:hAnsi="Franklin Gothic Book"/>
                <w:b/>
                <w:bCs/>
                <w:color w:val="auto"/>
                <w:sz w:val="22"/>
                <w:szCs w:val="22"/>
              </w:rPr>
              <w:t>Consumer summary</w:t>
            </w:r>
          </w:p>
        </w:tc>
      </w:tr>
      <w:tr w:rsidR="00813A4A" w14:paraId="6B72B7CD" w14:textId="77777777" w:rsidTr="009F74CA">
        <w:tc>
          <w:tcPr>
            <w:tcW w:w="9016" w:type="dxa"/>
            <w:tcBorders>
              <w:top w:val="single" w:sz="4" w:space="0" w:color="auto"/>
              <w:left w:val="single" w:sz="4" w:space="0" w:color="auto"/>
              <w:bottom w:val="single" w:sz="4" w:space="0" w:color="auto"/>
              <w:right w:val="single" w:sz="4" w:space="0" w:color="auto"/>
            </w:tcBorders>
            <w:hideMark/>
          </w:tcPr>
          <w:p w14:paraId="631A9437" w14:textId="77777777" w:rsidR="00D62C1F" w:rsidRDefault="00D62C1F" w:rsidP="00D62C1F">
            <w:r w:rsidRPr="00AF46D8">
              <w:t xml:space="preserve">This is an application from </w:t>
            </w:r>
            <w:r>
              <w:t xml:space="preserve">the </w:t>
            </w:r>
            <w:r w:rsidRPr="00832711">
              <w:t xml:space="preserve">Royal College of Pathologists of Australasia </w:t>
            </w:r>
            <w:r w:rsidRPr="00AF46D8">
              <w:t>requesting Medicare Benefits Schedule (MBS) listing of</w:t>
            </w:r>
            <w:r>
              <w:t xml:space="preserve"> gene panel testing for people with </w:t>
            </w:r>
            <w:r w:rsidRPr="00832711">
              <w:t>non-squamous non-small cell lung cancer (NSCLC)</w:t>
            </w:r>
            <w:r>
              <w:t xml:space="preserve">. This genetic testing is used to determine who can access certain types of drugs on the Pharmaceutical Benefits Scheme (PBS). </w:t>
            </w:r>
          </w:p>
          <w:p w14:paraId="0DB4FD51" w14:textId="538B9C45" w:rsidR="00D62C1F" w:rsidRDefault="00D62C1F" w:rsidP="00D62C1F">
            <w:r>
              <w:t xml:space="preserve">It is common for some types of cancers to have certain </w:t>
            </w:r>
            <w:r w:rsidR="007211E5">
              <w:t xml:space="preserve">harmful </w:t>
            </w:r>
            <w:r w:rsidR="001658E0">
              <w:t>genetic changes</w:t>
            </w:r>
            <w:r w:rsidR="00C64B25">
              <w:t xml:space="preserve"> </w:t>
            </w:r>
            <w:r w:rsidR="007211E5">
              <w:t>that</w:t>
            </w:r>
            <w:r>
              <w:t xml:space="preserve"> can be used as targets for treatments. T</w:t>
            </w:r>
            <w:r w:rsidR="007211E5">
              <w:t>hese t</w:t>
            </w:r>
            <w:r>
              <w:t xml:space="preserve">argeted treatments don’t work for people </w:t>
            </w:r>
            <w:r w:rsidR="001658E0">
              <w:t xml:space="preserve">who do not </w:t>
            </w:r>
            <w:r w:rsidR="00C26545">
              <w:t>have</w:t>
            </w:r>
            <w:r w:rsidR="001658E0">
              <w:t xml:space="preserve"> </w:t>
            </w:r>
            <w:r w:rsidR="00332D97">
              <w:t xml:space="preserve">a </w:t>
            </w:r>
            <w:r>
              <w:t xml:space="preserve">target </w:t>
            </w:r>
            <w:r w:rsidR="00332D97">
              <w:t xml:space="preserve">gene </w:t>
            </w:r>
            <w:r>
              <w:t xml:space="preserve">variant, so genetic testing </w:t>
            </w:r>
            <w:r w:rsidR="007211E5">
              <w:t>is needed t</w:t>
            </w:r>
            <w:r>
              <w:t xml:space="preserve">o </w:t>
            </w:r>
            <w:r w:rsidR="00332D97">
              <w:t>determine</w:t>
            </w:r>
            <w:r>
              <w:t xml:space="preserve"> if someone should receive a certain treatment or not. For NSCLC, the most common </w:t>
            </w:r>
            <w:r w:rsidR="007211E5">
              <w:t xml:space="preserve">harmful </w:t>
            </w:r>
            <w:r>
              <w:t xml:space="preserve">gene variants are in the </w:t>
            </w:r>
            <w:r w:rsidRPr="00832711">
              <w:rPr>
                <w:i/>
                <w:iCs/>
              </w:rPr>
              <w:t>EGFR</w:t>
            </w:r>
            <w:r w:rsidRPr="00832711">
              <w:t xml:space="preserve">, </w:t>
            </w:r>
            <w:r w:rsidRPr="00832711">
              <w:rPr>
                <w:i/>
                <w:iCs/>
              </w:rPr>
              <w:t>ALK</w:t>
            </w:r>
            <w:r>
              <w:rPr>
                <w:i/>
                <w:iCs/>
              </w:rPr>
              <w:t>,</w:t>
            </w:r>
            <w:r w:rsidRPr="00832711">
              <w:t xml:space="preserve"> </w:t>
            </w:r>
            <w:r w:rsidRPr="00832711">
              <w:rPr>
                <w:i/>
                <w:iCs/>
              </w:rPr>
              <w:t>ROS1</w:t>
            </w:r>
            <w:r>
              <w:rPr>
                <w:i/>
                <w:iCs/>
              </w:rPr>
              <w:t xml:space="preserve"> </w:t>
            </w:r>
            <w:r w:rsidRPr="00792091">
              <w:t>and</w:t>
            </w:r>
            <w:r>
              <w:rPr>
                <w:i/>
                <w:iCs/>
              </w:rPr>
              <w:t xml:space="preserve"> </w:t>
            </w:r>
            <w:r w:rsidRPr="00AE3706">
              <w:rPr>
                <w:i/>
                <w:iCs/>
              </w:rPr>
              <w:t>MET</w:t>
            </w:r>
            <w:r>
              <w:rPr>
                <w:i/>
                <w:iCs/>
              </w:rPr>
              <w:t xml:space="preserve"> </w:t>
            </w:r>
            <w:r w:rsidRPr="00792091">
              <w:t>genes</w:t>
            </w:r>
            <w:r>
              <w:t xml:space="preserve">. Currently, people with NSCLC are tested for these gene variants sequentially – that is, one after another. This application is for a gene panel, which means the laboratory can test for all the gene variants at once. </w:t>
            </w:r>
            <w:r w:rsidR="00223969">
              <w:t xml:space="preserve">The gene panel approach means that testing </w:t>
            </w:r>
            <w:r w:rsidR="007211E5">
              <w:t>doesn’t use</w:t>
            </w:r>
            <w:r w:rsidR="00223969">
              <w:t xml:space="preserve"> as much tumour tissue</w:t>
            </w:r>
            <w:r w:rsidR="00AF5371">
              <w:t xml:space="preserve"> </w:t>
            </w:r>
            <w:r w:rsidR="00223969">
              <w:t>to get a test result and they can get multiple results</w:t>
            </w:r>
            <w:r w:rsidR="00332D97">
              <w:t xml:space="preserve"> at the same time</w:t>
            </w:r>
            <w:r w:rsidR="00223969">
              <w:t xml:space="preserve"> from the same tumour </w:t>
            </w:r>
            <w:r w:rsidR="007211E5">
              <w:t>sample</w:t>
            </w:r>
            <w:r w:rsidR="00A35937">
              <w:t>.</w:t>
            </w:r>
            <w:r w:rsidR="00223969">
              <w:t xml:space="preserve"> </w:t>
            </w:r>
          </w:p>
          <w:p w14:paraId="7366BF26" w14:textId="38BEDAF6" w:rsidR="00D62C1F" w:rsidRDefault="00D62C1F" w:rsidP="00D62C1F">
            <w:r>
              <w:t xml:space="preserve">MSAC determined that it made sense for people to have access to this type of gene testing, because using a gene panel </w:t>
            </w:r>
            <w:r w:rsidR="00C26545">
              <w:t>makes</w:t>
            </w:r>
            <w:r w:rsidR="00223969">
              <w:t xml:space="preserve"> </w:t>
            </w:r>
            <w:r w:rsidR="007211E5">
              <w:t>best</w:t>
            </w:r>
            <w:r w:rsidR="00223969">
              <w:t xml:space="preserve"> use of the tumour tissue </w:t>
            </w:r>
            <w:r w:rsidR="007211E5">
              <w:t>available</w:t>
            </w:r>
            <w:r w:rsidR="00223969">
              <w:t xml:space="preserve"> </w:t>
            </w:r>
            <w:r w:rsidR="00F5521A">
              <w:t>for testing</w:t>
            </w:r>
            <w:r w:rsidR="007211E5">
              <w:t xml:space="preserve">, making </w:t>
            </w:r>
            <w:r w:rsidR="00223969">
              <w:t>it safer (</w:t>
            </w:r>
            <w:r w:rsidR="00C26545">
              <w:t>as</w:t>
            </w:r>
            <w:r w:rsidR="00C64B25">
              <w:t xml:space="preserve"> </w:t>
            </w:r>
            <w:r w:rsidR="007211E5">
              <w:t>less</w:t>
            </w:r>
            <w:r w:rsidR="00223969">
              <w:t xml:space="preserve"> biopsies</w:t>
            </w:r>
            <w:r w:rsidR="007211E5">
              <w:t xml:space="preserve"> are needed)</w:t>
            </w:r>
            <w:r w:rsidR="00223969">
              <w:t xml:space="preserve"> </w:t>
            </w:r>
            <w:r w:rsidR="00F5521A">
              <w:t xml:space="preserve">as well as potentially </w:t>
            </w:r>
            <w:r>
              <w:t>cheaper and faster than testing one gene at a time</w:t>
            </w:r>
            <w:r w:rsidR="007211E5">
              <w:t>.</w:t>
            </w:r>
            <w:r w:rsidR="007211E5" w:rsidDel="007211E5">
              <w:t xml:space="preserve"> </w:t>
            </w:r>
            <w:r>
              <w:t xml:space="preserve">MSAC noted that it is not appropriate to use the gene panel testing for people with </w:t>
            </w:r>
            <w:r w:rsidRPr="00C30366">
              <w:t xml:space="preserve">squamous cell carcinomas </w:t>
            </w:r>
            <w:r>
              <w:t>(SCCs)</w:t>
            </w:r>
            <w:r w:rsidR="007211E5">
              <w:t xml:space="preserve"> as it </w:t>
            </w:r>
            <w:r>
              <w:t xml:space="preserve">is rare for people with SCCs to have gene variants in their </w:t>
            </w:r>
            <w:r w:rsidRPr="00832711">
              <w:rPr>
                <w:i/>
                <w:iCs/>
              </w:rPr>
              <w:t>EGFR</w:t>
            </w:r>
            <w:r w:rsidRPr="00832711">
              <w:t xml:space="preserve">, </w:t>
            </w:r>
            <w:r w:rsidRPr="00832711">
              <w:rPr>
                <w:i/>
                <w:iCs/>
              </w:rPr>
              <w:t>ALK</w:t>
            </w:r>
            <w:r>
              <w:rPr>
                <w:i/>
                <w:iCs/>
              </w:rPr>
              <w:t xml:space="preserve"> </w:t>
            </w:r>
            <w:r w:rsidRPr="00826E6A">
              <w:t>and</w:t>
            </w:r>
            <w:r w:rsidRPr="00832711">
              <w:t xml:space="preserve"> </w:t>
            </w:r>
            <w:r w:rsidRPr="00832711">
              <w:rPr>
                <w:i/>
                <w:iCs/>
              </w:rPr>
              <w:t>ROS1</w:t>
            </w:r>
            <w:r>
              <w:rPr>
                <w:i/>
                <w:iCs/>
              </w:rPr>
              <w:t xml:space="preserve"> </w:t>
            </w:r>
            <w:r>
              <w:t xml:space="preserve">genes. They do sometimes have </w:t>
            </w:r>
            <w:r w:rsidR="007211E5">
              <w:t xml:space="preserve">harmful </w:t>
            </w:r>
            <w:r>
              <w:t xml:space="preserve">variants in their </w:t>
            </w:r>
            <w:r w:rsidRPr="00826E6A">
              <w:rPr>
                <w:i/>
                <w:iCs/>
              </w:rPr>
              <w:t>MET</w:t>
            </w:r>
            <w:r>
              <w:t xml:space="preserve"> genes, and these people will still be able to access </w:t>
            </w:r>
            <w:r w:rsidRPr="00826E6A">
              <w:rPr>
                <w:i/>
                <w:iCs/>
              </w:rPr>
              <w:t>MET</w:t>
            </w:r>
            <w:r>
              <w:t xml:space="preserve"> gene testing</w:t>
            </w:r>
            <w:r w:rsidR="007211E5">
              <w:t>.</w:t>
            </w:r>
          </w:p>
          <w:p w14:paraId="5E493AE8" w14:textId="77777777" w:rsidR="00813A4A" w:rsidRPr="000B5E96" w:rsidRDefault="00813A4A" w:rsidP="00D62C1F">
            <w:pPr>
              <w:pStyle w:val="Default"/>
              <w:spacing w:before="240" w:after="240"/>
              <w:rPr>
                <w:rFonts w:ascii="Franklin Gothic Book" w:hAnsi="Franklin Gothic Book"/>
                <w:b/>
                <w:bCs/>
                <w:iCs/>
                <w:color w:val="auto"/>
                <w:sz w:val="22"/>
                <w:szCs w:val="22"/>
              </w:rPr>
            </w:pPr>
            <w:r w:rsidRPr="000B5E96">
              <w:rPr>
                <w:rFonts w:ascii="Franklin Gothic Book" w:hAnsi="Franklin Gothic Book"/>
                <w:b/>
                <w:bCs/>
                <w:iCs/>
                <w:color w:val="auto"/>
                <w:sz w:val="22"/>
                <w:szCs w:val="22"/>
              </w:rPr>
              <w:t xml:space="preserve">MSAC’s advice to the </w:t>
            </w:r>
            <w:proofErr w:type="gramStart"/>
            <w:r w:rsidRPr="000B5E96">
              <w:rPr>
                <w:rFonts w:ascii="Franklin Gothic Book" w:hAnsi="Franklin Gothic Book"/>
                <w:b/>
                <w:bCs/>
                <w:iCs/>
                <w:color w:val="auto"/>
                <w:sz w:val="22"/>
                <w:szCs w:val="22"/>
              </w:rPr>
              <w:t>Commonwealth Minister</w:t>
            </w:r>
            <w:proofErr w:type="gramEnd"/>
            <w:r w:rsidRPr="000B5E96">
              <w:rPr>
                <w:rFonts w:ascii="Franklin Gothic Book" w:hAnsi="Franklin Gothic Book"/>
                <w:b/>
                <w:bCs/>
                <w:iCs/>
                <w:color w:val="auto"/>
                <w:sz w:val="22"/>
                <w:szCs w:val="22"/>
              </w:rPr>
              <w:t xml:space="preserve"> for Health</w:t>
            </w:r>
            <w:r>
              <w:rPr>
                <w:rFonts w:ascii="Franklin Gothic Book" w:hAnsi="Franklin Gothic Book"/>
                <w:b/>
                <w:bCs/>
                <w:iCs/>
                <w:color w:val="auto"/>
                <w:sz w:val="22"/>
                <w:szCs w:val="22"/>
              </w:rPr>
              <w:t xml:space="preserve"> and Aged Care</w:t>
            </w:r>
          </w:p>
          <w:p w14:paraId="06BF6D51" w14:textId="0BDCBB18" w:rsidR="00813A4A" w:rsidRDefault="00C442FF" w:rsidP="009F74CA">
            <w:pPr>
              <w:pStyle w:val="Default"/>
              <w:spacing w:after="240"/>
              <w:rPr>
                <w:rFonts w:ascii="Franklin Gothic Book" w:hAnsi="Franklin Gothic Book"/>
                <w:iCs/>
                <w:color w:val="auto"/>
                <w:sz w:val="22"/>
                <w:szCs w:val="22"/>
              </w:rPr>
            </w:pPr>
            <w:r w:rsidRPr="00C442FF">
              <w:rPr>
                <w:rFonts w:ascii="Franklin Gothic Book" w:eastAsia="Times New Roman" w:hAnsi="Franklin Gothic Book" w:cs="Calibri"/>
                <w:color w:val="auto"/>
                <w:sz w:val="22"/>
                <w:szCs w:val="22"/>
                <w:lang w:eastAsia="en-AU"/>
              </w:rPr>
              <w:t xml:space="preserve">MSAC supported the creation of new Medicare Benefits Schedule (MBS) items for small next generation sequencing (NGS) panels for biomarker testing of patients with non-squamous (or histology not otherwise specified) non-small cell lung cancer (NSCLC). MSAC did not support the expansion of the new test item to include patients with squamous NSCLC because it was rare for these patients to harbour the variants covered in the supported NSCLC panels. MSAC considered that the evidence for small gene panel testing demonstrated its superior effectiveness because of its improved test success rate (i.e., more samples with </w:t>
            </w:r>
            <w:proofErr w:type="gramStart"/>
            <w:r w:rsidRPr="00C442FF">
              <w:rPr>
                <w:rFonts w:ascii="Franklin Gothic Book" w:eastAsia="Times New Roman" w:hAnsi="Franklin Gothic Book" w:cs="Calibri"/>
                <w:color w:val="auto"/>
                <w:sz w:val="22"/>
                <w:szCs w:val="22"/>
                <w:lang w:eastAsia="en-AU"/>
              </w:rPr>
              <w:t>sufficient quantity</w:t>
            </w:r>
            <w:proofErr w:type="gramEnd"/>
            <w:r w:rsidRPr="00C442FF">
              <w:rPr>
                <w:rFonts w:ascii="Franklin Gothic Book" w:eastAsia="Times New Roman" w:hAnsi="Franklin Gothic Book" w:cs="Calibri"/>
                <w:color w:val="auto"/>
                <w:sz w:val="22"/>
                <w:szCs w:val="22"/>
                <w:lang w:eastAsia="en-AU"/>
              </w:rPr>
              <w:t xml:space="preserve"> and/or quality to be able to be successfully tested for variants), improved variant detection rate and superior safety due to the reduced need for rebiopsy compared with sequential single gene tests,</w:t>
            </w:r>
            <w:r w:rsidR="0097256D">
              <w:rPr>
                <w:rFonts w:ascii="Franklin Gothic Book" w:eastAsia="Times New Roman" w:hAnsi="Franklin Gothic Book" w:cs="Calibri"/>
                <w:color w:val="auto"/>
                <w:sz w:val="22"/>
                <w:szCs w:val="22"/>
                <w:lang w:eastAsia="en-AU"/>
              </w:rPr>
              <w:t xml:space="preserve"> </w:t>
            </w:r>
            <w:r w:rsidR="006123C8">
              <w:rPr>
                <w:rFonts w:ascii="Franklin Gothic Book" w:eastAsia="Times New Roman" w:hAnsi="Franklin Gothic Book" w:cs="Calibri"/>
                <w:color w:val="auto"/>
                <w:sz w:val="22"/>
                <w:szCs w:val="22"/>
                <w:lang w:eastAsia="en-AU"/>
              </w:rPr>
              <w:t>MSAC considered there to be</w:t>
            </w:r>
            <w:r w:rsidRPr="00C442FF">
              <w:rPr>
                <w:rFonts w:ascii="Franklin Gothic Book" w:eastAsia="Times New Roman" w:hAnsi="Franklin Gothic Book" w:cs="Calibri"/>
                <w:color w:val="auto"/>
                <w:sz w:val="22"/>
                <w:szCs w:val="22"/>
                <w:lang w:eastAsia="en-AU"/>
              </w:rPr>
              <w:t xml:space="preserve"> acceptable cost effectiveness and financial implications</w:t>
            </w:r>
            <w:r w:rsidR="00D62C1F" w:rsidRPr="00D62C1F">
              <w:rPr>
                <w:rFonts w:ascii="Franklin Gothic Book" w:hAnsi="Franklin Gothic Book"/>
                <w:iCs/>
                <w:color w:val="auto"/>
                <w:sz w:val="22"/>
                <w:szCs w:val="22"/>
              </w:rPr>
              <w:t>.</w:t>
            </w:r>
          </w:p>
          <w:p w14:paraId="3A65B8E3" w14:textId="35BABC5C" w:rsidR="00813A4A" w:rsidRPr="00BD7A3F" w:rsidRDefault="00C26545" w:rsidP="00BD7A3F">
            <w:pPr>
              <w:spacing w:after="240"/>
            </w:pPr>
            <w:r w:rsidRPr="006D15D2">
              <w:rPr>
                <w:szCs w:val="24"/>
              </w:rPr>
              <w:t xml:space="preserve">MSAC also supported amendments to the existing MBS items for </w:t>
            </w:r>
            <w:r w:rsidRPr="00C442FF">
              <w:rPr>
                <w:rFonts w:eastAsia="Times New Roman" w:cs="Calibri"/>
                <w:lang w:eastAsia="en-AU"/>
              </w:rPr>
              <w:t>sequential single gene tests</w:t>
            </w:r>
            <w:r>
              <w:rPr>
                <w:rFonts w:eastAsia="Times New Roman" w:cs="Calibri"/>
                <w:lang w:eastAsia="en-AU"/>
              </w:rPr>
              <w:t>.</w:t>
            </w:r>
          </w:p>
        </w:tc>
      </w:tr>
    </w:tbl>
    <w:p w14:paraId="2B021D6C" w14:textId="77777777" w:rsidR="00813A4A" w:rsidRDefault="00813A4A" w:rsidP="00813A4A">
      <w:pPr>
        <w:pStyle w:val="Heading2"/>
        <w:numPr>
          <w:ilvl w:val="0"/>
          <w:numId w:val="0"/>
        </w:numPr>
      </w:pPr>
      <w:r>
        <w:t>3.</w:t>
      </w:r>
      <w:r>
        <w:tab/>
        <w:t>Summary of consideration and rationale for MSAC’s advice</w:t>
      </w:r>
    </w:p>
    <w:p w14:paraId="3D262317" w14:textId="02E1D26D" w:rsidR="00D62C1F" w:rsidRDefault="00D62C1F" w:rsidP="00D62C1F">
      <w:r w:rsidRPr="00516D4E">
        <w:t>MSAC</w:t>
      </w:r>
      <w:r>
        <w:t xml:space="preserve"> noted that this application was from the </w:t>
      </w:r>
      <w:r w:rsidRPr="00832711">
        <w:t>Royal College of Pathologists of Australasia (RCPA)</w:t>
      </w:r>
      <w:r>
        <w:t xml:space="preserve"> for </w:t>
      </w:r>
      <w:r w:rsidRPr="00832711">
        <w:t>public funding under the MB</w:t>
      </w:r>
      <w:r w:rsidR="00310FF0">
        <w:t>S</w:t>
      </w:r>
      <w:r w:rsidRPr="00832711">
        <w:t xml:space="preserve"> for simultaneous testing of multiple, actionable variants that are responsive to Pharmaceutical Benefits Scheme (PBS)</w:t>
      </w:r>
      <w:r>
        <w:t>-</w:t>
      </w:r>
      <w:r w:rsidRPr="00832711">
        <w:t>listed therapies</w:t>
      </w:r>
      <w:r>
        <w:t xml:space="preserve">. The test would </w:t>
      </w:r>
      <w:r w:rsidRPr="00832711">
        <w:t>us</w:t>
      </w:r>
      <w:r>
        <w:t>e</w:t>
      </w:r>
      <w:r w:rsidRPr="00832711">
        <w:t xml:space="preserve"> small NGS gene panels in patients diagnosed with non-squamous </w:t>
      </w:r>
      <w:r w:rsidR="00ED6741" w:rsidRPr="00C442FF">
        <w:rPr>
          <w:rFonts w:eastAsia="Times New Roman" w:cs="Calibri"/>
          <w:lang w:eastAsia="en-AU"/>
        </w:rPr>
        <w:t>(or histology not otherwise specified)</w:t>
      </w:r>
      <w:r w:rsidR="00ED6741">
        <w:rPr>
          <w:rFonts w:eastAsia="Times New Roman" w:cs="Calibri"/>
          <w:lang w:eastAsia="en-AU"/>
        </w:rPr>
        <w:t xml:space="preserve"> </w:t>
      </w:r>
      <w:r w:rsidRPr="00832711">
        <w:t>NSCLC.</w:t>
      </w:r>
      <w:r w:rsidRPr="00106A75">
        <w:t xml:space="preserve"> </w:t>
      </w:r>
    </w:p>
    <w:p w14:paraId="7B1CF362" w14:textId="77777777" w:rsidR="00D62C1F" w:rsidRDefault="00D62C1F" w:rsidP="00D62C1F">
      <w:r w:rsidRPr="00832711">
        <w:t>MSAC has not previously considered any panel testing for NSCLC.</w:t>
      </w:r>
      <w:r>
        <w:t xml:space="preserve"> MSAC recalled that it </w:t>
      </w:r>
      <w:r w:rsidRPr="00832711">
        <w:t xml:space="preserve">has considered individual single gene tests for biomarker assessment in patients with NSCLC, and in November 2017, </w:t>
      </w:r>
      <w:r>
        <w:t>“</w:t>
      </w:r>
      <w:r w:rsidRPr="00832711">
        <w:t xml:space="preserve">MSAC noted that the sequential testing of </w:t>
      </w:r>
      <w:r w:rsidRPr="00832711">
        <w:rPr>
          <w:i/>
          <w:iCs/>
        </w:rPr>
        <w:t>EGFR</w:t>
      </w:r>
      <w:r w:rsidRPr="00832711">
        <w:t xml:space="preserve">, </w:t>
      </w:r>
      <w:r w:rsidRPr="00832711">
        <w:rPr>
          <w:i/>
          <w:iCs/>
        </w:rPr>
        <w:t>ALK</w:t>
      </w:r>
      <w:r w:rsidRPr="00832711">
        <w:t xml:space="preserve"> and </w:t>
      </w:r>
      <w:r w:rsidRPr="00832711">
        <w:rPr>
          <w:i/>
          <w:iCs/>
        </w:rPr>
        <w:t>ROS1</w:t>
      </w:r>
      <w:r w:rsidRPr="00832711">
        <w:t xml:space="preserve"> yield mutually </w:t>
      </w:r>
      <w:r w:rsidRPr="00832711">
        <w:lastRenderedPageBreak/>
        <w:t>exclusive treatment pathways and that sequential testing wastes tissue sample, time and is more expensive than a single panel of tests. MSAC recommended that the Department conduct a cost-utility review of gene panel and/or NGS test options to inform these first-line therapy options.</w:t>
      </w:r>
      <w:r>
        <w:t xml:space="preserve"> </w:t>
      </w:r>
      <w:r w:rsidRPr="00832711">
        <w:t xml:space="preserve">MSAC noted that overall testing may still require more than one gene panel test due to differences in lung cancer gene aberrations as somatic mutations are tested in genomic DNA, whereas gene fusions (such as </w:t>
      </w:r>
      <w:r w:rsidRPr="0002018E">
        <w:rPr>
          <w:i/>
          <w:iCs/>
        </w:rPr>
        <w:t>ROS1</w:t>
      </w:r>
      <w:r w:rsidRPr="00832711">
        <w:t>) are usually tested in cDNA [complementary DNA] prepared from RNA</w:t>
      </w:r>
      <w:r>
        <w:t>”</w:t>
      </w:r>
      <w:r w:rsidRPr="00832711">
        <w:t xml:space="preserve"> (</w:t>
      </w:r>
      <w:hyperlink r:id="rId9" w:history="1">
        <w:r w:rsidRPr="0002018E">
          <w:rPr>
            <w:rStyle w:val="Hyperlink"/>
          </w:rPr>
          <w:t>Public Summary Document [PSD] 1454:3</w:t>
        </w:r>
      </w:hyperlink>
      <w:r w:rsidRPr="00832711">
        <w:t>).</w:t>
      </w:r>
    </w:p>
    <w:p w14:paraId="0D607ABF" w14:textId="63751CF6" w:rsidR="0018409B" w:rsidRDefault="00D62C1F" w:rsidP="003B4103">
      <w:r>
        <w:t>MSAC noted that s</w:t>
      </w:r>
      <w:r w:rsidRPr="00927EE3">
        <w:t xml:space="preserve">omatic </w:t>
      </w:r>
      <w:r w:rsidR="00BD7A3F">
        <w:t xml:space="preserve">driver </w:t>
      </w:r>
      <w:r w:rsidRPr="00927EE3">
        <w:t xml:space="preserve">variants can be the primary cause of the cancer </w:t>
      </w:r>
      <w:r w:rsidR="00FD3F0F">
        <w:t>proliferating</w:t>
      </w:r>
      <w:r>
        <w:t>, and that p</w:t>
      </w:r>
      <w:r w:rsidRPr="00DF0A7C">
        <w:t xml:space="preserve">atients who have </w:t>
      </w:r>
      <w:r w:rsidR="008D3EAF">
        <w:t xml:space="preserve">a </w:t>
      </w:r>
      <w:proofErr w:type="gramStart"/>
      <w:r w:rsidR="008D3EAF">
        <w:t>specific</w:t>
      </w:r>
      <w:r w:rsidR="008D3EAF" w:rsidRPr="00DF0A7C">
        <w:t xml:space="preserve"> </w:t>
      </w:r>
      <w:r w:rsidR="008D3EAF">
        <w:t xml:space="preserve">genetic </w:t>
      </w:r>
      <w:r w:rsidRPr="00DF0A7C">
        <w:t>biomarker</w:t>
      </w:r>
      <w:r w:rsidR="008D3EAF">
        <w:t>s</w:t>
      </w:r>
      <w:proofErr w:type="gramEnd"/>
      <w:r w:rsidRPr="00DF0A7C">
        <w:t xml:space="preserve"> may be eligible for targeted treatment if they have locally advanced or metastatic NSCLC</w:t>
      </w:r>
      <w:r w:rsidRPr="00927EE3">
        <w:t xml:space="preserve">. </w:t>
      </w:r>
    </w:p>
    <w:p w14:paraId="19519177" w14:textId="273E17FC" w:rsidR="00BA3F1E" w:rsidRPr="006D15D2" w:rsidRDefault="003B4103" w:rsidP="00BA3F1E">
      <w:pPr>
        <w:rPr>
          <w:rStyle w:val="CommentReference"/>
          <w:sz w:val="22"/>
          <w:szCs w:val="22"/>
        </w:rPr>
      </w:pPr>
      <w:bookmarkStart w:id="4" w:name="_Hlk121304275"/>
      <w:r>
        <w:t xml:space="preserve">MSAC considered that the </w:t>
      </w:r>
      <w:r w:rsidRPr="00536B46">
        <w:t xml:space="preserve">2.5% </w:t>
      </w:r>
      <w:r>
        <w:t xml:space="preserve">more </w:t>
      </w:r>
      <w:r w:rsidRPr="00536B46">
        <w:t xml:space="preserve">patients </w:t>
      </w:r>
      <w:r>
        <w:t xml:space="preserve">identified </w:t>
      </w:r>
      <w:r w:rsidRPr="00536B46">
        <w:t xml:space="preserve">with </w:t>
      </w:r>
      <w:r w:rsidRPr="00536B46">
        <w:rPr>
          <w:i/>
          <w:iCs/>
        </w:rPr>
        <w:t>EGFR</w:t>
      </w:r>
      <w:r w:rsidRPr="00536B46">
        <w:t xml:space="preserve"> variants under the proposed </w:t>
      </w:r>
      <w:r>
        <w:t xml:space="preserve">NGS </w:t>
      </w:r>
      <w:r w:rsidRPr="00536B46">
        <w:t>MBS items</w:t>
      </w:r>
      <w:r>
        <w:t xml:space="preserve"> would be </w:t>
      </w:r>
      <w:r w:rsidRPr="00536B46">
        <w:t xml:space="preserve">likely </w:t>
      </w:r>
      <w:r>
        <w:t xml:space="preserve">to </w:t>
      </w:r>
      <w:r w:rsidRPr="00536B46">
        <w:t>benefit from existing PBS</w:t>
      </w:r>
      <w:r>
        <w:t>-</w:t>
      </w:r>
      <w:r w:rsidRPr="00536B46">
        <w:t xml:space="preserve">subsidised </w:t>
      </w:r>
      <w:r w:rsidRPr="00536B46">
        <w:rPr>
          <w:i/>
          <w:iCs/>
        </w:rPr>
        <w:t>EGFR</w:t>
      </w:r>
      <w:r w:rsidRPr="00536B46">
        <w:t xml:space="preserve"> targeted </w:t>
      </w:r>
      <w:proofErr w:type="gramStart"/>
      <w:r w:rsidRPr="00536B46">
        <w:t>therapies</w:t>
      </w:r>
      <w:r>
        <w:t>, but</w:t>
      </w:r>
      <w:proofErr w:type="gramEnd"/>
      <w:r>
        <w:t xml:space="preserve"> considered that this </w:t>
      </w:r>
      <w:r w:rsidR="007211E5">
        <w:t>may</w:t>
      </w:r>
      <w:r>
        <w:t xml:space="preserve"> </w:t>
      </w:r>
      <w:r w:rsidRPr="00536B46">
        <w:t>depend on the variant</w:t>
      </w:r>
      <w:r>
        <w:t xml:space="preserve"> identified</w:t>
      </w:r>
      <w:r w:rsidRPr="00536B46">
        <w:t>.</w:t>
      </w:r>
      <w:r w:rsidR="00E633D9">
        <w:t xml:space="preserve"> </w:t>
      </w:r>
      <w:r w:rsidR="003A2799">
        <w:t>MSAC also considered that the c</w:t>
      </w:r>
      <w:r w:rsidR="003A2799" w:rsidRPr="003B4103">
        <w:t xml:space="preserve">oncordance between NGS and </w:t>
      </w:r>
      <w:r w:rsidR="003A2799">
        <w:t>fluorescent in situ hybridisation (</w:t>
      </w:r>
      <w:r w:rsidR="003A2799" w:rsidRPr="003B4103">
        <w:t>FISH</w:t>
      </w:r>
      <w:r w:rsidR="003A2799">
        <w:t>)</w:t>
      </w:r>
      <w:r w:rsidR="003A2799" w:rsidRPr="003B4103">
        <w:t xml:space="preserve"> for the detection of </w:t>
      </w:r>
      <w:r w:rsidR="003A2799" w:rsidRPr="00E236F5">
        <w:rPr>
          <w:i/>
          <w:iCs/>
        </w:rPr>
        <w:t>ROS1, ALK</w:t>
      </w:r>
      <w:r w:rsidR="003A2799" w:rsidRPr="003B4103">
        <w:t xml:space="preserve"> and </w:t>
      </w:r>
      <w:r w:rsidR="003A2799" w:rsidRPr="00E236F5">
        <w:rPr>
          <w:i/>
          <w:iCs/>
        </w:rPr>
        <w:t>METex14sk</w:t>
      </w:r>
      <w:r w:rsidR="003A2799" w:rsidRPr="003B4103">
        <w:t xml:space="preserve"> </w:t>
      </w:r>
      <w:r w:rsidR="003A2799">
        <w:t xml:space="preserve">variants was </w:t>
      </w:r>
      <w:r w:rsidR="003A2799" w:rsidRPr="003B4103">
        <w:t xml:space="preserve">sufficient to enable NGS to be used to determine eligibility for existing PBS subsidised </w:t>
      </w:r>
      <w:bookmarkEnd w:id="4"/>
      <w:r w:rsidR="00BA3F1E" w:rsidRPr="003B4103">
        <w:t>therapies</w:t>
      </w:r>
      <w:r w:rsidR="00BA3F1E">
        <w:rPr>
          <w:rStyle w:val="CommentReference"/>
          <w:rFonts w:ascii="Calibri" w:eastAsia="Times New Roman" w:hAnsi="Calibri" w:cs="Times New Roman"/>
          <w:color w:val="000000"/>
          <w:lang w:eastAsia="en-AU"/>
        </w:rPr>
        <w:t xml:space="preserve">. </w:t>
      </w:r>
    </w:p>
    <w:p w14:paraId="126F2993" w14:textId="323937A5" w:rsidR="003E42DC" w:rsidRPr="00BD7A3F" w:rsidRDefault="00BA3F1E" w:rsidP="00BA3F1E">
      <w:pPr>
        <w:rPr>
          <w:rFonts w:cs="Arial"/>
        </w:rPr>
      </w:pPr>
      <w:r w:rsidRPr="00BD7A3F">
        <w:t>M</w:t>
      </w:r>
      <w:r>
        <w:t>SAC</w:t>
      </w:r>
      <w:r w:rsidR="00180453">
        <w:t xml:space="preserve"> noted </w:t>
      </w:r>
      <w:r>
        <w:t xml:space="preserve">the current PBS listings for </w:t>
      </w:r>
      <w:r w:rsidRPr="003D34E4">
        <w:rPr>
          <w:i/>
          <w:iCs/>
        </w:rPr>
        <w:t>ROS1</w:t>
      </w:r>
      <w:r w:rsidRPr="00BD7A3F">
        <w:t xml:space="preserve"> and </w:t>
      </w:r>
      <w:r w:rsidRPr="003D34E4">
        <w:rPr>
          <w:i/>
          <w:iCs/>
        </w:rPr>
        <w:t>ALK</w:t>
      </w:r>
      <w:r w:rsidRPr="00BD7A3F">
        <w:t xml:space="preserve"> </w:t>
      </w:r>
      <w:r w:rsidRPr="003D34E4">
        <w:t>require detection to</w:t>
      </w:r>
      <w:r>
        <w:rPr>
          <w:rFonts w:cs="Arial"/>
        </w:rPr>
        <w:t xml:space="preserve"> occur by FISH, and that amendments would need to be referred by the Department to the </w:t>
      </w:r>
      <w:r w:rsidRPr="00BA3F1E">
        <w:rPr>
          <w:rFonts w:cs="Arial"/>
        </w:rPr>
        <w:t>Pharmaceutical Benefits Advisory Committee (PBAC)</w:t>
      </w:r>
      <w:r>
        <w:rPr>
          <w:rFonts w:cs="Arial"/>
        </w:rPr>
        <w:t>. N</w:t>
      </w:r>
      <w:r w:rsidRPr="00BA3F1E">
        <w:rPr>
          <w:rFonts w:cs="Arial"/>
        </w:rPr>
        <w:t xml:space="preserve">o changes are required to the existing PBS listings for </w:t>
      </w:r>
      <w:r w:rsidRPr="00BD7A3F">
        <w:rPr>
          <w:rFonts w:cs="Arial"/>
          <w:i/>
          <w:iCs/>
        </w:rPr>
        <w:t>EGFR</w:t>
      </w:r>
      <w:r w:rsidRPr="00BA3F1E">
        <w:rPr>
          <w:rFonts w:cs="Arial"/>
        </w:rPr>
        <w:t xml:space="preserve"> and </w:t>
      </w:r>
      <w:r w:rsidRPr="00BD7A3F">
        <w:rPr>
          <w:rFonts w:cs="Arial"/>
          <w:i/>
          <w:iCs/>
        </w:rPr>
        <w:t>METex14sk</w:t>
      </w:r>
      <w:r w:rsidRPr="00BA3F1E">
        <w:rPr>
          <w:rFonts w:cs="Arial"/>
        </w:rPr>
        <w:t xml:space="preserve"> targeted therapies</w:t>
      </w:r>
      <w:r>
        <w:rPr>
          <w:rFonts w:cs="Arial"/>
        </w:rPr>
        <w:t>.</w:t>
      </w:r>
    </w:p>
    <w:p w14:paraId="633CB246" w14:textId="0138D16C" w:rsidR="00D62C1F" w:rsidRDefault="00D62C1F" w:rsidP="00D62C1F">
      <w:r>
        <w:t xml:space="preserve">MSAC noted that the public stakeholder feedback was </w:t>
      </w:r>
      <w:r w:rsidR="00BD7A3F">
        <w:t xml:space="preserve">strongly </w:t>
      </w:r>
      <w:r>
        <w:t>supportive of the application, as noted in the pre-MSAC response. In addition, MSAC noted that i</w:t>
      </w:r>
      <w:r w:rsidRPr="003575A4">
        <w:t xml:space="preserve">nternational guidelines recommend the inclusion of the specified genes as a minimum (given </w:t>
      </w:r>
      <w:r>
        <w:t xml:space="preserve">that </w:t>
      </w:r>
      <w:r w:rsidRPr="003575A4">
        <w:t xml:space="preserve">targeted therapies are available for NSCLC tumours with variants in the specified genes, even if they are not </w:t>
      </w:r>
      <w:r>
        <w:t xml:space="preserve">listed on the </w:t>
      </w:r>
      <w:r w:rsidRPr="003575A4">
        <w:t>PBS).</w:t>
      </w:r>
      <w:r w:rsidR="005B71A7">
        <w:t xml:space="preserve"> Additionally, inclusion of the genes without </w:t>
      </w:r>
      <w:r w:rsidR="00AF6D8B">
        <w:t xml:space="preserve">current </w:t>
      </w:r>
      <w:r w:rsidR="005B71A7">
        <w:t xml:space="preserve">PBS listed </w:t>
      </w:r>
      <w:r w:rsidR="00071875">
        <w:t xml:space="preserve">targeted </w:t>
      </w:r>
      <w:r w:rsidR="005B71A7">
        <w:t xml:space="preserve">therapies will future proof the </w:t>
      </w:r>
      <w:r w:rsidR="0018409B">
        <w:t>items</w:t>
      </w:r>
      <w:r w:rsidR="005B71A7">
        <w:t>.</w:t>
      </w:r>
    </w:p>
    <w:p w14:paraId="2A9020AA" w14:textId="2FED6C8C" w:rsidR="00D62C1F" w:rsidRDefault="00F46A3E" w:rsidP="00D62C1F">
      <w:r>
        <w:t xml:space="preserve">MSAC noted that the testing proposed will </w:t>
      </w:r>
      <w:r w:rsidRPr="00927EE3">
        <w:t>be performed by laboratories with genomic testing capability</w:t>
      </w:r>
      <w:r>
        <w:t xml:space="preserve"> that are accredited by the </w:t>
      </w:r>
      <w:r w:rsidRPr="003575A4">
        <w:t>National Association of Testing Authorities, Australia</w:t>
      </w:r>
      <w:r>
        <w:t xml:space="preserve"> (NATA)</w:t>
      </w:r>
      <w:r w:rsidRPr="00927EE3">
        <w:t>.</w:t>
      </w:r>
      <w:r>
        <w:t xml:space="preserve"> </w:t>
      </w:r>
      <w:r w:rsidR="00D62C1F">
        <w:t xml:space="preserve">MSAC noted that there </w:t>
      </w:r>
      <w:r w:rsidR="00BD7A3F">
        <w:t xml:space="preserve">were </w:t>
      </w:r>
      <w:r w:rsidR="00D62C1F">
        <w:t>three proposed MBS items:</w:t>
      </w:r>
    </w:p>
    <w:p w14:paraId="7641EF8C" w14:textId="77777777" w:rsidR="00D62C1F" w:rsidRPr="00582866" w:rsidRDefault="00D62C1F" w:rsidP="00D62C1F">
      <w:pPr>
        <w:pStyle w:val="ListParagraph"/>
        <w:numPr>
          <w:ilvl w:val="0"/>
          <w:numId w:val="23"/>
        </w:numPr>
        <w:spacing w:before="0" w:after="0" w:line="240" w:lineRule="auto"/>
      </w:pPr>
      <w:r w:rsidRPr="00582866">
        <w:t xml:space="preserve">AAAA </w:t>
      </w:r>
      <w:r>
        <w:t>–</w:t>
      </w:r>
      <w:r w:rsidRPr="00582866">
        <w:t xml:space="preserve"> a small gene panel that include</w:t>
      </w:r>
      <w:r>
        <w:t>s</w:t>
      </w:r>
      <w:r w:rsidRPr="00582866">
        <w:t xml:space="preserve"> DNA and RNA analysis (fee of $1,247)</w:t>
      </w:r>
    </w:p>
    <w:p w14:paraId="5A8FCD3C" w14:textId="77777777" w:rsidR="00D62C1F" w:rsidRPr="00582866" w:rsidRDefault="00D62C1F" w:rsidP="00D62C1F">
      <w:pPr>
        <w:rPr>
          <w:rFonts w:eastAsia="Times New Roman" w:cs="Times New Roman"/>
          <w:lang w:eastAsia="en-AU"/>
        </w:rPr>
      </w:pPr>
      <w:r w:rsidRPr="00582866">
        <w:rPr>
          <w:rFonts w:eastAsia="Times New Roman" w:cs="Times New Roman"/>
          <w:lang w:eastAsia="en-AU"/>
        </w:rPr>
        <w:t>OR</w:t>
      </w:r>
    </w:p>
    <w:p w14:paraId="59C16EE8" w14:textId="77777777" w:rsidR="00D62C1F" w:rsidRPr="00582866" w:rsidRDefault="00D62C1F" w:rsidP="00D62C1F">
      <w:pPr>
        <w:pStyle w:val="ListParagraph"/>
        <w:numPr>
          <w:ilvl w:val="0"/>
          <w:numId w:val="23"/>
        </w:numPr>
        <w:spacing w:before="0" w:after="0" w:line="240" w:lineRule="auto"/>
      </w:pPr>
      <w:r w:rsidRPr="00582866">
        <w:t xml:space="preserve">BBBB </w:t>
      </w:r>
      <w:r>
        <w:t>–</w:t>
      </w:r>
      <w:r w:rsidRPr="00582866">
        <w:t xml:space="preserve"> a small gene panel that include</w:t>
      </w:r>
      <w:r>
        <w:t>s</w:t>
      </w:r>
      <w:r w:rsidRPr="00582866">
        <w:t xml:space="preserve"> DNA analysis only (fee of $682.35)</w:t>
      </w:r>
    </w:p>
    <w:p w14:paraId="6CC89AA3" w14:textId="77777777" w:rsidR="00D62C1F" w:rsidRPr="00582866" w:rsidRDefault="00D62C1F" w:rsidP="00D62C1F">
      <w:pPr>
        <w:rPr>
          <w:rFonts w:eastAsia="Times New Roman" w:cs="Times New Roman"/>
          <w:lang w:eastAsia="en-AU"/>
        </w:rPr>
      </w:pPr>
      <w:r w:rsidRPr="00582866">
        <w:rPr>
          <w:rFonts w:eastAsia="Times New Roman" w:cs="Times New Roman"/>
          <w:lang w:eastAsia="en-AU"/>
        </w:rPr>
        <w:t>AND</w:t>
      </w:r>
    </w:p>
    <w:p w14:paraId="66E14FAE" w14:textId="77777777" w:rsidR="00D62C1F" w:rsidRPr="00582866" w:rsidRDefault="00D62C1F" w:rsidP="00D62C1F">
      <w:pPr>
        <w:pStyle w:val="ListParagraph"/>
        <w:numPr>
          <w:ilvl w:val="0"/>
          <w:numId w:val="23"/>
        </w:numPr>
        <w:spacing w:before="0" w:after="0" w:line="240" w:lineRule="auto"/>
      </w:pPr>
      <w:r w:rsidRPr="00582866">
        <w:t xml:space="preserve">CCCC </w:t>
      </w:r>
      <w:r>
        <w:t>–</w:t>
      </w:r>
      <w:r w:rsidRPr="00582866">
        <w:t xml:space="preserve"> a small gene panel that include</w:t>
      </w:r>
      <w:r>
        <w:t>s</w:t>
      </w:r>
      <w:r w:rsidRPr="00582866">
        <w:t xml:space="preserve"> RNA analysis only, and to be done only if BBBB </w:t>
      </w:r>
      <w:r>
        <w:t>i</w:t>
      </w:r>
      <w:r w:rsidRPr="00582866">
        <w:t>s negative (fee of $682.35).</w:t>
      </w:r>
    </w:p>
    <w:p w14:paraId="71739CF2" w14:textId="03437038" w:rsidR="0018409B" w:rsidRDefault="00D62C1F" w:rsidP="00D62C1F">
      <w:r>
        <w:t xml:space="preserve">MSAC noted that these proposed items will </w:t>
      </w:r>
      <w:r w:rsidR="0018409B">
        <w:t>supersede</w:t>
      </w:r>
      <w:r w:rsidR="00F46A3E">
        <w:t xml:space="preserve"> </w:t>
      </w:r>
      <w:r w:rsidR="00E52C40">
        <w:t>tests supported under the</w:t>
      </w:r>
      <w:r w:rsidR="00F46A3E">
        <w:t xml:space="preserve"> </w:t>
      </w:r>
      <w:r w:rsidRPr="00927EE3">
        <w:t xml:space="preserve">current sequential gene </w:t>
      </w:r>
      <w:r w:rsidR="00E52C40">
        <w:t xml:space="preserve">items </w:t>
      </w:r>
      <w:r w:rsidR="0018409B">
        <w:t>over time</w:t>
      </w:r>
      <w:r w:rsidRPr="00927EE3">
        <w:t xml:space="preserve"> and provide better use of tumour </w:t>
      </w:r>
      <w:proofErr w:type="gramStart"/>
      <w:r w:rsidRPr="00927EE3">
        <w:t>tissue</w:t>
      </w:r>
      <w:r>
        <w:t>, and</w:t>
      </w:r>
      <w:proofErr w:type="gramEnd"/>
      <w:r>
        <w:t xml:space="preserve"> considered that the application demonstrated clinical need</w:t>
      </w:r>
      <w:r w:rsidRPr="00927EE3">
        <w:t>.</w:t>
      </w:r>
      <w:r>
        <w:t xml:space="preserve"> </w:t>
      </w:r>
    </w:p>
    <w:p w14:paraId="6CBAB8C6" w14:textId="0A77C5D7" w:rsidR="00D62C1F" w:rsidRDefault="00D62C1F" w:rsidP="00D62C1F">
      <w:r>
        <w:t xml:space="preserve">The current MBS items that will be </w:t>
      </w:r>
      <w:r w:rsidR="0018409B">
        <w:t xml:space="preserve">superseded </w:t>
      </w:r>
      <w:r>
        <w:t>are:</w:t>
      </w:r>
    </w:p>
    <w:p w14:paraId="524F79B7" w14:textId="77777777" w:rsidR="00D62C1F" w:rsidRPr="00AE3706" w:rsidRDefault="00D62C1F" w:rsidP="00D62C1F">
      <w:pPr>
        <w:pStyle w:val="ListParagraph"/>
        <w:numPr>
          <w:ilvl w:val="0"/>
          <w:numId w:val="23"/>
        </w:numPr>
        <w:spacing w:before="0" w:after="0" w:line="240" w:lineRule="auto"/>
      </w:pPr>
      <w:r w:rsidRPr="00AE3706">
        <w:t>73337</w:t>
      </w:r>
      <w:r>
        <w:t xml:space="preserve"> – t</w:t>
      </w:r>
      <w:r w:rsidRPr="00AE3706">
        <w:t xml:space="preserve">umour </w:t>
      </w:r>
      <w:r w:rsidRPr="00AE3706">
        <w:rPr>
          <w:i/>
          <w:iCs/>
        </w:rPr>
        <w:t>EGFR</w:t>
      </w:r>
      <w:r w:rsidRPr="00AE3706">
        <w:t xml:space="preserve"> gene status</w:t>
      </w:r>
    </w:p>
    <w:p w14:paraId="4DFD5000" w14:textId="34CC91F0" w:rsidR="00D62C1F" w:rsidRPr="00AE3706" w:rsidRDefault="00D62C1F" w:rsidP="00D62C1F">
      <w:pPr>
        <w:pStyle w:val="ListParagraph"/>
        <w:numPr>
          <w:ilvl w:val="0"/>
          <w:numId w:val="23"/>
        </w:numPr>
        <w:spacing w:before="0" w:after="0" w:line="240" w:lineRule="auto"/>
      </w:pPr>
      <w:r>
        <w:t>7</w:t>
      </w:r>
      <w:r w:rsidRPr="00AE3706">
        <w:t>3341</w:t>
      </w:r>
      <w:r>
        <w:t xml:space="preserve"> – t</w:t>
      </w:r>
      <w:r w:rsidRPr="00AE3706">
        <w:t xml:space="preserve">umour FISH for </w:t>
      </w:r>
      <w:r w:rsidRPr="00AE3706">
        <w:rPr>
          <w:i/>
          <w:iCs/>
        </w:rPr>
        <w:t>ALK</w:t>
      </w:r>
      <w:r w:rsidRPr="00AE3706">
        <w:t xml:space="preserve"> status</w:t>
      </w:r>
    </w:p>
    <w:p w14:paraId="09F2E6C5" w14:textId="77777777" w:rsidR="00D62C1F" w:rsidRPr="00AE3706" w:rsidRDefault="00D62C1F" w:rsidP="00D62C1F">
      <w:pPr>
        <w:pStyle w:val="ListParagraph"/>
        <w:numPr>
          <w:ilvl w:val="0"/>
          <w:numId w:val="23"/>
        </w:numPr>
        <w:spacing w:before="0" w:after="0" w:line="240" w:lineRule="auto"/>
      </w:pPr>
      <w:r w:rsidRPr="00AE3706">
        <w:t>73344</w:t>
      </w:r>
      <w:r>
        <w:t xml:space="preserve"> – t</w:t>
      </w:r>
      <w:r w:rsidRPr="00AE3706">
        <w:t xml:space="preserve">umour FISH for </w:t>
      </w:r>
      <w:r w:rsidRPr="00AE3706">
        <w:rPr>
          <w:i/>
          <w:iCs/>
        </w:rPr>
        <w:t>ROS1</w:t>
      </w:r>
      <w:r w:rsidRPr="00AE3706">
        <w:t xml:space="preserve"> (</w:t>
      </w:r>
      <w:r>
        <w:t xml:space="preserve">if previous tests for </w:t>
      </w:r>
      <w:r w:rsidRPr="00AE3706">
        <w:rPr>
          <w:i/>
          <w:iCs/>
        </w:rPr>
        <w:t>EGFR</w:t>
      </w:r>
      <w:r w:rsidRPr="00AE3706">
        <w:t xml:space="preserve"> and </w:t>
      </w:r>
      <w:r w:rsidRPr="00AE3706">
        <w:rPr>
          <w:i/>
          <w:iCs/>
        </w:rPr>
        <w:t>ALK</w:t>
      </w:r>
      <w:r w:rsidRPr="00AE3706">
        <w:t xml:space="preserve"> </w:t>
      </w:r>
      <w:r>
        <w:t xml:space="preserve">are </w:t>
      </w:r>
      <w:r w:rsidRPr="00AE3706">
        <w:t>neg</w:t>
      </w:r>
      <w:r>
        <w:t>ative</w:t>
      </w:r>
      <w:r w:rsidRPr="00AE3706">
        <w:t>)</w:t>
      </w:r>
    </w:p>
    <w:p w14:paraId="468BD414" w14:textId="77777777" w:rsidR="00D62C1F" w:rsidRDefault="00D62C1F" w:rsidP="00D62C1F">
      <w:pPr>
        <w:pStyle w:val="ListParagraph"/>
        <w:numPr>
          <w:ilvl w:val="0"/>
          <w:numId w:val="23"/>
        </w:numPr>
        <w:spacing w:before="0" w:after="0" w:line="240" w:lineRule="auto"/>
      </w:pPr>
      <w:r w:rsidRPr="00AE3706">
        <w:t>73436</w:t>
      </w:r>
      <w:r>
        <w:t xml:space="preserve"> – t</w:t>
      </w:r>
      <w:r w:rsidRPr="00AE3706">
        <w:t xml:space="preserve">umour </w:t>
      </w:r>
      <w:r w:rsidRPr="00AE3706">
        <w:rPr>
          <w:i/>
          <w:iCs/>
        </w:rPr>
        <w:t>MET</w:t>
      </w:r>
      <w:r w:rsidRPr="00AE3706">
        <w:t xml:space="preserve"> exon</w:t>
      </w:r>
      <w:r>
        <w:t> 1</w:t>
      </w:r>
      <w:r w:rsidRPr="00AE3706">
        <w:t>4 skipping gene</w:t>
      </w:r>
      <w:r w:rsidRPr="00403644">
        <w:rPr>
          <w:i/>
          <w:iCs/>
        </w:rPr>
        <w:t xml:space="preserve"> </w:t>
      </w:r>
      <w:r>
        <w:t>(</w:t>
      </w:r>
      <w:r w:rsidRPr="00403644">
        <w:rPr>
          <w:i/>
          <w:iCs/>
        </w:rPr>
        <w:t>MET</w:t>
      </w:r>
      <w:r w:rsidRPr="00403644">
        <w:t>ex14sk</w:t>
      </w:r>
      <w:r>
        <w:t xml:space="preserve">) </w:t>
      </w:r>
      <w:r w:rsidRPr="00AE3706">
        <w:t>status</w:t>
      </w:r>
      <w:r>
        <w:t>.</w:t>
      </w:r>
    </w:p>
    <w:p w14:paraId="7D53EC29" w14:textId="00BE5BC3" w:rsidR="00D62C1F" w:rsidRDefault="00D62C1F" w:rsidP="00D62C1F">
      <w:r>
        <w:lastRenderedPageBreak/>
        <w:t>MSAC agreed with the pre-MSAC response that the testing should be</w:t>
      </w:r>
      <w:r w:rsidRPr="00C30366">
        <w:t xml:space="preserve"> restrict</w:t>
      </w:r>
      <w:r>
        <w:t>ed</w:t>
      </w:r>
      <w:r w:rsidRPr="00C30366">
        <w:t xml:space="preserve"> </w:t>
      </w:r>
      <w:r>
        <w:t xml:space="preserve">to </w:t>
      </w:r>
      <w:r w:rsidRPr="00C30366">
        <w:t>NSCLC</w:t>
      </w:r>
      <w:r>
        <w:t>,</w:t>
      </w:r>
      <w:r w:rsidRPr="00C30366">
        <w:t xml:space="preserve"> as squamous cell carcinomas </w:t>
      </w:r>
      <w:r>
        <w:t xml:space="preserve">(SCCs) </w:t>
      </w:r>
      <w:r w:rsidRPr="00C30366">
        <w:t>rarely harbour mutations in these genes</w:t>
      </w:r>
      <w:r>
        <w:t xml:space="preserve"> (except for </w:t>
      </w:r>
      <w:r w:rsidRPr="00403644">
        <w:rPr>
          <w:i/>
          <w:iCs/>
        </w:rPr>
        <w:t>MET</w:t>
      </w:r>
      <w:r w:rsidRPr="00403644">
        <w:t>ex14sk</w:t>
      </w:r>
      <w:r>
        <w:t>).</w:t>
      </w:r>
      <w:r w:rsidRPr="00C30366">
        <w:t xml:space="preserve"> </w:t>
      </w:r>
      <w:r w:rsidRPr="00403644">
        <w:t xml:space="preserve">MSAC advised that these </w:t>
      </w:r>
      <w:r>
        <w:t>four</w:t>
      </w:r>
      <w:r w:rsidRPr="00403644">
        <w:t xml:space="preserve"> MBS items should not be immediately delisted to allow </w:t>
      </w:r>
      <w:r>
        <w:t xml:space="preserve">pathology laboratories to transition to the small gene panel testing. It may be suitable to delist </w:t>
      </w:r>
      <w:r w:rsidR="00812A27">
        <w:t xml:space="preserve">these </w:t>
      </w:r>
      <w:r>
        <w:t xml:space="preserve">in two years. MSAC </w:t>
      </w:r>
      <w:r w:rsidR="00E52C40">
        <w:t>also</w:t>
      </w:r>
      <w:r>
        <w:t xml:space="preserve"> suggested </w:t>
      </w:r>
      <w:r w:rsidRPr="008803A3">
        <w:t>retain</w:t>
      </w:r>
      <w:r>
        <w:t>ing</w:t>
      </w:r>
      <w:r w:rsidRPr="008803A3">
        <w:t xml:space="preserve"> </w:t>
      </w:r>
      <w:r w:rsidRPr="00815270">
        <w:t>MBS item</w:t>
      </w:r>
      <w:r>
        <w:rPr>
          <w:i/>
          <w:iCs/>
        </w:rPr>
        <w:t> </w:t>
      </w:r>
      <w:r w:rsidRPr="008803A3">
        <w:t>73436 for SCC</w:t>
      </w:r>
      <w:r>
        <w:t xml:space="preserve"> patients. MSAC considered this to be more cost-effective than having SCC patients access NGS testing.</w:t>
      </w:r>
    </w:p>
    <w:p w14:paraId="46CDF1D8" w14:textId="088A0AFE" w:rsidR="00B40F99" w:rsidRDefault="00B40F99" w:rsidP="00B40F99">
      <w:r w:rsidRPr="00F56703">
        <w:t xml:space="preserve">MSAC noted that the proposed item descriptors used the term “episode of disease”, which it determined is not likely to cause confusion for requestors and </w:t>
      </w:r>
      <w:proofErr w:type="gramStart"/>
      <w:r w:rsidRPr="00F56703">
        <w:t>providers, but</w:t>
      </w:r>
      <w:proofErr w:type="gramEnd"/>
      <w:r w:rsidRPr="00F56703">
        <w:t xml:space="preserve"> suggested that the phrase “once per new diagnosis of a NSCLC” may be more appropriate. This phrase covers synchronous/metachronous disease, and future-proofs for potential neo/adjuvant TKI usage. This phrase would mean that repeat testing</w:t>
      </w:r>
      <w:r w:rsidR="007D56F2" w:rsidRPr="00F56703">
        <w:t xml:space="preserve"> for the proposed services </w:t>
      </w:r>
      <w:r w:rsidRPr="00F56703">
        <w:t>would only be indicated in appropriate cases and it would be unnecessary to specify a limit on repeat services</w:t>
      </w:r>
      <w:r w:rsidR="007D56F2" w:rsidRPr="00F56703">
        <w:t xml:space="preserve"> either in the item descriptor or the practice notes for the proposed services</w:t>
      </w:r>
      <w:r w:rsidRPr="00F56703">
        <w:t>. However</w:t>
      </w:r>
      <w:r w:rsidR="00F31027">
        <w:t>,</w:t>
      </w:r>
      <w:r w:rsidRPr="00F56703">
        <w:t xml:space="preserve"> for symmetry</w:t>
      </w:r>
      <w:r w:rsidR="00F31027">
        <w:t>,</w:t>
      </w:r>
      <w:r w:rsidRPr="00F56703">
        <w:t xml:space="preserve"> MSAC advised that if the item descriptors </w:t>
      </w:r>
      <w:r w:rsidR="00C7797D" w:rsidRPr="00F56703">
        <w:t xml:space="preserve">for the proposed services </w:t>
      </w:r>
      <w:r w:rsidRPr="00F56703">
        <w:t>were to be amended this way, the four current MBS items should</w:t>
      </w:r>
      <w:r w:rsidR="00C7797D" w:rsidRPr="00F56703">
        <w:t xml:space="preserve"> also</w:t>
      </w:r>
      <w:r w:rsidRPr="00F56703">
        <w:t xml:space="preserve"> be </w:t>
      </w:r>
      <w:r w:rsidR="003C3249" w:rsidRPr="00F56703">
        <w:t xml:space="preserve">similarly </w:t>
      </w:r>
      <w:r w:rsidRPr="00F56703">
        <w:t xml:space="preserve">amended to </w:t>
      </w:r>
      <w:r w:rsidR="007D56F2" w:rsidRPr="00F56703">
        <w:t xml:space="preserve">indicate a restriction on </w:t>
      </w:r>
      <w:r w:rsidRPr="00F56703">
        <w:t>repeat services.</w:t>
      </w:r>
      <w:r>
        <w:t xml:space="preserve"> </w:t>
      </w:r>
    </w:p>
    <w:p w14:paraId="18573F1F" w14:textId="02CAD60F" w:rsidR="00E523D3" w:rsidRDefault="00D62C1F" w:rsidP="00D62C1F">
      <w:r>
        <w:t xml:space="preserve">MSAC also advised that </w:t>
      </w:r>
      <w:r w:rsidRPr="00E20D1C">
        <w:t xml:space="preserve">co-claiming restrictions (per patient episode) </w:t>
      </w:r>
      <w:r>
        <w:t xml:space="preserve">should </w:t>
      </w:r>
      <w:r w:rsidRPr="00E20D1C">
        <w:t>be applied to the proposed services to prevent the simultaneous performance and claiming of tests under multiple methods</w:t>
      </w:r>
      <w:r>
        <w:t xml:space="preserve">, and that the </w:t>
      </w:r>
      <w:r w:rsidRPr="00E20D1C">
        <w:t>equivalent co-claiming restriction (per patient episode) should be applied to the existing sequential gene tests</w:t>
      </w:r>
      <w:r>
        <w:t xml:space="preserve">. </w:t>
      </w:r>
    </w:p>
    <w:p w14:paraId="1797EC7D" w14:textId="3A82B26D" w:rsidR="00D62C1F" w:rsidRDefault="00D62C1F" w:rsidP="00D62C1F">
      <w:r>
        <w:t xml:space="preserve">MSAC considered that MBS item 73351 (testing for </w:t>
      </w:r>
      <w:r w:rsidRPr="00016B70">
        <w:rPr>
          <w:i/>
          <w:iCs/>
        </w:rPr>
        <w:t>EGFR</w:t>
      </w:r>
      <w:r w:rsidRPr="00016B70">
        <w:t xml:space="preserve"> T790M </w:t>
      </w:r>
      <w:r w:rsidRPr="001F0BB5">
        <w:t>gene status for access to osimertinib under</w:t>
      </w:r>
      <w:r>
        <w:t xml:space="preserve"> the PBS) should also be on the list of MBS items not able to be co-claimed with the new proposed MBS item numbers. MSAC foreshadowed that MBS item 73351 may eventually be altered to include NGS for other actionable resistance variants, and advised that the Department may want to consider </w:t>
      </w:r>
      <w:r w:rsidR="00E523D3">
        <w:t xml:space="preserve">amending the </w:t>
      </w:r>
      <w:r>
        <w:t>descriptor</w:t>
      </w:r>
      <w:r w:rsidR="00E523D3">
        <w:t xml:space="preserve"> for item 73351 to </w:t>
      </w:r>
      <w:r>
        <w:t xml:space="preserve"> “</w:t>
      </w:r>
      <w:r w:rsidRPr="00D949A6">
        <w:t xml:space="preserve">A test of tumour tissue that is derived from a new sample from a patient with locally advanced (Stage </w:t>
      </w:r>
      <w:proofErr w:type="spellStart"/>
      <w:r w:rsidRPr="00D949A6">
        <w:t>IIIb</w:t>
      </w:r>
      <w:proofErr w:type="spellEnd"/>
      <w:r w:rsidRPr="00D949A6">
        <w:t xml:space="preserve">) or metastatic (Stage IV) (NSCLC), who has progressed on or after treatment with a receptor tyrosine kinase inhibitor (TKI) and is to be requested by a specialist or consultant physician, to determine if the requirements relating to gene status for access to a TKI under the </w:t>
      </w:r>
      <w:r>
        <w:t>[PBS]</w:t>
      </w:r>
      <w:r w:rsidRPr="00D949A6">
        <w:t xml:space="preserve"> are fulfilled</w:t>
      </w:r>
      <w:r>
        <w:t>”</w:t>
      </w:r>
      <w:r w:rsidR="00E523D3">
        <w:t xml:space="preserve"> as this </w:t>
      </w:r>
      <w:r>
        <w:t xml:space="preserve">may help </w:t>
      </w:r>
      <w:r w:rsidRPr="00D949A6">
        <w:t>future</w:t>
      </w:r>
      <w:r>
        <w:t>-</w:t>
      </w:r>
      <w:r w:rsidRPr="00D949A6">
        <w:t>proof</w:t>
      </w:r>
      <w:r>
        <w:t xml:space="preserve"> </w:t>
      </w:r>
      <w:r w:rsidR="00571525">
        <w:t xml:space="preserve">item 73351 </w:t>
      </w:r>
      <w:r>
        <w:t>for</w:t>
      </w:r>
      <w:r w:rsidRPr="00D949A6">
        <w:t xml:space="preserve"> rebiopsy for</w:t>
      </w:r>
      <w:r w:rsidR="00C442FF">
        <w:t xml:space="preserve"> other actionable</w:t>
      </w:r>
      <w:r w:rsidRPr="00D949A6">
        <w:t xml:space="preserve"> resistance mutations</w:t>
      </w:r>
      <w:r>
        <w:t>,</w:t>
      </w:r>
      <w:r w:rsidRPr="00D949A6">
        <w:t xml:space="preserve"> including T790M</w:t>
      </w:r>
      <w:r>
        <w:t>,</w:t>
      </w:r>
      <w:r w:rsidRPr="00D949A6">
        <w:t xml:space="preserve"> with currently reimbursed or future TKIs</w:t>
      </w:r>
      <w:r>
        <w:t>,</w:t>
      </w:r>
      <w:r w:rsidRPr="00D949A6">
        <w:t xml:space="preserve"> or </w:t>
      </w:r>
      <w:r>
        <w:t>future a</w:t>
      </w:r>
      <w:r w:rsidRPr="00B0191F">
        <w:t>ntibody</w:t>
      </w:r>
      <w:r>
        <w:t>–</w:t>
      </w:r>
      <w:r w:rsidRPr="00B0191F">
        <w:t>drug conjugates</w:t>
      </w:r>
      <w:r>
        <w:t>.</w:t>
      </w:r>
    </w:p>
    <w:p w14:paraId="3A583A2C" w14:textId="77777777" w:rsidR="00D62C1F" w:rsidRDefault="00D62C1F" w:rsidP="00D62C1F">
      <w:r>
        <w:t xml:space="preserve">MSAC considered it appropriate to include advice about </w:t>
      </w:r>
      <w:r w:rsidRPr="00E20D1C">
        <w:t>us</w:t>
      </w:r>
      <w:r>
        <w:t>ing</w:t>
      </w:r>
      <w:r w:rsidRPr="00E20D1C">
        <w:t xml:space="preserve"> multiple methodologies (per episode of disease) </w:t>
      </w:r>
      <w:r>
        <w:t>in</w:t>
      </w:r>
      <w:r w:rsidRPr="00E20D1C">
        <w:t xml:space="preserve"> a practice note</w:t>
      </w:r>
      <w:r>
        <w:t>.</w:t>
      </w:r>
    </w:p>
    <w:p w14:paraId="0B3131CE" w14:textId="77777777" w:rsidR="00D62C1F" w:rsidRDefault="00D62C1F" w:rsidP="00D62C1F">
      <w:r>
        <w:t>MSAC considered it appropriate that the gene panel testing be pathologist determinable.</w:t>
      </w:r>
    </w:p>
    <w:p w14:paraId="4B7A0E53" w14:textId="24845714" w:rsidR="0097256D" w:rsidRDefault="00D62C1F" w:rsidP="0097256D">
      <w:r>
        <w:t xml:space="preserve">MSAC considered the proposed fees to be </w:t>
      </w:r>
      <w:proofErr w:type="gramStart"/>
      <w:r>
        <w:t>appropriate, but</w:t>
      </w:r>
      <w:proofErr w:type="gramEnd"/>
      <w:r>
        <w:t xml:space="preserve"> noted that the fees would need to be aligned with the Department’s review on gene panel testing fees.</w:t>
      </w:r>
      <w:r w:rsidR="0097256D">
        <w:br w:type="page"/>
      </w:r>
    </w:p>
    <w:p w14:paraId="4F63FBA5" w14:textId="142ADD57" w:rsidR="00687792" w:rsidRDefault="00687792" w:rsidP="00687792">
      <w:r>
        <w:lastRenderedPageBreak/>
        <w:t>MSAC recommended the following MBS item descriptors</w:t>
      </w:r>
      <w:r w:rsidR="00DE5B8B">
        <w:t xml:space="preserve"> for newly supported items</w:t>
      </w:r>
      <w:r>
        <w:t>:</w:t>
      </w:r>
    </w:p>
    <w:tbl>
      <w:tblPr>
        <w:tblStyle w:val="TableGrid"/>
        <w:tblW w:w="0" w:type="auto"/>
        <w:tblLook w:val="04A0" w:firstRow="1" w:lastRow="0" w:firstColumn="1" w:lastColumn="0" w:noHBand="0" w:noVBand="1"/>
      </w:tblPr>
      <w:tblGrid>
        <w:gridCol w:w="9016"/>
      </w:tblGrid>
      <w:tr w:rsidR="00687792" w:rsidRPr="0097256D" w14:paraId="56AF7BAA" w14:textId="77777777" w:rsidTr="007527B1">
        <w:tc>
          <w:tcPr>
            <w:tcW w:w="9016" w:type="dxa"/>
          </w:tcPr>
          <w:p w14:paraId="49B9CCAC" w14:textId="77777777" w:rsidR="00687792" w:rsidRPr="0097256D" w:rsidRDefault="00687792" w:rsidP="007527B1">
            <w:pPr>
              <w:rPr>
                <w:rFonts w:ascii="Arial Narrow" w:hAnsi="Arial Narrow"/>
                <w:sz w:val="20"/>
                <w:szCs w:val="20"/>
              </w:rPr>
            </w:pPr>
            <w:r w:rsidRPr="0097256D">
              <w:rPr>
                <w:rFonts w:ascii="Arial Narrow" w:hAnsi="Arial Narrow"/>
                <w:sz w:val="20"/>
                <w:szCs w:val="20"/>
              </w:rPr>
              <w:t>AAAA</w:t>
            </w:r>
          </w:p>
          <w:p w14:paraId="77EDB341" w14:textId="7080E9DC" w:rsidR="00687792" w:rsidRPr="0097256D" w:rsidRDefault="00687792" w:rsidP="007527B1">
            <w:pPr>
              <w:rPr>
                <w:rFonts w:ascii="Arial Narrow" w:hAnsi="Arial Narrow"/>
                <w:sz w:val="20"/>
                <w:szCs w:val="20"/>
              </w:rPr>
            </w:pPr>
            <w:r w:rsidRPr="0097256D">
              <w:rPr>
                <w:rFonts w:ascii="Arial Narrow" w:hAnsi="Arial Narrow"/>
                <w:sz w:val="20"/>
                <w:szCs w:val="20"/>
              </w:rPr>
              <w:t xml:space="preserve">A nucleic acid-based multi-gene panel test of tumour tissue from a patient </w:t>
            </w:r>
            <w:r w:rsidRPr="00F56703">
              <w:rPr>
                <w:rFonts w:ascii="Arial Narrow" w:hAnsi="Arial Narrow"/>
                <w:sz w:val="20"/>
                <w:szCs w:val="20"/>
              </w:rPr>
              <w:t xml:space="preserve">with </w:t>
            </w:r>
            <w:r w:rsidR="00A55D3E" w:rsidRPr="00F56703">
              <w:rPr>
                <w:rFonts w:ascii="Arial Narrow" w:hAnsi="Arial Narrow"/>
                <w:sz w:val="20"/>
                <w:szCs w:val="20"/>
              </w:rPr>
              <w:t xml:space="preserve">a new diagnosis of </w:t>
            </w:r>
            <w:r w:rsidRPr="0097256D">
              <w:rPr>
                <w:rFonts w:ascii="Arial Narrow" w:hAnsi="Arial Narrow"/>
                <w:sz w:val="20"/>
                <w:szCs w:val="20"/>
              </w:rPr>
              <w:t>non-small cell lung cancer requested by, or on behalf of, a specialist or consultant physician, to detect:</w:t>
            </w:r>
          </w:p>
          <w:p w14:paraId="7502BD78" w14:textId="77777777" w:rsidR="00687792" w:rsidRPr="0097256D" w:rsidRDefault="00687792" w:rsidP="007527B1">
            <w:pPr>
              <w:pStyle w:val="ListParagraph"/>
              <w:numPr>
                <w:ilvl w:val="0"/>
                <w:numId w:val="24"/>
              </w:numPr>
              <w:spacing w:before="0"/>
              <w:rPr>
                <w:rFonts w:ascii="Arial Narrow" w:hAnsi="Arial Narrow"/>
                <w:sz w:val="20"/>
                <w:szCs w:val="20"/>
              </w:rPr>
            </w:pPr>
            <w:r w:rsidRPr="0097256D">
              <w:rPr>
                <w:rFonts w:ascii="Arial Narrow" w:hAnsi="Arial Narrow"/>
                <w:sz w:val="20"/>
                <w:szCs w:val="20"/>
              </w:rPr>
              <w:t xml:space="preserve">variants in at least </w:t>
            </w:r>
            <w:r w:rsidRPr="0097256D">
              <w:rPr>
                <w:rFonts w:ascii="Arial Narrow" w:hAnsi="Arial Narrow"/>
                <w:i/>
                <w:iCs/>
                <w:sz w:val="20"/>
                <w:szCs w:val="20"/>
              </w:rPr>
              <w:t>EGFR</w:t>
            </w:r>
            <w:r w:rsidRPr="0097256D">
              <w:rPr>
                <w:rFonts w:ascii="Arial Narrow" w:hAnsi="Arial Narrow"/>
                <w:sz w:val="20"/>
                <w:szCs w:val="20"/>
              </w:rPr>
              <w:t xml:space="preserve">, </w:t>
            </w:r>
            <w:r w:rsidRPr="0097256D">
              <w:rPr>
                <w:rFonts w:ascii="Arial Narrow" w:hAnsi="Arial Narrow"/>
                <w:i/>
                <w:iCs/>
                <w:sz w:val="20"/>
                <w:szCs w:val="20"/>
              </w:rPr>
              <w:t>BRAF</w:t>
            </w:r>
            <w:r w:rsidRPr="0097256D">
              <w:rPr>
                <w:rFonts w:ascii="Arial Narrow" w:hAnsi="Arial Narrow"/>
                <w:sz w:val="20"/>
                <w:szCs w:val="20"/>
              </w:rPr>
              <w:t xml:space="preserve">, </w:t>
            </w:r>
            <w:r w:rsidRPr="0097256D">
              <w:rPr>
                <w:rFonts w:ascii="Arial Narrow" w:hAnsi="Arial Narrow"/>
                <w:i/>
                <w:iCs/>
                <w:sz w:val="20"/>
                <w:szCs w:val="20"/>
              </w:rPr>
              <w:t>KRAS</w:t>
            </w:r>
            <w:r w:rsidRPr="0097256D">
              <w:rPr>
                <w:rFonts w:ascii="Arial Narrow" w:hAnsi="Arial Narrow"/>
                <w:sz w:val="20"/>
                <w:szCs w:val="20"/>
              </w:rPr>
              <w:t xml:space="preserve"> and </w:t>
            </w:r>
            <w:r w:rsidRPr="0097256D">
              <w:rPr>
                <w:rFonts w:ascii="Arial Narrow" w:hAnsi="Arial Narrow"/>
                <w:i/>
                <w:iCs/>
                <w:sz w:val="20"/>
                <w:szCs w:val="20"/>
              </w:rPr>
              <w:t>MET</w:t>
            </w:r>
            <w:r w:rsidRPr="0097256D">
              <w:rPr>
                <w:rFonts w:ascii="Arial Narrow" w:hAnsi="Arial Narrow"/>
                <w:sz w:val="20"/>
                <w:szCs w:val="20"/>
              </w:rPr>
              <w:t xml:space="preserve"> exon 14 to determine access to specific therapies relevant to these variants listed on the Pharmaceutical Benefits Scheme (PBS); and</w:t>
            </w:r>
          </w:p>
          <w:p w14:paraId="16DB2088" w14:textId="77777777" w:rsidR="001D5BB5" w:rsidRPr="0097256D" w:rsidRDefault="00687792" w:rsidP="007527B1">
            <w:pPr>
              <w:pStyle w:val="ListParagraph"/>
              <w:numPr>
                <w:ilvl w:val="0"/>
                <w:numId w:val="24"/>
              </w:numPr>
              <w:spacing w:before="0"/>
              <w:rPr>
                <w:rFonts w:ascii="Arial Narrow" w:hAnsi="Arial Narrow"/>
                <w:sz w:val="20"/>
                <w:szCs w:val="20"/>
              </w:rPr>
            </w:pPr>
            <w:r w:rsidRPr="0097256D">
              <w:rPr>
                <w:rFonts w:ascii="Arial Narrow" w:hAnsi="Arial Narrow"/>
                <w:sz w:val="20"/>
                <w:szCs w:val="20"/>
              </w:rPr>
              <w:t xml:space="preserve">the fusion status of at least </w:t>
            </w:r>
            <w:r w:rsidRPr="0097256D">
              <w:rPr>
                <w:rFonts w:ascii="Arial Narrow" w:hAnsi="Arial Narrow"/>
                <w:i/>
                <w:iCs/>
                <w:sz w:val="20"/>
                <w:szCs w:val="20"/>
              </w:rPr>
              <w:t>ALK</w:t>
            </w:r>
            <w:r w:rsidRPr="0097256D">
              <w:rPr>
                <w:rFonts w:ascii="Arial Narrow" w:hAnsi="Arial Narrow"/>
                <w:sz w:val="20"/>
                <w:szCs w:val="20"/>
              </w:rPr>
              <w:t xml:space="preserve">, </w:t>
            </w:r>
            <w:r w:rsidRPr="0097256D">
              <w:rPr>
                <w:rFonts w:ascii="Arial Narrow" w:hAnsi="Arial Narrow"/>
                <w:i/>
                <w:iCs/>
                <w:sz w:val="20"/>
                <w:szCs w:val="20"/>
              </w:rPr>
              <w:t>ROS1</w:t>
            </w:r>
            <w:r w:rsidRPr="0097256D">
              <w:rPr>
                <w:rFonts w:ascii="Arial Narrow" w:hAnsi="Arial Narrow"/>
                <w:sz w:val="20"/>
                <w:szCs w:val="20"/>
              </w:rPr>
              <w:t xml:space="preserve">, </w:t>
            </w:r>
            <w:r w:rsidRPr="0097256D">
              <w:rPr>
                <w:rFonts w:ascii="Arial Narrow" w:hAnsi="Arial Narrow"/>
                <w:i/>
                <w:iCs/>
                <w:sz w:val="20"/>
                <w:szCs w:val="20"/>
              </w:rPr>
              <w:t>RET</w:t>
            </w:r>
            <w:r w:rsidRPr="0097256D">
              <w:rPr>
                <w:rFonts w:ascii="Arial Narrow" w:hAnsi="Arial Narrow"/>
                <w:sz w:val="20"/>
                <w:szCs w:val="20"/>
              </w:rPr>
              <w:t xml:space="preserve">, </w:t>
            </w:r>
            <w:r w:rsidRPr="0097256D">
              <w:rPr>
                <w:rFonts w:ascii="Arial Narrow" w:hAnsi="Arial Narrow"/>
                <w:i/>
                <w:iCs/>
                <w:sz w:val="20"/>
                <w:szCs w:val="20"/>
              </w:rPr>
              <w:t>NTRK1</w:t>
            </w:r>
            <w:r w:rsidRPr="0097256D">
              <w:rPr>
                <w:rFonts w:ascii="Arial Narrow" w:hAnsi="Arial Narrow"/>
                <w:sz w:val="20"/>
                <w:szCs w:val="20"/>
              </w:rPr>
              <w:t xml:space="preserve">, </w:t>
            </w:r>
            <w:r w:rsidRPr="0097256D">
              <w:rPr>
                <w:rFonts w:ascii="Arial Narrow" w:hAnsi="Arial Narrow"/>
                <w:i/>
                <w:iCs/>
                <w:sz w:val="20"/>
                <w:szCs w:val="20"/>
              </w:rPr>
              <w:t>NTRK2</w:t>
            </w:r>
            <w:r w:rsidRPr="0097256D">
              <w:rPr>
                <w:rFonts w:ascii="Arial Narrow" w:hAnsi="Arial Narrow"/>
                <w:sz w:val="20"/>
                <w:szCs w:val="20"/>
              </w:rPr>
              <w:t xml:space="preserve"> and </w:t>
            </w:r>
            <w:r w:rsidRPr="0097256D">
              <w:rPr>
                <w:rFonts w:ascii="Arial Narrow" w:hAnsi="Arial Narrow"/>
                <w:i/>
                <w:iCs/>
                <w:sz w:val="20"/>
                <w:szCs w:val="20"/>
              </w:rPr>
              <w:t>NTRK3</w:t>
            </w:r>
            <w:r w:rsidRPr="0097256D">
              <w:rPr>
                <w:rFonts w:ascii="Arial Narrow" w:hAnsi="Arial Narrow"/>
                <w:sz w:val="20"/>
                <w:szCs w:val="20"/>
              </w:rPr>
              <w:t xml:space="preserve"> to determine</w:t>
            </w:r>
            <w:r w:rsidR="001D5BB5" w:rsidRPr="0097256D">
              <w:rPr>
                <w:rFonts w:ascii="Arial Narrow" w:hAnsi="Arial Narrow"/>
                <w:sz w:val="20"/>
                <w:szCs w:val="20"/>
              </w:rPr>
              <w:t>:</w:t>
            </w:r>
          </w:p>
          <w:p w14:paraId="052BA45A" w14:textId="6D6BA10E" w:rsidR="00687792" w:rsidRPr="0097256D" w:rsidRDefault="00687792" w:rsidP="00D93740">
            <w:pPr>
              <w:pStyle w:val="ListParagraph"/>
              <w:numPr>
                <w:ilvl w:val="0"/>
                <w:numId w:val="24"/>
              </w:numPr>
              <w:spacing w:before="0"/>
              <w:rPr>
                <w:rFonts w:ascii="Arial Narrow" w:hAnsi="Arial Narrow"/>
                <w:sz w:val="20"/>
                <w:szCs w:val="20"/>
              </w:rPr>
            </w:pPr>
            <w:r w:rsidRPr="0097256D">
              <w:rPr>
                <w:rFonts w:ascii="Arial Narrow" w:hAnsi="Arial Narrow"/>
                <w:sz w:val="20"/>
                <w:szCs w:val="20"/>
              </w:rPr>
              <w:t>access to specific therapies relevant to these variants listed on the PBS; or</w:t>
            </w:r>
          </w:p>
          <w:p w14:paraId="764CB8A1" w14:textId="77777777" w:rsidR="00687792" w:rsidRPr="0097256D" w:rsidRDefault="00687792" w:rsidP="00D93740">
            <w:pPr>
              <w:pStyle w:val="ListParagraph"/>
              <w:numPr>
                <w:ilvl w:val="0"/>
                <w:numId w:val="24"/>
              </w:numPr>
              <w:spacing w:before="0"/>
              <w:rPr>
                <w:rFonts w:ascii="Arial Narrow" w:hAnsi="Arial Narrow"/>
                <w:sz w:val="20"/>
                <w:szCs w:val="20"/>
              </w:rPr>
            </w:pPr>
            <w:r w:rsidRPr="0097256D">
              <w:rPr>
                <w:rFonts w:ascii="Arial Narrow" w:hAnsi="Arial Narrow"/>
                <w:sz w:val="20"/>
                <w:szCs w:val="20"/>
              </w:rPr>
              <w:t xml:space="preserve">if the requirements relating to </w:t>
            </w:r>
            <w:r w:rsidRPr="0097256D">
              <w:rPr>
                <w:rFonts w:ascii="Arial Narrow" w:hAnsi="Arial Narrow"/>
                <w:i/>
                <w:iCs/>
                <w:sz w:val="20"/>
                <w:szCs w:val="20"/>
              </w:rPr>
              <w:t>EGFR</w:t>
            </w:r>
            <w:r w:rsidRPr="0097256D">
              <w:rPr>
                <w:rFonts w:ascii="Arial Narrow" w:hAnsi="Arial Narrow"/>
                <w:sz w:val="20"/>
                <w:szCs w:val="20"/>
              </w:rPr>
              <w:t xml:space="preserve">, </w:t>
            </w:r>
            <w:r w:rsidRPr="0097256D">
              <w:rPr>
                <w:rFonts w:ascii="Arial Narrow" w:hAnsi="Arial Narrow"/>
                <w:i/>
                <w:iCs/>
                <w:sz w:val="20"/>
                <w:szCs w:val="20"/>
              </w:rPr>
              <w:t>ALK</w:t>
            </w:r>
            <w:r w:rsidRPr="0097256D">
              <w:rPr>
                <w:rFonts w:ascii="Arial Narrow" w:hAnsi="Arial Narrow"/>
                <w:sz w:val="20"/>
                <w:szCs w:val="20"/>
              </w:rPr>
              <w:t xml:space="preserve"> and </w:t>
            </w:r>
            <w:r w:rsidRPr="0097256D">
              <w:rPr>
                <w:rFonts w:ascii="Arial Narrow" w:hAnsi="Arial Narrow"/>
                <w:i/>
                <w:iCs/>
                <w:sz w:val="20"/>
                <w:szCs w:val="20"/>
              </w:rPr>
              <w:t>ROS1</w:t>
            </w:r>
            <w:r w:rsidRPr="0097256D">
              <w:rPr>
                <w:rFonts w:ascii="Arial Narrow" w:hAnsi="Arial Narrow"/>
                <w:sz w:val="20"/>
                <w:szCs w:val="20"/>
              </w:rPr>
              <w:t xml:space="preserve"> status for access immunotherapies listed on the PBS are fulfilled.</w:t>
            </w:r>
          </w:p>
          <w:p w14:paraId="47675C42" w14:textId="77777777" w:rsidR="00687792" w:rsidRPr="0097256D" w:rsidRDefault="00687792" w:rsidP="007527B1">
            <w:pPr>
              <w:rPr>
                <w:rFonts w:ascii="Arial Narrow" w:hAnsi="Arial Narrow"/>
                <w:sz w:val="20"/>
                <w:szCs w:val="20"/>
              </w:rPr>
            </w:pPr>
            <w:r w:rsidRPr="0097256D">
              <w:rPr>
                <w:rFonts w:ascii="Arial Narrow" w:hAnsi="Arial Narrow"/>
                <w:sz w:val="20"/>
                <w:szCs w:val="20"/>
              </w:rPr>
              <w:t xml:space="preserve">Co-claiming of MBS items BBBB, CCCC, 73337, 73341, 73344, 73436 </w:t>
            </w:r>
            <w:r w:rsidRPr="0097256D">
              <w:rPr>
                <w:rFonts w:ascii="Arial Narrow" w:hAnsi="Arial Narrow"/>
                <w:color w:val="FF0000"/>
                <w:sz w:val="20"/>
                <w:szCs w:val="20"/>
              </w:rPr>
              <w:t xml:space="preserve">or 73351 </w:t>
            </w:r>
            <w:r w:rsidRPr="0097256D">
              <w:rPr>
                <w:rFonts w:ascii="Arial Narrow" w:hAnsi="Arial Narrow"/>
                <w:sz w:val="20"/>
                <w:szCs w:val="20"/>
              </w:rPr>
              <w:t>is not permitted in the same patient episode.</w:t>
            </w:r>
          </w:p>
          <w:p w14:paraId="634B314E" w14:textId="58BC523E" w:rsidR="00687792" w:rsidRPr="0097256D" w:rsidRDefault="00687792" w:rsidP="007527B1">
            <w:pPr>
              <w:rPr>
                <w:rFonts w:ascii="Arial Narrow" w:hAnsi="Arial Narrow"/>
                <w:sz w:val="20"/>
                <w:szCs w:val="20"/>
              </w:rPr>
            </w:pPr>
            <w:r w:rsidRPr="0097256D">
              <w:rPr>
                <w:rFonts w:ascii="Arial Narrow" w:hAnsi="Arial Narrow"/>
                <w:sz w:val="20"/>
                <w:szCs w:val="20"/>
              </w:rPr>
              <w:t>Fee:  $1,247 Benefit: 75% = $935.25</w:t>
            </w:r>
            <w:r w:rsidRPr="0097256D">
              <w:rPr>
                <w:rFonts w:ascii="Arial Narrow" w:hAnsi="Arial Narrow"/>
                <w:sz w:val="20"/>
                <w:szCs w:val="20"/>
              </w:rPr>
              <w:tab/>
              <w:t>85% = $1,15</w:t>
            </w:r>
            <w:r w:rsidR="005C05CC" w:rsidRPr="0097256D">
              <w:rPr>
                <w:rFonts w:ascii="Arial Narrow" w:hAnsi="Arial Narrow"/>
                <w:sz w:val="20"/>
                <w:szCs w:val="20"/>
              </w:rPr>
              <w:t>3</w:t>
            </w:r>
            <w:r w:rsidRPr="0097256D">
              <w:rPr>
                <w:rFonts w:ascii="Arial Narrow" w:hAnsi="Arial Narrow"/>
                <w:sz w:val="20"/>
                <w:szCs w:val="20"/>
              </w:rPr>
              <w:t>.</w:t>
            </w:r>
            <w:r w:rsidR="005C05CC" w:rsidRPr="0097256D">
              <w:rPr>
                <w:rFonts w:ascii="Arial Narrow" w:hAnsi="Arial Narrow"/>
                <w:sz w:val="20"/>
                <w:szCs w:val="20"/>
              </w:rPr>
              <w:t>8</w:t>
            </w:r>
            <w:r w:rsidRPr="0097256D">
              <w:rPr>
                <w:rFonts w:ascii="Arial Narrow" w:hAnsi="Arial Narrow"/>
                <w:sz w:val="20"/>
                <w:szCs w:val="20"/>
              </w:rPr>
              <w:t>159.0</w:t>
            </w:r>
            <w:r w:rsidRPr="0097256D">
              <w:rPr>
                <w:rFonts w:ascii="Arial Narrow" w:hAnsi="Arial Narrow"/>
                <w:sz w:val="20"/>
                <w:szCs w:val="20"/>
                <w:vertAlign w:val="superscript"/>
              </w:rPr>
              <w:t>a</w:t>
            </w:r>
          </w:p>
        </w:tc>
      </w:tr>
      <w:tr w:rsidR="00687792" w:rsidRPr="0097256D" w14:paraId="7E3CB744" w14:textId="77777777" w:rsidTr="007527B1">
        <w:tc>
          <w:tcPr>
            <w:tcW w:w="9016" w:type="dxa"/>
          </w:tcPr>
          <w:p w14:paraId="25280C0A" w14:textId="77777777" w:rsidR="00687792" w:rsidRPr="0097256D" w:rsidRDefault="00687792" w:rsidP="007527B1">
            <w:pPr>
              <w:rPr>
                <w:rFonts w:ascii="Arial Narrow" w:hAnsi="Arial Narrow"/>
                <w:sz w:val="20"/>
                <w:szCs w:val="20"/>
              </w:rPr>
            </w:pPr>
            <w:r w:rsidRPr="0097256D">
              <w:rPr>
                <w:rFonts w:ascii="Arial Narrow" w:hAnsi="Arial Narrow"/>
                <w:sz w:val="20"/>
                <w:szCs w:val="20"/>
              </w:rPr>
              <w:t>BBBB</w:t>
            </w:r>
          </w:p>
          <w:p w14:paraId="15891695" w14:textId="5F27B494" w:rsidR="004B3DA1" w:rsidRPr="0097256D" w:rsidRDefault="00687792" w:rsidP="004B3DA1">
            <w:pPr>
              <w:rPr>
                <w:rFonts w:ascii="Arial Narrow" w:hAnsi="Arial Narrow"/>
                <w:sz w:val="20"/>
                <w:szCs w:val="20"/>
              </w:rPr>
            </w:pPr>
            <w:r w:rsidRPr="0097256D">
              <w:rPr>
                <w:rFonts w:ascii="Arial Narrow" w:hAnsi="Arial Narrow"/>
                <w:sz w:val="20"/>
                <w:szCs w:val="20"/>
              </w:rPr>
              <w:t xml:space="preserve">A DNA-based multi-gene panel test of tumour tissue from a patient </w:t>
            </w:r>
            <w:r w:rsidRPr="00F56703">
              <w:rPr>
                <w:rFonts w:ascii="Arial Narrow" w:hAnsi="Arial Narrow"/>
                <w:sz w:val="20"/>
                <w:szCs w:val="20"/>
              </w:rPr>
              <w:t>with</w:t>
            </w:r>
            <w:r w:rsidR="003C3249" w:rsidRPr="00F56703">
              <w:rPr>
                <w:rFonts w:ascii="Arial Narrow" w:hAnsi="Arial Narrow"/>
                <w:sz w:val="20"/>
                <w:szCs w:val="20"/>
              </w:rPr>
              <w:t xml:space="preserve"> a new diagnosis of</w:t>
            </w:r>
            <w:r w:rsidRPr="008D0A33">
              <w:rPr>
                <w:rFonts w:ascii="Arial Narrow" w:hAnsi="Arial Narrow"/>
                <w:sz w:val="20"/>
                <w:szCs w:val="20"/>
              </w:rPr>
              <w:t xml:space="preserve"> non</w:t>
            </w:r>
            <w:r w:rsidRPr="0097256D">
              <w:rPr>
                <w:rFonts w:ascii="Arial Narrow" w:hAnsi="Arial Narrow"/>
                <w:sz w:val="20"/>
                <w:szCs w:val="20"/>
              </w:rPr>
              <w:t>-small cell lung cancer requested by, or on behalf of, a specialist or consultant physician, to detect</w:t>
            </w:r>
            <w:r w:rsidR="00F974C3" w:rsidRPr="0097256D">
              <w:rPr>
                <w:rFonts w:ascii="Arial Narrow" w:hAnsi="Arial Narrow"/>
                <w:sz w:val="20"/>
                <w:szCs w:val="20"/>
              </w:rPr>
              <w:t xml:space="preserve"> </w:t>
            </w:r>
            <w:r w:rsidRPr="0097256D">
              <w:rPr>
                <w:rFonts w:ascii="Arial Narrow" w:hAnsi="Arial Narrow"/>
                <w:sz w:val="20"/>
                <w:szCs w:val="20"/>
              </w:rPr>
              <w:t xml:space="preserve">variants in at least </w:t>
            </w:r>
            <w:r w:rsidRPr="0097256D">
              <w:rPr>
                <w:rFonts w:ascii="Arial Narrow" w:hAnsi="Arial Narrow"/>
                <w:i/>
                <w:iCs/>
                <w:sz w:val="20"/>
                <w:szCs w:val="20"/>
              </w:rPr>
              <w:t>EGFR</w:t>
            </w:r>
            <w:r w:rsidRPr="0097256D">
              <w:rPr>
                <w:rFonts w:ascii="Arial Narrow" w:hAnsi="Arial Narrow"/>
                <w:sz w:val="20"/>
                <w:szCs w:val="20"/>
              </w:rPr>
              <w:t xml:space="preserve">, </w:t>
            </w:r>
            <w:r w:rsidRPr="0097256D">
              <w:rPr>
                <w:rFonts w:ascii="Arial Narrow" w:hAnsi="Arial Narrow"/>
                <w:i/>
                <w:iCs/>
                <w:sz w:val="20"/>
                <w:szCs w:val="20"/>
              </w:rPr>
              <w:t>BRAF</w:t>
            </w:r>
            <w:r w:rsidRPr="0097256D">
              <w:rPr>
                <w:rFonts w:ascii="Arial Narrow" w:hAnsi="Arial Narrow"/>
                <w:sz w:val="20"/>
                <w:szCs w:val="20"/>
              </w:rPr>
              <w:t xml:space="preserve">, </w:t>
            </w:r>
            <w:r w:rsidRPr="0097256D">
              <w:rPr>
                <w:rFonts w:ascii="Arial Narrow" w:hAnsi="Arial Narrow"/>
                <w:i/>
                <w:iCs/>
                <w:sz w:val="20"/>
                <w:szCs w:val="20"/>
              </w:rPr>
              <w:t>KRAS</w:t>
            </w:r>
            <w:r w:rsidRPr="0097256D">
              <w:rPr>
                <w:rFonts w:ascii="Arial Narrow" w:hAnsi="Arial Narrow"/>
                <w:sz w:val="20"/>
                <w:szCs w:val="20"/>
              </w:rPr>
              <w:t xml:space="preserve"> and </w:t>
            </w:r>
            <w:r w:rsidRPr="0097256D">
              <w:rPr>
                <w:rFonts w:ascii="Arial Narrow" w:hAnsi="Arial Narrow"/>
                <w:i/>
                <w:iCs/>
                <w:sz w:val="20"/>
                <w:szCs w:val="20"/>
              </w:rPr>
              <w:t>MET</w:t>
            </w:r>
            <w:r w:rsidRPr="0097256D">
              <w:rPr>
                <w:rFonts w:ascii="Arial Narrow" w:hAnsi="Arial Narrow"/>
                <w:sz w:val="20"/>
                <w:szCs w:val="20"/>
              </w:rPr>
              <w:t xml:space="preserve"> exon 14 to determine</w:t>
            </w:r>
            <w:r w:rsidR="004B3DA1" w:rsidRPr="0097256D">
              <w:rPr>
                <w:rFonts w:ascii="Arial Narrow" w:hAnsi="Arial Narrow"/>
                <w:sz w:val="20"/>
                <w:szCs w:val="20"/>
              </w:rPr>
              <w:t>:</w:t>
            </w:r>
            <w:r w:rsidRPr="0097256D">
              <w:rPr>
                <w:rFonts w:ascii="Arial Narrow" w:hAnsi="Arial Narrow"/>
                <w:sz w:val="20"/>
                <w:szCs w:val="20"/>
              </w:rPr>
              <w:t xml:space="preserve"> </w:t>
            </w:r>
          </w:p>
          <w:p w14:paraId="3FF8AA3A" w14:textId="77777777" w:rsidR="00687792" w:rsidRPr="0097256D" w:rsidRDefault="00687792" w:rsidP="00D93740">
            <w:pPr>
              <w:pStyle w:val="ListParagraph"/>
              <w:numPr>
                <w:ilvl w:val="0"/>
                <w:numId w:val="26"/>
              </w:numPr>
              <w:spacing w:before="0"/>
              <w:rPr>
                <w:rFonts w:ascii="Arial Narrow" w:hAnsi="Arial Narrow"/>
                <w:sz w:val="20"/>
                <w:szCs w:val="20"/>
              </w:rPr>
            </w:pPr>
            <w:r w:rsidRPr="0097256D">
              <w:rPr>
                <w:rFonts w:ascii="Arial Narrow" w:hAnsi="Arial Narrow"/>
                <w:sz w:val="20"/>
                <w:szCs w:val="20"/>
              </w:rPr>
              <w:t xml:space="preserve"> access to specific therapies relevant to these variants listed on the Pharmaceutical Benefits Scheme (PBS); or</w:t>
            </w:r>
          </w:p>
          <w:p w14:paraId="41A74A23" w14:textId="77777777" w:rsidR="00687792" w:rsidRPr="0097256D" w:rsidRDefault="00687792" w:rsidP="007527B1">
            <w:pPr>
              <w:pStyle w:val="ListParagraph"/>
              <w:numPr>
                <w:ilvl w:val="0"/>
                <w:numId w:val="26"/>
              </w:numPr>
              <w:spacing w:before="0"/>
              <w:rPr>
                <w:rFonts w:ascii="Arial Narrow" w:hAnsi="Arial Narrow"/>
                <w:sz w:val="20"/>
                <w:szCs w:val="20"/>
              </w:rPr>
            </w:pPr>
            <w:r w:rsidRPr="0097256D">
              <w:rPr>
                <w:rFonts w:ascii="Arial Narrow" w:hAnsi="Arial Narrow"/>
                <w:sz w:val="20"/>
                <w:szCs w:val="20"/>
              </w:rPr>
              <w:t xml:space="preserve">if the requirements relating to </w:t>
            </w:r>
            <w:r w:rsidRPr="0097256D">
              <w:rPr>
                <w:rFonts w:ascii="Arial Narrow" w:hAnsi="Arial Narrow"/>
                <w:i/>
                <w:iCs/>
                <w:sz w:val="20"/>
                <w:szCs w:val="20"/>
              </w:rPr>
              <w:t>EGFR</w:t>
            </w:r>
            <w:r w:rsidRPr="0097256D">
              <w:rPr>
                <w:rFonts w:ascii="Arial Narrow" w:hAnsi="Arial Narrow"/>
                <w:sz w:val="20"/>
                <w:szCs w:val="20"/>
              </w:rPr>
              <w:t xml:space="preserve"> status for access to immunotherapies listed on the PBS are fulfilled.</w:t>
            </w:r>
          </w:p>
          <w:p w14:paraId="64A1A6DC" w14:textId="77777777" w:rsidR="00687792" w:rsidRPr="0097256D" w:rsidRDefault="00687792" w:rsidP="007527B1">
            <w:pPr>
              <w:rPr>
                <w:rFonts w:ascii="Arial Narrow" w:hAnsi="Arial Narrow"/>
                <w:sz w:val="20"/>
                <w:szCs w:val="20"/>
              </w:rPr>
            </w:pPr>
            <w:r w:rsidRPr="0097256D">
              <w:rPr>
                <w:rFonts w:ascii="Arial Narrow" w:hAnsi="Arial Narrow"/>
                <w:sz w:val="20"/>
                <w:szCs w:val="20"/>
              </w:rPr>
              <w:t xml:space="preserve">Co-claiming of MBS item AAAA, 73337, 73436 </w:t>
            </w:r>
            <w:r w:rsidRPr="0097256D">
              <w:rPr>
                <w:rFonts w:ascii="Arial Narrow" w:hAnsi="Arial Narrow"/>
                <w:color w:val="FF0000"/>
                <w:sz w:val="20"/>
                <w:szCs w:val="20"/>
              </w:rPr>
              <w:t xml:space="preserve">or 73351 </w:t>
            </w:r>
            <w:r w:rsidRPr="0097256D">
              <w:rPr>
                <w:rFonts w:ascii="Arial Narrow" w:hAnsi="Arial Narrow"/>
                <w:sz w:val="20"/>
                <w:szCs w:val="20"/>
              </w:rPr>
              <w:t>is not permitted in the same patient episode.</w:t>
            </w:r>
          </w:p>
          <w:p w14:paraId="288B2CA6" w14:textId="492F00D2" w:rsidR="00687792" w:rsidRPr="0097256D" w:rsidRDefault="00687792" w:rsidP="007527B1">
            <w:pPr>
              <w:rPr>
                <w:rFonts w:ascii="Arial Narrow" w:hAnsi="Arial Narrow"/>
                <w:sz w:val="20"/>
                <w:szCs w:val="20"/>
              </w:rPr>
            </w:pPr>
            <w:r w:rsidRPr="0097256D">
              <w:rPr>
                <w:rFonts w:ascii="Arial Narrow" w:hAnsi="Arial Narrow"/>
                <w:sz w:val="20"/>
                <w:szCs w:val="20"/>
              </w:rPr>
              <w:t>Fee:  $682.35</w:t>
            </w:r>
            <w:r w:rsidRPr="0097256D">
              <w:rPr>
                <w:rFonts w:ascii="Arial Narrow" w:hAnsi="Arial Narrow"/>
                <w:sz w:val="20"/>
                <w:szCs w:val="20"/>
              </w:rPr>
              <w:tab/>
              <w:t>Benefit: 75% = $511.75 85% = $</w:t>
            </w:r>
            <w:r w:rsidR="005C05CC" w:rsidRPr="0097256D">
              <w:rPr>
                <w:rFonts w:ascii="Arial Narrow" w:hAnsi="Arial Narrow"/>
                <w:sz w:val="20"/>
                <w:szCs w:val="20"/>
              </w:rPr>
              <w:t>589.15</w:t>
            </w:r>
            <w:r w:rsidRPr="0097256D">
              <w:rPr>
                <w:rFonts w:ascii="Arial Narrow" w:hAnsi="Arial Narrow"/>
                <w:sz w:val="20"/>
                <w:szCs w:val="20"/>
                <w:vertAlign w:val="superscript"/>
              </w:rPr>
              <w:t>a</w:t>
            </w:r>
          </w:p>
        </w:tc>
      </w:tr>
      <w:tr w:rsidR="00687792" w:rsidRPr="0097256D" w14:paraId="0AB203BA" w14:textId="77777777" w:rsidTr="007527B1">
        <w:tc>
          <w:tcPr>
            <w:tcW w:w="9016" w:type="dxa"/>
          </w:tcPr>
          <w:p w14:paraId="7A4F992C" w14:textId="77777777" w:rsidR="00687792" w:rsidRPr="0097256D" w:rsidRDefault="00687792" w:rsidP="007527B1">
            <w:pPr>
              <w:rPr>
                <w:rFonts w:ascii="Arial Narrow" w:hAnsi="Arial Narrow"/>
                <w:sz w:val="20"/>
                <w:szCs w:val="20"/>
              </w:rPr>
            </w:pPr>
            <w:r w:rsidRPr="0097256D">
              <w:rPr>
                <w:rFonts w:ascii="Arial Narrow" w:hAnsi="Arial Narrow"/>
                <w:sz w:val="20"/>
                <w:szCs w:val="20"/>
              </w:rPr>
              <w:t>CCCC</w:t>
            </w:r>
          </w:p>
          <w:p w14:paraId="5AB4155C" w14:textId="10210E28" w:rsidR="00687792" w:rsidRPr="0097256D" w:rsidRDefault="00687792" w:rsidP="007527B1">
            <w:pPr>
              <w:rPr>
                <w:rFonts w:ascii="Arial Narrow" w:hAnsi="Arial Narrow"/>
                <w:sz w:val="20"/>
                <w:szCs w:val="20"/>
              </w:rPr>
            </w:pPr>
            <w:r w:rsidRPr="0097256D">
              <w:rPr>
                <w:rFonts w:ascii="Arial Narrow" w:hAnsi="Arial Narrow"/>
                <w:sz w:val="20"/>
                <w:szCs w:val="20"/>
              </w:rPr>
              <w:t xml:space="preserve">A nucleic acid-based multi-gene panel test of tumour tissue from a patient </w:t>
            </w:r>
            <w:r w:rsidRPr="00F56703">
              <w:rPr>
                <w:rFonts w:ascii="Arial Narrow" w:hAnsi="Arial Narrow"/>
                <w:sz w:val="20"/>
                <w:szCs w:val="20"/>
              </w:rPr>
              <w:t>with</w:t>
            </w:r>
            <w:r w:rsidR="003C3249" w:rsidRPr="00F56703">
              <w:rPr>
                <w:rFonts w:ascii="Arial Narrow" w:hAnsi="Arial Narrow"/>
                <w:sz w:val="20"/>
                <w:szCs w:val="20"/>
              </w:rPr>
              <w:t xml:space="preserve"> a new diagnosis of</w:t>
            </w:r>
            <w:r w:rsidR="003C3249" w:rsidRPr="008D0A33">
              <w:rPr>
                <w:rFonts w:ascii="Arial Narrow" w:hAnsi="Arial Narrow"/>
                <w:sz w:val="20"/>
                <w:szCs w:val="20"/>
              </w:rPr>
              <w:t xml:space="preserve"> </w:t>
            </w:r>
            <w:r w:rsidRPr="008D0A33">
              <w:rPr>
                <w:rFonts w:ascii="Arial Narrow" w:hAnsi="Arial Narrow"/>
                <w:sz w:val="20"/>
                <w:szCs w:val="20"/>
              </w:rPr>
              <w:t>non</w:t>
            </w:r>
            <w:r w:rsidRPr="0097256D">
              <w:rPr>
                <w:rFonts w:ascii="Arial Narrow" w:hAnsi="Arial Narrow"/>
                <w:sz w:val="20"/>
                <w:szCs w:val="20"/>
              </w:rPr>
              <w:t xml:space="preserve">-small cell lung cancer and with documented absence of activating variants of the </w:t>
            </w:r>
            <w:r w:rsidRPr="0097256D">
              <w:rPr>
                <w:rFonts w:ascii="Arial Narrow" w:hAnsi="Arial Narrow"/>
                <w:i/>
                <w:iCs/>
                <w:sz w:val="20"/>
                <w:szCs w:val="20"/>
              </w:rPr>
              <w:t>EGFR</w:t>
            </w:r>
            <w:r w:rsidRPr="0097256D">
              <w:rPr>
                <w:rFonts w:ascii="Arial Narrow" w:hAnsi="Arial Narrow"/>
                <w:sz w:val="20"/>
                <w:szCs w:val="20"/>
              </w:rPr>
              <w:t xml:space="preserve"> gene, </w:t>
            </w:r>
            <w:r w:rsidRPr="0097256D">
              <w:rPr>
                <w:rFonts w:ascii="Arial Narrow" w:hAnsi="Arial Narrow"/>
                <w:i/>
                <w:iCs/>
                <w:sz w:val="20"/>
                <w:szCs w:val="20"/>
              </w:rPr>
              <w:t>KRAS</w:t>
            </w:r>
            <w:r w:rsidRPr="0097256D">
              <w:rPr>
                <w:rFonts w:ascii="Arial Narrow" w:hAnsi="Arial Narrow"/>
                <w:sz w:val="20"/>
                <w:szCs w:val="20"/>
              </w:rPr>
              <w:t xml:space="preserve">, </w:t>
            </w:r>
            <w:r w:rsidRPr="0097256D">
              <w:rPr>
                <w:rFonts w:ascii="Arial Narrow" w:hAnsi="Arial Narrow"/>
                <w:i/>
                <w:iCs/>
                <w:sz w:val="20"/>
                <w:szCs w:val="20"/>
              </w:rPr>
              <w:t>BRAF</w:t>
            </w:r>
            <w:r w:rsidRPr="0097256D">
              <w:rPr>
                <w:rFonts w:ascii="Arial Narrow" w:hAnsi="Arial Narrow"/>
                <w:sz w:val="20"/>
                <w:szCs w:val="20"/>
              </w:rPr>
              <w:t xml:space="preserve"> and </w:t>
            </w:r>
            <w:r w:rsidRPr="0097256D">
              <w:rPr>
                <w:rFonts w:ascii="Arial Narrow" w:hAnsi="Arial Narrow"/>
                <w:i/>
                <w:iCs/>
                <w:sz w:val="20"/>
                <w:szCs w:val="20"/>
              </w:rPr>
              <w:t>MET</w:t>
            </w:r>
            <w:r w:rsidRPr="0097256D">
              <w:rPr>
                <w:rFonts w:ascii="Arial Narrow" w:hAnsi="Arial Narrow"/>
                <w:sz w:val="20"/>
                <w:szCs w:val="20"/>
              </w:rPr>
              <w:t xml:space="preserve"> exon14, requested by, or on behalf of, a specialist or consultant physician, to </w:t>
            </w:r>
            <w:r w:rsidR="0011316A" w:rsidRPr="0097256D">
              <w:rPr>
                <w:rFonts w:ascii="Arial Narrow" w:hAnsi="Arial Narrow"/>
                <w:sz w:val="20"/>
                <w:szCs w:val="20"/>
              </w:rPr>
              <w:t>determine</w:t>
            </w:r>
            <w:r w:rsidRPr="0097256D">
              <w:rPr>
                <w:rFonts w:ascii="Arial Narrow" w:hAnsi="Arial Narrow"/>
                <w:sz w:val="20"/>
                <w:szCs w:val="20"/>
              </w:rPr>
              <w:t>:</w:t>
            </w:r>
          </w:p>
          <w:p w14:paraId="49A4454F" w14:textId="77777777" w:rsidR="00687792" w:rsidRPr="0097256D" w:rsidRDefault="00687792" w:rsidP="007527B1">
            <w:pPr>
              <w:pStyle w:val="ListParagraph"/>
              <w:numPr>
                <w:ilvl w:val="0"/>
                <w:numId w:val="25"/>
              </w:numPr>
              <w:spacing w:before="0"/>
              <w:rPr>
                <w:rFonts w:ascii="Arial Narrow" w:hAnsi="Arial Narrow"/>
                <w:sz w:val="20"/>
                <w:szCs w:val="20"/>
              </w:rPr>
            </w:pPr>
            <w:r w:rsidRPr="0097256D">
              <w:rPr>
                <w:rFonts w:ascii="Arial Narrow" w:hAnsi="Arial Narrow"/>
                <w:sz w:val="20"/>
                <w:szCs w:val="20"/>
              </w:rPr>
              <w:t xml:space="preserve">the fusion status of at least </w:t>
            </w:r>
            <w:r w:rsidRPr="0097256D">
              <w:rPr>
                <w:rFonts w:ascii="Arial Narrow" w:hAnsi="Arial Narrow"/>
                <w:i/>
                <w:iCs/>
                <w:sz w:val="20"/>
                <w:szCs w:val="20"/>
              </w:rPr>
              <w:t>ALK</w:t>
            </w:r>
            <w:r w:rsidRPr="0097256D">
              <w:rPr>
                <w:rFonts w:ascii="Arial Narrow" w:hAnsi="Arial Narrow"/>
                <w:sz w:val="20"/>
                <w:szCs w:val="20"/>
              </w:rPr>
              <w:t xml:space="preserve">, </w:t>
            </w:r>
            <w:r w:rsidRPr="0097256D">
              <w:rPr>
                <w:rFonts w:ascii="Arial Narrow" w:hAnsi="Arial Narrow"/>
                <w:i/>
                <w:iCs/>
                <w:sz w:val="20"/>
                <w:szCs w:val="20"/>
              </w:rPr>
              <w:t>ROS1</w:t>
            </w:r>
            <w:r w:rsidRPr="0097256D">
              <w:rPr>
                <w:rFonts w:ascii="Arial Narrow" w:hAnsi="Arial Narrow"/>
                <w:sz w:val="20"/>
                <w:szCs w:val="20"/>
              </w:rPr>
              <w:t xml:space="preserve">, </w:t>
            </w:r>
            <w:r w:rsidRPr="0097256D">
              <w:rPr>
                <w:rFonts w:ascii="Arial Narrow" w:hAnsi="Arial Narrow"/>
                <w:i/>
                <w:iCs/>
                <w:sz w:val="20"/>
                <w:szCs w:val="20"/>
              </w:rPr>
              <w:t>RET</w:t>
            </w:r>
            <w:r w:rsidRPr="0097256D">
              <w:rPr>
                <w:rFonts w:ascii="Arial Narrow" w:hAnsi="Arial Narrow"/>
                <w:sz w:val="20"/>
                <w:szCs w:val="20"/>
              </w:rPr>
              <w:t xml:space="preserve">, </w:t>
            </w:r>
            <w:r w:rsidRPr="0097256D">
              <w:rPr>
                <w:rFonts w:ascii="Arial Narrow" w:hAnsi="Arial Narrow"/>
                <w:i/>
                <w:iCs/>
                <w:sz w:val="20"/>
                <w:szCs w:val="20"/>
              </w:rPr>
              <w:t>NTRK1</w:t>
            </w:r>
            <w:r w:rsidRPr="0097256D">
              <w:rPr>
                <w:rFonts w:ascii="Arial Narrow" w:hAnsi="Arial Narrow"/>
                <w:sz w:val="20"/>
                <w:szCs w:val="20"/>
              </w:rPr>
              <w:t xml:space="preserve">, </w:t>
            </w:r>
            <w:r w:rsidRPr="0097256D">
              <w:rPr>
                <w:rFonts w:ascii="Arial Narrow" w:hAnsi="Arial Narrow"/>
                <w:i/>
                <w:iCs/>
                <w:sz w:val="20"/>
                <w:szCs w:val="20"/>
              </w:rPr>
              <w:t>NTRK2</w:t>
            </w:r>
            <w:r w:rsidRPr="0097256D">
              <w:rPr>
                <w:rFonts w:ascii="Arial Narrow" w:hAnsi="Arial Narrow"/>
                <w:sz w:val="20"/>
                <w:szCs w:val="20"/>
              </w:rPr>
              <w:t xml:space="preserve">, and </w:t>
            </w:r>
            <w:r w:rsidRPr="0097256D">
              <w:rPr>
                <w:rFonts w:ascii="Arial Narrow" w:hAnsi="Arial Narrow"/>
                <w:i/>
                <w:iCs/>
                <w:sz w:val="20"/>
                <w:szCs w:val="20"/>
              </w:rPr>
              <w:t>NTRK3</w:t>
            </w:r>
            <w:r w:rsidRPr="0097256D">
              <w:rPr>
                <w:rFonts w:ascii="Arial Narrow" w:hAnsi="Arial Narrow"/>
                <w:sz w:val="20"/>
                <w:szCs w:val="20"/>
              </w:rPr>
              <w:t xml:space="preserve"> to determine access to specific therapies relevant to these variants listed on the Pharmaceutical Benefits Scheme (PBS) are fulfilled; or</w:t>
            </w:r>
          </w:p>
          <w:p w14:paraId="330A66F3" w14:textId="160CCA77" w:rsidR="00687792" w:rsidRPr="0097256D" w:rsidRDefault="00687792" w:rsidP="007527B1">
            <w:pPr>
              <w:pStyle w:val="ListParagraph"/>
              <w:numPr>
                <w:ilvl w:val="0"/>
                <w:numId w:val="25"/>
              </w:numPr>
              <w:spacing w:before="0"/>
              <w:rPr>
                <w:rFonts w:ascii="Arial Narrow" w:hAnsi="Arial Narrow"/>
                <w:sz w:val="20"/>
                <w:szCs w:val="20"/>
              </w:rPr>
            </w:pPr>
            <w:r w:rsidRPr="0097256D">
              <w:rPr>
                <w:rFonts w:ascii="Arial Narrow" w:hAnsi="Arial Narrow"/>
                <w:sz w:val="20"/>
                <w:szCs w:val="20"/>
              </w:rPr>
              <w:t xml:space="preserve">if the requirements relating to </w:t>
            </w:r>
            <w:r w:rsidRPr="0097256D">
              <w:rPr>
                <w:rFonts w:ascii="Arial Narrow" w:hAnsi="Arial Narrow"/>
                <w:i/>
                <w:iCs/>
                <w:sz w:val="20"/>
                <w:szCs w:val="20"/>
              </w:rPr>
              <w:t>ALK</w:t>
            </w:r>
            <w:r w:rsidRPr="0097256D">
              <w:rPr>
                <w:rFonts w:ascii="Arial Narrow" w:hAnsi="Arial Narrow"/>
                <w:sz w:val="20"/>
                <w:szCs w:val="20"/>
              </w:rPr>
              <w:t xml:space="preserve"> and </w:t>
            </w:r>
            <w:r w:rsidRPr="0097256D">
              <w:rPr>
                <w:rFonts w:ascii="Arial Narrow" w:hAnsi="Arial Narrow"/>
                <w:i/>
                <w:iCs/>
                <w:sz w:val="20"/>
                <w:szCs w:val="20"/>
              </w:rPr>
              <w:t>ROS1</w:t>
            </w:r>
            <w:r w:rsidRPr="0097256D">
              <w:rPr>
                <w:rFonts w:ascii="Arial Narrow" w:hAnsi="Arial Narrow"/>
                <w:sz w:val="20"/>
                <w:szCs w:val="20"/>
              </w:rPr>
              <w:t xml:space="preserve"> status for access to immunotherapies listed on the PBS are fulfilled.</w:t>
            </w:r>
          </w:p>
          <w:p w14:paraId="311C4BC0" w14:textId="77777777" w:rsidR="00687792" w:rsidRPr="0097256D" w:rsidRDefault="00687792" w:rsidP="007527B1">
            <w:pPr>
              <w:rPr>
                <w:rFonts w:ascii="Arial Narrow" w:hAnsi="Arial Narrow"/>
                <w:sz w:val="20"/>
                <w:szCs w:val="20"/>
              </w:rPr>
            </w:pPr>
            <w:r w:rsidRPr="0097256D">
              <w:rPr>
                <w:rFonts w:ascii="Arial Narrow" w:hAnsi="Arial Narrow"/>
                <w:sz w:val="20"/>
                <w:szCs w:val="20"/>
              </w:rPr>
              <w:t>Co-claiming of MBS items AAAA, 73341, 73344</w:t>
            </w:r>
            <w:r w:rsidRPr="0097256D">
              <w:rPr>
                <w:rFonts w:ascii="Arial Narrow" w:hAnsi="Arial Narrow"/>
                <w:color w:val="FF0000"/>
                <w:sz w:val="20"/>
                <w:szCs w:val="20"/>
              </w:rPr>
              <w:t xml:space="preserve"> or 73351 </w:t>
            </w:r>
            <w:r w:rsidRPr="0097256D">
              <w:rPr>
                <w:rFonts w:ascii="Arial Narrow" w:hAnsi="Arial Narrow"/>
                <w:sz w:val="20"/>
                <w:szCs w:val="20"/>
              </w:rPr>
              <w:t>is not permitted in the same patient episode.</w:t>
            </w:r>
          </w:p>
          <w:p w14:paraId="2592C591" w14:textId="52AA1AEF" w:rsidR="00687792" w:rsidRPr="0097256D" w:rsidRDefault="00687792" w:rsidP="007527B1">
            <w:pPr>
              <w:rPr>
                <w:rFonts w:ascii="Arial Narrow" w:hAnsi="Arial Narrow"/>
                <w:sz w:val="20"/>
                <w:szCs w:val="20"/>
              </w:rPr>
            </w:pPr>
            <w:r w:rsidRPr="0097256D">
              <w:rPr>
                <w:rFonts w:ascii="Arial Narrow" w:hAnsi="Arial Narrow"/>
                <w:sz w:val="20"/>
                <w:szCs w:val="20"/>
              </w:rPr>
              <w:t>Fee:  $682.35</w:t>
            </w:r>
            <w:r w:rsidRPr="0097256D">
              <w:rPr>
                <w:rFonts w:ascii="Arial Narrow" w:hAnsi="Arial Narrow"/>
                <w:sz w:val="20"/>
                <w:szCs w:val="20"/>
              </w:rPr>
              <w:tab/>
              <w:t>Benefit: 75% = $511.75 85% = $</w:t>
            </w:r>
            <w:r w:rsidR="005C05CC" w:rsidRPr="0097256D">
              <w:rPr>
                <w:rFonts w:ascii="Arial Narrow" w:hAnsi="Arial Narrow"/>
                <w:sz w:val="20"/>
                <w:szCs w:val="20"/>
              </w:rPr>
              <w:t>589.15</w:t>
            </w:r>
            <w:r w:rsidRPr="0097256D">
              <w:rPr>
                <w:rFonts w:ascii="Arial Narrow" w:hAnsi="Arial Narrow"/>
                <w:sz w:val="20"/>
                <w:szCs w:val="20"/>
                <w:vertAlign w:val="superscript"/>
              </w:rPr>
              <w:t>a</w:t>
            </w:r>
          </w:p>
        </w:tc>
      </w:tr>
    </w:tbl>
    <w:p w14:paraId="6A45A4F3" w14:textId="35005EDD" w:rsidR="00687792" w:rsidRPr="0096401F" w:rsidRDefault="00687792" w:rsidP="00687792">
      <w:pPr>
        <w:rPr>
          <w:sz w:val="13"/>
          <w:szCs w:val="13"/>
        </w:rPr>
      </w:pPr>
      <w:r w:rsidRPr="0096401F">
        <w:rPr>
          <w:sz w:val="13"/>
          <w:szCs w:val="13"/>
        </w:rPr>
        <w:t xml:space="preserve">a Reflects the 1 November </w:t>
      </w:r>
      <w:r w:rsidR="005C05CC">
        <w:rPr>
          <w:sz w:val="13"/>
          <w:szCs w:val="13"/>
        </w:rPr>
        <w:t>2022</w:t>
      </w:r>
      <w:r w:rsidRPr="0096401F">
        <w:rPr>
          <w:sz w:val="13"/>
          <w:szCs w:val="13"/>
        </w:rPr>
        <w:t xml:space="preserve"> Greatest Permissible Gap (GPG) of $</w:t>
      </w:r>
      <w:r w:rsidR="005C05CC">
        <w:rPr>
          <w:sz w:val="13"/>
          <w:szCs w:val="13"/>
        </w:rPr>
        <w:t>93.20</w:t>
      </w:r>
      <w:r w:rsidRPr="0096401F">
        <w:rPr>
          <w:sz w:val="13"/>
          <w:szCs w:val="13"/>
        </w:rPr>
        <w:t>. All out-of-hospital Medicare services which have an MBS fee of $</w:t>
      </w:r>
      <w:r w:rsidR="005C05CC" w:rsidRPr="005C05CC">
        <w:rPr>
          <w:sz w:val="13"/>
          <w:szCs w:val="13"/>
        </w:rPr>
        <w:t>621.50</w:t>
      </w:r>
      <w:r w:rsidRPr="0096401F">
        <w:rPr>
          <w:sz w:val="13"/>
          <w:szCs w:val="13"/>
        </w:rPr>
        <w:t xml:space="preserve"> or more will attract a benefit that is greater than 85% of the MBS fee – being the schedule fee less the GPG amount. The GPG amount is indexed annually on 1 November in line with the Consumer Price Index (CPI) (June quarter).</w:t>
      </w:r>
    </w:p>
    <w:p w14:paraId="3E9CF75A" w14:textId="097DD973" w:rsidR="001B108A" w:rsidRDefault="001B108A" w:rsidP="001B108A">
      <w:r>
        <w:t xml:space="preserve">MSAC recommended the following </w:t>
      </w:r>
      <w:r w:rsidR="005C05CC">
        <w:t>amendments to</w:t>
      </w:r>
      <w:r>
        <w:t xml:space="preserve"> item descriptors</w:t>
      </w:r>
      <w:r w:rsidR="005C05CC">
        <w:t xml:space="preserve"> for existing items</w:t>
      </w:r>
      <w:r>
        <w:t>:</w:t>
      </w:r>
    </w:p>
    <w:tbl>
      <w:tblPr>
        <w:tblStyle w:val="TableGrid"/>
        <w:tblW w:w="0" w:type="auto"/>
        <w:tblLook w:val="04A0" w:firstRow="1" w:lastRow="0" w:firstColumn="1" w:lastColumn="0" w:noHBand="0" w:noVBand="1"/>
      </w:tblPr>
      <w:tblGrid>
        <w:gridCol w:w="9016"/>
      </w:tblGrid>
      <w:tr w:rsidR="005C05CC" w:rsidRPr="0097256D" w14:paraId="44A0FF0A" w14:textId="77777777" w:rsidTr="005C05CC">
        <w:tc>
          <w:tcPr>
            <w:tcW w:w="9016" w:type="dxa"/>
          </w:tcPr>
          <w:p w14:paraId="6F14F76B" w14:textId="77777777" w:rsidR="005C05CC" w:rsidRPr="0097256D" w:rsidRDefault="005C05CC" w:rsidP="001B108A">
            <w:pPr>
              <w:rPr>
                <w:rFonts w:ascii="Arial Narrow" w:hAnsi="Arial Narrow"/>
                <w:sz w:val="20"/>
                <w:szCs w:val="20"/>
              </w:rPr>
            </w:pPr>
            <w:r w:rsidRPr="0097256D">
              <w:rPr>
                <w:rFonts w:ascii="Arial Narrow" w:hAnsi="Arial Narrow"/>
                <w:sz w:val="20"/>
                <w:szCs w:val="20"/>
              </w:rPr>
              <w:t>73337</w:t>
            </w:r>
          </w:p>
          <w:p w14:paraId="2CCF5923" w14:textId="7A733B85" w:rsidR="005C05CC" w:rsidRPr="0097256D" w:rsidRDefault="005C05CC" w:rsidP="005C05CC">
            <w:pPr>
              <w:rPr>
                <w:rFonts w:ascii="Arial Narrow" w:hAnsi="Arial Narrow"/>
                <w:sz w:val="20"/>
                <w:szCs w:val="20"/>
              </w:rPr>
            </w:pPr>
            <w:r w:rsidRPr="0097256D">
              <w:rPr>
                <w:rFonts w:ascii="Arial Narrow" w:hAnsi="Arial Narrow"/>
                <w:sz w:val="20"/>
                <w:szCs w:val="20"/>
              </w:rPr>
              <w:t xml:space="preserve">A test of tumour tissue from a patient </w:t>
            </w:r>
            <w:r w:rsidRPr="008D0A33">
              <w:rPr>
                <w:rFonts w:ascii="Arial Narrow" w:hAnsi="Arial Narrow"/>
                <w:sz w:val="20"/>
                <w:szCs w:val="20"/>
              </w:rPr>
              <w:t xml:space="preserve">diagnosed </w:t>
            </w:r>
            <w:r w:rsidRPr="00F56703">
              <w:rPr>
                <w:rFonts w:ascii="Arial Narrow" w:hAnsi="Arial Narrow"/>
                <w:sz w:val="20"/>
                <w:szCs w:val="20"/>
              </w:rPr>
              <w:t>with</w:t>
            </w:r>
            <w:r w:rsidR="003C3249" w:rsidRPr="00F56703">
              <w:rPr>
                <w:rFonts w:ascii="Arial Narrow" w:hAnsi="Arial Narrow"/>
                <w:sz w:val="20"/>
                <w:szCs w:val="20"/>
              </w:rPr>
              <w:t xml:space="preserve"> a new diagnosis of</w:t>
            </w:r>
            <w:r w:rsidRPr="0097256D">
              <w:rPr>
                <w:rFonts w:ascii="Arial Narrow" w:hAnsi="Arial Narrow"/>
                <w:sz w:val="20"/>
                <w:szCs w:val="20"/>
              </w:rPr>
              <w:t xml:space="preserve"> non-small cell lung cancer, shown to have non-squamous histology or histology not otherwise specified, requested by, or on behalf of, a specialist or consultant physician, to determine:</w:t>
            </w:r>
          </w:p>
          <w:p w14:paraId="564D4961" w14:textId="6A442504" w:rsidR="005C05CC" w:rsidRPr="0097256D" w:rsidRDefault="005C05CC" w:rsidP="005C05CC">
            <w:pPr>
              <w:pStyle w:val="ListParagraph"/>
              <w:numPr>
                <w:ilvl w:val="0"/>
                <w:numId w:val="28"/>
              </w:numPr>
              <w:rPr>
                <w:rFonts w:ascii="Arial Narrow" w:hAnsi="Arial Narrow"/>
                <w:strike/>
                <w:color w:val="FF0000"/>
                <w:sz w:val="20"/>
                <w:szCs w:val="20"/>
              </w:rPr>
            </w:pPr>
            <w:r w:rsidRPr="0097256D">
              <w:rPr>
                <w:rFonts w:ascii="Arial Narrow" w:hAnsi="Arial Narrow"/>
                <w:sz w:val="20"/>
                <w:szCs w:val="20"/>
              </w:rPr>
              <w:t xml:space="preserve">if requirements relating to epidermal growth factor receptor (EGFR) gene status </w:t>
            </w:r>
            <w:r w:rsidRPr="0097256D">
              <w:rPr>
                <w:rFonts w:ascii="Arial Narrow" w:hAnsi="Arial Narrow"/>
                <w:strike/>
                <w:color w:val="FF0000"/>
                <w:sz w:val="20"/>
                <w:szCs w:val="20"/>
              </w:rPr>
              <w:t>for access to an EGFR tyrosine kinase inhibitor under the Pharmaceutical Benefits Scheme (PBS) are fulfilled; or</w:t>
            </w:r>
          </w:p>
          <w:p w14:paraId="510B0D9D" w14:textId="77777777" w:rsidR="005C05CC" w:rsidRPr="0097256D" w:rsidRDefault="005C05CC" w:rsidP="00D93740">
            <w:pPr>
              <w:pStyle w:val="ListParagraph"/>
              <w:rPr>
                <w:rFonts w:ascii="Arial Narrow" w:hAnsi="Arial Narrow"/>
                <w:strike/>
                <w:color w:val="FF0000"/>
                <w:sz w:val="20"/>
                <w:szCs w:val="20"/>
              </w:rPr>
            </w:pPr>
          </w:p>
          <w:p w14:paraId="33C1180E" w14:textId="7ADD192E" w:rsidR="005C05CC" w:rsidRPr="0097256D" w:rsidRDefault="005C05CC" w:rsidP="001A0ACD">
            <w:pPr>
              <w:pStyle w:val="ListParagraph"/>
              <w:numPr>
                <w:ilvl w:val="0"/>
                <w:numId w:val="28"/>
              </w:numPr>
              <w:rPr>
                <w:rFonts w:ascii="Arial Narrow" w:hAnsi="Arial Narrow"/>
                <w:sz w:val="20"/>
                <w:szCs w:val="20"/>
              </w:rPr>
            </w:pPr>
            <w:r w:rsidRPr="0097256D">
              <w:rPr>
                <w:rFonts w:ascii="Arial Narrow" w:hAnsi="Arial Narrow"/>
                <w:strike/>
                <w:color w:val="FF0000"/>
                <w:sz w:val="20"/>
                <w:szCs w:val="20"/>
              </w:rPr>
              <w:t>if the requirements relating to EGFR status</w:t>
            </w:r>
            <w:r w:rsidRPr="0097256D">
              <w:rPr>
                <w:rFonts w:ascii="Arial Narrow" w:hAnsi="Arial Narrow"/>
                <w:color w:val="FF0000"/>
                <w:sz w:val="20"/>
                <w:szCs w:val="20"/>
              </w:rPr>
              <w:t xml:space="preserve"> </w:t>
            </w:r>
            <w:r w:rsidRPr="0097256D">
              <w:rPr>
                <w:rFonts w:ascii="Arial Narrow" w:hAnsi="Arial Narrow"/>
                <w:sz w:val="20"/>
                <w:szCs w:val="20"/>
              </w:rPr>
              <w:t>for access to an immunotherapy listed under the Pharmaceutical Benefits Scheme (PBS) are fulfilled.</w:t>
            </w:r>
          </w:p>
          <w:p w14:paraId="3E09B85C" w14:textId="77777777" w:rsidR="005C05CC" w:rsidRPr="0097256D" w:rsidRDefault="005C05CC" w:rsidP="005C05CC">
            <w:pPr>
              <w:rPr>
                <w:rFonts w:ascii="Arial Narrow" w:hAnsi="Arial Narrow"/>
                <w:color w:val="FF0000"/>
                <w:sz w:val="20"/>
                <w:szCs w:val="20"/>
              </w:rPr>
            </w:pPr>
            <w:r w:rsidRPr="0097256D">
              <w:rPr>
                <w:rFonts w:ascii="Arial Narrow" w:hAnsi="Arial Narrow"/>
                <w:color w:val="FF0000"/>
                <w:sz w:val="20"/>
                <w:szCs w:val="20"/>
              </w:rPr>
              <w:t>Co-claiming of MBS items AAAA or BBBB is not permitted in the same patient episode.</w:t>
            </w:r>
          </w:p>
          <w:p w14:paraId="002272F6" w14:textId="1FC29687" w:rsidR="0097256D" w:rsidRPr="0097256D" w:rsidRDefault="005C05CC" w:rsidP="0097256D">
            <w:pPr>
              <w:spacing w:after="480"/>
              <w:rPr>
                <w:rFonts w:ascii="Arial Narrow" w:hAnsi="Arial Narrow"/>
                <w:sz w:val="20"/>
                <w:szCs w:val="20"/>
              </w:rPr>
            </w:pPr>
            <w:r w:rsidRPr="0097256D">
              <w:rPr>
                <w:rFonts w:ascii="Arial Narrow" w:hAnsi="Arial Narrow"/>
                <w:sz w:val="20"/>
                <w:szCs w:val="20"/>
              </w:rPr>
              <w:t>Fee: $397.35 Benefit: 75% = $298.05 85% = $337.75</w:t>
            </w:r>
          </w:p>
        </w:tc>
      </w:tr>
      <w:tr w:rsidR="005C05CC" w:rsidRPr="0097256D" w14:paraId="0FFA30BC" w14:textId="77777777" w:rsidTr="005C05CC">
        <w:tc>
          <w:tcPr>
            <w:tcW w:w="9016" w:type="dxa"/>
          </w:tcPr>
          <w:p w14:paraId="3237EB61" w14:textId="77777777" w:rsidR="005C05CC" w:rsidRPr="0097256D" w:rsidRDefault="005C05CC" w:rsidP="001B108A">
            <w:pPr>
              <w:rPr>
                <w:rFonts w:ascii="Arial Narrow" w:hAnsi="Arial Narrow"/>
                <w:sz w:val="20"/>
                <w:szCs w:val="20"/>
              </w:rPr>
            </w:pPr>
            <w:r w:rsidRPr="0097256D">
              <w:rPr>
                <w:rFonts w:ascii="Arial Narrow" w:hAnsi="Arial Narrow"/>
                <w:sz w:val="20"/>
                <w:szCs w:val="20"/>
              </w:rPr>
              <w:lastRenderedPageBreak/>
              <w:t>73341</w:t>
            </w:r>
          </w:p>
          <w:p w14:paraId="07568043" w14:textId="16B37B5D" w:rsidR="005C05CC" w:rsidRPr="0097256D" w:rsidRDefault="005C05CC" w:rsidP="005C05CC">
            <w:pPr>
              <w:rPr>
                <w:rFonts w:ascii="Arial Narrow" w:hAnsi="Arial Narrow"/>
                <w:sz w:val="20"/>
                <w:szCs w:val="20"/>
              </w:rPr>
            </w:pPr>
            <w:r w:rsidRPr="0097256D">
              <w:rPr>
                <w:rFonts w:ascii="Arial Narrow" w:hAnsi="Arial Narrow"/>
                <w:sz w:val="20"/>
                <w:szCs w:val="20"/>
              </w:rPr>
              <w:t xml:space="preserve">Fluorescence in situ hybridisation (FISH) test of tumour tissue from a patient </w:t>
            </w:r>
            <w:r w:rsidRPr="00F56703">
              <w:rPr>
                <w:rFonts w:ascii="Arial Narrow" w:hAnsi="Arial Narrow"/>
                <w:sz w:val="20"/>
                <w:szCs w:val="20"/>
              </w:rPr>
              <w:t>with</w:t>
            </w:r>
            <w:r w:rsidR="003C3249" w:rsidRPr="00F56703">
              <w:rPr>
                <w:rFonts w:ascii="Arial Narrow" w:hAnsi="Arial Narrow"/>
                <w:sz w:val="20"/>
                <w:szCs w:val="20"/>
              </w:rPr>
              <w:t xml:space="preserve"> a new diagnosis of</w:t>
            </w:r>
            <w:r w:rsidRPr="008D0A33">
              <w:rPr>
                <w:rFonts w:ascii="Arial Narrow" w:hAnsi="Arial Narrow"/>
                <w:sz w:val="20"/>
                <w:szCs w:val="20"/>
              </w:rPr>
              <w:t xml:space="preserve"> locally</w:t>
            </w:r>
            <w:r w:rsidRPr="0097256D">
              <w:rPr>
                <w:rFonts w:ascii="Arial Narrow" w:hAnsi="Arial Narrow"/>
                <w:sz w:val="20"/>
                <w:szCs w:val="20"/>
              </w:rPr>
              <w:t xml:space="preserve"> advanced or metastatic non</w:t>
            </w:r>
            <w:r w:rsidR="00DE5B8B" w:rsidRPr="0097256D">
              <w:rPr>
                <w:rFonts w:ascii="Arial Narrow" w:hAnsi="Arial Narrow"/>
                <w:sz w:val="20"/>
                <w:szCs w:val="20"/>
              </w:rPr>
              <w:t>-</w:t>
            </w:r>
            <w:r w:rsidRPr="0097256D">
              <w:rPr>
                <w:rFonts w:ascii="Arial Narrow" w:hAnsi="Arial Narrow"/>
                <w:sz w:val="20"/>
                <w:szCs w:val="20"/>
              </w:rPr>
              <w:t>small cell lung cancer, which is of non-squamous histology or histology not otherwise specified, with documented evidence of anaplastic lymphoma kinase (ALK) immunoreactivity by immunohistochemical (IHC) examination giving a staining intensity score &gt; 0, and with documented absence of activating mutations of the epidermal growth factor receptor (EGFR) gene, requested by a specialist or consultant physician, to determine</w:t>
            </w:r>
            <w:r w:rsidRPr="0097256D">
              <w:rPr>
                <w:rFonts w:ascii="Arial Narrow" w:hAnsi="Arial Narrow"/>
                <w:strike/>
                <w:color w:val="FF0000"/>
                <w:sz w:val="20"/>
                <w:szCs w:val="20"/>
              </w:rPr>
              <w:t xml:space="preserve">: </w:t>
            </w:r>
          </w:p>
          <w:p w14:paraId="1C833966" w14:textId="1B718C95" w:rsidR="005C05CC" w:rsidRPr="0097256D" w:rsidRDefault="005C05CC" w:rsidP="00DE5B8B">
            <w:pPr>
              <w:pStyle w:val="ListParagraph"/>
              <w:numPr>
                <w:ilvl w:val="0"/>
                <w:numId w:val="29"/>
              </w:numPr>
              <w:rPr>
                <w:rFonts w:ascii="Arial Narrow" w:hAnsi="Arial Narrow"/>
                <w:sz w:val="20"/>
                <w:szCs w:val="20"/>
              </w:rPr>
            </w:pPr>
            <w:r w:rsidRPr="0097256D">
              <w:rPr>
                <w:rFonts w:ascii="Arial Narrow" w:hAnsi="Arial Narrow"/>
                <w:sz w:val="20"/>
                <w:szCs w:val="20"/>
              </w:rPr>
              <w:t xml:space="preserve">if requirements relating to ALK gene rearrangement status </w:t>
            </w:r>
            <w:r w:rsidRPr="0097256D">
              <w:rPr>
                <w:rFonts w:ascii="Arial Narrow" w:hAnsi="Arial Narrow"/>
                <w:strike/>
                <w:color w:val="FF0000"/>
                <w:sz w:val="20"/>
                <w:szCs w:val="20"/>
              </w:rPr>
              <w:t>for access to an anaplastic lymphoma kinase inhibitor under the Pharmaceutical Benefits Scheme</w:t>
            </w:r>
            <w:r w:rsidR="00DE5B8B" w:rsidRPr="0097256D">
              <w:rPr>
                <w:rFonts w:ascii="Arial Narrow" w:hAnsi="Arial Narrow"/>
                <w:strike/>
                <w:color w:val="FF0000"/>
                <w:sz w:val="20"/>
                <w:szCs w:val="20"/>
              </w:rPr>
              <w:t xml:space="preserve"> (PBS)</w:t>
            </w:r>
            <w:r w:rsidRPr="0097256D">
              <w:rPr>
                <w:rFonts w:ascii="Arial Narrow" w:hAnsi="Arial Narrow"/>
                <w:strike/>
                <w:color w:val="FF0000"/>
                <w:sz w:val="20"/>
                <w:szCs w:val="20"/>
              </w:rPr>
              <w:t xml:space="preserve"> are fulfilled;</w:t>
            </w:r>
            <w:r w:rsidRPr="0097256D">
              <w:rPr>
                <w:rFonts w:ascii="Arial Narrow" w:hAnsi="Arial Narrow"/>
                <w:color w:val="FF0000"/>
                <w:sz w:val="20"/>
                <w:szCs w:val="20"/>
              </w:rPr>
              <w:t xml:space="preserve"> </w:t>
            </w:r>
            <w:r w:rsidRPr="0097256D">
              <w:rPr>
                <w:rFonts w:ascii="Arial Narrow" w:hAnsi="Arial Narrow"/>
                <w:sz w:val="20"/>
                <w:szCs w:val="20"/>
              </w:rPr>
              <w:t xml:space="preserve">or </w:t>
            </w:r>
          </w:p>
          <w:p w14:paraId="6E2AE5C6" w14:textId="77777777" w:rsidR="00DE5B8B" w:rsidRPr="0097256D" w:rsidRDefault="00DE5B8B" w:rsidP="001A0ACD">
            <w:pPr>
              <w:pStyle w:val="ListParagraph"/>
              <w:rPr>
                <w:rFonts w:ascii="Arial Narrow" w:hAnsi="Arial Narrow"/>
                <w:sz w:val="20"/>
                <w:szCs w:val="20"/>
              </w:rPr>
            </w:pPr>
          </w:p>
          <w:p w14:paraId="0D8068F2" w14:textId="4D7CC216" w:rsidR="005C05CC" w:rsidRPr="0097256D" w:rsidRDefault="005C05CC" w:rsidP="001A0ACD">
            <w:pPr>
              <w:pStyle w:val="ListParagraph"/>
              <w:numPr>
                <w:ilvl w:val="0"/>
                <w:numId w:val="29"/>
              </w:numPr>
              <w:rPr>
                <w:rFonts w:ascii="Arial Narrow" w:hAnsi="Arial Narrow"/>
                <w:sz w:val="20"/>
                <w:szCs w:val="20"/>
              </w:rPr>
            </w:pPr>
            <w:r w:rsidRPr="0097256D">
              <w:rPr>
                <w:rFonts w:ascii="Arial Narrow" w:hAnsi="Arial Narrow"/>
                <w:strike/>
                <w:color w:val="FF0000"/>
                <w:sz w:val="20"/>
                <w:szCs w:val="20"/>
              </w:rPr>
              <w:t>if requirements relating to</w:t>
            </w:r>
            <w:r w:rsidRPr="0097256D">
              <w:rPr>
                <w:rFonts w:ascii="Arial Narrow" w:hAnsi="Arial Narrow"/>
                <w:color w:val="FF0000"/>
                <w:sz w:val="20"/>
                <w:szCs w:val="20"/>
              </w:rPr>
              <w:t xml:space="preserve"> </w:t>
            </w:r>
            <w:r w:rsidRPr="0097256D">
              <w:rPr>
                <w:rFonts w:ascii="Arial Narrow" w:hAnsi="Arial Narrow"/>
                <w:sz w:val="20"/>
                <w:szCs w:val="20"/>
              </w:rPr>
              <w:t>ALK status for access to an immunotherapy listed under the Pharmaceutical Benefits Scheme</w:t>
            </w:r>
            <w:r w:rsidR="00DE5B8B" w:rsidRPr="0097256D">
              <w:rPr>
                <w:rFonts w:ascii="Arial Narrow" w:hAnsi="Arial Narrow"/>
                <w:sz w:val="20"/>
                <w:szCs w:val="20"/>
              </w:rPr>
              <w:t xml:space="preserve"> </w:t>
            </w:r>
            <w:r w:rsidR="0012326F" w:rsidRPr="0097256D">
              <w:rPr>
                <w:rFonts w:ascii="Arial Narrow" w:hAnsi="Arial Narrow"/>
                <w:color w:val="FF0000"/>
                <w:sz w:val="20"/>
                <w:szCs w:val="20"/>
              </w:rPr>
              <w:t>(</w:t>
            </w:r>
            <w:r w:rsidR="00DE5B8B" w:rsidRPr="0097256D">
              <w:rPr>
                <w:rFonts w:ascii="Arial Narrow" w:hAnsi="Arial Narrow"/>
                <w:color w:val="FF0000"/>
                <w:sz w:val="20"/>
                <w:szCs w:val="20"/>
              </w:rPr>
              <w:t>PBS</w:t>
            </w:r>
            <w:r w:rsidR="0012326F" w:rsidRPr="0097256D">
              <w:rPr>
                <w:rFonts w:ascii="Arial Narrow" w:hAnsi="Arial Narrow"/>
                <w:color w:val="FF0000"/>
                <w:sz w:val="20"/>
                <w:szCs w:val="20"/>
              </w:rPr>
              <w:t>)</w:t>
            </w:r>
            <w:r w:rsidRPr="0097256D">
              <w:rPr>
                <w:rFonts w:ascii="Arial Narrow" w:hAnsi="Arial Narrow"/>
                <w:color w:val="FF0000"/>
                <w:sz w:val="20"/>
                <w:szCs w:val="20"/>
              </w:rPr>
              <w:t xml:space="preserve"> </w:t>
            </w:r>
            <w:r w:rsidRPr="0097256D">
              <w:rPr>
                <w:rFonts w:ascii="Arial Narrow" w:hAnsi="Arial Narrow"/>
                <w:sz w:val="20"/>
                <w:szCs w:val="20"/>
              </w:rPr>
              <w:t>are fulfilled.</w:t>
            </w:r>
          </w:p>
          <w:p w14:paraId="784D50AE" w14:textId="77777777" w:rsidR="00DE5B8B" w:rsidRPr="0097256D" w:rsidRDefault="00DE5B8B" w:rsidP="00DE5B8B">
            <w:pPr>
              <w:rPr>
                <w:rFonts w:ascii="Arial Narrow" w:hAnsi="Arial Narrow"/>
                <w:color w:val="FF0000"/>
                <w:sz w:val="20"/>
                <w:szCs w:val="20"/>
              </w:rPr>
            </w:pPr>
            <w:r w:rsidRPr="0097256D">
              <w:rPr>
                <w:rFonts w:ascii="Arial Narrow" w:hAnsi="Arial Narrow"/>
                <w:color w:val="FF0000"/>
                <w:sz w:val="20"/>
                <w:szCs w:val="20"/>
              </w:rPr>
              <w:t>Co-claiming of MBS items AAAA or CCCC is not permitted in the same patient episode.</w:t>
            </w:r>
          </w:p>
          <w:p w14:paraId="6F64FAE6" w14:textId="491D16FA" w:rsidR="005C05CC" w:rsidRPr="0097256D" w:rsidRDefault="00DE5B8B" w:rsidP="00DE5B8B">
            <w:pPr>
              <w:rPr>
                <w:rFonts w:ascii="Arial Narrow" w:hAnsi="Arial Narrow"/>
                <w:sz w:val="20"/>
                <w:szCs w:val="20"/>
              </w:rPr>
            </w:pPr>
            <w:r w:rsidRPr="0097256D">
              <w:rPr>
                <w:rFonts w:ascii="Arial Narrow" w:hAnsi="Arial Narrow"/>
                <w:sz w:val="20"/>
                <w:szCs w:val="20"/>
              </w:rPr>
              <w:t>Fee: $400.00 Benefit: 75% = $300.00 85% = $340.00</w:t>
            </w:r>
          </w:p>
        </w:tc>
      </w:tr>
      <w:tr w:rsidR="005C05CC" w:rsidRPr="0097256D" w14:paraId="1BAF6896" w14:textId="77777777" w:rsidTr="005C05CC">
        <w:tc>
          <w:tcPr>
            <w:tcW w:w="9016" w:type="dxa"/>
          </w:tcPr>
          <w:p w14:paraId="5C0FB71B" w14:textId="77777777" w:rsidR="005C05CC" w:rsidRPr="0097256D" w:rsidRDefault="00DE5B8B" w:rsidP="001B108A">
            <w:pPr>
              <w:rPr>
                <w:rFonts w:ascii="Arial Narrow" w:hAnsi="Arial Narrow"/>
                <w:sz w:val="20"/>
                <w:szCs w:val="20"/>
              </w:rPr>
            </w:pPr>
            <w:r w:rsidRPr="0097256D">
              <w:rPr>
                <w:rFonts w:ascii="Arial Narrow" w:hAnsi="Arial Narrow"/>
                <w:sz w:val="20"/>
                <w:szCs w:val="20"/>
              </w:rPr>
              <w:t>73344</w:t>
            </w:r>
          </w:p>
          <w:p w14:paraId="4CF48D71" w14:textId="693F7196" w:rsidR="00DE5B8B" w:rsidRPr="0097256D" w:rsidRDefault="00DE5B8B" w:rsidP="00DE5B8B">
            <w:pPr>
              <w:rPr>
                <w:rFonts w:ascii="Arial Narrow" w:hAnsi="Arial Narrow"/>
                <w:sz w:val="20"/>
                <w:szCs w:val="20"/>
              </w:rPr>
            </w:pPr>
            <w:r w:rsidRPr="0097256D">
              <w:rPr>
                <w:rFonts w:ascii="Arial Narrow" w:hAnsi="Arial Narrow"/>
                <w:sz w:val="20"/>
                <w:szCs w:val="20"/>
              </w:rPr>
              <w:t xml:space="preserve">Fluorescence in situ hybridization (FISH) test of tumour tissue from a patient </w:t>
            </w:r>
            <w:r w:rsidRPr="00F56703">
              <w:rPr>
                <w:rFonts w:ascii="Arial Narrow" w:hAnsi="Arial Narrow"/>
                <w:sz w:val="20"/>
                <w:szCs w:val="20"/>
              </w:rPr>
              <w:t>with</w:t>
            </w:r>
            <w:r w:rsidR="003C3249" w:rsidRPr="00F56703">
              <w:rPr>
                <w:rFonts w:ascii="Arial Narrow" w:hAnsi="Arial Narrow"/>
                <w:sz w:val="20"/>
                <w:szCs w:val="20"/>
              </w:rPr>
              <w:t xml:space="preserve"> a new diagnosis of</w:t>
            </w:r>
            <w:r w:rsidRPr="0097256D">
              <w:rPr>
                <w:rFonts w:ascii="Arial Narrow" w:hAnsi="Arial Narrow"/>
                <w:sz w:val="20"/>
                <w:szCs w:val="20"/>
              </w:rPr>
              <w:t xml:space="preserve"> locally advanced or metastatic non-small cell lung cancer, which is of non-squamous histology or histology not otherwise specified, with documented evidence of ROS proto-oncogene 1 (ROS1) immunoreactivity by immunohistochemical (IHC) examination giving a staining intensity score of 2+ or 3+; and with documented absence of both activating mutations of the epidermal growth factor receptor (EGFR) gene and anaplastic lymphoma kinase (ALK) immunoreactivity by IHC, requested by a specialist or consultant physician, to determine</w:t>
            </w:r>
            <w:r w:rsidRPr="0097256D">
              <w:rPr>
                <w:rFonts w:ascii="Arial Narrow" w:hAnsi="Arial Narrow"/>
                <w:strike/>
                <w:sz w:val="20"/>
                <w:szCs w:val="20"/>
              </w:rPr>
              <w:t>:</w:t>
            </w:r>
          </w:p>
          <w:p w14:paraId="5CE2F8E6" w14:textId="2B71ED6D" w:rsidR="00DE5B8B" w:rsidRPr="0097256D" w:rsidRDefault="00DE5B8B" w:rsidP="00DE5B8B">
            <w:pPr>
              <w:pStyle w:val="ListParagraph"/>
              <w:numPr>
                <w:ilvl w:val="0"/>
                <w:numId w:val="30"/>
              </w:numPr>
              <w:rPr>
                <w:rFonts w:ascii="Arial Narrow" w:hAnsi="Arial Narrow"/>
                <w:sz w:val="20"/>
                <w:szCs w:val="20"/>
              </w:rPr>
            </w:pPr>
            <w:r w:rsidRPr="0097256D">
              <w:rPr>
                <w:rFonts w:ascii="Arial Narrow" w:hAnsi="Arial Narrow"/>
                <w:sz w:val="20"/>
                <w:szCs w:val="20"/>
              </w:rPr>
              <w:t xml:space="preserve">if requirements relating to ROS1 gene arrangement status </w:t>
            </w:r>
            <w:r w:rsidRPr="0097256D">
              <w:rPr>
                <w:rFonts w:ascii="Arial Narrow" w:hAnsi="Arial Narrow"/>
                <w:strike/>
                <w:color w:val="FF0000"/>
                <w:sz w:val="20"/>
                <w:szCs w:val="20"/>
              </w:rPr>
              <w:t xml:space="preserve">for access to </w:t>
            </w:r>
            <w:proofErr w:type="spellStart"/>
            <w:r w:rsidRPr="0097256D">
              <w:rPr>
                <w:rFonts w:ascii="Arial Narrow" w:hAnsi="Arial Narrow"/>
                <w:strike/>
                <w:color w:val="FF0000"/>
                <w:sz w:val="20"/>
                <w:szCs w:val="20"/>
              </w:rPr>
              <w:t>crizotinib</w:t>
            </w:r>
            <w:proofErr w:type="spellEnd"/>
            <w:r w:rsidRPr="0097256D">
              <w:rPr>
                <w:rFonts w:ascii="Arial Narrow" w:hAnsi="Arial Narrow"/>
                <w:strike/>
                <w:color w:val="FF0000"/>
                <w:sz w:val="20"/>
                <w:szCs w:val="20"/>
              </w:rPr>
              <w:t xml:space="preserve"> or </w:t>
            </w:r>
            <w:proofErr w:type="spellStart"/>
            <w:r w:rsidRPr="0097256D">
              <w:rPr>
                <w:rFonts w:ascii="Arial Narrow" w:hAnsi="Arial Narrow"/>
                <w:strike/>
                <w:color w:val="FF0000"/>
                <w:sz w:val="20"/>
                <w:szCs w:val="20"/>
              </w:rPr>
              <w:t>entrectinib</w:t>
            </w:r>
            <w:proofErr w:type="spellEnd"/>
            <w:r w:rsidRPr="0097256D">
              <w:rPr>
                <w:rFonts w:ascii="Arial Narrow" w:hAnsi="Arial Narrow"/>
                <w:strike/>
                <w:color w:val="FF0000"/>
                <w:sz w:val="20"/>
                <w:szCs w:val="20"/>
              </w:rPr>
              <w:t xml:space="preserve"> </w:t>
            </w:r>
            <w:r w:rsidR="0011316A" w:rsidRPr="0097256D">
              <w:rPr>
                <w:rFonts w:ascii="Arial Narrow" w:hAnsi="Arial Narrow"/>
                <w:strike/>
                <w:color w:val="FF0000"/>
                <w:sz w:val="20"/>
                <w:szCs w:val="20"/>
              </w:rPr>
              <w:t xml:space="preserve">a relevant </w:t>
            </w:r>
            <w:r w:rsidRPr="0097256D">
              <w:rPr>
                <w:rFonts w:ascii="Arial Narrow" w:hAnsi="Arial Narrow"/>
                <w:strike/>
                <w:color w:val="FF0000"/>
                <w:sz w:val="20"/>
                <w:szCs w:val="20"/>
              </w:rPr>
              <w:t>under the Pharmaceutical Benefits Scheme (PBS) are fulfilled;</w:t>
            </w:r>
            <w:r w:rsidRPr="0097256D">
              <w:rPr>
                <w:rFonts w:ascii="Arial Narrow" w:hAnsi="Arial Narrow"/>
                <w:color w:val="FF0000"/>
                <w:sz w:val="20"/>
                <w:szCs w:val="20"/>
              </w:rPr>
              <w:t xml:space="preserve"> </w:t>
            </w:r>
            <w:r w:rsidRPr="0097256D">
              <w:rPr>
                <w:rFonts w:ascii="Arial Narrow" w:hAnsi="Arial Narrow"/>
                <w:sz w:val="20"/>
                <w:szCs w:val="20"/>
              </w:rPr>
              <w:t>or</w:t>
            </w:r>
          </w:p>
          <w:p w14:paraId="226518B5" w14:textId="77777777" w:rsidR="00DE5B8B" w:rsidRPr="0097256D" w:rsidRDefault="00DE5B8B" w:rsidP="001A0ACD">
            <w:pPr>
              <w:pStyle w:val="ListParagraph"/>
              <w:rPr>
                <w:rFonts w:ascii="Arial Narrow" w:hAnsi="Arial Narrow"/>
                <w:sz w:val="20"/>
                <w:szCs w:val="20"/>
              </w:rPr>
            </w:pPr>
          </w:p>
          <w:p w14:paraId="19020134" w14:textId="127E85BD" w:rsidR="00DE5B8B" w:rsidRPr="0097256D" w:rsidRDefault="00DE5B8B" w:rsidP="001A0ACD">
            <w:pPr>
              <w:pStyle w:val="ListParagraph"/>
              <w:numPr>
                <w:ilvl w:val="0"/>
                <w:numId w:val="30"/>
              </w:numPr>
              <w:rPr>
                <w:rFonts w:ascii="Arial Narrow" w:hAnsi="Arial Narrow"/>
                <w:sz w:val="20"/>
                <w:szCs w:val="20"/>
              </w:rPr>
            </w:pPr>
            <w:r w:rsidRPr="0097256D">
              <w:rPr>
                <w:rFonts w:ascii="Arial Narrow" w:hAnsi="Arial Narrow"/>
                <w:strike/>
                <w:color w:val="FF0000"/>
                <w:sz w:val="20"/>
                <w:szCs w:val="20"/>
              </w:rPr>
              <w:t>if requirements relating to</w:t>
            </w:r>
            <w:r w:rsidRPr="0097256D">
              <w:rPr>
                <w:rFonts w:ascii="Arial Narrow" w:hAnsi="Arial Narrow"/>
                <w:color w:val="FF0000"/>
                <w:sz w:val="20"/>
                <w:szCs w:val="20"/>
              </w:rPr>
              <w:t xml:space="preserve"> </w:t>
            </w:r>
            <w:r w:rsidRPr="0097256D">
              <w:rPr>
                <w:rFonts w:ascii="Arial Narrow" w:hAnsi="Arial Narrow"/>
                <w:sz w:val="20"/>
                <w:szCs w:val="20"/>
              </w:rPr>
              <w:t xml:space="preserve">ROS1 status for access to an immunotherapy listed under the Pharmaceutical Benefits Scheme </w:t>
            </w:r>
            <w:r w:rsidR="0012326F" w:rsidRPr="0097256D">
              <w:rPr>
                <w:rFonts w:ascii="Arial Narrow" w:hAnsi="Arial Narrow"/>
                <w:color w:val="FF0000"/>
                <w:sz w:val="20"/>
                <w:szCs w:val="20"/>
              </w:rPr>
              <w:t>(</w:t>
            </w:r>
            <w:r w:rsidRPr="0097256D">
              <w:rPr>
                <w:rFonts w:ascii="Arial Narrow" w:hAnsi="Arial Narrow"/>
                <w:color w:val="FF0000"/>
                <w:sz w:val="20"/>
                <w:szCs w:val="20"/>
              </w:rPr>
              <w:t>PBS</w:t>
            </w:r>
            <w:r w:rsidR="0012326F" w:rsidRPr="0097256D">
              <w:rPr>
                <w:rFonts w:ascii="Arial Narrow" w:hAnsi="Arial Narrow"/>
                <w:color w:val="FF0000"/>
                <w:sz w:val="20"/>
                <w:szCs w:val="20"/>
              </w:rPr>
              <w:t>)</w:t>
            </w:r>
            <w:r w:rsidRPr="0097256D">
              <w:rPr>
                <w:rFonts w:ascii="Arial Narrow" w:hAnsi="Arial Narrow"/>
                <w:color w:val="FF0000"/>
                <w:sz w:val="20"/>
                <w:szCs w:val="20"/>
              </w:rPr>
              <w:t xml:space="preserve"> </w:t>
            </w:r>
            <w:r w:rsidRPr="0097256D">
              <w:rPr>
                <w:rFonts w:ascii="Arial Narrow" w:hAnsi="Arial Narrow"/>
                <w:sz w:val="20"/>
                <w:szCs w:val="20"/>
              </w:rPr>
              <w:t>are fulfilled.</w:t>
            </w:r>
          </w:p>
          <w:p w14:paraId="360D267D" w14:textId="77777777" w:rsidR="00DE5B8B" w:rsidRPr="0097256D" w:rsidRDefault="00DE5B8B" w:rsidP="00DE5B8B">
            <w:pPr>
              <w:rPr>
                <w:rFonts w:ascii="Arial Narrow" w:hAnsi="Arial Narrow"/>
                <w:color w:val="FF0000"/>
                <w:sz w:val="20"/>
                <w:szCs w:val="20"/>
              </w:rPr>
            </w:pPr>
            <w:r w:rsidRPr="0097256D">
              <w:rPr>
                <w:rFonts w:ascii="Arial Narrow" w:hAnsi="Arial Narrow"/>
                <w:color w:val="FF0000"/>
                <w:sz w:val="20"/>
                <w:szCs w:val="20"/>
              </w:rPr>
              <w:t>Co-claiming of MBS items AAAA or CCCC is not permitted in the same patient episode.</w:t>
            </w:r>
          </w:p>
          <w:p w14:paraId="0C2C546C" w14:textId="318A4A39" w:rsidR="00DE5B8B" w:rsidRPr="0097256D" w:rsidRDefault="00DE5B8B" w:rsidP="002E627A">
            <w:pPr>
              <w:rPr>
                <w:rFonts w:ascii="Arial Narrow" w:hAnsi="Arial Narrow"/>
                <w:sz w:val="20"/>
                <w:szCs w:val="20"/>
              </w:rPr>
            </w:pPr>
            <w:r w:rsidRPr="0097256D">
              <w:rPr>
                <w:rFonts w:ascii="Arial Narrow" w:hAnsi="Arial Narrow"/>
                <w:sz w:val="20"/>
                <w:szCs w:val="20"/>
              </w:rPr>
              <w:t>Fee: $400.00 Benefit: 75% = $300.00 85% = $340.00</w:t>
            </w:r>
          </w:p>
        </w:tc>
      </w:tr>
      <w:tr w:rsidR="005C05CC" w:rsidRPr="0097256D" w14:paraId="060AE70B" w14:textId="77777777" w:rsidTr="005C05CC">
        <w:tc>
          <w:tcPr>
            <w:tcW w:w="9016" w:type="dxa"/>
          </w:tcPr>
          <w:p w14:paraId="0DD02E45" w14:textId="77777777" w:rsidR="005C05CC" w:rsidRPr="0097256D" w:rsidRDefault="00DE5B8B" w:rsidP="001B108A">
            <w:pPr>
              <w:rPr>
                <w:rFonts w:ascii="Arial Narrow" w:hAnsi="Arial Narrow"/>
                <w:sz w:val="20"/>
                <w:szCs w:val="20"/>
              </w:rPr>
            </w:pPr>
            <w:r w:rsidRPr="0097256D">
              <w:rPr>
                <w:rFonts w:ascii="Arial Narrow" w:hAnsi="Arial Narrow"/>
                <w:sz w:val="20"/>
                <w:szCs w:val="20"/>
              </w:rPr>
              <w:t>73436</w:t>
            </w:r>
          </w:p>
          <w:p w14:paraId="1704D204" w14:textId="1EE355C4" w:rsidR="00DE5B8B" w:rsidRPr="0097256D" w:rsidRDefault="00DE5B8B" w:rsidP="00DE5B8B">
            <w:pPr>
              <w:tabs>
                <w:tab w:val="left" w:pos="1276"/>
              </w:tabs>
              <w:autoSpaceDE w:val="0"/>
              <w:autoSpaceDN w:val="0"/>
              <w:adjustRightInd w:val="0"/>
              <w:rPr>
                <w:rFonts w:ascii="Arial Narrow" w:hAnsi="Arial Narrow"/>
                <w:color w:val="000000"/>
                <w:sz w:val="20"/>
                <w:szCs w:val="20"/>
                <w:shd w:val="clear" w:color="auto" w:fill="FFFFFF"/>
              </w:rPr>
            </w:pPr>
            <w:r w:rsidRPr="0097256D">
              <w:rPr>
                <w:rFonts w:ascii="Arial Narrow" w:hAnsi="Arial Narrow"/>
                <w:sz w:val="20"/>
                <w:szCs w:val="20"/>
              </w:rPr>
              <w:t xml:space="preserve">A test of tumour tissue from a patient diagnosed </w:t>
            </w:r>
            <w:r w:rsidRPr="00F56703">
              <w:rPr>
                <w:rFonts w:ascii="Arial Narrow" w:hAnsi="Arial Narrow"/>
                <w:sz w:val="20"/>
                <w:szCs w:val="20"/>
              </w:rPr>
              <w:t>with</w:t>
            </w:r>
            <w:r w:rsidR="003C3249" w:rsidRPr="00F56703">
              <w:rPr>
                <w:rFonts w:ascii="Arial Narrow" w:hAnsi="Arial Narrow"/>
                <w:sz w:val="20"/>
                <w:szCs w:val="20"/>
              </w:rPr>
              <w:t xml:space="preserve"> a new diagnosis of</w:t>
            </w:r>
            <w:r w:rsidRPr="008D0A33">
              <w:rPr>
                <w:rFonts w:ascii="Arial Narrow" w:hAnsi="Arial Narrow"/>
                <w:sz w:val="20"/>
                <w:szCs w:val="20"/>
              </w:rPr>
              <w:t xml:space="preserve"> locally</w:t>
            </w:r>
            <w:r w:rsidRPr="0097256D">
              <w:rPr>
                <w:rFonts w:ascii="Arial Narrow" w:hAnsi="Arial Narrow"/>
                <w:sz w:val="20"/>
                <w:szCs w:val="20"/>
              </w:rPr>
              <w:t xml:space="preserve"> advanced or metastatic non-small cell lung cancer requested by, or on behalf of, a specialist or consultant physician to determine if the requirements relating to MET proto-oncogene, receptor tyrosine kinase (MET) exon 14 skipping alterations (METex14sk) status for access to </w:t>
            </w:r>
            <w:proofErr w:type="spellStart"/>
            <w:r w:rsidRPr="0097256D">
              <w:rPr>
                <w:rFonts w:ascii="Arial Narrow" w:hAnsi="Arial Narrow"/>
                <w:strike/>
                <w:color w:val="FF0000"/>
                <w:sz w:val="20"/>
                <w:szCs w:val="20"/>
              </w:rPr>
              <w:t>tepotinib</w:t>
            </w:r>
            <w:proofErr w:type="spellEnd"/>
            <w:r w:rsidRPr="0097256D">
              <w:rPr>
                <w:rFonts w:ascii="Arial Narrow" w:hAnsi="Arial Narrow"/>
                <w:color w:val="FF0000"/>
                <w:sz w:val="20"/>
                <w:szCs w:val="20"/>
              </w:rPr>
              <w:t xml:space="preserve"> </w:t>
            </w:r>
            <w:r w:rsidR="0012326F" w:rsidRPr="0097256D">
              <w:rPr>
                <w:rFonts w:ascii="Arial Narrow" w:hAnsi="Arial Narrow"/>
                <w:color w:val="FF0000"/>
                <w:sz w:val="20"/>
                <w:szCs w:val="20"/>
              </w:rPr>
              <w:t xml:space="preserve">an immunotherapy listed </w:t>
            </w:r>
            <w:r w:rsidRPr="0097256D">
              <w:rPr>
                <w:rFonts w:ascii="Arial Narrow" w:hAnsi="Arial Narrow"/>
                <w:strike/>
                <w:color w:val="FF0000"/>
                <w:sz w:val="20"/>
                <w:szCs w:val="20"/>
              </w:rPr>
              <w:t xml:space="preserve">are fulfilled </w:t>
            </w:r>
            <w:r w:rsidRPr="0097256D">
              <w:rPr>
                <w:rFonts w:ascii="Arial Narrow" w:hAnsi="Arial Narrow"/>
                <w:sz w:val="20"/>
                <w:szCs w:val="20"/>
              </w:rPr>
              <w:t>under the Pharmaceutical Benefits Scheme</w:t>
            </w:r>
            <w:r w:rsidR="0011316A" w:rsidRPr="0097256D">
              <w:rPr>
                <w:rFonts w:ascii="Arial Narrow" w:hAnsi="Arial Narrow"/>
                <w:sz w:val="20"/>
                <w:szCs w:val="20"/>
              </w:rPr>
              <w:t xml:space="preserve"> (</w:t>
            </w:r>
            <w:r w:rsidR="0011316A" w:rsidRPr="0097256D">
              <w:rPr>
                <w:rFonts w:ascii="Arial Narrow" w:hAnsi="Arial Narrow"/>
                <w:color w:val="FF0000"/>
                <w:sz w:val="20"/>
                <w:szCs w:val="20"/>
              </w:rPr>
              <w:t>PBS</w:t>
            </w:r>
            <w:r w:rsidR="0011316A" w:rsidRPr="0097256D">
              <w:rPr>
                <w:rFonts w:ascii="Arial Narrow" w:hAnsi="Arial Narrow"/>
                <w:sz w:val="20"/>
                <w:szCs w:val="20"/>
              </w:rPr>
              <w:t>)</w:t>
            </w:r>
            <w:r w:rsidR="0012326F" w:rsidRPr="0097256D">
              <w:rPr>
                <w:rFonts w:ascii="Arial Narrow" w:hAnsi="Arial Narrow"/>
                <w:sz w:val="20"/>
                <w:szCs w:val="20"/>
              </w:rPr>
              <w:t xml:space="preserve"> </w:t>
            </w:r>
            <w:r w:rsidR="0012326F" w:rsidRPr="0097256D">
              <w:rPr>
                <w:rFonts w:ascii="Arial Narrow" w:hAnsi="Arial Narrow"/>
                <w:color w:val="FF0000"/>
                <w:sz w:val="20"/>
                <w:szCs w:val="20"/>
              </w:rPr>
              <w:t>are fulfilled</w:t>
            </w:r>
            <w:r w:rsidR="0011316A" w:rsidRPr="0097256D">
              <w:rPr>
                <w:rFonts w:ascii="Arial Narrow" w:hAnsi="Arial Narrow"/>
                <w:sz w:val="20"/>
                <w:szCs w:val="20"/>
              </w:rPr>
              <w:t>.</w:t>
            </w:r>
          </w:p>
          <w:p w14:paraId="11DCB5DC" w14:textId="77777777" w:rsidR="00DE5B8B" w:rsidRPr="0097256D" w:rsidRDefault="00DE5B8B" w:rsidP="00DE5B8B">
            <w:pPr>
              <w:rPr>
                <w:rFonts w:ascii="Arial Narrow" w:hAnsi="Arial Narrow"/>
                <w:color w:val="FF0000"/>
                <w:sz w:val="20"/>
                <w:szCs w:val="20"/>
              </w:rPr>
            </w:pPr>
            <w:r w:rsidRPr="0097256D">
              <w:rPr>
                <w:rFonts w:ascii="Arial Narrow" w:hAnsi="Arial Narrow"/>
                <w:color w:val="FF0000"/>
                <w:sz w:val="20"/>
                <w:szCs w:val="20"/>
              </w:rPr>
              <w:t>Co-claiming of MBS items AAAA or BBBB is not permitted in the same patient episode.</w:t>
            </w:r>
          </w:p>
          <w:p w14:paraId="334C028F" w14:textId="5B397BFB" w:rsidR="00DE5B8B" w:rsidRPr="0097256D" w:rsidRDefault="00DE5B8B" w:rsidP="00DE5B8B">
            <w:pPr>
              <w:rPr>
                <w:rFonts w:ascii="Arial Narrow" w:hAnsi="Arial Narrow"/>
                <w:sz w:val="20"/>
                <w:szCs w:val="20"/>
              </w:rPr>
            </w:pPr>
            <w:r w:rsidRPr="0097256D">
              <w:rPr>
                <w:rFonts w:ascii="Arial Narrow" w:hAnsi="Arial Narrow"/>
                <w:sz w:val="20"/>
                <w:szCs w:val="20"/>
              </w:rPr>
              <w:t>Fee: $397.35 Benefit: 75% = $298.05 85% = $337.75</w:t>
            </w:r>
          </w:p>
        </w:tc>
      </w:tr>
    </w:tbl>
    <w:p w14:paraId="561AABF4" w14:textId="58438EB9" w:rsidR="0097256D" w:rsidRDefault="00DE5B8B" w:rsidP="0097256D">
      <w:pPr>
        <w:spacing w:before="240"/>
      </w:pPr>
      <w:r>
        <w:t xml:space="preserve">MSAC recommended the following practice note to apply to the three new (AAAA, BBBB and CCCC) and four existing (73337, </w:t>
      </w:r>
      <w:r w:rsidRPr="005C05CC">
        <w:t>73341</w:t>
      </w:r>
      <w:r>
        <w:t>, 73344, 73436) MBS items.</w:t>
      </w:r>
      <w:r w:rsidR="0097256D">
        <w:br w:type="page"/>
      </w:r>
    </w:p>
    <w:tbl>
      <w:tblPr>
        <w:tblStyle w:val="TableGrid"/>
        <w:tblW w:w="0" w:type="auto"/>
        <w:tblLook w:val="04A0" w:firstRow="1" w:lastRow="0" w:firstColumn="1" w:lastColumn="0" w:noHBand="0" w:noVBand="1"/>
      </w:tblPr>
      <w:tblGrid>
        <w:gridCol w:w="9016"/>
      </w:tblGrid>
      <w:tr w:rsidR="00DE5B8B" w:rsidRPr="0097256D" w14:paraId="318176BF" w14:textId="77777777" w:rsidTr="00DE5B8B">
        <w:tc>
          <w:tcPr>
            <w:tcW w:w="9016" w:type="dxa"/>
          </w:tcPr>
          <w:p w14:paraId="4EB54C5C" w14:textId="37CC99A9" w:rsidR="00DE5B8B" w:rsidRPr="0097256D" w:rsidRDefault="00DE5B8B" w:rsidP="00DE5B8B">
            <w:pPr>
              <w:rPr>
                <w:rFonts w:ascii="Arial Narrow" w:hAnsi="Arial Narrow"/>
                <w:sz w:val="20"/>
                <w:szCs w:val="20"/>
              </w:rPr>
            </w:pPr>
            <w:r w:rsidRPr="0097256D">
              <w:rPr>
                <w:rFonts w:ascii="Arial Narrow" w:hAnsi="Arial Narrow"/>
                <w:sz w:val="20"/>
                <w:szCs w:val="20"/>
              </w:rPr>
              <w:lastRenderedPageBreak/>
              <w:t>PN.X.X</w:t>
            </w:r>
          </w:p>
          <w:p w14:paraId="1C3F507F" w14:textId="0AA9D46A" w:rsidR="00DE5B8B" w:rsidRPr="0097256D" w:rsidRDefault="00DE5B8B" w:rsidP="00DE5B8B">
            <w:pPr>
              <w:rPr>
                <w:rFonts w:ascii="Arial Narrow" w:hAnsi="Arial Narrow"/>
                <w:b/>
                <w:bCs/>
                <w:sz w:val="20"/>
                <w:szCs w:val="20"/>
              </w:rPr>
            </w:pPr>
            <w:r w:rsidRPr="0097256D">
              <w:rPr>
                <w:rFonts w:ascii="Arial Narrow" w:hAnsi="Arial Narrow"/>
                <w:b/>
                <w:bCs/>
                <w:sz w:val="20"/>
                <w:szCs w:val="20"/>
              </w:rPr>
              <w:t>Repeat testing for non-small cell lung cancer (NSCLC) by multiple methodologies:</w:t>
            </w:r>
          </w:p>
          <w:p w14:paraId="43FFE144" w14:textId="77777777" w:rsidR="00DE5B8B" w:rsidRPr="0097256D" w:rsidRDefault="00DE5B8B" w:rsidP="00DE5B8B">
            <w:pPr>
              <w:pStyle w:val="TableText"/>
              <w:rPr>
                <w:szCs w:val="20"/>
              </w:rPr>
            </w:pPr>
            <w:r w:rsidRPr="0097256D">
              <w:rPr>
                <w:szCs w:val="20"/>
              </w:rPr>
              <w:t>Prior to requesting or performing these tests, the requesting practitioner or pathologist should consider if the patient has already received equivalent testing under the same or another methodology in the same new diagnosis of non-small cell lung cancer (NSCLC).</w:t>
            </w:r>
          </w:p>
          <w:p w14:paraId="68CC6844" w14:textId="20F57A0E" w:rsidR="00DE5B8B" w:rsidRPr="0097256D" w:rsidRDefault="00DE5B8B" w:rsidP="0097256D">
            <w:pPr>
              <w:pStyle w:val="TableText"/>
              <w:spacing w:before="240" w:after="240"/>
              <w:rPr>
                <w:szCs w:val="20"/>
              </w:rPr>
            </w:pPr>
            <w:r w:rsidRPr="0097256D">
              <w:rPr>
                <w:szCs w:val="20"/>
              </w:rPr>
              <w:t>Repeat testing by multiple methods in the same new diagnosis of NSCLC should only be performed if it is clinically relevant.</w:t>
            </w:r>
          </w:p>
          <w:p w14:paraId="27DA4951" w14:textId="181F9201" w:rsidR="00DE5B8B" w:rsidRPr="0097256D" w:rsidRDefault="00DE5B8B" w:rsidP="0097256D">
            <w:pPr>
              <w:pStyle w:val="TableText"/>
              <w:spacing w:before="240" w:after="240"/>
              <w:rPr>
                <w:szCs w:val="20"/>
              </w:rPr>
            </w:pPr>
            <w:r w:rsidRPr="0097256D">
              <w:rPr>
                <w:szCs w:val="20"/>
              </w:rPr>
              <w:t>Items 73337, 73341, 73344 and 73436 support sequential single-gene testing for biomarkers in patients with NSCLC.</w:t>
            </w:r>
          </w:p>
          <w:p w14:paraId="0DF38B11" w14:textId="0EBD0FB9" w:rsidR="00DE5B8B" w:rsidRPr="0097256D" w:rsidRDefault="00DE5B8B" w:rsidP="0097256D">
            <w:pPr>
              <w:pStyle w:val="TableText"/>
              <w:spacing w:before="240" w:after="240"/>
              <w:rPr>
                <w:szCs w:val="20"/>
              </w:rPr>
            </w:pPr>
            <w:r w:rsidRPr="0097256D">
              <w:rPr>
                <w:szCs w:val="20"/>
              </w:rPr>
              <w:t>Items AAAA supports use of one next generation sequencing (NGS) panel for testing of all biomarkers supported under items 73337, 73341, 73344 and 73436.</w:t>
            </w:r>
          </w:p>
          <w:p w14:paraId="5710906C" w14:textId="39EB18A1" w:rsidR="00DE5B8B" w:rsidRPr="0097256D" w:rsidRDefault="00DE5B8B" w:rsidP="006D15D2">
            <w:pPr>
              <w:pStyle w:val="TableText"/>
              <w:rPr>
                <w:szCs w:val="20"/>
              </w:rPr>
            </w:pPr>
            <w:r w:rsidRPr="0097256D">
              <w:rPr>
                <w:bCs/>
                <w:szCs w:val="20"/>
              </w:rPr>
              <w:t xml:space="preserve">Items BBBB and CCCC supports sequential use of two </w:t>
            </w:r>
            <w:r w:rsidRPr="0097256D">
              <w:rPr>
                <w:szCs w:val="20"/>
              </w:rPr>
              <w:t>NGS panels for testing of all biomarkers supported under 73337 and 73436, and 73341 and 73344 respectively.</w:t>
            </w:r>
          </w:p>
        </w:tc>
      </w:tr>
    </w:tbl>
    <w:p w14:paraId="1B41AE26" w14:textId="46ADD8A1" w:rsidR="00D62C1F" w:rsidRDefault="00D62C1F" w:rsidP="0097256D">
      <w:pPr>
        <w:spacing w:before="240"/>
      </w:pPr>
      <w:r>
        <w:t xml:space="preserve">MSAC noted that the two proposed clinical management algorithms are for </w:t>
      </w:r>
      <w:r w:rsidRPr="00952908">
        <w:t>simultaneous DNA and RNA testing</w:t>
      </w:r>
      <w:r>
        <w:t xml:space="preserve">, or </w:t>
      </w:r>
      <w:r w:rsidRPr="00952908">
        <w:t>sequential DNA and RNA testing</w:t>
      </w:r>
      <w:r>
        <w:t xml:space="preserve">. </w:t>
      </w:r>
      <w:r w:rsidR="00313847">
        <w:t>MSAC noted that the comparator was sequential testing using different methods</w:t>
      </w:r>
      <w:r w:rsidR="00004947">
        <w:t xml:space="preserve"> (DNA, RNA, FISH and IHC)</w:t>
      </w:r>
      <w:r w:rsidR="00313847">
        <w:t xml:space="preserve"> and considered these to be appropriate, </w:t>
      </w:r>
      <w:r w:rsidR="0097256D">
        <w:t>b</w:t>
      </w:r>
      <w:r>
        <w:t>oth options would result in</w:t>
      </w:r>
      <w:r w:rsidR="00F46A3E">
        <w:t xml:space="preserve"> more simplified</w:t>
      </w:r>
      <w:r>
        <w:t xml:space="preserve"> testing compared to the current clinical management algorithms.</w:t>
      </w:r>
    </w:p>
    <w:p w14:paraId="63ABF53B" w14:textId="66986CF6" w:rsidR="00D62C1F" w:rsidRDefault="00D62C1F" w:rsidP="00D62C1F">
      <w:r>
        <w:t>MSAC noted that the clinical evidence was derived from a s</w:t>
      </w:r>
      <w:r w:rsidRPr="00CE14E6">
        <w:t>ystematic review</w:t>
      </w:r>
      <w:r>
        <w:t xml:space="preserve"> that</w:t>
      </w:r>
      <w:r w:rsidRPr="00CE14E6">
        <w:t xml:space="preserve"> identified 49</w:t>
      </w:r>
      <w:r w:rsidR="00D15A29">
        <w:t> </w:t>
      </w:r>
      <w:r w:rsidRPr="00CE14E6">
        <w:t>studies addressing health outcomes (24</w:t>
      </w:r>
      <w:r>
        <w:t xml:space="preserve"> studies</w:t>
      </w:r>
      <w:r w:rsidRPr="00CE14E6">
        <w:t>), test performance (40</w:t>
      </w:r>
      <w:r>
        <w:t xml:space="preserve"> studies</w:t>
      </w:r>
      <w:r w:rsidRPr="00CE14E6">
        <w:t>), concordance of NGS with single</w:t>
      </w:r>
      <w:r>
        <w:t>-</w:t>
      </w:r>
      <w:r w:rsidRPr="00CE14E6">
        <w:t xml:space="preserve">gene tests </w:t>
      </w:r>
      <w:r>
        <w:t xml:space="preserve">(30 studies) </w:t>
      </w:r>
      <w:r w:rsidRPr="00CE14E6">
        <w:t>and change of management</w:t>
      </w:r>
      <w:r>
        <w:t xml:space="preserve"> (8 studies)</w:t>
      </w:r>
      <w:r w:rsidRPr="00CE14E6">
        <w:t>.</w:t>
      </w:r>
      <w:r>
        <w:t xml:space="preserve"> One </w:t>
      </w:r>
      <w:r w:rsidRPr="00CE14E6">
        <w:t>study</w:t>
      </w:r>
      <w:r w:rsidR="00437C9C">
        <w:t xml:space="preserve">, </w:t>
      </w:r>
      <w:r w:rsidRPr="00CE14E6">
        <w:t xml:space="preserve">(with moderate to high risk of bias) </w:t>
      </w:r>
      <w:r>
        <w:t>demonstrated</w:t>
      </w:r>
      <w:r w:rsidRPr="00CE14E6">
        <w:t xml:space="preserve"> that NGS-selection of patients is superior to </w:t>
      </w:r>
      <w:r>
        <w:t xml:space="preserve">immunohistochemistry </w:t>
      </w:r>
      <w:r w:rsidRPr="00CE14E6">
        <w:t xml:space="preserve">or FISH for </w:t>
      </w:r>
      <w:r w:rsidRPr="00CE14E6">
        <w:rPr>
          <w:i/>
          <w:iCs/>
        </w:rPr>
        <w:t>ALK</w:t>
      </w:r>
      <w:r>
        <w:rPr>
          <w:i/>
          <w:iCs/>
        </w:rPr>
        <w:t xml:space="preserve"> </w:t>
      </w:r>
      <w:r w:rsidRPr="00B75D27">
        <w:t>testing.</w:t>
      </w:r>
      <w:r w:rsidR="00BA0204">
        <w:rPr>
          <w:rStyle w:val="FootnoteReference"/>
        </w:rPr>
        <w:footnoteReference w:id="2"/>
      </w:r>
      <w:r>
        <w:t xml:space="preserve"> </w:t>
      </w:r>
      <w:r w:rsidRPr="00CE14E6">
        <w:t>The proportion of samples successfully tested (based on having sufficient tissue/DNA/RNA for testing) was assessed in only one between-patient study</w:t>
      </w:r>
      <w:r w:rsidR="00437C9C">
        <w:t xml:space="preserve"> (</w:t>
      </w:r>
      <w:proofErr w:type="spellStart"/>
      <w:r w:rsidR="00437C9C">
        <w:t>Steeghs</w:t>
      </w:r>
      <w:proofErr w:type="spellEnd"/>
      <w:r w:rsidR="00437C9C">
        <w:t xml:space="preserve"> et al</w:t>
      </w:r>
      <w:r w:rsidR="00437C9C">
        <w:rPr>
          <w:rStyle w:val="FootnoteReference"/>
        </w:rPr>
        <w:footnoteReference w:id="3"/>
      </w:r>
      <w:r w:rsidR="00437C9C">
        <w:t>)</w:t>
      </w:r>
      <w:r w:rsidRPr="00CE14E6">
        <w:t>, although this was large (</w:t>
      </w:r>
      <w:r w:rsidRPr="00B75D27">
        <w:rPr>
          <w:i/>
          <w:iCs/>
        </w:rPr>
        <w:t>n</w:t>
      </w:r>
      <w:r>
        <w:t> </w:t>
      </w:r>
      <w:r w:rsidRPr="00CE14E6">
        <w:t>=</w:t>
      </w:r>
      <w:r>
        <w:t> </w:t>
      </w:r>
      <w:r w:rsidRPr="00CE14E6">
        <w:t>4</w:t>
      </w:r>
      <w:r>
        <w:t>,</w:t>
      </w:r>
      <w:r w:rsidRPr="00CE14E6">
        <w:t>040) and had low</w:t>
      </w:r>
      <w:r>
        <w:t>-</w:t>
      </w:r>
      <w:r w:rsidRPr="00CE14E6">
        <w:t>to</w:t>
      </w:r>
      <w:r>
        <w:t>-</w:t>
      </w:r>
      <w:r w:rsidRPr="00CE14E6">
        <w:t>moderate risk of bias.</w:t>
      </w:r>
      <w:r w:rsidR="0044755D">
        <w:t xml:space="preserve"> However</w:t>
      </w:r>
      <w:r w:rsidR="0097256D">
        <w:t>,</w:t>
      </w:r>
      <w:r w:rsidR="0044755D">
        <w:t xml:space="preserve"> MSAC noted that this study may not </w:t>
      </w:r>
      <w:r w:rsidR="0044755D" w:rsidRPr="0044755D">
        <w:t xml:space="preserve">be directly applicable, as </w:t>
      </w:r>
      <w:r w:rsidR="0044755D">
        <w:t>its</w:t>
      </w:r>
      <w:r w:rsidR="0044755D" w:rsidRPr="0044755D">
        <w:t xml:space="preserve"> healthcare setting </w:t>
      </w:r>
      <w:r w:rsidR="0044755D">
        <w:t>(</w:t>
      </w:r>
      <w:r w:rsidR="0044755D" w:rsidRPr="0044755D">
        <w:t>in the Netherlands</w:t>
      </w:r>
      <w:r w:rsidR="0044755D">
        <w:t>)</w:t>
      </w:r>
      <w:r w:rsidR="0044755D" w:rsidRPr="0044755D">
        <w:t xml:space="preserve"> used a combination of DNA NGS with fusion testing performed by IHC or FISH or RNA NGS rather than just DNA and RNA NGS</w:t>
      </w:r>
      <w:r w:rsidR="0044755D">
        <w:t>.</w:t>
      </w:r>
    </w:p>
    <w:p w14:paraId="47B0C193" w14:textId="41571F28" w:rsidR="0044755D" w:rsidRDefault="0044755D" w:rsidP="0044755D">
      <w:r>
        <w:t>MSAC noted that n</w:t>
      </w:r>
      <w:r w:rsidRPr="00F1056B">
        <w:t>o studies directly compared the safety of NGS testing with sequential single-gene testing. However, the evidence supported the claim that NGS had a higher proportion of samples being successfully tested (</w:t>
      </w:r>
      <w:proofErr w:type="gramStart"/>
      <w:r w:rsidRPr="00F1056B">
        <w:t>i.e.</w:t>
      </w:r>
      <w:proofErr w:type="gramEnd"/>
      <w:r w:rsidRPr="00F1056B">
        <w:t xml:space="preserve"> making more efficient use of the available tissue to get a test result) than sequential single-gene testing, which should correspond to a lower rate of rebiopsy</w:t>
      </w:r>
      <w:r>
        <w:t xml:space="preserve">. </w:t>
      </w:r>
      <w:proofErr w:type="spellStart"/>
      <w:r w:rsidRPr="00F1056B">
        <w:t>Steeghs</w:t>
      </w:r>
      <w:proofErr w:type="spellEnd"/>
      <w:r w:rsidRPr="00F1056B">
        <w:t xml:space="preserve"> et al. (2022) reported that NGS methods were successful in 97.2% of cases, whereas non-NGS methods were successful in 94.6% of cases</w:t>
      </w:r>
      <w:r>
        <w:t xml:space="preserve">. </w:t>
      </w:r>
    </w:p>
    <w:p w14:paraId="61BEC355" w14:textId="23B9CC9F" w:rsidR="0044755D" w:rsidRDefault="00446F92" w:rsidP="00D93740">
      <w:r>
        <w:t>MSAC noted the below summary of concordance data between NGS and single-gene testing.</w:t>
      </w:r>
      <w:r w:rsidR="00994439">
        <w:t xml:space="preserve"> MSAC considered that an outstanding issue was the lack of documented improved outcomes with testing. </w:t>
      </w:r>
    </w:p>
    <w:p w14:paraId="519CD8EA" w14:textId="4AFD163E" w:rsidR="00932117" w:rsidRPr="0097256D" w:rsidRDefault="00932117" w:rsidP="00932117">
      <w:pPr>
        <w:keepNext/>
        <w:keepLines/>
        <w:rPr>
          <w:rFonts w:ascii="Arial Narrow" w:hAnsi="Arial Narrow"/>
          <w:b/>
          <w:bCs/>
          <w:sz w:val="20"/>
          <w:szCs w:val="20"/>
        </w:rPr>
      </w:pPr>
      <w:r w:rsidRPr="0097256D">
        <w:rPr>
          <w:rFonts w:ascii="Arial Narrow" w:hAnsi="Arial Narrow"/>
          <w:b/>
          <w:bCs/>
          <w:sz w:val="20"/>
          <w:szCs w:val="20"/>
        </w:rPr>
        <w:lastRenderedPageBreak/>
        <w:t>Table 1</w:t>
      </w:r>
      <w:r>
        <w:rPr>
          <w:rFonts w:ascii="Arial Narrow" w:hAnsi="Arial Narrow"/>
          <w:b/>
          <w:bCs/>
          <w:sz w:val="20"/>
          <w:szCs w:val="20"/>
        </w:rPr>
        <w:t xml:space="preserve"> ES</w:t>
      </w:r>
      <w:r w:rsidRPr="0097256D">
        <w:rPr>
          <w:rFonts w:ascii="Arial Narrow" w:hAnsi="Arial Narrow"/>
          <w:b/>
          <w:bCs/>
          <w:sz w:val="20"/>
          <w:szCs w:val="20"/>
        </w:rPr>
        <w:t>: Summary of concordance data between NGS and single-gene testing</w:t>
      </w:r>
    </w:p>
    <w:tbl>
      <w:tblPr>
        <w:tblStyle w:val="TableGrid"/>
        <w:tblW w:w="5000" w:type="pct"/>
        <w:tblLayout w:type="fixed"/>
        <w:tblLook w:val="04A0" w:firstRow="1" w:lastRow="0" w:firstColumn="1" w:lastColumn="0" w:noHBand="0" w:noVBand="1"/>
        <w:tblCaption w:val="Summary of concordance data between NGS and single-gene testing"/>
        <w:tblDescription w:val="Table showing the concordance (by gene) of NGS and single-gene testing, with an overall calculation of the concordance per person. Data were transformed to suit the Australian prevalence of variants. "/>
      </w:tblPr>
      <w:tblGrid>
        <w:gridCol w:w="704"/>
        <w:gridCol w:w="851"/>
        <w:gridCol w:w="849"/>
        <w:gridCol w:w="851"/>
        <w:gridCol w:w="1095"/>
        <w:gridCol w:w="811"/>
        <w:gridCol w:w="727"/>
        <w:gridCol w:w="719"/>
        <w:gridCol w:w="754"/>
        <w:gridCol w:w="838"/>
        <w:gridCol w:w="817"/>
      </w:tblGrid>
      <w:tr w:rsidR="0044755D" w:rsidRPr="00796D44" w14:paraId="406FB60B" w14:textId="77777777" w:rsidTr="0085329A">
        <w:trPr>
          <w:tblHeader/>
        </w:trPr>
        <w:tc>
          <w:tcPr>
            <w:tcW w:w="390" w:type="pct"/>
            <w:vMerge w:val="restart"/>
          </w:tcPr>
          <w:p w14:paraId="6E58706A" w14:textId="77777777" w:rsidR="0044755D" w:rsidRPr="00796D44" w:rsidRDefault="0044755D" w:rsidP="00932117">
            <w:pPr>
              <w:pStyle w:val="In-tableHeading"/>
              <w:keepLines/>
            </w:pPr>
            <w:r>
              <w:t>Gene</w:t>
            </w:r>
          </w:p>
        </w:tc>
        <w:tc>
          <w:tcPr>
            <w:tcW w:w="472" w:type="pct"/>
            <w:vMerge w:val="restart"/>
          </w:tcPr>
          <w:p w14:paraId="51DD78DC" w14:textId="77777777" w:rsidR="0044755D" w:rsidRPr="00796D44" w:rsidRDefault="0044755D" w:rsidP="00932117">
            <w:pPr>
              <w:pStyle w:val="In-tableHeading"/>
              <w:keepLines/>
            </w:pPr>
            <w:r w:rsidRPr="00796D44">
              <w:t>Evidence base</w:t>
            </w:r>
          </w:p>
        </w:tc>
        <w:tc>
          <w:tcPr>
            <w:tcW w:w="471" w:type="pct"/>
            <w:vMerge w:val="restart"/>
          </w:tcPr>
          <w:p w14:paraId="38726E8F" w14:textId="77777777" w:rsidR="0044755D" w:rsidRPr="00796D44" w:rsidRDefault="0044755D" w:rsidP="00932117">
            <w:pPr>
              <w:pStyle w:val="In-tableHeading"/>
              <w:keepLines/>
            </w:pPr>
            <w:r w:rsidRPr="00796D44">
              <w:t>PPA</w:t>
            </w:r>
            <w:r>
              <w:t xml:space="preserve"> (95%CI)</w:t>
            </w:r>
          </w:p>
        </w:tc>
        <w:tc>
          <w:tcPr>
            <w:tcW w:w="472" w:type="pct"/>
            <w:vMerge w:val="restart"/>
          </w:tcPr>
          <w:p w14:paraId="1908273D" w14:textId="77777777" w:rsidR="0044755D" w:rsidRPr="00796D44" w:rsidRDefault="0044755D" w:rsidP="00932117">
            <w:pPr>
              <w:pStyle w:val="In-tableHeading"/>
              <w:keepLines/>
            </w:pPr>
            <w:r w:rsidRPr="00796D44">
              <w:t>NPA</w:t>
            </w:r>
            <w:r>
              <w:t xml:space="preserve"> (95%CI)</w:t>
            </w:r>
          </w:p>
        </w:tc>
        <w:tc>
          <w:tcPr>
            <w:tcW w:w="607" w:type="pct"/>
            <w:vMerge w:val="restart"/>
          </w:tcPr>
          <w:p w14:paraId="68D606FB" w14:textId="77777777" w:rsidR="0044755D" w:rsidRPr="00796D44" w:rsidRDefault="0044755D" w:rsidP="00932117">
            <w:pPr>
              <w:pStyle w:val="In-tableHeading"/>
              <w:keepLines/>
            </w:pPr>
            <w:r w:rsidRPr="00796D44">
              <w:t>Prevalence</w:t>
            </w:r>
          </w:p>
        </w:tc>
        <w:tc>
          <w:tcPr>
            <w:tcW w:w="1670" w:type="pct"/>
            <w:gridSpan w:val="4"/>
          </w:tcPr>
          <w:p w14:paraId="75D6B162" w14:textId="77777777" w:rsidR="0044755D" w:rsidRPr="00796D44" w:rsidRDefault="0044755D" w:rsidP="00932117">
            <w:pPr>
              <w:pStyle w:val="In-tableHeading"/>
              <w:keepLines/>
            </w:pPr>
            <w:r>
              <w:t>Per 1000 successfully tested (95%CI)</w:t>
            </w:r>
          </w:p>
        </w:tc>
        <w:tc>
          <w:tcPr>
            <w:tcW w:w="465" w:type="pct"/>
            <w:vMerge w:val="restart"/>
          </w:tcPr>
          <w:p w14:paraId="485FF383" w14:textId="77777777" w:rsidR="0044755D" w:rsidRDefault="0044755D" w:rsidP="00932117">
            <w:pPr>
              <w:pStyle w:val="In-tableHeading"/>
              <w:keepLines/>
            </w:pPr>
            <w:r>
              <w:t>PPV (95%CI)</w:t>
            </w:r>
          </w:p>
        </w:tc>
        <w:tc>
          <w:tcPr>
            <w:tcW w:w="453" w:type="pct"/>
            <w:vMerge w:val="restart"/>
          </w:tcPr>
          <w:p w14:paraId="240DCC9F" w14:textId="77777777" w:rsidR="0044755D" w:rsidRDefault="0044755D" w:rsidP="00932117">
            <w:pPr>
              <w:pStyle w:val="In-tableHeading"/>
              <w:keepLines/>
            </w:pPr>
            <w:r>
              <w:t>NPV (95%CI)</w:t>
            </w:r>
          </w:p>
        </w:tc>
      </w:tr>
      <w:tr w:rsidR="0044755D" w:rsidRPr="00796D44" w14:paraId="5D7B5D5D" w14:textId="77777777" w:rsidTr="0085329A">
        <w:trPr>
          <w:tblHeader/>
        </w:trPr>
        <w:tc>
          <w:tcPr>
            <w:tcW w:w="390" w:type="pct"/>
            <w:vMerge/>
          </w:tcPr>
          <w:p w14:paraId="18A7AC60" w14:textId="77777777" w:rsidR="0044755D" w:rsidRPr="00796D44" w:rsidRDefault="0044755D" w:rsidP="007527B1">
            <w:pPr>
              <w:pStyle w:val="In-tableHeading"/>
            </w:pPr>
          </w:p>
        </w:tc>
        <w:tc>
          <w:tcPr>
            <w:tcW w:w="472" w:type="pct"/>
            <w:vMerge/>
          </w:tcPr>
          <w:p w14:paraId="738C9352" w14:textId="77777777" w:rsidR="0044755D" w:rsidRPr="00796D44" w:rsidRDefault="0044755D" w:rsidP="007527B1">
            <w:pPr>
              <w:pStyle w:val="In-tableHeading"/>
            </w:pPr>
          </w:p>
        </w:tc>
        <w:tc>
          <w:tcPr>
            <w:tcW w:w="471" w:type="pct"/>
            <w:vMerge/>
          </w:tcPr>
          <w:p w14:paraId="72FCB6AF" w14:textId="77777777" w:rsidR="0044755D" w:rsidRPr="00796D44" w:rsidRDefault="0044755D" w:rsidP="007527B1">
            <w:pPr>
              <w:pStyle w:val="In-tableHeading"/>
            </w:pPr>
          </w:p>
        </w:tc>
        <w:tc>
          <w:tcPr>
            <w:tcW w:w="472" w:type="pct"/>
            <w:vMerge/>
          </w:tcPr>
          <w:p w14:paraId="63F94831" w14:textId="77777777" w:rsidR="0044755D" w:rsidRPr="00796D44" w:rsidRDefault="0044755D" w:rsidP="007527B1">
            <w:pPr>
              <w:pStyle w:val="In-tableHeading"/>
            </w:pPr>
          </w:p>
        </w:tc>
        <w:tc>
          <w:tcPr>
            <w:tcW w:w="607" w:type="pct"/>
            <w:vMerge/>
          </w:tcPr>
          <w:p w14:paraId="6D5359F0" w14:textId="77777777" w:rsidR="0044755D" w:rsidRPr="00796D44" w:rsidRDefault="0044755D" w:rsidP="007527B1">
            <w:pPr>
              <w:pStyle w:val="In-tableHeading"/>
            </w:pPr>
          </w:p>
        </w:tc>
        <w:tc>
          <w:tcPr>
            <w:tcW w:w="450" w:type="pct"/>
          </w:tcPr>
          <w:p w14:paraId="31AE39BC" w14:textId="77777777" w:rsidR="0044755D" w:rsidRPr="00796D44" w:rsidRDefault="0044755D" w:rsidP="007527B1">
            <w:pPr>
              <w:pStyle w:val="In-tableHeading"/>
            </w:pPr>
            <w:r w:rsidRPr="00796D44">
              <w:t>NGS+ /SG+</w:t>
            </w:r>
          </w:p>
        </w:tc>
        <w:tc>
          <w:tcPr>
            <w:tcW w:w="403" w:type="pct"/>
          </w:tcPr>
          <w:p w14:paraId="03E9AA5B" w14:textId="77777777" w:rsidR="0044755D" w:rsidRPr="00796D44" w:rsidRDefault="0044755D" w:rsidP="007527B1">
            <w:pPr>
              <w:pStyle w:val="In-tableHeading"/>
            </w:pPr>
            <w:r w:rsidRPr="00796D44">
              <w:t>NGS+ /SG-</w:t>
            </w:r>
          </w:p>
        </w:tc>
        <w:tc>
          <w:tcPr>
            <w:tcW w:w="399" w:type="pct"/>
          </w:tcPr>
          <w:p w14:paraId="36391C5B" w14:textId="77777777" w:rsidR="0044755D" w:rsidRPr="00796D44" w:rsidRDefault="0044755D" w:rsidP="007527B1">
            <w:pPr>
              <w:pStyle w:val="In-tableHeading"/>
            </w:pPr>
            <w:r w:rsidRPr="00796D44">
              <w:t>NGS- /SG+</w:t>
            </w:r>
          </w:p>
        </w:tc>
        <w:tc>
          <w:tcPr>
            <w:tcW w:w="418" w:type="pct"/>
          </w:tcPr>
          <w:p w14:paraId="4801AAD8" w14:textId="77777777" w:rsidR="0044755D" w:rsidRPr="00796D44" w:rsidRDefault="0044755D" w:rsidP="007527B1">
            <w:pPr>
              <w:pStyle w:val="In-tableHeading"/>
            </w:pPr>
            <w:r w:rsidRPr="00796D44">
              <w:t>NGS- /SG-</w:t>
            </w:r>
          </w:p>
        </w:tc>
        <w:tc>
          <w:tcPr>
            <w:tcW w:w="465" w:type="pct"/>
            <w:vMerge/>
          </w:tcPr>
          <w:p w14:paraId="03040DDE" w14:textId="77777777" w:rsidR="0044755D" w:rsidRPr="00796D44" w:rsidRDefault="0044755D" w:rsidP="007527B1">
            <w:pPr>
              <w:pStyle w:val="In-tableHeading"/>
            </w:pPr>
          </w:p>
        </w:tc>
        <w:tc>
          <w:tcPr>
            <w:tcW w:w="453" w:type="pct"/>
            <w:vMerge/>
          </w:tcPr>
          <w:p w14:paraId="4D94B89E" w14:textId="77777777" w:rsidR="0044755D" w:rsidRPr="00796D44" w:rsidRDefault="0044755D" w:rsidP="007527B1">
            <w:pPr>
              <w:pStyle w:val="In-tableHeading"/>
            </w:pPr>
          </w:p>
        </w:tc>
      </w:tr>
      <w:tr w:rsidR="0044755D" w:rsidRPr="00796D44" w14:paraId="7236AE07" w14:textId="77777777" w:rsidTr="0085329A">
        <w:tc>
          <w:tcPr>
            <w:tcW w:w="390" w:type="pct"/>
          </w:tcPr>
          <w:p w14:paraId="60B9B311" w14:textId="77777777" w:rsidR="0044755D" w:rsidRPr="006F53B4" w:rsidRDefault="0044755D" w:rsidP="007527B1">
            <w:pPr>
              <w:pStyle w:val="Tabletext0"/>
              <w:rPr>
                <w:i/>
              </w:rPr>
            </w:pPr>
            <w:r w:rsidRPr="006F53B4">
              <w:rPr>
                <w:i/>
              </w:rPr>
              <w:t>EGFR</w:t>
            </w:r>
          </w:p>
        </w:tc>
        <w:tc>
          <w:tcPr>
            <w:tcW w:w="472" w:type="pct"/>
          </w:tcPr>
          <w:p w14:paraId="4F177DCC" w14:textId="77777777" w:rsidR="0044755D" w:rsidRPr="00796D44" w:rsidRDefault="0044755D" w:rsidP="007527B1">
            <w:pPr>
              <w:pStyle w:val="Tabletext0"/>
            </w:pPr>
            <w:r w:rsidRPr="00796D44">
              <w:t>n=2611</w:t>
            </w:r>
          </w:p>
          <w:p w14:paraId="5341E728" w14:textId="77777777" w:rsidR="0044755D" w:rsidRPr="00796D44" w:rsidRDefault="0044755D" w:rsidP="007527B1">
            <w:pPr>
              <w:pStyle w:val="Tabletext0"/>
            </w:pPr>
            <w:r w:rsidRPr="00796D44">
              <w:t>k=22</w:t>
            </w:r>
          </w:p>
        </w:tc>
        <w:tc>
          <w:tcPr>
            <w:tcW w:w="471" w:type="pct"/>
          </w:tcPr>
          <w:p w14:paraId="224DC086" w14:textId="77777777" w:rsidR="0044755D" w:rsidRPr="00796D44" w:rsidRDefault="0044755D" w:rsidP="007527B1">
            <w:pPr>
              <w:pStyle w:val="Tabletext0"/>
            </w:pPr>
            <w:r w:rsidRPr="00796D44">
              <w:t>0.98 (0.95, 0.99)</w:t>
            </w:r>
          </w:p>
        </w:tc>
        <w:tc>
          <w:tcPr>
            <w:tcW w:w="472" w:type="pct"/>
          </w:tcPr>
          <w:p w14:paraId="1BDFAA1A" w14:textId="77777777" w:rsidR="0044755D" w:rsidRPr="00796D44" w:rsidRDefault="0044755D" w:rsidP="007527B1">
            <w:pPr>
              <w:pStyle w:val="Tabletext0"/>
            </w:pPr>
            <w:r w:rsidRPr="00796D44">
              <w:t>0.97 (0.95, 0.99)</w:t>
            </w:r>
          </w:p>
        </w:tc>
        <w:tc>
          <w:tcPr>
            <w:tcW w:w="607" w:type="pct"/>
          </w:tcPr>
          <w:p w14:paraId="6E8D5D9E" w14:textId="77777777" w:rsidR="0044755D" w:rsidRPr="00B26AFD" w:rsidRDefault="0044755D" w:rsidP="007527B1">
            <w:pPr>
              <w:pStyle w:val="Tabletext0"/>
              <w:rPr>
                <w:vertAlign w:val="superscript"/>
              </w:rPr>
            </w:pPr>
            <w:r w:rsidRPr="00796D44">
              <w:t>15%</w:t>
            </w:r>
            <w:r>
              <w:rPr>
                <w:vertAlign w:val="superscript"/>
              </w:rPr>
              <w:t>a</w:t>
            </w:r>
          </w:p>
        </w:tc>
        <w:tc>
          <w:tcPr>
            <w:tcW w:w="450" w:type="pct"/>
          </w:tcPr>
          <w:p w14:paraId="404D5CC0" w14:textId="77777777" w:rsidR="0044755D" w:rsidRPr="00796D44" w:rsidRDefault="0044755D" w:rsidP="007527B1">
            <w:pPr>
              <w:pStyle w:val="Tabletext0"/>
              <w:jc w:val="left"/>
            </w:pPr>
            <w:r w:rsidRPr="00796D44">
              <w:t>147 (143, 149)</w:t>
            </w:r>
          </w:p>
        </w:tc>
        <w:tc>
          <w:tcPr>
            <w:tcW w:w="403" w:type="pct"/>
          </w:tcPr>
          <w:p w14:paraId="72EC1062" w14:textId="7A92EC54" w:rsidR="0044755D" w:rsidRPr="00796D44" w:rsidRDefault="0044755D" w:rsidP="007527B1">
            <w:pPr>
              <w:pStyle w:val="Tabletext0"/>
            </w:pPr>
            <w:r w:rsidRPr="00796D44">
              <w:t xml:space="preserve">25 </w:t>
            </w:r>
            <w:r w:rsidR="0085329A">
              <w:br/>
            </w:r>
            <w:r w:rsidRPr="00796D44">
              <w:t>(8, 42)</w:t>
            </w:r>
          </w:p>
        </w:tc>
        <w:tc>
          <w:tcPr>
            <w:tcW w:w="399" w:type="pct"/>
          </w:tcPr>
          <w:p w14:paraId="653D6940" w14:textId="77777777" w:rsidR="0044755D" w:rsidRPr="00796D44" w:rsidRDefault="0044755D" w:rsidP="007527B1">
            <w:pPr>
              <w:pStyle w:val="Tabletext0"/>
            </w:pPr>
            <w:r w:rsidRPr="00796D44">
              <w:t>3 (1, 7)</w:t>
            </w:r>
          </w:p>
        </w:tc>
        <w:tc>
          <w:tcPr>
            <w:tcW w:w="418" w:type="pct"/>
          </w:tcPr>
          <w:p w14:paraId="7FFB9A95" w14:textId="77777777" w:rsidR="0044755D" w:rsidRPr="00796D44" w:rsidRDefault="0044755D" w:rsidP="007527B1">
            <w:pPr>
              <w:pStyle w:val="Tabletext0"/>
            </w:pPr>
            <w:r w:rsidRPr="00796D44">
              <w:t>825 (808, 842)</w:t>
            </w:r>
          </w:p>
        </w:tc>
        <w:tc>
          <w:tcPr>
            <w:tcW w:w="465" w:type="pct"/>
          </w:tcPr>
          <w:p w14:paraId="72663A44" w14:textId="77777777" w:rsidR="0044755D" w:rsidRPr="00796D44" w:rsidRDefault="0044755D" w:rsidP="007527B1">
            <w:pPr>
              <w:pStyle w:val="Tabletext0"/>
            </w:pPr>
            <w:r>
              <w:t>0.85</w:t>
            </w:r>
          </w:p>
        </w:tc>
        <w:tc>
          <w:tcPr>
            <w:tcW w:w="453" w:type="pct"/>
          </w:tcPr>
          <w:p w14:paraId="56D63185" w14:textId="77777777" w:rsidR="0044755D" w:rsidRPr="00796D44" w:rsidRDefault="0044755D" w:rsidP="007527B1">
            <w:pPr>
              <w:pStyle w:val="Tabletext0"/>
            </w:pPr>
            <w:r>
              <w:t>1.00</w:t>
            </w:r>
          </w:p>
        </w:tc>
      </w:tr>
      <w:tr w:rsidR="0044755D" w:rsidRPr="00796D44" w14:paraId="5E571542" w14:textId="77777777" w:rsidTr="0085329A">
        <w:tc>
          <w:tcPr>
            <w:tcW w:w="390" w:type="pct"/>
          </w:tcPr>
          <w:p w14:paraId="36BF4645" w14:textId="77777777" w:rsidR="0044755D" w:rsidRPr="006F53B4" w:rsidRDefault="0044755D" w:rsidP="007527B1">
            <w:pPr>
              <w:pStyle w:val="Tabletext0"/>
              <w:rPr>
                <w:i/>
              </w:rPr>
            </w:pPr>
            <w:r w:rsidRPr="006F53B4">
              <w:rPr>
                <w:i/>
              </w:rPr>
              <w:t>ALK</w:t>
            </w:r>
          </w:p>
        </w:tc>
        <w:tc>
          <w:tcPr>
            <w:tcW w:w="472" w:type="pct"/>
          </w:tcPr>
          <w:p w14:paraId="62F78521" w14:textId="77777777" w:rsidR="0044755D" w:rsidRDefault="0044755D" w:rsidP="007527B1">
            <w:pPr>
              <w:pStyle w:val="Tabletext0"/>
            </w:pPr>
            <w:r>
              <w:t>n=1464</w:t>
            </w:r>
          </w:p>
          <w:p w14:paraId="4CBB2871" w14:textId="77777777" w:rsidR="0044755D" w:rsidRPr="00796D44" w:rsidRDefault="0044755D" w:rsidP="007527B1">
            <w:pPr>
              <w:pStyle w:val="Tabletext0"/>
            </w:pPr>
            <w:r>
              <w:t>k=11</w:t>
            </w:r>
          </w:p>
        </w:tc>
        <w:tc>
          <w:tcPr>
            <w:tcW w:w="471" w:type="pct"/>
          </w:tcPr>
          <w:p w14:paraId="430B4EA4" w14:textId="77777777" w:rsidR="0044755D" w:rsidRPr="00796D44" w:rsidRDefault="0044755D" w:rsidP="007527B1">
            <w:pPr>
              <w:pStyle w:val="Tabletext0"/>
            </w:pPr>
            <w:r>
              <w:t>0.92 (0.77, 0.97)</w:t>
            </w:r>
          </w:p>
        </w:tc>
        <w:tc>
          <w:tcPr>
            <w:tcW w:w="472" w:type="pct"/>
          </w:tcPr>
          <w:p w14:paraId="23D4D062" w14:textId="77777777" w:rsidR="0044755D" w:rsidRPr="00796D44" w:rsidRDefault="0044755D" w:rsidP="007527B1">
            <w:pPr>
              <w:pStyle w:val="Tabletext0"/>
            </w:pPr>
            <w:r>
              <w:t>0.99 (0.93, 1.00)</w:t>
            </w:r>
          </w:p>
        </w:tc>
        <w:tc>
          <w:tcPr>
            <w:tcW w:w="607" w:type="pct"/>
          </w:tcPr>
          <w:p w14:paraId="364AFB2C" w14:textId="77777777" w:rsidR="0044755D" w:rsidRPr="00B26AFD" w:rsidRDefault="0044755D" w:rsidP="007527B1">
            <w:pPr>
              <w:pStyle w:val="Tabletext0"/>
              <w:rPr>
                <w:vertAlign w:val="superscript"/>
              </w:rPr>
            </w:pPr>
            <w:r>
              <w:t>3%</w:t>
            </w:r>
            <w:r>
              <w:rPr>
                <w:vertAlign w:val="superscript"/>
              </w:rPr>
              <w:t>b</w:t>
            </w:r>
          </w:p>
        </w:tc>
        <w:tc>
          <w:tcPr>
            <w:tcW w:w="450" w:type="pct"/>
          </w:tcPr>
          <w:p w14:paraId="759289F8" w14:textId="77777777" w:rsidR="0044755D" w:rsidRPr="00796D44" w:rsidRDefault="0044755D" w:rsidP="007527B1">
            <w:pPr>
              <w:pStyle w:val="Tabletext0"/>
              <w:jc w:val="left"/>
            </w:pPr>
            <w:r>
              <w:t>28 (23, 29)</w:t>
            </w:r>
          </w:p>
        </w:tc>
        <w:tc>
          <w:tcPr>
            <w:tcW w:w="403" w:type="pct"/>
          </w:tcPr>
          <w:p w14:paraId="11C3D7C6" w14:textId="718154E3" w:rsidR="0044755D" w:rsidRPr="00796D44" w:rsidRDefault="0044755D" w:rsidP="007527B1">
            <w:pPr>
              <w:pStyle w:val="Tabletext0"/>
            </w:pPr>
            <w:r>
              <w:t xml:space="preserve">10 </w:t>
            </w:r>
            <w:r w:rsidR="0085329A">
              <w:br/>
            </w:r>
            <w:r>
              <w:t>(0, 68)</w:t>
            </w:r>
          </w:p>
        </w:tc>
        <w:tc>
          <w:tcPr>
            <w:tcW w:w="399" w:type="pct"/>
          </w:tcPr>
          <w:p w14:paraId="213970F7" w14:textId="77777777" w:rsidR="0044755D" w:rsidRPr="00796D44" w:rsidRDefault="0044755D" w:rsidP="007527B1">
            <w:pPr>
              <w:pStyle w:val="Tabletext0"/>
            </w:pPr>
            <w:r>
              <w:t>2 (1, 7)</w:t>
            </w:r>
          </w:p>
        </w:tc>
        <w:tc>
          <w:tcPr>
            <w:tcW w:w="418" w:type="pct"/>
          </w:tcPr>
          <w:p w14:paraId="33AF89C0" w14:textId="77777777" w:rsidR="0044755D" w:rsidRPr="00796D44" w:rsidRDefault="0044755D" w:rsidP="007527B1">
            <w:pPr>
              <w:pStyle w:val="Tabletext0"/>
            </w:pPr>
            <w:r>
              <w:t>960 (902, 97)</w:t>
            </w:r>
          </w:p>
        </w:tc>
        <w:tc>
          <w:tcPr>
            <w:tcW w:w="465" w:type="pct"/>
          </w:tcPr>
          <w:p w14:paraId="7044524E" w14:textId="77777777" w:rsidR="0044755D" w:rsidRDefault="0044755D" w:rsidP="007527B1">
            <w:pPr>
              <w:pStyle w:val="Tabletext0"/>
            </w:pPr>
            <w:r>
              <w:t>0.74</w:t>
            </w:r>
          </w:p>
        </w:tc>
        <w:tc>
          <w:tcPr>
            <w:tcW w:w="453" w:type="pct"/>
          </w:tcPr>
          <w:p w14:paraId="08166616" w14:textId="77777777" w:rsidR="0044755D" w:rsidRDefault="0044755D" w:rsidP="007527B1">
            <w:pPr>
              <w:pStyle w:val="Tabletext0"/>
            </w:pPr>
            <w:r>
              <w:t>1.00</w:t>
            </w:r>
          </w:p>
        </w:tc>
      </w:tr>
      <w:tr w:rsidR="0044755D" w:rsidRPr="00796D44" w14:paraId="04590EDC" w14:textId="77777777" w:rsidTr="0085329A">
        <w:tc>
          <w:tcPr>
            <w:tcW w:w="390" w:type="pct"/>
          </w:tcPr>
          <w:p w14:paraId="4DD778D1" w14:textId="77777777" w:rsidR="0044755D" w:rsidRPr="006F53B4" w:rsidRDefault="0044755D" w:rsidP="007527B1">
            <w:pPr>
              <w:pStyle w:val="Tabletext0"/>
              <w:rPr>
                <w:i/>
              </w:rPr>
            </w:pPr>
            <w:r w:rsidRPr="006F53B4">
              <w:rPr>
                <w:i/>
              </w:rPr>
              <w:t>ROS1</w:t>
            </w:r>
          </w:p>
        </w:tc>
        <w:tc>
          <w:tcPr>
            <w:tcW w:w="472" w:type="pct"/>
          </w:tcPr>
          <w:p w14:paraId="5E42BCB8" w14:textId="77777777" w:rsidR="0044755D" w:rsidRDefault="0044755D" w:rsidP="007527B1">
            <w:pPr>
              <w:pStyle w:val="Tabletext0"/>
            </w:pPr>
            <w:r>
              <w:t>n=830</w:t>
            </w:r>
          </w:p>
          <w:p w14:paraId="414ED408" w14:textId="77777777" w:rsidR="0044755D" w:rsidRPr="00796D44" w:rsidRDefault="0044755D" w:rsidP="007527B1">
            <w:pPr>
              <w:pStyle w:val="Tabletext0"/>
            </w:pPr>
            <w:r>
              <w:t>k=6</w:t>
            </w:r>
          </w:p>
        </w:tc>
        <w:tc>
          <w:tcPr>
            <w:tcW w:w="471" w:type="pct"/>
          </w:tcPr>
          <w:p w14:paraId="0829140C" w14:textId="77777777" w:rsidR="0044755D" w:rsidRPr="00796D44" w:rsidRDefault="0044755D" w:rsidP="007527B1">
            <w:pPr>
              <w:pStyle w:val="Tabletext0"/>
            </w:pPr>
            <w:r>
              <w:t>0.86 (0.63, 0.96)</w:t>
            </w:r>
          </w:p>
        </w:tc>
        <w:tc>
          <w:tcPr>
            <w:tcW w:w="472" w:type="pct"/>
          </w:tcPr>
          <w:p w14:paraId="2AF2BB5F" w14:textId="77777777" w:rsidR="0044755D" w:rsidRPr="00796D44" w:rsidRDefault="0044755D" w:rsidP="007527B1">
            <w:pPr>
              <w:pStyle w:val="Tabletext0"/>
            </w:pPr>
            <w:r>
              <w:t>1.00 (0.99, 1.00)</w:t>
            </w:r>
          </w:p>
        </w:tc>
        <w:tc>
          <w:tcPr>
            <w:tcW w:w="607" w:type="pct"/>
          </w:tcPr>
          <w:p w14:paraId="3D0AE907" w14:textId="77777777" w:rsidR="0044755D" w:rsidRPr="00B26AFD" w:rsidRDefault="0044755D" w:rsidP="007527B1">
            <w:pPr>
              <w:pStyle w:val="Tabletext0"/>
              <w:rPr>
                <w:vertAlign w:val="superscript"/>
              </w:rPr>
            </w:pPr>
            <w:r>
              <w:t>1.61%</w:t>
            </w:r>
            <w:r>
              <w:rPr>
                <w:vertAlign w:val="superscript"/>
              </w:rPr>
              <w:t>c</w:t>
            </w:r>
          </w:p>
        </w:tc>
        <w:tc>
          <w:tcPr>
            <w:tcW w:w="450" w:type="pct"/>
          </w:tcPr>
          <w:p w14:paraId="669A9040" w14:textId="77777777" w:rsidR="0044755D" w:rsidRPr="00796D44" w:rsidRDefault="0044755D" w:rsidP="007527B1">
            <w:pPr>
              <w:pStyle w:val="Tabletext0"/>
              <w:jc w:val="left"/>
            </w:pPr>
            <w:r>
              <w:t>14 (10, 15)</w:t>
            </w:r>
          </w:p>
        </w:tc>
        <w:tc>
          <w:tcPr>
            <w:tcW w:w="403" w:type="pct"/>
          </w:tcPr>
          <w:p w14:paraId="529CD7DE" w14:textId="09A28AC5" w:rsidR="0044755D" w:rsidRPr="00796D44" w:rsidRDefault="0044755D" w:rsidP="007527B1">
            <w:pPr>
              <w:pStyle w:val="Tabletext0"/>
            </w:pPr>
            <w:r>
              <w:t xml:space="preserve">0 </w:t>
            </w:r>
            <w:r w:rsidR="0085329A">
              <w:br/>
            </w:r>
            <w:r>
              <w:t>(0, 10)</w:t>
            </w:r>
          </w:p>
        </w:tc>
        <w:tc>
          <w:tcPr>
            <w:tcW w:w="399" w:type="pct"/>
          </w:tcPr>
          <w:p w14:paraId="661239B6" w14:textId="77777777" w:rsidR="0044755D" w:rsidRPr="00796D44" w:rsidRDefault="0044755D" w:rsidP="007527B1">
            <w:pPr>
              <w:pStyle w:val="Tabletext0"/>
            </w:pPr>
            <w:r>
              <w:t>2 (1, 6)</w:t>
            </w:r>
          </w:p>
        </w:tc>
        <w:tc>
          <w:tcPr>
            <w:tcW w:w="418" w:type="pct"/>
          </w:tcPr>
          <w:p w14:paraId="643CE1B1" w14:textId="77777777" w:rsidR="0044755D" w:rsidRPr="00796D44" w:rsidRDefault="0044755D" w:rsidP="007527B1">
            <w:pPr>
              <w:pStyle w:val="Tabletext0"/>
            </w:pPr>
            <w:r>
              <w:t>984 (974, 984)</w:t>
            </w:r>
          </w:p>
        </w:tc>
        <w:tc>
          <w:tcPr>
            <w:tcW w:w="465" w:type="pct"/>
          </w:tcPr>
          <w:p w14:paraId="0EAB36B2" w14:textId="77777777" w:rsidR="0044755D" w:rsidRDefault="0044755D" w:rsidP="007527B1">
            <w:pPr>
              <w:pStyle w:val="Tabletext0"/>
            </w:pPr>
            <w:r>
              <w:t>1.00</w:t>
            </w:r>
          </w:p>
        </w:tc>
        <w:tc>
          <w:tcPr>
            <w:tcW w:w="453" w:type="pct"/>
          </w:tcPr>
          <w:p w14:paraId="595DF3A6" w14:textId="77777777" w:rsidR="0044755D" w:rsidRDefault="0044755D" w:rsidP="007527B1">
            <w:pPr>
              <w:pStyle w:val="Tabletext0"/>
            </w:pPr>
            <w:r>
              <w:t>1.00</w:t>
            </w:r>
          </w:p>
        </w:tc>
      </w:tr>
      <w:tr w:rsidR="0044755D" w:rsidRPr="00796D44" w14:paraId="4BFE33C2" w14:textId="77777777" w:rsidTr="0085329A">
        <w:tc>
          <w:tcPr>
            <w:tcW w:w="390" w:type="pct"/>
          </w:tcPr>
          <w:p w14:paraId="679BC272" w14:textId="77777777" w:rsidR="0044755D" w:rsidRPr="006F53B4" w:rsidRDefault="0044755D" w:rsidP="007527B1">
            <w:pPr>
              <w:pStyle w:val="Tabletext0"/>
              <w:rPr>
                <w:i/>
              </w:rPr>
            </w:pPr>
            <w:r w:rsidRPr="006F53B4">
              <w:rPr>
                <w:i/>
              </w:rPr>
              <w:t>MET</w:t>
            </w:r>
            <w:r>
              <w:rPr>
                <w:i/>
              </w:rPr>
              <w:t xml:space="preserve"> </w:t>
            </w:r>
            <w:r w:rsidRPr="006F53B4">
              <w:t>ex14s</w:t>
            </w:r>
            <w:r w:rsidRPr="006F53B4">
              <w:rPr>
                <w:i/>
              </w:rPr>
              <w:t>k</w:t>
            </w:r>
          </w:p>
        </w:tc>
        <w:tc>
          <w:tcPr>
            <w:tcW w:w="472" w:type="pct"/>
          </w:tcPr>
          <w:p w14:paraId="5D7F75EA" w14:textId="77777777" w:rsidR="0044755D" w:rsidRDefault="0044755D" w:rsidP="007527B1">
            <w:pPr>
              <w:pStyle w:val="Tabletext0"/>
            </w:pPr>
            <w:r>
              <w:t>n=99</w:t>
            </w:r>
          </w:p>
          <w:p w14:paraId="7DDB7E6D" w14:textId="77777777" w:rsidR="0044755D" w:rsidRPr="00796D44" w:rsidRDefault="0044755D" w:rsidP="007527B1">
            <w:pPr>
              <w:pStyle w:val="Tabletext0"/>
            </w:pPr>
            <w:r>
              <w:t>k=1</w:t>
            </w:r>
          </w:p>
        </w:tc>
        <w:tc>
          <w:tcPr>
            <w:tcW w:w="471" w:type="pct"/>
          </w:tcPr>
          <w:p w14:paraId="688E156E" w14:textId="77777777" w:rsidR="0044755D" w:rsidRPr="00796D44" w:rsidRDefault="0044755D" w:rsidP="007527B1">
            <w:pPr>
              <w:pStyle w:val="Tabletext0"/>
            </w:pPr>
            <w:r>
              <w:t>0.98 (0.89, 1.00)</w:t>
            </w:r>
          </w:p>
        </w:tc>
        <w:tc>
          <w:tcPr>
            <w:tcW w:w="472" w:type="pct"/>
          </w:tcPr>
          <w:p w14:paraId="2DD9044A" w14:textId="77777777" w:rsidR="0044755D" w:rsidRPr="00796D44" w:rsidRDefault="0044755D" w:rsidP="007527B1">
            <w:pPr>
              <w:pStyle w:val="Tabletext0"/>
            </w:pPr>
            <w:r>
              <w:t>1.00 (0.93, 1.00)</w:t>
            </w:r>
          </w:p>
        </w:tc>
        <w:tc>
          <w:tcPr>
            <w:tcW w:w="607" w:type="pct"/>
          </w:tcPr>
          <w:p w14:paraId="798650DD" w14:textId="77777777" w:rsidR="0044755D" w:rsidRPr="00B26AFD" w:rsidRDefault="0044755D" w:rsidP="007527B1">
            <w:pPr>
              <w:pStyle w:val="Tabletext0"/>
              <w:rPr>
                <w:vertAlign w:val="superscript"/>
              </w:rPr>
            </w:pPr>
            <w:r>
              <w:t>3.6%</w:t>
            </w:r>
            <w:r>
              <w:rPr>
                <w:vertAlign w:val="superscript"/>
              </w:rPr>
              <w:t>d</w:t>
            </w:r>
          </w:p>
        </w:tc>
        <w:tc>
          <w:tcPr>
            <w:tcW w:w="450" w:type="pct"/>
          </w:tcPr>
          <w:p w14:paraId="30D92127" w14:textId="77777777" w:rsidR="0044755D" w:rsidRPr="00796D44" w:rsidRDefault="0044755D" w:rsidP="007527B1">
            <w:pPr>
              <w:pStyle w:val="Tabletext0"/>
              <w:jc w:val="left"/>
            </w:pPr>
            <w:r>
              <w:t>35 (32, 36)</w:t>
            </w:r>
          </w:p>
        </w:tc>
        <w:tc>
          <w:tcPr>
            <w:tcW w:w="403" w:type="pct"/>
          </w:tcPr>
          <w:p w14:paraId="14D99A2E" w14:textId="3BB2563F" w:rsidR="0044755D" w:rsidRPr="00796D44" w:rsidRDefault="0044755D" w:rsidP="007527B1">
            <w:pPr>
              <w:pStyle w:val="Tabletext0"/>
            </w:pPr>
            <w:r>
              <w:t xml:space="preserve">0 </w:t>
            </w:r>
            <w:r w:rsidR="0085329A">
              <w:br/>
            </w:r>
            <w:r>
              <w:t>(0, 69)</w:t>
            </w:r>
          </w:p>
        </w:tc>
        <w:tc>
          <w:tcPr>
            <w:tcW w:w="399" w:type="pct"/>
          </w:tcPr>
          <w:p w14:paraId="7AFC9559" w14:textId="77777777" w:rsidR="0044755D" w:rsidRPr="00796D44" w:rsidRDefault="0044755D" w:rsidP="007527B1">
            <w:pPr>
              <w:pStyle w:val="Tabletext0"/>
            </w:pPr>
            <w:r>
              <w:t>1 (0, 4)</w:t>
            </w:r>
          </w:p>
        </w:tc>
        <w:tc>
          <w:tcPr>
            <w:tcW w:w="418" w:type="pct"/>
          </w:tcPr>
          <w:p w14:paraId="46FA71D7" w14:textId="77777777" w:rsidR="0044755D" w:rsidRPr="00796D44" w:rsidRDefault="0044755D" w:rsidP="007527B1">
            <w:pPr>
              <w:pStyle w:val="Tabletext0"/>
            </w:pPr>
            <w:r>
              <w:t>964 (895, 964)</w:t>
            </w:r>
          </w:p>
        </w:tc>
        <w:tc>
          <w:tcPr>
            <w:tcW w:w="465" w:type="pct"/>
          </w:tcPr>
          <w:p w14:paraId="10EE1E59" w14:textId="77777777" w:rsidR="0044755D" w:rsidRDefault="0044755D" w:rsidP="007527B1">
            <w:pPr>
              <w:pStyle w:val="Tabletext0"/>
            </w:pPr>
            <w:r>
              <w:t>1.00</w:t>
            </w:r>
          </w:p>
        </w:tc>
        <w:tc>
          <w:tcPr>
            <w:tcW w:w="453" w:type="pct"/>
          </w:tcPr>
          <w:p w14:paraId="1A0EFCA0" w14:textId="77777777" w:rsidR="0044755D" w:rsidRDefault="0044755D" w:rsidP="007527B1">
            <w:pPr>
              <w:pStyle w:val="Tabletext0"/>
            </w:pPr>
            <w:r>
              <w:t>1.00</w:t>
            </w:r>
          </w:p>
        </w:tc>
      </w:tr>
      <w:tr w:rsidR="0044755D" w:rsidRPr="00796D44" w14:paraId="15318CBE" w14:textId="77777777" w:rsidTr="0085329A">
        <w:tc>
          <w:tcPr>
            <w:tcW w:w="390" w:type="pct"/>
          </w:tcPr>
          <w:p w14:paraId="721464B4" w14:textId="77777777" w:rsidR="0044755D" w:rsidRDefault="0044755D" w:rsidP="007527B1">
            <w:pPr>
              <w:pStyle w:val="Tabletext0"/>
            </w:pPr>
            <w:r>
              <w:t>Total</w:t>
            </w:r>
          </w:p>
        </w:tc>
        <w:tc>
          <w:tcPr>
            <w:tcW w:w="472" w:type="pct"/>
          </w:tcPr>
          <w:p w14:paraId="13683552" w14:textId="77777777" w:rsidR="0044755D" w:rsidRDefault="0044755D" w:rsidP="007527B1">
            <w:pPr>
              <w:pStyle w:val="Tabletext0"/>
            </w:pPr>
          </w:p>
        </w:tc>
        <w:tc>
          <w:tcPr>
            <w:tcW w:w="471" w:type="pct"/>
          </w:tcPr>
          <w:p w14:paraId="1FD23BDF" w14:textId="77777777" w:rsidR="0044755D" w:rsidRDefault="0044755D" w:rsidP="007527B1">
            <w:pPr>
              <w:pStyle w:val="Tabletext0"/>
            </w:pPr>
          </w:p>
        </w:tc>
        <w:tc>
          <w:tcPr>
            <w:tcW w:w="472" w:type="pct"/>
          </w:tcPr>
          <w:p w14:paraId="5F4F8C83" w14:textId="77777777" w:rsidR="0044755D" w:rsidRDefault="0044755D" w:rsidP="007527B1">
            <w:pPr>
              <w:pStyle w:val="Tabletext0"/>
            </w:pPr>
          </w:p>
        </w:tc>
        <w:tc>
          <w:tcPr>
            <w:tcW w:w="607" w:type="pct"/>
          </w:tcPr>
          <w:p w14:paraId="09CE67C4" w14:textId="77777777" w:rsidR="0044755D" w:rsidRDefault="0044755D" w:rsidP="007527B1">
            <w:pPr>
              <w:pStyle w:val="Tabletext0"/>
            </w:pPr>
          </w:p>
        </w:tc>
        <w:tc>
          <w:tcPr>
            <w:tcW w:w="450" w:type="pct"/>
          </w:tcPr>
          <w:p w14:paraId="4E6F8C70" w14:textId="77777777" w:rsidR="0044755D" w:rsidRDefault="0044755D" w:rsidP="007527B1">
            <w:pPr>
              <w:pStyle w:val="Tabletext0"/>
            </w:pPr>
            <w:r>
              <w:t>224</w:t>
            </w:r>
          </w:p>
        </w:tc>
        <w:tc>
          <w:tcPr>
            <w:tcW w:w="403" w:type="pct"/>
          </w:tcPr>
          <w:p w14:paraId="286B9468" w14:textId="77777777" w:rsidR="0044755D" w:rsidRDefault="0044755D" w:rsidP="007527B1">
            <w:pPr>
              <w:pStyle w:val="Tabletext0"/>
            </w:pPr>
            <w:r>
              <w:t>35</w:t>
            </w:r>
          </w:p>
        </w:tc>
        <w:tc>
          <w:tcPr>
            <w:tcW w:w="399" w:type="pct"/>
          </w:tcPr>
          <w:p w14:paraId="42292CF4" w14:textId="77777777" w:rsidR="0044755D" w:rsidRDefault="0044755D" w:rsidP="007527B1">
            <w:pPr>
              <w:pStyle w:val="Tabletext0"/>
            </w:pPr>
            <w:r>
              <w:t>8</w:t>
            </w:r>
          </w:p>
        </w:tc>
        <w:tc>
          <w:tcPr>
            <w:tcW w:w="418" w:type="pct"/>
          </w:tcPr>
          <w:p w14:paraId="40AE57F2" w14:textId="77777777" w:rsidR="0044755D" w:rsidRDefault="0044755D" w:rsidP="007527B1">
            <w:pPr>
              <w:pStyle w:val="Tabletext0"/>
            </w:pPr>
            <w:r>
              <w:t>733</w:t>
            </w:r>
          </w:p>
        </w:tc>
        <w:tc>
          <w:tcPr>
            <w:tcW w:w="465" w:type="pct"/>
          </w:tcPr>
          <w:p w14:paraId="7B70A771" w14:textId="77777777" w:rsidR="0044755D" w:rsidRDefault="0044755D" w:rsidP="007527B1">
            <w:pPr>
              <w:pStyle w:val="Tabletext0"/>
            </w:pPr>
          </w:p>
        </w:tc>
        <w:tc>
          <w:tcPr>
            <w:tcW w:w="453" w:type="pct"/>
          </w:tcPr>
          <w:p w14:paraId="2BD493A9" w14:textId="77777777" w:rsidR="0044755D" w:rsidRDefault="0044755D" w:rsidP="007527B1">
            <w:pPr>
              <w:pStyle w:val="Tabletext0"/>
            </w:pPr>
          </w:p>
        </w:tc>
      </w:tr>
    </w:tbl>
    <w:p w14:paraId="3BEC033B" w14:textId="77777777" w:rsidR="00446F92" w:rsidRPr="0097256D" w:rsidRDefault="00446F92" w:rsidP="00446F92">
      <w:pPr>
        <w:rPr>
          <w:rFonts w:ascii="Arial Narrow" w:hAnsi="Arial Narrow"/>
          <w:sz w:val="18"/>
          <w:szCs w:val="18"/>
        </w:rPr>
      </w:pPr>
      <w:r w:rsidRPr="0097256D">
        <w:rPr>
          <w:rFonts w:ascii="Arial Narrow" w:hAnsi="Arial Narrow"/>
          <w:i/>
          <w:iCs/>
          <w:sz w:val="18"/>
          <w:szCs w:val="18"/>
        </w:rPr>
        <w:t>ALK</w:t>
      </w:r>
      <w:r w:rsidRPr="0097256D">
        <w:rPr>
          <w:rFonts w:ascii="Arial Narrow" w:hAnsi="Arial Narrow"/>
          <w:sz w:val="18"/>
          <w:szCs w:val="18"/>
        </w:rPr>
        <w:t xml:space="preserve"> = anaplastic lymphoma kinase; </w:t>
      </w:r>
      <w:r w:rsidRPr="0097256D">
        <w:rPr>
          <w:rFonts w:ascii="Arial Narrow" w:hAnsi="Arial Narrow"/>
          <w:i/>
          <w:iCs/>
          <w:sz w:val="18"/>
          <w:szCs w:val="18"/>
        </w:rPr>
        <w:t>EGFR</w:t>
      </w:r>
      <w:r w:rsidRPr="0097256D">
        <w:rPr>
          <w:rFonts w:ascii="Arial Narrow" w:hAnsi="Arial Narrow"/>
          <w:sz w:val="18"/>
          <w:szCs w:val="18"/>
        </w:rPr>
        <w:t xml:space="preserve"> = epidermal growth factor receptor; </w:t>
      </w:r>
      <w:r w:rsidRPr="0097256D">
        <w:rPr>
          <w:rFonts w:ascii="Arial Narrow" w:hAnsi="Arial Narrow"/>
          <w:i/>
          <w:iCs/>
          <w:sz w:val="18"/>
          <w:szCs w:val="18"/>
        </w:rPr>
        <w:t>MET</w:t>
      </w:r>
      <w:r w:rsidRPr="0097256D">
        <w:rPr>
          <w:rFonts w:ascii="Arial Narrow" w:hAnsi="Arial Narrow"/>
          <w:sz w:val="18"/>
          <w:szCs w:val="18"/>
        </w:rPr>
        <w:t xml:space="preserve"> = mesenchymal-epithelial transition; NGS = next generation sequencing; NPA = negative percent agreement; NPV= negative predictive value; PPA = positive percent agreement;</w:t>
      </w:r>
      <w:r w:rsidRPr="0097256D">
        <w:rPr>
          <w:rFonts w:ascii="Arial Narrow" w:hAnsi="Arial Narrow"/>
          <w:i/>
          <w:iCs/>
          <w:sz w:val="18"/>
          <w:szCs w:val="18"/>
        </w:rPr>
        <w:t xml:space="preserve"> </w:t>
      </w:r>
      <w:r w:rsidRPr="0097256D">
        <w:rPr>
          <w:rFonts w:ascii="Arial Narrow" w:hAnsi="Arial Narrow"/>
          <w:sz w:val="18"/>
          <w:szCs w:val="18"/>
        </w:rPr>
        <w:t xml:space="preserve">PPV = positive predictive value; </w:t>
      </w:r>
      <w:r w:rsidRPr="0097256D">
        <w:rPr>
          <w:rFonts w:ascii="Arial Narrow" w:hAnsi="Arial Narrow"/>
          <w:i/>
          <w:iCs/>
          <w:sz w:val="18"/>
          <w:szCs w:val="18"/>
        </w:rPr>
        <w:t>ROS1</w:t>
      </w:r>
      <w:r w:rsidRPr="0097256D">
        <w:rPr>
          <w:rFonts w:ascii="Arial Narrow" w:hAnsi="Arial Narrow"/>
          <w:sz w:val="18"/>
          <w:szCs w:val="18"/>
        </w:rPr>
        <w:t xml:space="preserve"> = ROS proto-oncogene 1; SG = single-gene testing </w:t>
      </w:r>
    </w:p>
    <w:p w14:paraId="56EBB425" w14:textId="53279756" w:rsidR="00D62C1F" w:rsidRPr="004C58D8" w:rsidRDefault="00D62C1F" w:rsidP="00D62C1F">
      <w:r>
        <w:t>MSAC noted that the economic evaluation was a c</w:t>
      </w:r>
      <w:r w:rsidRPr="004C58D8">
        <w:t>ost</w:t>
      </w:r>
      <w:r>
        <w:t>-e</w:t>
      </w:r>
      <w:r w:rsidRPr="004C58D8">
        <w:t xml:space="preserve">ffectiveness </w:t>
      </w:r>
      <w:r>
        <w:t>a</w:t>
      </w:r>
      <w:r w:rsidRPr="004C58D8">
        <w:t>nalysis</w:t>
      </w:r>
      <w:r>
        <w:t>,</w:t>
      </w:r>
      <w:r w:rsidRPr="004C58D8">
        <w:t xml:space="preserve"> where </w:t>
      </w:r>
      <w:r>
        <w:t xml:space="preserve">the </w:t>
      </w:r>
      <w:r w:rsidRPr="004C58D8">
        <w:t xml:space="preserve">primary outcome was </w:t>
      </w:r>
      <w:r>
        <w:t xml:space="preserve">a </w:t>
      </w:r>
      <w:r w:rsidRPr="004C58D8">
        <w:t>net change in patient</w:t>
      </w:r>
      <w:r>
        <w:t>s</w:t>
      </w:r>
      <w:r w:rsidRPr="004C58D8">
        <w:t xml:space="preserve"> determined to be eligible for targeted therapy</w:t>
      </w:r>
      <w:r>
        <w:t xml:space="preserve">. MSAC noted that, </w:t>
      </w:r>
      <w:r w:rsidRPr="004C58D8">
        <w:t>after stepped economic analysis</w:t>
      </w:r>
      <w:r>
        <w:t xml:space="preserve">, the incremental cost-effectiveness ratio (ICER) was $7,496 </w:t>
      </w:r>
      <w:r w:rsidRPr="004C58D8">
        <w:t>per additional patient eligible for targeted therapy</w:t>
      </w:r>
      <w:r>
        <w:t xml:space="preserve">. The </w:t>
      </w:r>
      <w:r w:rsidRPr="004C58D8">
        <w:t xml:space="preserve">ICER </w:t>
      </w:r>
      <w:r>
        <w:t xml:space="preserve">was </w:t>
      </w:r>
      <w:r w:rsidRPr="004C58D8">
        <w:t>highly sensitive to</w:t>
      </w:r>
      <w:r>
        <w:t>:</w:t>
      </w:r>
    </w:p>
    <w:p w14:paraId="2B6AD5DF" w14:textId="77777777" w:rsidR="00D62C1F" w:rsidRPr="004C58D8" w:rsidRDefault="00D62C1F" w:rsidP="00D62C1F">
      <w:pPr>
        <w:pStyle w:val="ListParagraph"/>
        <w:numPr>
          <w:ilvl w:val="0"/>
          <w:numId w:val="23"/>
        </w:numPr>
        <w:spacing w:before="0" w:after="0" w:line="240" w:lineRule="auto"/>
      </w:pPr>
      <w:r w:rsidRPr="004C58D8">
        <w:t xml:space="preserve">changes in </w:t>
      </w:r>
      <w:r>
        <w:t xml:space="preserve">the </w:t>
      </w:r>
      <w:r w:rsidRPr="004C58D8">
        <w:t>estimate of patients with advanced disease</w:t>
      </w:r>
    </w:p>
    <w:p w14:paraId="3C9B8B1A" w14:textId="77777777" w:rsidR="00D62C1F" w:rsidRPr="004C58D8" w:rsidRDefault="00D62C1F" w:rsidP="00D62C1F">
      <w:pPr>
        <w:pStyle w:val="ListParagraph"/>
        <w:numPr>
          <w:ilvl w:val="0"/>
          <w:numId w:val="23"/>
        </w:numPr>
        <w:spacing w:before="0" w:after="0" w:line="240" w:lineRule="auto"/>
      </w:pPr>
      <w:r w:rsidRPr="00C21E16">
        <w:rPr>
          <w:i/>
          <w:iCs/>
        </w:rPr>
        <w:t>EGFR</w:t>
      </w:r>
      <w:r w:rsidRPr="004C58D8">
        <w:t xml:space="preserve"> </w:t>
      </w:r>
      <w:r>
        <w:t>negative per cent agreement</w:t>
      </w:r>
      <w:r w:rsidRPr="004C58D8">
        <w:t xml:space="preserve"> values</w:t>
      </w:r>
    </w:p>
    <w:p w14:paraId="36343C0A" w14:textId="77777777" w:rsidR="00D62C1F" w:rsidRPr="004C58D8" w:rsidRDefault="00D62C1F" w:rsidP="00D62C1F">
      <w:pPr>
        <w:pStyle w:val="ListParagraph"/>
        <w:numPr>
          <w:ilvl w:val="0"/>
          <w:numId w:val="23"/>
        </w:numPr>
        <w:spacing w:before="0" w:after="0" w:line="240" w:lineRule="auto"/>
      </w:pPr>
      <w:r w:rsidRPr="004C58D8">
        <w:t>RNA panel use</w:t>
      </w:r>
      <w:r>
        <w:t xml:space="preserve"> (item CCCC).</w:t>
      </w:r>
    </w:p>
    <w:p w14:paraId="0CF00C13" w14:textId="77777777" w:rsidR="00D62C1F" w:rsidRPr="004C58D8" w:rsidRDefault="00D62C1F" w:rsidP="00D62C1F">
      <w:r>
        <w:t xml:space="preserve">MSAC noted that the </w:t>
      </w:r>
      <w:r w:rsidRPr="004C58D8">
        <w:t xml:space="preserve">ICER </w:t>
      </w:r>
      <w:r>
        <w:t xml:space="preserve">was </w:t>
      </w:r>
      <w:r w:rsidRPr="004C58D8">
        <w:t>moderately sensitive to test success and rebiopsy uptake</w:t>
      </w:r>
      <w:r>
        <w:t>.</w:t>
      </w:r>
    </w:p>
    <w:p w14:paraId="700BF078" w14:textId="77777777" w:rsidR="00D62C1F" w:rsidRDefault="00D62C1F" w:rsidP="00D62C1F">
      <w:r>
        <w:t xml:space="preserve">MSAC noted that the </w:t>
      </w:r>
      <w:r w:rsidRPr="00BD416F">
        <w:t>modelling used 30% in</w:t>
      </w:r>
      <w:r>
        <w:t>-</w:t>
      </w:r>
      <w:r w:rsidRPr="00BD416F">
        <w:t>hospital and 70% outpatient</w:t>
      </w:r>
      <w:r>
        <w:t xml:space="preserve"> split, which it considered to be appropriate.</w:t>
      </w:r>
    </w:p>
    <w:p w14:paraId="0754B1F0" w14:textId="67444562" w:rsidR="006E3837" w:rsidRDefault="00D62C1F" w:rsidP="00D62C1F">
      <w:r>
        <w:t>MSAC noted that t</w:t>
      </w:r>
      <w:r w:rsidRPr="004C58D8">
        <w:t xml:space="preserve">he DCAR estimated a net financial impact to the MBS of </w:t>
      </w:r>
      <w:r w:rsidR="006E3837">
        <w:t>approximately</w:t>
      </w:r>
      <w:r w:rsidRPr="004C58D8">
        <w:t xml:space="preserve"> $1.47 million in year 1 </w:t>
      </w:r>
      <w:r w:rsidR="006E3837">
        <w:t>(2023)</w:t>
      </w:r>
      <w:r w:rsidRPr="004C58D8">
        <w:t xml:space="preserve"> to $2.28 million in year 6</w:t>
      </w:r>
      <w:r w:rsidR="006E3837">
        <w:t xml:space="preserve"> (2028), noting the true financial impact is expected to be marginally higher, as it was calculated by the DCAR using </w:t>
      </w:r>
      <w:r w:rsidR="006E3837" w:rsidRPr="006E3837">
        <w:t>Greatest Permissible Gap (GPG)</w:t>
      </w:r>
      <w:r w:rsidR="006E3837">
        <w:t xml:space="preserve"> of $</w:t>
      </w:r>
      <w:r w:rsidR="006E3837">
        <w:rPr>
          <w:szCs w:val="18"/>
        </w:rPr>
        <w:t xml:space="preserve">87.90 that applied from </w:t>
      </w:r>
      <w:r w:rsidR="006E3837">
        <w:t>1 November 2021 to 31 October 2022.</w:t>
      </w:r>
    </w:p>
    <w:p w14:paraId="2C548847" w14:textId="1E8148FB" w:rsidR="00180453" w:rsidRDefault="00180453" w:rsidP="00D62C1F">
      <w:r>
        <w:t xml:space="preserve">MSAC noted </w:t>
      </w:r>
      <w:r w:rsidR="00BA3F1E">
        <w:t xml:space="preserve">that if PBAC does not support amendments to the existing PBS listings for </w:t>
      </w:r>
      <w:r w:rsidR="00BA3F1E" w:rsidRPr="00D93740">
        <w:rPr>
          <w:i/>
          <w:iCs/>
        </w:rPr>
        <w:t>ALK</w:t>
      </w:r>
      <w:r w:rsidR="00BA3F1E">
        <w:t xml:space="preserve"> and </w:t>
      </w:r>
      <w:r w:rsidR="00BA3F1E" w:rsidRPr="00D93740">
        <w:rPr>
          <w:i/>
          <w:iCs/>
        </w:rPr>
        <w:t>ROS1</w:t>
      </w:r>
      <w:r w:rsidR="00BA3F1E">
        <w:t xml:space="preserve"> targeted therapies, the estimated net financial impact to the MBS </w:t>
      </w:r>
      <w:r w:rsidR="00DD086B">
        <w:t>will</w:t>
      </w:r>
      <w:r w:rsidR="00BA3F1E">
        <w:t xml:space="preserve"> increase by approximately $0.1 million in each year, </w:t>
      </w:r>
      <w:r w:rsidR="00DD086B">
        <w:t>as confirmatory FISH testing will be required to access PBS-listed therapies.</w:t>
      </w:r>
    </w:p>
    <w:p w14:paraId="151514F2" w14:textId="7B801A98" w:rsidR="00D62C1F" w:rsidRDefault="00D62C1F" w:rsidP="00D62C1F">
      <w:r>
        <w:t>MSAC noted that</w:t>
      </w:r>
      <w:r w:rsidR="00613B42">
        <w:t xml:space="preserve"> as a </w:t>
      </w:r>
      <w:r>
        <w:t xml:space="preserve">result </w:t>
      </w:r>
      <w:r w:rsidR="00613B42">
        <w:t>of the</w:t>
      </w:r>
      <w:r>
        <w:t xml:space="preserve"> </w:t>
      </w:r>
      <w:r w:rsidR="00446F92">
        <w:t xml:space="preserve">identification of an </w:t>
      </w:r>
      <w:r w:rsidR="007F7A58" w:rsidRPr="007F7A58">
        <w:rPr>
          <w:w w:val="58"/>
          <w:shd w:val="solid" w:color="000000" w:fill="000000"/>
          <w:fitText w:val="1680" w:id="-1301603584"/>
          <w14:textFill>
            <w14:solidFill>
              <w14:srgbClr w14:val="000000">
                <w14:alpha w14:val="100000"/>
              </w14:srgbClr>
            </w14:solidFill>
          </w14:textFill>
        </w:rPr>
        <w:t>|||||||||||||||||||||||||</w:t>
      </w:r>
      <w:r w:rsidR="007F7A58" w:rsidRPr="007F7A58">
        <w:rPr>
          <w:spacing w:val="23"/>
          <w:w w:val="58"/>
          <w:shd w:val="solid" w:color="000000" w:fill="000000"/>
          <w:fitText w:val="1680" w:id="-1301603584"/>
          <w14:textFill>
            <w14:solidFill>
              <w14:srgbClr w14:val="000000">
                <w14:alpha w14:val="100000"/>
              </w14:srgbClr>
            </w14:solidFill>
          </w14:textFill>
        </w:rPr>
        <w:t>|</w:t>
      </w:r>
      <w:r w:rsidR="007F7A58">
        <w:t xml:space="preserve"> </w:t>
      </w:r>
      <w:r w:rsidR="00446F92">
        <w:t>patients eligible for targeted therapies</w:t>
      </w:r>
      <w:r w:rsidR="00613B42">
        <w:t>, there would also be</w:t>
      </w:r>
      <w:r w:rsidR="00446F92">
        <w:t xml:space="preserve"> </w:t>
      </w:r>
      <w:r>
        <w:t xml:space="preserve">an </w:t>
      </w:r>
      <w:r w:rsidR="007F7A58" w:rsidRPr="007F7A58">
        <w:rPr>
          <w:w w:val="62"/>
          <w:shd w:val="solid" w:color="000000" w:fill="000000"/>
          <w:fitText w:val="1245" w:id="-1301603583"/>
          <w14:textFill>
            <w14:solidFill>
              <w14:srgbClr w14:val="000000">
                <w14:alpha w14:val="100000"/>
              </w14:srgbClr>
            </w14:solidFill>
          </w14:textFill>
        </w:rPr>
        <w:t>||||||||||||||||||</w:t>
      </w:r>
      <w:r w:rsidR="007F7A58">
        <w:t xml:space="preserve"> </w:t>
      </w:r>
      <w:r w:rsidRPr="004C58D8">
        <w:t xml:space="preserve">to </w:t>
      </w:r>
      <w:r>
        <w:t xml:space="preserve">the </w:t>
      </w:r>
      <w:r w:rsidRPr="004C58D8">
        <w:t>PBS</w:t>
      </w:r>
      <w:r>
        <w:t xml:space="preserve"> of </w:t>
      </w:r>
      <w:r w:rsidRPr="004C58D8">
        <w:t>$</w:t>
      </w:r>
      <w:r w:rsidR="007F7A58" w:rsidRPr="007F7A58">
        <w:rPr>
          <w:w w:val="58"/>
          <w:shd w:val="solid" w:color="000000" w:fill="000000"/>
          <w:fitText w:val="1800" w:id="-1301603328"/>
          <w14:textFill>
            <w14:solidFill>
              <w14:srgbClr w14:val="000000">
                <w14:alpha w14:val="100000"/>
              </w14:srgbClr>
            </w14:solidFill>
          </w14:textFill>
        </w:rPr>
        <w:t>|||||||||||||||||||||||||||</w:t>
      </w:r>
      <w:r w:rsidR="007F7A58" w:rsidRPr="007F7A58">
        <w:rPr>
          <w:spacing w:val="16"/>
          <w:w w:val="58"/>
          <w:shd w:val="solid" w:color="000000" w:fill="000000"/>
          <w:fitText w:val="1800" w:id="-1301603328"/>
          <w14:textFill>
            <w14:solidFill>
              <w14:srgbClr w14:val="000000">
                <w14:alpha w14:val="100000"/>
              </w14:srgbClr>
            </w14:solidFill>
          </w14:textFill>
        </w:rPr>
        <w:t>|</w:t>
      </w:r>
      <w:r w:rsidR="007F7A58">
        <w:t xml:space="preserve"> </w:t>
      </w:r>
      <w:r w:rsidR="007F7A58" w:rsidRPr="007F7A58">
        <w:rPr>
          <w:spacing w:val="80"/>
          <w:shd w:val="solid" w:color="000000" w:fill="000000"/>
          <w:fitText w:val="300" w:id="-1301603327"/>
          <w14:textFill>
            <w14:solidFill>
              <w14:srgbClr w14:val="000000">
                <w14:alpha w14:val="100000"/>
              </w14:srgbClr>
            </w14:solidFill>
          </w14:textFill>
        </w:rPr>
        <w:t>|</w:t>
      </w:r>
      <w:r w:rsidR="007F7A58" w:rsidRPr="007F7A58">
        <w:rPr>
          <w:shd w:val="solid" w:color="000000" w:fill="000000"/>
          <w:fitText w:val="300" w:id="-1301603327"/>
          <w14:textFill>
            <w14:solidFill>
              <w14:srgbClr w14:val="000000">
                <w14:alpha w14:val="100000"/>
              </w14:srgbClr>
            </w14:solidFill>
          </w14:textFill>
        </w:rPr>
        <w:t>|</w:t>
      </w:r>
      <w:r w:rsidR="007F7A58">
        <w:t xml:space="preserve"> </w:t>
      </w:r>
      <w:r>
        <w:t>over the next six years</w:t>
      </w:r>
      <w:r w:rsidRPr="004C58D8">
        <w:t>.</w:t>
      </w:r>
    </w:p>
    <w:p w14:paraId="12A9E3F7" w14:textId="495F1DFD" w:rsidR="00C442FF" w:rsidRDefault="00C442FF" w:rsidP="00D62C1F">
      <w:r>
        <w:t xml:space="preserve">Overall, </w:t>
      </w:r>
      <w:r w:rsidRPr="00C442FF">
        <w:rPr>
          <w:rFonts w:eastAsia="Times New Roman" w:cs="Calibri"/>
          <w:lang w:eastAsia="en-AU"/>
        </w:rPr>
        <w:t xml:space="preserve">MSAC </w:t>
      </w:r>
      <w:r>
        <w:rPr>
          <w:rFonts w:eastAsia="Times New Roman" w:cs="Calibri"/>
          <w:lang w:eastAsia="en-AU"/>
        </w:rPr>
        <w:t xml:space="preserve">supported the listing of the proposed MBS items because </w:t>
      </w:r>
      <w:r w:rsidRPr="00C442FF">
        <w:rPr>
          <w:rFonts w:eastAsia="Times New Roman" w:cs="Calibri"/>
          <w:lang w:eastAsia="en-AU"/>
        </w:rPr>
        <w:t xml:space="preserve">the evidence for </w:t>
      </w:r>
      <w:r>
        <w:rPr>
          <w:rFonts w:eastAsia="Times New Roman" w:cs="Calibri"/>
          <w:lang w:eastAsia="en-AU"/>
        </w:rPr>
        <w:t xml:space="preserve">NGS </w:t>
      </w:r>
      <w:r w:rsidRPr="00C442FF">
        <w:rPr>
          <w:rFonts w:eastAsia="Times New Roman" w:cs="Calibri"/>
          <w:lang w:eastAsia="en-AU"/>
        </w:rPr>
        <w:t xml:space="preserve">demonstrated its superior effectiveness </w:t>
      </w:r>
      <w:r w:rsidR="00C95E85">
        <w:rPr>
          <w:rFonts w:eastAsia="Times New Roman" w:cs="Calibri"/>
          <w:lang w:eastAsia="en-AU"/>
        </w:rPr>
        <w:t xml:space="preserve">owing to </w:t>
      </w:r>
      <w:r w:rsidRPr="00C442FF">
        <w:rPr>
          <w:rFonts w:eastAsia="Times New Roman" w:cs="Calibri"/>
          <w:lang w:eastAsia="en-AU"/>
        </w:rPr>
        <w:t xml:space="preserve">its improved test success rate (i.e., more samples with </w:t>
      </w:r>
      <w:proofErr w:type="gramStart"/>
      <w:r w:rsidRPr="00C442FF">
        <w:rPr>
          <w:rFonts w:eastAsia="Times New Roman" w:cs="Calibri"/>
          <w:lang w:eastAsia="en-AU"/>
        </w:rPr>
        <w:t>sufficient quantity</w:t>
      </w:r>
      <w:proofErr w:type="gramEnd"/>
      <w:r w:rsidRPr="00C442FF">
        <w:rPr>
          <w:rFonts w:eastAsia="Times New Roman" w:cs="Calibri"/>
          <w:lang w:eastAsia="en-AU"/>
        </w:rPr>
        <w:t xml:space="preserve"> and/or quality to be able to be successfully tested for variants), improved variant detection rate and superior safety due to the reduced need for rebiopsy </w:t>
      </w:r>
      <w:r w:rsidRPr="00C442FF">
        <w:rPr>
          <w:rFonts w:eastAsia="Times New Roman" w:cs="Calibri"/>
          <w:lang w:eastAsia="en-AU"/>
        </w:rPr>
        <w:lastRenderedPageBreak/>
        <w:t>compared with sequential single gene tests</w:t>
      </w:r>
      <w:r>
        <w:rPr>
          <w:rFonts w:eastAsia="Times New Roman" w:cs="Calibri"/>
          <w:lang w:eastAsia="en-AU"/>
        </w:rPr>
        <w:t xml:space="preserve"> </w:t>
      </w:r>
      <w:r w:rsidRPr="00C442FF">
        <w:rPr>
          <w:rFonts w:eastAsia="Times New Roman" w:cs="Calibri"/>
          <w:lang w:eastAsia="en-AU"/>
        </w:rPr>
        <w:t>with acceptable cost effectiveness and financial implications</w:t>
      </w:r>
      <w:r w:rsidR="00994439">
        <w:rPr>
          <w:rFonts w:eastAsia="Times New Roman" w:cs="Calibri"/>
          <w:lang w:eastAsia="en-AU"/>
        </w:rPr>
        <w:t xml:space="preserve">. </w:t>
      </w:r>
    </w:p>
    <w:p w14:paraId="55357D9C" w14:textId="678CE7B0" w:rsidR="00865C25" w:rsidRDefault="00813A4A" w:rsidP="00865C25">
      <w:pPr>
        <w:pStyle w:val="Heading2"/>
        <w:numPr>
          <w:ilvl w:val="0"/>
          <w:numId w:val="0"/>
        </w:numPr>
      </w:pPr>
      <w:bookmarkStart w:id="5" w:name="_Toc109149585"/>
      <w:bookmarkEnd w:id="3"/>
      <w:r>
        <w:t>4</w:t>
      </w:r>
      <w:r w:rsidR="00865C25">
        <w:t>.</w:t>
      </w:r>
      <w:r w:rsidR="00865C25">
        <w:tab/>
      </w:r>
      <w:r w:rsidR="00865C25" w:rsidRPr="00CE28E3">
        <w:t>Background</w:t>
      </w:r>
      <w:bookmarkEnd w:id="5"/>
    </w:p>
    <w:p w14:paraId="0020B7E5" w14:textId="77777777" w:rsidR="00865C25" w:rsidRDefault="00865C25" w:rsidP="00865C25">
      <w:r>
        <w:t>MSAC has not previously considered any panel testing for NSCLC.</w:t>
      </w:r>
    </w:p>
    <w:p w14:paraId="023B8717" w14:textId="3687984F" w:rsidR="00865C25" w:rsidRDefault="00865C25" w:rsidP="00865C25">
      <w:r>
        <w:t>A similar assessment for a somatic tumour panel test (that was not histology-specific) was initiated in 2018 (MSAC assessment 1495), but was withdrawn prior to being considered by MSAC, as no single somatic tumour panel test could appropriately assess epidermal growth factor receptor (</w:t>
      </w:r>
      <w:r>
        <w:rPr>
          <w:i/>
        </w:rPr>
        <w:t xml:space="preserve">EGFR), </w:t>
      </w:r>
      <w:r w:rsidR="00C925AE">
        <w:t>ALK receptor tyrosine kinase</w:t>
      </w:r>
      <w:r w:rsidR="00F93903">
        <w:t xml:space="preserve"> </w:t>
      </w:r>
      <w:r>
        <w:t>(</w:t>
      </w:r>
      <w:r>
        <w:rPr>
          <w:i/>
        </w:rPr>
        <w:t xml:space="preserve">ALK) </w:t>
      </w:r>
      <w:r>
        <w:t xml:space="preserve">and </w:t>
      </w:r>
      <w:r w:rsidR="00C925AE">
        <w:t>ROS proto-oncogene 1, receptor tyrosine kinase</w:t>
      </w:r>
      <w:r>
        <w:t xml:space="preserve"> (</w:t>
      </w:r>
      <w:r>
        <w:rPr>
          <w:i/>
        </w:rPr>
        <w:t>ROS1)</w:t>
      </w:r>
      <w:r>
        <w:t xml:space="preserve"> variants at the time. In the same year, an application (MSAC assessment 1634) was also made by Roche Diagnostics for MBS listing of a comprehensive gene panel of over 300 genes for use in squamous and non-squamous NSCLC, which was revised in 2020 to focus on non-squamous NSCLC. During the PICO development, the applicant for 1634 nominated the application would proceed as an ADAR for consideration at an MSAC meeting in late 2022. However, in May 2022, the applicant notified the Department that it would be delaying the submission of its ADAR.</w:t>
      </w:r>
    </w:p>
    <w:p w14:paraId="40BA27FE" w14:textId="77777777" w:rsidR="00865C25" w:rsidRDefault="00865C25" w:rsidP="00865C25">
      <w:pPr>
        <w:pStyle w:val="NormalBeforeBullet"/>
      </w:pPr>
      <w:r>
        <w:t xml:space="preserve">MSAC has considered individual single gene tests for biomarker assessment in patients with NSCLC, and in November </w:t>
      </w:r>
      <w:r w:rsidRPr="007654DB">
        <w:t>2017</w:t>
      </w:r>
      <w:r w:rsidRPr="007654DB">
        <w:rPr>
          <w:rStyle w:val="QuoteChar"/>
          <w:color w:val="auto"/>
        </w:rPr>
        <w:t>, “MSAC noted that the sequential testing of EGFR, ALK and ROS1 yield mutually exclusive treatment pathways and that sequential testing wastes tissue sample, time and is more expensive than a single panel of tests. MSAC recommended that the Department conduct a cost-utility review of gene panel and/or next generation sequencing (NGS) test options to inform these first-line therapy options”. “MSAC advised that any MBS funding should be based on a gene panel or NGS test of equivalent or better analytical performance to sequential IHC and FISH testing and assurance that the average gene panel or NGS test is no more costly than the average cost of the sequential testing that it would replace. MSAC noted that overall testing may still require more than one gene panel test due to differences in lung cancer gene aberrations as somatic mutations are tested in genomic DNA, whereas gene fusions (such as ROS1) are usually tested in cDNA [complementary DNA] prepared from RNA.”</w:t>
      </w:r>
      <w:r w:rsidRPr="007654DB">
        <w:rPr>
          <w:lang w:val="en-US"/>
        </w:rPr>
        <w:t xml:space="preserve"> </w:t>
      </w:r>
      <w:r w:rsidRPr="002510F0">
        <w:rPr>
          <w:lang w:val="en-US"/>
        </w:rPr>
        <w:t>(</w:t>
      </w:r>
      <w:hyperlink r:id="rId10" w:history="1">
        <w:r w:rsidRPr="009E07C2">
          <w:rPr>
            <w:rStyle w:val="Hyperlink"/>
            <w:lang w:val="en-US"/>
          </w:rPr>
          <w:t>Public Summary Document, ADAR 1454</w:t>
        </w:r>
      </w:hyperlink>
      <w:r>
        <w:rPr>
          <w:lang w:val="en-US"/>
        </w:rPr>
        <w:t xml:space="preserve">, </w:t>
      </w:r>
      <w:r w:rsidRPr="002510F0">
        <w:rPr>
          <w:lang w:val="en-US"/>
        </w:rPr>
        <w:t>November 2017, p3).</w:t>
      </w:r>
    </w:p>
    <w:p w14:paraId="680F22A7" w14:textId="27B142AD" w:rsidR="00932117" w:rsidRPr="00932117" w:rsidRDefault="00865C25" w:rsidP="00932117">
      <w:r>
        <w:t xml:space="preserve">A summary of how this DCAR has addressed the suggestions by MSAC is shown in </w:t>
      </w:r>
      <w:r>
        <w:fldChar w:fldCharType="begin"/>
      </w:r>
      <w:r>
        <w:instrText xml:space="preserve"> REF _Ref69480768 \h </w:instrText>
      </w:r>
      <w:r>
        <w:fldChar w:fldCharType="separate"/>
      </w:r>
      <w:r w:rsidRPr="00CE28E3">
        <w:t>Table</w:t>
      </w:r>
      <w:r>
        <w:t> </w:t>
      </w:r>
      <w:r>
        <w:rPr>
          <w:noProof/>
        </w:rPr>
        <w:t>1</w:t>
      </w:r>
      <w:r>
        <w:fldChar w:fldCharType="end"/>
      </w:r>
      <w:r>
        <w:t>.</w:t>
      </w:r>
      <w:bookmarkStart w:id="6" w:name="_Ref69480768"/>
      <w:bookmarkStart w:id="7" w:name="_Hlk69734557"/>
      <w:r w:rsidR="00932117">
        <w:br w:type="page"/>
      </w:r>
    </w:p>
    <w:p w14:paraId="63AFCA2B" w14:textId="0C926A92" w:rsidR="00865C25" w:rsidRPr="00CE28E3" w:rsidRDefault="00865C25" w:rsidP="00865C25">
      <w:pPr>
        <w:pStyle w:val="Caption"/>
      </w:pPr>
      <w:r w:rsidRPr="00CE28E3">
        <w:lastRenderedPageBreak/>
        <w:t>Table</w:t>
      </w:r>
      <w:r>
        <w:t> </w:t>
      </w:r>
      <w:r w:rsidR="007F7A58">
        <w:fldChar w:fldCharType="begin"/>
      </w:r>
      <w:r w:rsidR="007F7A58">
        <w:instrText xml:space="preserve"> SEQ Table \* ARABIC </w:instrText>
      </w:r>
      <w:r w:rsidR="007F7A58">
        <w:fldChar w:fldCharType="separate"/>
      </w:r>
      <w:r>
        <w:rPr>
          <w:noProof/>
        </w:rPr>
        <w:t>1</w:t>
      </w:r>
      <w:r w:rsidR="007F7A58">
        <w:rPr>
          <w:noProof/>
        </w:rPr>
        <w:fldChar w:fldCharType="end"/>
      </w:r>
      <w:bookmarkEnd w:id="6"/>
      <w:r w:rsidRPr="00CE28E3">
        <w:tab/>
        <w:t>Summary of key matters of concern</w:t>
      </w:r>
      <w:r>
        <w:t xml:space="preserve"> from MSAC 1454 PSD, November 2017, p3</w:t>
      </w:r>
    </w:p>
    <w:tbl>
      <w:tblPr>
        <w:tblStyle w:val="TableGrid1"/>
        <w:tblW w:w="5000" w:type="pct"/>
        <w:tblLook w:val="04A0" w:firstRow="1" w:lastRow="0" w:firstColumn="1" w:lastColumn="0" w:noHBand="0" w:noVBand="1"/>
        <w:tblCaption w:val="Summary of key matters of concern from MSAC 1454 PSD"/>
        <w:tblDescription w:val="A summary of the issues that MSAC raised in the Public Summary Document for MSAC 1454, and how they are addressed in the DCAR"/>
      </w:tblPr>
      <w:tblGrid>
        <w:gridCol w:w="1414"/>
        <w:gridCol w:w="3969"/>
        <w:gridCol w:w="3633"/>
      </w:tblGrid>
      <w:tr w:rsidR="00865C25" w:rsidRPr="00CE28E3" w14:paraId="330E1973" w14:textId="77777777" w:rsidTr="001A6611">
        <w:trPr>
          <w:cnfStyle w:val="100000000000" w:firstRow="1" w:lastRow="0" w:firstColumn="0" w:lastColumn="0" w:oddVBand="0" w:evenVBand="0" w:oddHBand="0" w:evenHBand="0" w:firstRowFirstColumn="0" w:firstRowLastColumn="0" w:lastRowFirstColumn="0" w:lastRowLastColumn="0"/>
          <w:cantSplit/>
          <w:tblHeader/>
        </w:trPr>
        <w:tc>
          <w:tcPr>
            <w:tcW w:w="784" w:type="pct"/>
            <w:shd w:val="clear" w:color="auto" w:fill="auto"/>
          </w:tcPr>
          <w:p w14:paraId="69EBB15B" w14:textId="77777777" w:rsidR="00865C25" w:rsidRPr="00CE28E3" w:rsidRDefault="00865C25" w:rsidP="001A6611">
            <w:pPr>
              <w:pStyle w:val="In-tableHeading"/>
            </w:pPr>
            <w:bookmarkStart w:id="8" w:name="ColumnTitle_Table1"/>
            <w:bookmarkStart w:id="9" w:name="_Hlk68275590"/>
            <w:bookmarkEnd w:id="8"/>
            <w:r w:rsidRPr="00CE28E3">
              <w:t>Component</w:t>
            </w:r>
          </w:p>
        </w:tc>
        <w:tc>
          <w:tcPr>
            <w:tcW w:w="2201" w:type="pct"/>
            <w:shd w:val="clear" w:color="auto" w:fill="auto"/>
          </w:tcPr>
          <w:p w14:paraId="11FFD2D1" w14:textId="77777777" w:rsidR="00865C25" w:rsidRPr="00CE28E3" w:rsidRDefault="00865C25" w:rsidP="001A6611">
            <w:pPr>
              <w:pStyle w:val="In-tableHeading"/>
            </w:pPr>
            <w:r w:rsidRPr="00CE28E3">
              <w:t>Matter of concern</w:t>
            </w:r>
          </w:p>
        </w:tc>
        <w:tc>
          <w:tcPr>
            <w:tcW w:w="2015" w:type="pct"/>
            <w:shd w:val="clear" w:color="auto" w:fill="auto"/>
          </w:tcPr>
          <w:p w14:paraId="1E475ED7" w14:textId="77777777" w:rsidR="00865C25" w:rsidRPr="00CE28E3" w:rsidRDefault="00865C25" w:rsidP="001A6611">
            <w:pPr>
              <w:pStyle w:val="In-tableHeading"/>
            </w:pPr>
            <w:r w:rsidRPr="00CE28E3">
              <w:t>How the current assessment report addresses it</w:t>
            </w:r>
          </w:p>
        </w:tc>
      </w:tr>
      <w:tr w:rsidR="00865C25" w:rsidRPr="00CE28E3" w14:paraId="7083191F" w14:textId="77777777" w:rsidTr="001A6611">
        <w:trPr>
          <w:cantSplit/>
        </w:trPr>
        <w:tc>
          <w:tcPr>
            <w:tcW w:w="784" w:type="pct"/>
          </w:tcPr>
          <w:p w14:paraId="3EF32539" w14:textId="77777777" w:rsidR="00865C25" w:rsidRPr="00CE28E3" w:rsidRDefault="00865C25" w:rsidP="001A6611">
            <w:pPr>
              <w:pStyle w:val="TableText"/>
            </w:pPr>
            <w:r>
              <w:rPr>
                <w:lang w:val="en-US"/>
              </w:rPr>
              <w:t>Overarching DCAR</w:t>
            </w:r>
          </w:p>
        </w:tc>
        <w:tc>
          <w:tcPr>
            <w:tcW w:w="2201" w:type="pct"/>
          </w:tcPr>
          <w:p w14:paraId="10E7CA63" w14:textId="77777777" w:rsidR="00865C25" w:rsidRPr="00CE28E3" w:rsidRDefault="00865C25" w:rsidP="001A6611">
            <w:pPr>
              <w:pStyle w:val="TableText"/>
            </w:pPr>
            <w:r w:rsidRPr="007209B2">
              <w:rPr>
                <w:lang w:val="en-US"/>
              </w:rPr>
              <w:t xml:space="preserve">MSAC recommended that the Department conduct a cost-utility review of gene panel </w:t>
            </w:r>
            <w:r>
              <w:rPr>
                <w:lang w:val="en-US"/>
              </w:rPr>
              <w:t xml:space="preserve">and/or next generation sequencing (NGS) </w:t>
            </w:r>
            <w:r w:rsidRPr="007209B2">
              <w:rPr>
                <w:lang w:val="en-US"/>
              </w:rPr>
              <w:t>test</w:t>
            </w:r>
            <w:r>
              <w:rPr>
                <w:lang w:val="en-US"/>
              </w:rPr>
              <w:t xml:space="preserve"> options to inform these first-line therapy option.</w:t>
            </w:r>
          </w:p>
        </w:tc>
        <w:tc>
          <w:tcPr>
            <w:tcW w:w="2015" w:type="pct"/>
            <w:vAlign w:val="center"/>
          </w:tcPr>
          <w:p w14:paraId="274BE0CD" w14:textId="77777777" w:rsidR="00865C25" w:rsidRDefault="00865C25" w:rsidP="001A6611">
            <w:pPr>
              <w:pStyle w:val="TableText"/>
            </w:pPr>
            <w:r>
              <w:t>Addressed.</w:t>
            </w:r>
          </w:p>
          <w:p w14:paraId="24FBF217" w14:textId="77777777" w:rsidR="00865C25" w:rsidRPr="00CE28E3" w:rsidRDefault="00865C25" w:rsidP="001A6611">
            <w:pPr>
              <w:pStyle w:val="TableText"/>
            </w:pPr>
            <w:r>
              <w:t>Current DCAR assessing small NGS panel.</w:t>
            </w:r>
          </w:p>
        </w:tc>
      </w:tr>
      <w:tr w:rsidR="00865C25" w:rsidRPr="00CE28E3" w14:paraId="247F7BE5" w14:textId="77777777" w:rsidTr="001A6611">
        <w:trPr>
          <w:cantSplit/>
        </w:trPr>
        <w:tc>
          <w:tcPr>
            <w:tcW w:w="784" w:type="pct"/>
          </w:tcPr>
          <w:p w14:paraId="7067A003" w14:textId="77777777" w:rsidR="00865C25" w:rsidRPr="00CE28E3" w:rsidRDefault="00865C25" w:rsidP="001A6611">
            <w:pPr>
              <w:pStyle w:val="TableText"/>
            </w:pPr>
            <w:r>
              <w:rPr>
                <w:lang w:val="en-US"/>
              </w:rPr>
              <w:t>Intervention</w:t>
            </w:r>
          </w:p>
        </w:tc>
        <w:tc>
          <w:tcPr>
            <w:tcW w:w="2201" w:type="pct"/>
          </w:tcPr>
          <w:p w14:paraId="527286B4" w14:textId="77777777" w:rsidR="00865C25" w:rsidRPr="00CE28E3" w:rsidRDefault="00865C25" w:rsidP="001A6611">
            <w:pPr>
              <w:pStyle w:val="TableText"/>
              <w:rPr>
                <w:rFonts w:cs="Arial"/>
                <w:snapToGrid w:val="0"/>
              </w:rPr>
            </w:pPr>
            <w:r w:rsidRPr="002510F0">
              <w:rPr>
                <w:lang w:val="en-US"/>
              </w:rPr>
              <w:t xml:space="preserve">MSAC noted that overall testing may still require more than one gene panel test due to differences in lung cancer gene aberrations as somatic mutations are tested in genomic DNA, whereas gene fusions (such as </w:t>
            </w:r>
            <w:r w:rsidRPr="002510F0">
              <w:rPr>
                <w:i/>
                <w:lang w:val="en-US"/>
              </w:rPr>
              <w:t>ROS1</w:t>
            </w:r>
            <w:r w:rsidRPr="002510F0">
              <w:rPr>
                <w:lang w:val="en-US"/>
              </w:rPr>
              <w:t>) are usually tested in c</w:t>
            </w:r>
            <w:r>
              <w:rPr>
                <w:lang w:val="en-US"/>
              </w:rPr>
              <w:t xml:space="preserve">omplementary </w:t>
            </w:r>
            <w:r w:rsidRPr="002510F0">
              <w:rPr>
                <w:lang w:val="en-US"/>
              </w:rPr>
              <w:t>DNA prepared from RNA.</w:t>
            </w:r>
          </w:p>
        </w:tc>
        <w:tc>
          <w:tcPr>
            <w:tcW w:w="2015" w:type="pct"/>
            <w:vAlign w:val="center"/>
          </w:tcPr>
          <w:p w14:paraId="0EA68BB9" w14:textId="77777777" w:rsidR="00865C25" w:rsidRDefault="00865C25" w:rsidP="001A6611">
            <w:pPr>
              <w:pStyle w:val="TableText"/>
            </w:pPr>
            <w:r>
              <w:t>Addressed.</w:t>
            </w:r>
          </w:p>
          <w:p w14:paraId="264AF400" w14:textId="77777777" w:rsidR="00865C25" w:rsidRPr="00CE28E3" w:rsidRDefault="00865C25" w:rsidP="001A6611">
            <w:pPr>
              <w:pStyle w:val="TableText"/>
              <w:rPr>
                <w:rFonts w:cs="Arial"/>
                <w:bCs/>
                <w:snapToGrid w:val="0"/>
              </w:rPr>
            </w:pPr>
            <w:r>
              <w:t>Intervention proposed as both DNA and RNA testing, or sequential DNA then RNA testing.</w:t>
            </w:r>
          </w:p>
        </w:tc>
      </w:tr>
      <w:tr w:rsidR="00865C25" w:rsidRPr="00CE28E3" w14:paraId="0C8C98FC" w14:textId="77777777" w:rsidTr="001A6611">
        <w:trPr>
          <w:cantSplit/>
        </w:trPr>
        <w:tc>
          <w:tcPr>
            <w:tcW w:w="784" w:type="pct"/>
          </w:tcPr>
          <w:p w14:paraId="49C0B624" w14:textId="77777777" w:rsidR="00865C25" w:rsidRPr="00CE28E3" w:rsidRDefault="00865C25" w:rsidP="001A6611">
            <w:pPr>
              <w:pStyle w:val="TableText"/>
            </w:pPr>
            <w:r w:rsidRPr="008D356D">
              <w:rPr>
                <w:lang w:val="en-US"/>
              </w:rPr>
              <w:t>Test performance</w:t>
            </w:r>
          </w:p>
        </w:tc>
        <w:tc>
          <w:tcPr>
            <w:tcW w:w="2201" w:type="pct"/>
          </w:tcPr>
          <w:p w14:paraId="01185488" w14:textId="77777777" w:rsidR="00865C25" w:rsidRPr="00CE28E3" w:rsidRDefault="00865C25" w:rsidP="001A6611">
            <w:pPr>
              <w:pStyle w:val="TableText"/>
            </w:pPr>
            <w:r>
              <w:rPr>
                <w:lang w:val="en-US"/>
              </w:rPr>
              <w:t xml:space="preserve">Any MBS funding should be based on </w:t>
            </w:r>
            <w:r w:rsidRPr="007209B2">
              <w:rPr>
                <w:lang w:val="en-US"/>
              </w:rPr>
              <w:t xml:space="preserve">a </w:t>
            </w:r>
            <w:r>
              <w:rPr>
                <w:lang w:val="en-US"/>
              </w:rPr>
              <w:t xml:space="preserve">gene </w:t>
            </w:r>
            <w:r w:rsidRPr="007209B2">
              <w:rPr>
                <w:lang w:val="en-US"/>
              </w:rPr>
              <w:t xml:space="preserve">panel </w:t>
            </w:r>
            <w:r>
              <w:rPr>
                <w:lang w:val="en-US"/>
              </w:rPr>
              <w:t xml:space="preserve">or NGS </w:t>
            </w:r>
            <w:r w:rsidRPr="007209B2">
              <w:rPr>
                <w:lang w:val="en-US"/>
              </w:rPr>
              <w:t xml:space="preserve">test of equivalent or better </w:t>
            </w:r>
            <w:r>
              <w:rPr>
                <w:lang w:val="en-US"/>
              </w:rPr>
              <w:t xml:space="preserve">analytical </w:t>
            </w:r>
            <w:r w:rsidRPr="007209B2">
              <w:rPr>
                <w:lang w:val="en-US"/>
              </w:rPr>
              <w:t>performance to sequential IHC and FISH testing</w:t>
            </w:r>
            <w:r>
              <w:rPr>
                <w:lang w:val="en-US"/>
              </w:rPr>
              <w:t>.</w:t>
            </w:r>
          </w:p>
        </w:tc>
        <w:tc>
          <w:tcPr>
            <w:tcW w:w="2015" w:type="pct"/>
            <w:vAlign w:val="center"/>
          </w:tcPr>
          <w:p w14:paraId="1D6F8388" w14:textId="77777777" w:rsidR="00865C25" w:rsidRDefault="00865C25" w:rsidP="001A6611">
            <w:pPr>
              <w:pStyle w:val="TableText"/>
            </w:pPr>
            <w:r>
              <w:t>Addressed.</w:t>
            </w:r>
          </w:p>
          <w:p w14:paraId="5A15ACA2" w14:textId="77777777" w:rsidR="00865C25" w:rsidRPr="00CE28E3" w:rsidRDefault="00865C25" w:rsidP="001A6611">
            <w:pPr>
              <w:pStyle w:val="TableText"/>
              <w:rPr>
                <w:rFonts w:cs="Arial"/>
                <w:bCs/>
                <w:snapToGrid w:val="0"/>
              </w:rPr>
            </w:pPr>
            <w:r>
              <w:t>NGS has superior or equivalent analytical performance compared to single-gene assays or IHC and FISH testing.</w:t>
            </w:r>
          </w:p>
        </w:tc>
      </w:tr>
      <w:tr w:rsidR="00865C25" w:rsidRPr="00CE28E3" w14:paraId="6F0BA555" w14:textId="77777777" w:rsidTr="001A6611">
        <w:trPr>
          <w:cantSplit/>
        </w:trPr>
        <w:tc>
          <w:tcPr>
            <w:tcW w:w="784" w:type="pct"/>
          </w:tcPr>
          <w:p w14:paraId="08D5BA57" w14:textId="77777777" w:rsidR="00865C25" w:rsidRPr="008D356D" w:rsidRDefault="00865C25" w:rsidP="001A6611">
            <w:pPr>
              <w:pStyle w:val="TableText"/>
              <w:rPr>
                <w:lang w:val="en-US"/>
              </w:rPr>
            </w:pPr>
            <w:r>
              <w:rPr>
                <w:lang w:val="en-US"/>
              </w:rPr>
              <w:t>Cost-</w:t>
            </w:r>
            <w:proofErr w:type="spellStart"/>
            <w:r>
              <w:rPr>
                <w:lang w:val="en-US"/>
              </w:rPr>
              <w:t>minimisation</w:t>
            </w:r>
            <w:proofErr w:type="spellEnd"/>
          </w:p>
        </w:tc>
        <w:tc>
          <w:tcPr>
            <w:tcW w:w="2201" w:type="pct"/>
          </w:tcPr>
          <w:p w14:paraId="0A5A5754" w14:textId="77777777" w:rsidR="00865C25" w:rsidRDefault="00865C25" w:rsidP="001A6611">
            <w:pPr>
              <w:pStyle w:val="TableText"/>
              <w:rPr>
                <w:lang w:val="en-US"/>
              </w:rPr>
            </w:pPr>
            <w:r>
              <w:rPr>
                <w:lang w:val="en-US"/>
              </w:rPr>
              <w:t>T</w:t>
            </w:r>
            <w:r w:rsidRPr="007209B2">
              <w:rPr>
                <w:lang w:val="en-US"/>
              </w:rPr>
              <w:t xml:space="preserve">he average </w:t>
            </w:r>
            <w:r>
              <w:rPr>
                <w:lang w:val="en-US"/>
              </w:rPr>
              <w:t xml:space="preserve">gene </w:t>
            </w:r>
            <w:r w:rsidRPr="007209B2">
              <w:rPr>
                <w:lang w:val="en-US"/>
              </w:rPr>
              <w:t xml:space="preserve">panel </w:t>
            </w:r>
            <w:r>
              <w:rPr>
                <w:lang w:val="en-US"/>
              </w:rPr>
              <w:t xml:space="preserve">or NGS </w:t>
            </w:r>
            <w:r w:rsidRPr="002510F0">
              <w:rPr>
                <w:lang w:val="en-US"/>
              </w:rPr>
              <w:t>test is no more costly than the average cost of the sequential testing that it would replace</w:t>
            </w:r>
            <w:r>
              <w:rPr>
                <w:lang w:val="en-US"/>
              </w:rPr>
              <w:t>.</w:t>
            </w:r>
          </w:p>
        </w:tc>
        <w:tc>
          <w:tcPr>
            <w:tcW w:w="2015" w:type="pct"/>
            <w:vAlign w:val="center"/>
          </w:tcPr>
          <w:p w14:paraId="46D4DC13" w14:textId="77777777" w:rsidR="00865C25" w:rsidRDefault="00865C25" w:rsidP="001A6611">
            <w:pPr>
              <w:pStyle w:val="TableText"/>
            </w:pPr>
            <w:r>
              <w:t>At the proposed items fees, small gene panel testing is associated with additional costs. This may be reasonable if the claim of superior effectiveness is accepted.</w:t>
            </w:r>
          </w:p>
        </w:tc>
      </w:tr>
    </w:tbl>
    <w:bookmarkEnd w:id="7"/>
    <w:bookmarkEnd w:id="9"/>
    <w:p w14:paraId="2CD2A551" w14:textId="48BF37F7" w:rsidR="00865C25" w:rsidRPr="006D7211" w:rsidRDefault="00865C25" w:rsidP="00865C25">
      <w:pPr>
        <w:pStyle w:val="TableFigureFooter"/>
        <w:spacing w:after="120"/>
      </w:pPr>
      <w:r>
        <w:t xml:space="preserve">DCAR = Department Contracted Assessment Report; </w:t>
      </w:r>
      <w:r w:rsidRPr="002412BE">
        <w:t xml:space="preserve">DNA = deoxyribonucleic acid; FISH = fluorescence </w:t>
      </w:r>
      <w:r w:rsidRPr="00956452">
        <w:rPr>
          <w:i/>
        </w:rPr>
        <w:t>in situ</w:t>
      </w:r>
      <w:r w:rsidRPr="002412BE">
        <w:t xml:space="preserve"> hybridisation; IHC = immunohistochemistry;</w:t>
      </w:r>
      <w:r>
        <w:t xml:space="preserve"> MBS = Medicare Benefits Schedule; </w:t>
      </w:r>
      <w:r w:rsidRPr="006D7211">
        <w:t xml:space="preserve">MSAC = Medical Services Advisory Committee; </w:t>
      </w:r>
      <w:r>
        <w:t xml:space="preserve">NGS = next generation sequencing; </w:t>
      </w:r>
      <w:r w:rsidRPr="006D7211">
        <w:t>PSD = Public Summary Document</w:t>
      </w:r>
      <w:r>
        <w:t xml:space="preserve">; </w:t>
      </w:r>
      <w:r w:rsidRPr="00380685">
        <w:rPr>
          <w:i/>
        </w:rPr>
        <w:t>ROS1</w:t>
      </w:r>
      <w:r>
        <w:t xml:space="preserve"> = </w:t>
      </w:r>
      <w:r w:rsidR="00C925AE">
        <w:t>ROS proto-oncogene 1, receptor tyrosine kinase</w:t>
      </w:r>
      <w:r>
        <w:t>; RNA = ribonucleic acid.</w:t>
      </w:r>
    </w:p>
    <w:p w14:paraId="281CDC95" w14:textId="7B8D8F9D" w:rsidR="00865C25" w:rsidRPr="00CE28E3" w:rsidRDefault="00813A4A" w:rsidP="00865C25">
      <w:pPr>
        <w:pStyle w:val="Heading2"/>
        <w:numPr>
          <w:ilvl w:val="0"/>
          <w:numId w:val="0"/>
        </w:numPr>
      </w:pPr>
      <w:bookmarkStart w:id="10" w:name="_Toc109149586"/>
      <w:r>
        <w:t>5</w:t>
      </w:r>
      <w:r w:rsidR="00865C25">
        <w:t>.</w:t>
      </w:r>
      <w:r w:rsidR="00865C25">
        <w:tab/>
      </w:r>
      <w:r w:rsidR="00865C25" w:rsidRPr="00CE28E3">
        <w:t>Prerequisites to implementation of any funding advice</w:t>
      </w:r>
      <w:bookmarkEnd w:id="10"/>
    </w:p>
    <w:p w14:paraId="764716E5" w14:textId="77777777" w:rsidR="00865C25" w:rsidRDefault="00865C25" w:rsidP="00865C25">
      <w:pPr>
        <w:pStyle w:val="Instructionaltext"/>
        <w:rPr>
          <w:color w:val="auto"/>
        </w:rPr>
      </w:pPr>
      <w:r w:rsidRPr="002F0F80">
        <w:rPr>
          <w:color w:val="auto"/>
        </w:rPr>
        <w:t>Small DNA/RNA or DNA and RNA NGS panel testing would occur in a National Association of Testing Authorities (NATA)</w:t>
      </w:r>
      <w:r>
        <w:rPr>
          <w:color w:val="auto"/>
        </w:rPr>
        <w:t xml:space="preserve"> </w:t>
      </w:r>
      <w:r w:rsidRPr="002F0F80">
        <w:rPr>
          <w:color w:val="auto"/>
        </w:rPr>
        <w:t>accredited laboratory in accordance with National Pathology Accreditation Advisory Council (NPAAC) guidelines</w:t>
      </w:r>
      <w:r>
        <w:rPr>
          <w:color w:val="auto"/>
        </w:rPr>
        <w:t>:</w:t>
      </w:r>
      <w:r w:rsidRPr="002F0F80">
        <w:rPr>
          <w:color w:val="auto"/>
        </w:rPr>
        <w:t xml:space="preserve"> </w:t>
      </w:r>
      <w:r>
        <w:rPr>
          <w:color w:val="auto"/>
        </w:rPr>
        <w:t>‘</w:t>
      </w:r>
      <w:hyperlink r:id="rId11" w:history="1">
        <w:r w:rsidRPr="002F0F80">
          <w:rPr>
            <w:rStyle w:val="Hyperlink"/>
          </w:rPr>
          <w:t>Requirements for human medical genome testing utilising massively parallel sequencing technologies</w:t>
        </w:r>
      </w:hyperlink>
      <w:r>
        <w:rPr>
          <w:rStyle w:val="Hyperlink"/>
        </w:rPr>
        <w:t xml:space="preserve"> (First Edition 2017)</w:t>
      </w:r>
      <w:r>
        <w:rPr>
          <w:color w:val="auto"/>
        </w:rPr>
        <w:t>’</w:t>
      </w:r>
      <w:r w:rsidRPr="002F0F80">
        <w:rPr>
          <w:color w:val="auto"/>
        </w:rPr>
        <w:t>.</w:t>
      </w:r>
    </w:p>
    <w:p w14:paraId="20463612" w14:textId="77777777" w:rsidR="00865C25" w:rsidRDefault="00865C25" w:rsidP="00865C25">
      <w:pPr>
        <w:pStyle w:val="Instructionaltext"/>
        <w:rPr>
          <w:color w:val="auto"/>
        </w:rPr>
      </w:pPr>
      <w:r>
        <w:rPr>
          <w:color w:val="auto"/>
        </w:rPr>
        <w:t xml:space="preserve">Currently, there are no NGS assays approved by the Therapeutic Goods Administration (TGA) for the purposes of detecting biomarkers for targeted treatment of patients with NSCLC. There are several NGS assays available in Australia for ‘Research Use Only’ (RUO), and local laboratories will be able to purchase RUO products and develop an </w:t>
      </w:r>
      <w:r w:rsidRPr="00852BFE">
        <w:rPr>
          <w:i/>
          <w:iCs/>
          <w:color w:val="auto"/>
        </w:rPr>
        <w:t>in vitro</w:t>
      </w:r>
      <w:r>
        <w:rPr>
          <w:color w:val="auto"/>
        </w:rPr>
        <w:t xml:space="preserve"> test medical device approved by the National Association of Testing Authorities (NATA) as per the framework in ‘</w:t>
      </w:r>
      <w:hyperlink r:id="rId12" w:history="1">
        <w:r w:rsidRPr="00EF20C8">
          <w:rPr>
            <w:rStyle w:val="Hyperlink"/>
          </w:rPr>
          <w:t xml:space="preserve">Requirements for the development and use of in-house </w:t>
        </w:r>
        <w:r w:rsidRPr="00852BFE">
          <w:rPr>
            <w:rStyle w:val="Hyperlink"/>
            <w:i/>
            <w:iCs/>
          </w:rPr>
          <w:t>in vitro</w:t>
        </w:r>
        <w:r w:rsidRPr="00EF20C8">
          <w:rPr>
            <w:rStyle w:val="Hyperlink"/>
          </w:rPr>
          <w:t xml:space="preserve"> diagnostic medical devices (IVDs) (Fourth Edition 2018)</w:t>
        </w:r>
      </w:hyperlink>
      <w:r>
        <w:rPr>
          <w:color w:val="auto"/>
        </w:rPr>
        <w:t>’.</w:t>
      </w:r>
    </w:p>
    <w:p w14:paraId="40951327" w14:textId="5BE5BE93" w:rsidR="00865C25" w:rsidRPr="00BD3606" w:rsidRDefault="00865C25" w:rsidP="00865C25">
      <w:pPr>
        <w:spacing w:after="240"/>
        <w:rPr>
          <w:rFonts w:cs="Arial"/>
        </w:rPr>
      </w:pPr>
      <w:r>
        <w:rPr>
          <w:rFonts w:cs="Arial"/>
        </w:rPr>
        <w:t xml:space="preserve">Currently, the PBS restrictions for most of the drugs targeting </w:t>
      </w:r>
      <w:r w:rsidRPr="00F57034">
        <w:rPr>
          <w:rFonts w:cs="Arial"/>
          <w:i/>
        </w:rPr>
        <w:t>ALK</w:t>
      </w:r>
      <w:r>
        <w:rPr>
          <w:rFonts w:cs="Arial"/>
        </w:rPr>
        <w:t xml:space="preserve"> or </w:t>
      </w:r>
      <w:r w:rsidRPr="00F57034">
        <w:rPr>
          <w:rFonts w:cs="Arial"/>
          <w:i/>
        </w:rPr>
        <w:t>ROS1</w:t>
      </w:r>
      <w:r>
        <w:rPr>
          <w:rFonts w:cs="Arial"/>
        </w:rPr>
        <w:t xml:space="preserve"> gene rearrangements (all except </w:t>
      </w:r>
      <w:proofErr w:type="gramStart"/>
      <w:r>
        <w:rPr>
          <w:rFonts w:cs="Arial"/>
        </w:rPr>
        <w:t>second-line</w:t>
      </w:r>
      <w:proofErr w:type="gramEnd"/>
      <w:r>
        <w:rPr>
          <w:rFonts w:cs="Arial"/>
        </w:rPr>
        <w:t xml:space="preserve"> </w:t>
      </w:r>
      <w:proofErr w:type="spellStart"/>
      <w:r>
        <w:rPr>
          <w:rFonts w:cs="Arial"/>
        </w:rPr>
        <w:t>lorlatinib</w:t>
      </w:r>
      <w:proofErr w:type="spellEnd"/>
      <w:r>
        <w:rPr>
          <w:rFonts w:cs="Arial"/>
        </w:rPr>
        <w:t xml:space="preserve">) specify the method of determining the variants and the threshold separating a positive result from a negative result (i.e., patients must have evidence of an </w:t>
      </w:r>
      <w:r w:rsidRPr="00F57034">
        <w:rPr>
          <w:rFonts w:cs="Arial"/>
          <w:i/>
        </w:rPr>
        <w:t>ALK</w:t>
      </w:r>
      <w:r>
        <w:rPr>
          <w:rFonts w:cs="Arial"/>
        </w:rPr>
        <w:t xml:space="preserve"> gene rearrangement or </w:t>
      </w:r>
      <w:r w:rsidRPr="00F57034">
        <w:rPr>
          <w:rFonts w:cs="Arial"/>
          <w:i/>
        </w:rPr>
        <w:t>ROS1</w:t>
      </w:r>
      <w:r>
        <w:rPr>
          <w:rFonts w:cs="Arial"/>
        </w:rPr>
        <w:t xml:space="preserve"> gene rearrangement in tumour material, defined as 15% (or greater) positive cells by fluorescence </w:t>
      </w:r>
      <w:r w:rsidRPr="004D0CBD">
        <w:rPr>
          <w:rFonts w:cs="Arial"/>
          <w:i/>
        </w:rPr>
        <w:t>in situ</w:t>
      </w:r>
      <w:r>
        <w:rPr>
          <w:rFonts w:cs="Arial"/>
        </w:rPr>
        <w:t xml:space="preserve"> hybridisation (FISH) testing). If the proposed items for small DNA ± RNA NGS panels are listed on the MBS, coordinated amendments to the restrictions listed on the PBS would be required to allow for biomarkers to be detected using either FISH (with the current restriction to ≥15% of positive cells) </w:t>
      </w:r>
      <w:r w:rsidRPr="00956452">
        <w:rPr>
          <w:rFonts w:cs="Arial"/>
          <w:i/>
        </w:rPr>
        <w:t xml:space="preserve">or </w:t>
      </w:r>
      <w:r w:rsidRPr="00121596">
        <w:rPr>
          <w:rFonts w:cs="Arial"/>
          <w:iCs/>
        </w:rPr>
        <w:t>NGS</w:t>
      </w:r>
      <w:r>
        <w:rPr>
          <w:rFonts w:cs="Arial"/>
        </w:rPr>
        <w:t xml:space="preserve"> (without the same threshold) in the criteria for </w:t>
      </w:r>
      <w:proofErr w:type="spellStart"/>
      <w:r>
        <w:rPr>
          <w:rFonts w:cs="Arial"/>
        </w:rPr>
        <w:t>crizotinib</w:t>
      </w:r>
      <w:proofErr w:type="spellEnd"/>
      <w:r>
        <w:rPr>
          <w:rFonts w:cs="Arial"/>
        </w:rPr>
        <w:t xml:space="preserve">, </w:t>
      </w:r>
      <w:proofErr w:type="spellStart"/>
      <w:r>
        <w:rPr>
          <w:rFonts w:cs="Arial"/>
        </w:rPr>
        <w:t>ceritinib</w:t>
      </w:r>
      <w:proofErr w:type="spellEnd"/>
      <w:r>
        <w:rPr>
          <w:rFonts w:cs="Arial"/>
        </w:rPr>
        <w:t xml:space="preserve">, </w:t>
      </w:r>
      <w:proofErr w:type="spellStart"/>
      <w:r>
        <w:rPr>
          <w:rFonts w:cs="Arial"/>
        </w:rPr>
        <w:t>alectinib</w:t>
      </w:r>
      <w:proofErr w:type="spellEnd"/>
      <w:r>
        <w:rPr>
          <w:rFonts w:cs="Arial"/>
        </w:rPr>
        <w:t xml:space="preserve">, and </w:t>
      </w:r>
      <w:proofErr w:type="spellStart"/>
      <w:r>
        <w:rPr>
          <w:rFonts w:cs="Arial"/>
        </w:rPr>
        <w:t>entrectinib</w:t>
      </w:r>
      <w:proofErr w:type="spellEnd"/>
      <w:r>
        <w:rPr>
          <w:rFonts w:cs="Arial"/>
        </w:rPr>
        <w:t xml:space="preserve">. </w:t>
      </w:r>
    </w:p>
    <w:p w14:paraId="320C8501" w14:textId="16152AD4" w:rsidR="00865C25" w:rsidRPr="00CE28E3" w:rsidRDefault="00813A4A" w:rsidP="00865C25">
      <w:pPr>
        <w:pStyle w:val="Heading2"/>
        <w:numPr>
          <w:ilvl w:val="0"/>
          <w:numId w:val="0"/>
        </w:numPr>
      </w:pPr>
      <w:bookmarkStart w:id="11" w:name="_Toc109149587"/>
      <w:r>
        <w:lastRenderedPageBreak/>
        <w:t>6</w:t>
      </w:r>
      <w:r w:rsidR="00865C25">
        <w:t>.</w:t>
      </w:r>
      <w:r w:rsidR="00865C25">
        <w:tab/>
      </w:r>
      <w:r w:rsidR="00865C25" w:rsidRPr="00CE28E3">
        <w:t>Proposal for public funding</w:t>
      </w:r>
      <w:bookmarkEnd w:id="11"/>
    </w:p>
    <w:p w14:paraId="255735EE" w14:textId="77777777" w:rsidR="00865C25" w:rsidRDefault="00865C25" w:rsidP="00865C25">
      <w:pPr>
        <w:pStyle w:val="NormalBeforeBullet"/>
      </w:pPr>
      <w:r>
        <w:t xml:space="preserve">The proposal is for up to three new MBS items to be listed: one for a nucleic acid-based test of both DNA and RNA for simultaneous testing, and two additional items for separate DNA and RNA testing (as not many laboratories currently have the capacity to perform simultaneous testing). Consistent with current items for </w:t>
      </w:r>
      <w:r>
        <w:rPr>
          <w:i/>
        </w:rPr>
        <w:t>EGFR</w:t>
      </w:r>
      <w:r>
        <w:t xml:space="preserve"> testing, IHC testing for ALK and ROS1, and FISH testing for </w:t>
      </w:r>
      <w:r>
        <w:rPr>
          <w:i/>
        </w:rPr>
        <w:t xml:space="preserve">ALK </w:t>
      </w:r>
      <w:r>
        <w:t xml:space="preserve">and </w:t>
      </w:r>
      <w:r>
        <w:rPr>
          <w:i/>
        </w:rPr>
        <w:t>ROS1</w:t>
      </w:r>
      <w:r>
        <w:t xml:space="preserve">, the items are proposed to be </w:t>
      </w:r>
      <w:proofErr w:type="gramStart"/>
      <w:r>
        <w:t>pathologist-determinable</w:t>
      </w:r>
      <w:proofErr w:type="gramEnd"/>
      <w:r>
        <w:t>.</w:t>
      </w:r>
    </w:p>
    <w:p w14:paraId="1DBCB8A4" w14:textId="77777777" w:rsidR="00865C25" w:rsidRPr="00BA4B60" w:rsidRDefault="00865C25" w:rsidP="00865C25">
      <w:pPr>
        <w:pStyle w:val="NormalBeforeBullet"/>
      </w:pPr>
      <w:r>
        <w:t>The proposed fees are based on the cost of delivering the tests, including extraction, pathologist assessment, quality control, curation and reporting (</w:t>
      </w:r>
      <w:hyperlink r:id="rId13" w:history="1">
        <w:r w:rsidRPr="00BA4B60">
          <w:rPr>
            <w:rStyle w:val="Hyperlink"/>
          </w:rPr>
          <w:t>MSAC application 1721</w:t>
        </w:r>
      </w:hyperlink>
      <w:r>
        <w:t>).</w:t>
      </w:r>
    </w:p>
    <w:p w14:paraId="6C042280" w14:textId="77777777" w:rsidR="00865C25" w:rsidRPr="00CE28E3" w:rsidRDefault="00865C25" w:rsidP="00932117">
      <w:pPr>
        <w:pStyle w:val="Caption"/>
        <w:spacing w:before="240" w:after="40"/>
        <w:rPr>
          <w:rFonts w:cs="Arial"/>
        </w:rPr>
      </w:pPr>
      <w:bookmarkStart w:id="12" w:name="_Ref69481033"/>
      <w:r>
        <w:t>Table </w:t>
      </w:r>
      <w:r w:rsidR="007F7A58">
        <w:fldChar w:fldCharType="begin"/>
      </w:r>
      <w:r w:rsidR="007F7A58">
        <w:instrText xml:space="preserve"> SEQ Table \* ARABIC </w:instrText>
      </w:r>
      <w:r w:rsidR="007F7A58">
        <w:fldChar w:fldCharType="separate"/>
      </w:r>
      <w:r>
        <w:rPr>
          <w:noProof/>
        </w:rPr>
        <w:t>2</w:t>
      </w:r>
      <w:r w:rsidR="007F7A58">
        <w:rPr>
          <w:noProof/>
        </w:rPr>
        <w:fldChar w:fldCharType="end"/>
      </w:r>
      <w:bookmarkEnd w:id="12"/>
      <w:r w:rsidRPr="00CE28E3">
        <w:rPr>
          <w:rFonts w:cs="Arial"/>
        </w:rPr>
        <w:tab/>
      </w:r>
      <w:r>
        <w:rPr>
          <w:rFonts w:cs="Arial"/>
        </w:rPr>
        <w:t xml:space="preserve">Applicant </w:t>
      </w:r>
      <w:r w:rsidRPr="00CE28E3">
        <w:rPr>
          <w:rFonts w:cs="Arial"/>
        </w:rPr>
        <w:t>proposed MBS item</w:t>
      </w:r>
      <w:r>
        <w:rPr>
          <w:rFonts w:cs="Arial"/>
        </w:rPr>
        <w:t>s with suggested modifications</w:t>
      </w:r>
      <w:r w:rsidR="002E627A">
        <w:rPr>
          <w:rFonts w:cs="Arial"/>
        </w:rPr>
        <w:t xml:space="preserve"> proposed by HTA Group and/or the Department for ESC consideration</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Newly proposed MBS items "/>
        <w:tblDescription w:val="MBS items, as proposed by the applicants, including their fees. "/>
      </w:tblPr>
      <w:tblGrid>
        <w:gridCol w:w="9016"/>
      </w:tblGrid>
      <w:tr w:rsidR="00865C25" w:rsidRPr="00CE28E3" w14:paraId="72174BD5" w14:textId="77777777" w:rsidTr="001A6611">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75AC67CE" w14:textId="77777777" w:rsidR="00865C25" w:rsidRPr="00CE28E3" w:rsidRDefault="00865C25" w:rsidP="00932117">
            <w:pPr>
              <w:pStyle w:val="TableText"/>
              <w:spacing w:before="0" w:after="0"/>
              <w:rPr>
                <w:sz w:val="24"/>
              </w:rPr>
            </w:pPr>
            <w:r w:rsidRPr="000F1E25">
              <w:rPr>
                <w:b/>
              </w:rPr>
              <w:t>Category 6 – Genetics P7</w:t>
            </w:r>
          </w:p>
        </w:tc>
      </w:tr>
      <w:tr w:rsidR="00865C25" w:rsidRPr="005D749D" w14:paraId="3D57B62C" w14:textId="77777777" w:rsidTr="001A6611">
        <w:tc>
          <w:tcPr>
            <w:tcW w:w="5000" w:type="pct"/>
            <w:tcBorders>
              <w:top w:val="single" w:sz="4" w:space="0" w:color="000000"/>
              <w:left w:val="single" w:sz="4" w:space="0" w:color="000000"/>
              <w:bottom w:val="single" w:sz="4" w:space="0" w:color="000000"/>
              <w:right w:val="single" w:sz="4" w:space="0" w:color="000000"/>
            </w:tcBorders>
            <w:vAlign w:val="center"/>
            <w:hideMark/>
          </w:tcPr>
          <w:p w14:paraId="02C53048" w14:textId="77777777" w:rsidR="00865C25" w:rsidRPr="00ED251B" w:rsidRDefault="00865C25" w:rsidP="00932117">
            <w:pPr>
              <w:pStyle w:val="TableText"/>
              <w:spacing w:before="0" w:after="0"/>
              <w:rPr>
                <w:b/>
              </w:rPr>
            </w:pPr>
            <w:r w:rsidRPr="00ED251B">
              <w:rPr>
                <w:b/>
              </w:rPr>
              <w:t>AAAA</w:t>
            </w:r>
          </w:p>
          <w:p w14:paraId="61D9DE0C" w14:textId="77777777" w:rsidR="00865C25" w:rsidRPr="00714B8D" w:rsidRDefault="00865C25" w:rsidP="00932117">
            <w:pPr>
              <w:pStyle w:val="TableText"/>
              <w:spacing w:before="0" w:after="0"/>
            </w:pPr>
            <w:r w:rsidRPr="00714B8D">
              <w:t>A nucleic acid-based multi-gene panel test of tumour tissue from a patient diagnosed with non-small cell lung cancer, shown to have non-squamous histology or histology not otherwise specified, requested by, or on behalf of, a specialist or consultant physician, to detect:</w:t>
            </w:r>
          </w:p>
          <w:p w14:paraId="7E284C6C" w14:textId="77777777" w:rsidR="00865C25" w:rsidRPr="00714B8D" w:rsidRDefault="00865C25" w:rsidP="00932117">
            <w:pPr>
              <w:pStyle w:val="TableText"/>
              <w:numPr>
                <w:ilvl w:val="0"/>
                <w:numId w:val="11"/>
              </w:numPr>
              <w:spacing w:before="0" w:after="0"/>
            </w:pPr>
            <w:r w:rsidRPr="00714B8D">
              <w:t xml:space="preserve">variants in at least </w:t>
            </w:r>
            <w:r w:rsidRPr="00871829">
              <w:rPr>
                <w:i/>
              </w:rPr>
              <w:t>EGFR, BRAF, KRAS</w:t>
            </w:r>
            <w:r w:rsidRPr="00714B8D">
              <w:t xml:space="preserve"> and </w:t>
            </w:r>
            <w:r w:rsidRPr="00871829">
              <w:rPr>
                <w:i/>
              </w:rPr>
              <w:t>MET</w:t>
            </w:r>
            <w:r w:rsidRPr="00714B8D">
              <w:t xml:space="preserve"> exon 14 to determine access to specific therapies listed on the Pharmaceutical Benefits Scheme (PBS); and</w:t>
            </w:r>
          </w:p>
          <w:p w14:paraId="6B08C8D0" w14:textId="77777777" w:rsidR="00865C25" w:rsidRPr="00714B8D" w:rsidRDefault="00865C25" w:rsidP="00932117">
            <w:pPr>
              <w:pStyle w:val="TableText"/>
              <w:numPr>
                <w:ilvl w:val="0"/>
                <w:numId w:val="11"/>
              </w:numPr>
              <w:spacing w:before="0" w:after="0"/>
            </w:pPr>
            <w:r w:rsidRPr="00714B8D">
              <w:t xml:space="preserve">the fusion status of at least </w:t>
            </w:r>
            <w:r w:rsidRPr="00871829">
              <w:rPr>
                <w:i/>
              </w:rPr>
              <w:t>ALK, ROS1, RET</w:t>
            </w:r>
            <w:r w:rsidRPr="00714B8D">
              <w:t xml:space="preserve">, and </w:t>
            </w:r>
            <w:r w:rsidRPr="00871829">
              <w:rPr>
                <w:i/>
              </w:rPr>
              <w:t>NTRK</w:t>
            </w:r>
            <w:r w:rsidRPr="00714B8D">
              <w:t xml:space="preserve"> to determine access to specific therapies listed on the PBS; or</w:t>
            </w:r>
          </w:p>
          <w:p w14:paraId="4B0CBDE3" w14:textId="77777777" w:rsidR="00865C25" w:rsidRPr="00714B8D" w:rsidRDefault="00865C25" w:rsidP="00932117">
            <w:pPr>
              <w:pStyle w:val="TableText"/>
              <w:numPr>
                <w:ilvl w:val="0"/>
                <w:numId w:val="11"/>
              </w:numPr>
              <w:spacing w:before="0" w:after="0"/>
            </w:pPr>
            <w:r w:rsidRPr="00714B8D">
              <w:t xml:space="preserve">if the requirements relating to </w:t>
            </w:r>
            <w:r w:rsidRPr="00871829">
              <w:rPr>
                <w:i/>
              </w:rPr>
              <w:t>EGFR, ALK</w:t>
            </w:r>
            <w:r w:rsidRPr="00714B8D">
              <w:t xml:space="preserve"> and </w:t>
            </w:r>
            <w:r w:rsidRPr="00871829">
              <w:rPr>
                <w:i/>
              </w:rPr>
              <w:t xml:space="preserve">ROS1 </w:t>
            </w:r>
            <w:r w:rsidRPr="00714B8D">
              <w:t xml:space="preserve">status for access to </w:t>
            </w:r>
            <w:r w:rsidRPr="00716EAB">
              <w:rPr>
                <w:color w:val="C00000"/>
              </w:rPr>
              <w:t xml:space="preserve">a PD-(L)1 immunotherapy </w:t>
            </w:r>
            <w:r w:rsidRPr="00716EAB">
              <w:rPr>
                <w:strike/>
                <w:color w:val="C00000"/>
              </w:rPr>
              <w:t>pembrolizumab</w:t>
            </w:r>
            <w:r>
              <w:rPr>
                <w:strike/>
                <w:color w:val="FF0000"/>
              </w:rPr>
              <w:t xml:space="preserve"> </w:t>
            </w:r>
            <w:r w:rsidRPr="00714B8D">
              <w:t>under the PBS are fulfilled.</w:t>
            </w:r>
          </w:p>
          <w:p w14:paraId="42DD7DB7" w14:textId="77777777" w:rsidR="00865C25" w:rsidRPr="00714B8D" w:rsidRDefault="00865C25" w:rsidP="00932117">
            <w:pPr>
              <w:pStyle w:val="TableText"/>
              <w:spacing w:before="0" w:after="0"/>
            </w:pPr>
            <w:r w:rsidRPr="00714B8D">
              <w:t>Maximum one test per episode of disease</w:t>
            </w:r>
          </w:p>
          <w:p w14:paraId="462C9D90" w14:textId="77777777" w:rsidR="00865C25" w:rsidRPr="005A4926" w:rsidRDefault="00865C25" w:rsidP="00932117">
            <w:pPr>
              <w:pStyle w:val="TableText"/>
              <w:spacing w:before="0" w:after="0"/>
              <w:rPr>
                <w:color w:val="C00000"/>
              </w:rPr>
            </w:pPr>
            <w:r w:rsidRPr="00714B8D">
              <w:t>This item cannot be claimed in addition to MBS items</w:t>
            </w:r>
            <w:r>
              <w:t xml:space="preserve"> BBBB, CCCC,</w:t>
            </w:r>
            <w:r w:rsidRPr="00714B8D">
              <w:t xml:space="preserve"> 73337</w:t>
            </w:r>
            <w:r>
              <w:t>,</w:t>
            </w:r>
            <w:r w:rsidRPr="005A4926">
              <w:rPr>
                <w:color w:val="C00000"/>
              </w:rPr>
              <w:t xml:space="preserve"> 73341, 73344, </w:t>
            </w:r>
            <w:r>
              <w:rPr>
                <w:color w:val="C00000"/>
              </w:rPr>
              <w:t xml:space="preserve">or </w:t>
            </w:r>
            <w:r w:rsidRPr="005A4926">
              <w:rPr>
                <w:color w:val="C00000"/>
              </w:rPr>
              <w:t xml:space="preserve">MBS item for </w:t>
            </w:r>
            <w:r w:rsidRPr="005A4926">
              <w:rPr>
                <w:i/>
                <w:color w:val="C00000"/>
              </w:rPr>
              <w:t>MET</w:t>
            </w:r>
            <w:r w:rsidRPr="005A4926">
              <w:rPr>
                <w:color w:val="C00000"/>
              </w:rPr>
              <w:t>ex14sk testing</w:t>
            </w:r>
          </w:p>
          <w:p w14:paraId="38A56D1D" w14:textId="77777777" w:rsidR="00865C25" w:rsidRPr="005D749D" w:rsidRDefault="00865C25" w:rsidP="00932117">
            <w:pPr>
              <w:pStyle w:val="TableText"/>
              <w:spacing w:before="0" w:after="0"/>
            </w:pPr>
            <w:r w:rsidRPr="009009D3">
              <w:rPr>
                <w:b/>
                <w:bCs/>
              </w:rPr>
              <w:t>Fee:</w:t>
            </w:r>
            <w:r w:rsidRPr="009009D3">
              <w:t xml:space="preserve">  $1,247</w:t>
            </w:r>
            <w:r w:rsidRPr="009009D3">
              <w:tab/>
            </w:r>
            <w:r w:rsidRPr="009009D3">
              <w:rPr>
                <w:b/>
                <w:bCs/>
              </w:rPr>
              <w:t>Benefit:</w:t>
            </w:r>
            <w:r w:rsidRPr="009009D3">
              <w:t xml:space="preserve"> 75% = $935.25</w:t>
            </w:r>
            <w:r w:rsidRPr="009009D3">
              <w:tab/>
              <w:t>85% = $</w:t>
            </w:r>
            <w:r w:rsidRPr="005A4926">
              <w:rPr>
                <w:color w:val="C00000"/>
              </w:rPr>
              <w:t>1,159.10</w:t>
            </w:r>
            <w:r w:rsidRPr="005A4926">
              <w:rPr>
                <w:color w:val="C00000"/>
                <w:vertAlign w:val="superscript"/>
              </w:rPr>
              <w:t>a</w:t>
            </w:r>
          </w:p>
        </w:tc>
      </w:tr>
      <w:tr w:rsidR="00865C25" w:rsidRPr="005D749D" w14:paraId="43E29802" w14:textId="77777777" w:rsidTr="001A6611">
        <w:tc>
          <w:tcPr>
            <w:tcW w:w="5000" w:type="pct"/>
            <w:tcBorders>
              <w:top w:val="single" w:sz="4" w:space="0" w:color="000000"/>
              <w:left w:val="single" w:sz="4" w:space="0" w:color="000000"/>
              <w:bottom w:val="single" w:sz="4" w:space="0" w:color="000000"/>
              <w:right w:val="single" w:sz="4" w:space="0" w:color="000000"/>
            </w:tcBorders>
            <w:vAlign w:val="center"/>
          </w:tcPr>
          <w:p w14:paraId="68F47825" w14:textId="77777777" w:rsidR="00865C25" w:rsidRPr="00ED251B" w:rsidRDefault="00865C25" w:rsidP="00932117">
            <w:pPr>
              <w:pStyle w:val="TableText"/>
              <w:spacing w:before="0" w:after="0"/>
              <w:rPr>
                <w:b/>
              </w:rPr>
            </w:pPr>
            <w:r>
              <w:rPr>
                <w:b/>
              </w:rPr>
              <w:t>BBBB</w:t>
            </w:r>
          </w:p>
          <w:p w14:paraId="05B20C32" w14:textId="77777777" w:rsidR="00865C25" w:rsidRPr="00ED251B" w:rsidRDefault="00865C25" w:rsidP="00932117">
            <w:pPr>
              <w:pStyle w:val="TableText"/>
              <w:spacing w:before="0" w:after="0"/>
            </w:pPr>
            <w:r w:rsidRPr="00ED251B">
              <w:t>A DNA-based multi-gene panel test of tumour tissue from a patient diagnosed with non-small cell lung cancer, shown to have non-squamous histology or histology not otherwise specified, requested by, or on behalf of, a specialist or consultant physician, to detect:</w:t>
            </w:r>
          </w:p>
          <w:p w14:paraId="1A8A8B18" w14:textId="77777777" w:rsidR="00865C25" w:rsidRPr="00ED251B" w:rsidRDefault="00865C25" w:rsidP="00932117">
            <w:pPr>
              <w:pStyle w:val="TableText"/>
              <w:numPr>
                <w:ilvl w:val="0"/>
                <w:numId w:val="12"/>
              </w:numPr>
              <w:spacing w:before="0" w:after="0"/>
            </w:pPr>
            <w:r w:rsidRPr="00ED251B">
              <w:rPr>
                <w:bCs/>
              </w:rPr>
              <w:t xml:space="preserve">variants in at least </w:t>
            </w:r>
            <w:r w:rsidRPr="00ED251B">
              <w:rPr>
                <w:i/>
                <w:iCs/>
              </w:rPr>
              <w:t>EGFR</w:t>
            </w:r>
            <w:r w:rsidRPr="00ED251B">
              <w:rPr>
                <w:bCs/>
              </w:rPr>
              <w:t xml:space="preserve">, </w:t>
            </w:r>
            <w:r w:rsidRPr="00ED251B">
              <w:rPr>
                <w:i/>
                <w:iCs/>
              </w:rPr>
              <w:t>BRAF, KRAS</w:t>
            </w:r>
            <w:r w:rsidRPr="00ED251B">
              <w:rPr>
                <w:bCs/>
              </w:rPr>
              <w:t xml:space="preserve"> and </w:t>
            </w:r>
            <w:r w:rsidRPr="00ED251B">
              <w:rPr>
                <w:i/>
                <w:iCs/>
              </w:rPr>
              <w:t>MET</w:t>
            </w:r>
            <w:r w:rsidRPr="00ED251B">
              <w:rPr>
                <w:bCs/>
              </w:rPr>
              <w:t xml:space="preserve"> exon 14 to determine access to specific therapies listed on the Pharmaceutical Benefits Scheme (PBS)</w:t>
            </w:r>
            <w:r w:rsidRPr="00ED251B">
              <w:t>; or</w:t>
            </w:r>
          </w:p>
          <w:p w14:paraId="5006E2A5" w14:textId="77777777" w:rsidR="00865C25" w:rsidRPr="00ED251B" w:rsidRDefault="00865C25" w:rsidP="00932117">
            <w:pPr>
              <w:pStyle w:val="TableText"/>
              <w:numPr>
                <w:ilvl w:val="0"/>
                <w:numId w:val="12"/>
              </w:numPr>
              <w:spacing w:before="0" w:after="0"/>
            </w:pPr>
            <w:r w:rsidRPr="00ED251B">
              <w:t xml:space="preserve">if the requirements relating to </w:t>
            </w:r>
            <w:r w:rsidRPr="00ED251B">
              <w:rPr>
                <w:i/>
                <w:iCs/>
              </w:rPr>
              <w:t>EGFR</w:t>
            </w:r>
            <w:r w:rsidRPr="00ED251B">
              <w:t xml:space="preserve"> status for access to </w:t>
            </w:r>
            <w:r w:rsidRPr="00716EAB">
              <w:rPr>
                <w:color w:val="C00000"/>
              </w:rPr>
              <w:t xml:space="preserve">a PD-(L)1 immunotherapy </w:t>
            </w:r>
            <w:r w:rsidRPr="00716EAB">
              <w:rPr>
                <w:strike/>
                <w:color w:val="C00000"/>
              </w:rPr>
              <w:t>pembrolizumab</w:t>
            </w:r>
            <w:r w:rsidRPr="00716EAB">
              <w:rPr>
                <w:color w:val="C00000"/>
              </w:rPr>
              <w:t xml:space="preserve"> </w:t>
            </w:r>
            <w:r w:rsidRPr="00ED251B">
              <w:t>under the PBS are fulfilled.</w:t>
            </w:r>
          </w:p>
          <w:p w14:paraId="3331C65C" w14:textId="77777777" w:rsidR="00865C25" w:rsidRPr="00ED251B" w:rsidRDefault="00865C25" w:rsidP="00932117">
            <w:pPr>
              <w:pStyle w:val="TableText"/>
              <w:spacing w:before="0" w:after="0"/>
            </w:pPr>
            <w:r w:rsidRPr="00ED251B">
              <w:t>Maximum one test per episode of disease</w:t>
            </w:r>
          </w:p>
          <w:p w14:paraId="179378E9" w14:textId="77777777" w:rsidR="00865C25" w:rsidRDefault="00865C25" w:rsidP="00932117">
            <w:pPr>
              <w:pStyle w:val="TableText"/>
              <w:spacing w:before="0" w:after="0"/>
            </w:pPr>
            <w:r w:rsidRPr="00ED251B">
              <w:t xml:space="preserve">This item cannot be claimed in addition to MBS item </w:t>
            </w:r>
            <w:r w:rsidRPr="005A4926">
              <w:rPr>
                <w:color w:val="C00000"/>
              </w:rPr>
              <w:t>AAAA</w:t>
            </w:r>
            <w:r>
              <w:t xml:space="preserve">, </w:t>
            </w:r>
            <w:r w:rsidRPr="00ED251B">
              <w:t>73337</w:t>
            </w:r>
            <w:r w:rsidRPr="005A4926">
              <w:rPr>
                <w:color w:val="C00000"/>
              </w:rPr>
              <w:t xml:space="preserve">, or MBS item for </w:t>
            </w:r>
            <w:r w:rsidRPr="005A4926">
              <w:rPr>
                <w:i/>
                <w:color w:val="C00000"/>
              </w:rPr>
              <w:t>MET</w:t>
            </w:r>
            <w:r w:rsidRPr="005A4926">
              <w:rPr>
                <w:color w:val="C00000"/>
              </w:rPr>
              <w:t>ex14sk testing</w:t>
            </w:r>
          </w:p>
          <w:p w14:paraId="7B88A303" w14:textId="77777777" w:rsidR="00865C25" w:rsidRDefault="00865C25" w:rsidP="00932117">
            <w:pPr>
              <w:pStyle w:val="TableText"/>
              <w:spacing w:before="120" w:after="0"/>
              <w:rPr>
                <w:b/>
              </w:rPr>
            </w:pPr>
            <w:r w:rsidRPr="00ED251B">
              <w:rPr>
                <w:b/>
                <w:bCs/>
              </w:rPr>
              <w:t>Fee:</w:t>
            </w:r>
            <w:r w:rsidRPr="00AE1188">
              <w:t xml:space="preserve">  $</w:t>
            </w:r>
            <w:r>
              <w:t>682.35</w:t>
            </w:r>
            <w:r w:rsidRPr="00ED251B">
              <w:tab/>
            </w:r>
            <w:r w:rsidRPr="00ED251B">
              <w:rPr>
                <w:b/>
                <w:bCs/>
              </w:rPr>
              <w:t>Benefit:</w:t>
            </w:r>
            <w:r w:rsidRPr="00ED251B">
              <w:t xml:space="preserve"> 75% = $511.7</w:t>
            </w:r>
            <w:r>
              <w:t>5</w:t>
            </w:r>
            <w:r w:rsidRPr="00ED251B">
              <w:tab/>
              <w:t>85% = $</w:t>
            </w:r>
            <w:r w:rsidRPr="005A4926">
              <w:rPr>
                <w:color w:val="C00000"/>
              </w:rPr>
              <w:t>594.45</w:t>
            </w:r>
            <w:r w:rsidRPr="005A4926">
              <w:rPr>
                <w:color w:val="C00000"/>
                <w:vertAlign w:val="superscript"/>
              </w:rPr>
              <w:t>a</w:t>
            </w:r>
          </w:p>
        </w:tc>
      </w:tr>
      <w:tr w:rsidR="00865C25" w:rsidRPr="005D749D" w14:paraId="6CCBD906" w14:textId="77777777" w:rsidTr="001A6611">
        <w:tc>
          <w:tcPr>
            <w:tcW w:w="5000" w:type="pct"/>
            <w:tcBorders>
              <w:top w:val="single" w:sz="4" w:space="0" w:color="000000"/>
              <w:left w:val="single" w:sz="4" w:space="0" w:color="000000"/>
              <w:bottom w:val="single" w:sz="4" w:space="0" w:color="000000"/>
              <w:right w:val="single" w:sz="4" w:space="0" w:color="000000"/>
            </w:tcBorders>
            <w:vAlign w:val="center"/>
          </w:tcPr>
          <w:p w14:paraId="66EE708C" w14:textId="77777777" w:rsidR="00865C25" w:rsidRPr="00ED251B" w:rsidRDefault="00865C25" w:rsidP="00932117">
            <w:pPr>
              <w:pStyle w:val="TableText"/>
              <w:spacing w:before="0" w:after="0"/>
              <w:rPr>
                <w:b/>
              </w:rPr>
            </w:pPr>
            <w:r>
              <w:rPr>
                <w:b/>
              </w:rPr>
              <w:t>CCCC</w:t>
            </w:r>
          </w:p>
          <w:p w14:paraId="6460934F" w14:textId="77777777" w:rsidR="00865C25" w:rsidRPr="00ED251B" w:rsidRDefault="00865C25" w:rsidP="00932117">
            <w:pPr>
              <w:pStyle w:val="TableText"/>
              <w:spacing w:before="0" w:after="0"/>
            </w:pPr>
            <w:r w:rsidRPr="00ED251B">
              <w:t xml:space="preserve">A nucleic acid-based multi-gene panel test of tumour tissue from a patient diagnosed with non-small cell lung cancer, shown to have non-squamous histology or histology not otherwise specified, and with documented absence of activating </w:t>
            </w:r>
            <w:r w:rsidRPr="00956452">
              <w:rPr>
                <w:strike/>
                <w:color w:val="C00000"/>
              </w:rPr>
              <w:t>mutations</w:t>
            </w:r>
            <w:r w:rsidRPr="00956452">
              <w:rPr>
                <w:color w:val="C00000"/>
              </w:rPr>
              <w:t xml:space="preserve"> variants </w:t>
            </w:r>
            <w:r w:rsidRPr="00ED251B">
              <w:t xml:space="preserve">of the </w:t>
            </w:r>
            <w:r w:rsidRPr="00871829">
              <w:rPr>
                <w:i/>
              </w:rPr>
              <w:t>EGFR</w:t>
            </w:r>
            <w:r w:rsidRPr="00ED251B">
              <w:t xml:space="preserve"> gene, </w:t>
            </w:r>
            <w:r w:rsidRPr="00871829">
              <w:rPr>
                <w:i/>
              </w:rPr>
              <w:t>KRAS, BRAF</w:t>
            </w:r>
            <w:r w:rsidRPr="00ED251B">
              <w:t xml:space="preserve"> and </w:t>
            </w:r>
            <w:r w:rsidRPr="00871829">
              <w:rPr>
                <w:i/>
              </w:rPr>
              <w:t>MET</w:t>
            </w:r>
            <w:r w:rsidRPr="00ED251B">
              <w:t xml:space="preserve"> exon14, requested by, or on behalf of, a specialist or consultant physician, to detect:</w:t>
            </w:r>
          </w:p>
          <w:p w14:paraId="68001F7B" w14:textId="77777777" w:rsidR="00865C25" w:rsidRPr="00ED251B" w:rsidRDefault="00865C25" w:rsidP="00932117">
            <w:pPr>
              <w:pStyle w:val="TableText"/>
              <w:numPr>
                <w:ilvl w:val="0"/>
                <w:numId w:val="13"/>
              </w:numPr>
              <w:spacing w:before="0" w:after="0"/>
            </w:pPr>
            <w:r w:rsidRPr="00ED251B">
              <w:t xml:space="preserve">the fusion status of at least </w:t>
            </w:r>
            <w:r w:rsidRPr="00ED251B">
              <w:rPr>
                <w:i/>
                <w:iCs/>
              </w:rPr>
              <w:t>ALK, ROS1, RET</w:t>
            </w:r>
            <w:r w:rsidRPr="00ED251B">
              <w:t xml:space="preserve">, and </w:t>
            </w:r>
            <w:r w:rsidRPr="00ED251B">
              <w:rPr>
                <w:i/>
                <w:iCs/>
              </w:rPr>
              <w:t>NTRK</w:t>
            </w:r>
            <w:r w:rsidRPr="00ED251B">
              <w:t xml:space="preserve"> to determine access to specific therapies listed on</w:t>
            </w:r>
            <w:r w:rsidRPr="00ED251B" w:rsidDel="008A61CD">
              <w:t xml:space="preserve"> </w:t>
            </w:r>
            <w:r w:rsidRPr="00ED251B">
              <w:t>the Pharmaceutical Benefits Scheme (PBS) are fulfilled; or</w:t>
            </w:r>
          </w:p>
          <w:p w14:paraId="67C48D18" w14:textId="77777777" w:rsidR="00865C25" w:rsidRPr="00ED251B" w:rsidRDefault="00865C25" w:rsidP="00932117">
            <w:pPr>
              <w:pStyle w:val="TableText"/>
              <w:numPr>
                <w:ilvl w:val="0"/>
                <w:numId w:val="13"/>
              </w:numPr>
              <w:spacing w:before="0" w:after="0"/>
              <w:rPr>
                <w:bCs/>
              </w:rPr>
            </w:pPr>
            <w:r w:rsidRPr="00ED251B">
              <w:t xml:space="preserve">if the requirements relating to </w:t>
            </w:r>
            <w:r w:rsidRPr="00ED251B">
              <w:rPr>
                <w:i/>
                <w:iCs/>
              </w:rPr>
              <w:t>ALK</w:t>
            </w:r>
            <w:r w:rsidRPr="00ED251B">
              <w:t xml:space="preserve"> and </w:t>
            </w:r>
            <w:r w:rsidRPr="00ED251B">
              <w:rPr>
                <w:i/>
                <w:iCs/>
              </w:rPr>
              <w:t>ROS1</w:t>
            </w:r>
            <w:r w:rsidRPr="00ED251B">
              <w:t xml:space="preserve"> status for access to </w:t>
            </w:r>
            <w:r w:rsidRPr="00716EAB">
              <w:rPr>
                <w:color w:val="C00000"/>
              </w:rPr>
              <w:t xml:space="preserve">a PD-(L)1 immunotherapy </w:t>
            </w:r>
            <w:r w:rsidRPr="00716EAB">
              <w:rPr>
                <w:strike/>
                <w:color w:val="C00000"/>
              </w:rPr>
              <w:t>pembrolizumab</w:t>
            </w:r>
            <w:r w:rsidRPr="00716EAB">
              <w:rPr>
                <w:color w:val="C00000"/>
              </w:rPr>
              <w:t xml:space="preserve"> </w:t>
            </w:r>
            <w:r w:rsidRPr="00ED251B">
              <w:t>under the PBS are fulfilled.</w:t>
            </w:r>
          </w:p>
          <w:p w14:paraId="7A65C2A2" w14:textId="77777777" w:rsidR="00865C25" w:rsidRPr="00ED251B" w:rsidRDefault="00865C25" w:rsidP="00932117">
            <w:pPr>
              <w:pStyle w:val="TableText"/>
              <w:spacing w:before="0" w:after="0"/>
            </w:pPr>
            <w:r w:rsidRPr="00ED251B">
              <w:t>Maximum one test per episode of disease</w:t>
            </w:r>
          </w:p>
          <w:p w14:paraId="2CE8B6CA" w14:textId="77777777" w:rsidR="00865C25" w:rsidRDefault="00865C25" w:rsidP="00932117">
            <w:pPr>
              <w:pStyle w:val="TableText"/>
              <w:spacing w:before="0" w:after="0"/>
            </w:pPr>
            <w:r w:rsidRPr="00ED251B">
              <w:t>This item can only be claimed if</w:t>
            </w:r>
            <w:r>
              <w:t xml:space="preserve"> </w:t>
            </w:r>
            <w:r w:rsidRPr="00956452">
              <w:rPr>
                <w:color w:val="C00000"/>
              </w:rPr>
              <w:t xml:space="preserve">the result from MBS </w:t>
            </w:r>
            <w:r w:rsidRPr="00ED251B">
              <w:t xml:space="preserve">item number </w:t>
            </w:r>
            <w:r>
              <w:t>BBBB</w:t>
            </w:r>
            <w:r w:rsidRPr="00ED251B">
              <w:t xml:space="preserve"> is negative, and cannot be claimed in addition to MBS items </w:t>
            </w:r>
            <w:r w:rsidRPr="00956452">
              <w:rPr>
                <w:color w:val="C00000"/>
              </w:rPr>
              <w:t>AAAA</w:t>
            </w:r>
            <w:r>
              <w:t xml:space="preserve">, </w:t>
            </w:r>
            <w:r w:rsidRPr="00ED251B">
              <w:t>73341, 73344</w:t>
            </w:r>
          </w:p>
          <w:p w14:paraId="3AE48B96" w14:textId="77777777" w:rsidR="00865C25" w:rsidRPr="00956452" w:rsidRDefault="00865C25" w:rsidP="00932117">
            <w:pPr>
              <w:pStyle w:val="TableText"/>
              <w:spacing w:before="120" w:after="0"/>
              <w:rPr>
                <w:b/>
                <w:vertAlign w:val="superscript"/>
              </w:rPr>
            </w:pPr>
            <w:r w:rsidRPr="00ED251B">
              <w:rPr>
                <w:bCs/>
              </w:rPr>
              <w:t>Fee:</w:t>
            </w:r>
            <w:r w:rsidRPr="00ED251B">
              <w:t xml:space="preserve">  $682.35</w:t>
            </w:r>
            <w:r w:rsidRPr="00ED251B">
              <w:tab/>
            </w:r>
            <w:r w:rsidRPr="00ED251B">
              <w:rPr>
                <w:bCs/>
              </w:rPr>
              <w:t>Benefit:</w:t>
            </w:r>
            <w:r w:rsidRPr="00ED251B">
              <w:t xml:space="preserve"> 75% = $511.7</w:t>
            </w:r>
            <w:r>
              <w:t>5</w:t>
            </w:r>
            <w:r w:rsidRPr="00ED251B">
              <w:tab/>
              <w:t>85% = $</w:t>
            </w:r>
            <w:r w:rsidRPr="00956452">
              <w:rPr>
                <w:color w:val="C00000"/>
              </w:rPr>
              <w:t>594.45</w:t>
            </w:r>
            <w:r w:rsidRPr="00956452">
              <w:rPr>
                <w:color w:val="C00000"/>
                <w:vertAlign w:val="superscript"/>
              </w:rPr>
              <w:t>a</w:t>
            </w:r>
          </w:p>
        </w:tc>
      </w:tr>
    </w:tbl>
    <w:p w14:paraId="4F35AB74" w14:textId="44E8E51B" w:rsidR="00865C25" w:rsidRPr="00932117" w:rsidRDefault="00865C25" w:rsidP="00865C25">
      <w:pPr>
        <w:pStyle w:val="TableFooter"/>
        <w:rPr>
          <w:szCs w:val="18"/>
        </w:rPr>
      </w:pPr>
      <w:r>
        <w:rPr>
          <w:vertAlign w:val="superscript"/>
        </w:rPr>
        <w:t>a</w:t>
      </w:r>
      <w:r w:rsidRPr="0046081C">
        <w:rPr>
          <w:szCs w:val="18"/>
        </w:rPr>
        <w:t xml:space="preserve"> </w:t>
      </w:r>
      <w:r>
        <w:rPr>
          <w:szCs w:val="18"/>
        </w:rPr>
        <w:t>Reflects the 1 November 2021 Greatest Permissible Gap (GPG) of $87.90. A</w:t>
      </w:r>
      <w:r w:rsidRPr="00D07F41">
        <w:rPr>
          <w:szCs w:val="18"/>
        </w:rPr>
        <w:t>ll out-of-hospital Medicare services which have an MBS fee of $586.20 or more will attract a benefit that is greater than 85% of the MBS fee</w:t>
      </w:r>
      <w:r>
        <w:rPr>
          <w:szCs w:val="18"/>
        </w:rPr>
        <w:t xml:space="preserve"> – being the schedule fee less the GPG amount. </w:t>
      </w:r>
      <w:r w:rsidRPr="00D07F41">
        <w:rPr>
          <w:szCs w:val="18"/>
        </w:rPr>
        <w:t>The GPG amount is indexed annually on 1 November in line with the Consumer Price Index (CPI) (June quarter)</w:t>
      </w:r>
      <w:r>
        <w:rPr>
          <w:szCs w:val="18"/>
        </w:rPr>
        <w:t>.</w:t>
      </w:r>
      <w:r w:rsidRPr="0095267B">
        <w:t xml:space="preserve"> </w:t>
      </w:r>
      <w:r w:rsidRPr="0095267B">
        <w:rPr>
          <w:szCs w:val="18"/>
        </w:rPr>
        <w:t xml:space="preserve">Suggested changes to the MBS items are shown in red </w:t>
      </w:r>
      <w:r>
        <w:rPr>
          <w:szCs w:val="18"/>
        </w:rPr>
        <w:t xml:space="preserve">and strikethrough </w:t>
      </w:r>
      <w:r w:rsidRPr="0095267B">
        <w:rPr>
          <w:szCs w:val="18"/>
        </w:rPr>
        <w:t xml:space="preserve">text. </w:t>
      </w:r>
    </w:p>
    <w:p w14:paraId="58FF5369" w14:textId="0DEEABA6" w:rsidR="00865C25" w:rsidRDefault="00865C25" w:rsidP="00865C25">
      <w:pPr>
        <w:pStyle w:val="NormalBeforeBullet"/>
      </w:pPr>
      <w:r>
        <w:lastRenderedPageBreak/>
        <w:t xml:space="preserve">The proposal is that item CCCC (for RNA testing) would only be used if targetable biomarkers are not already detected by item BBBB (DNA testing). Although additional genes may be tested as part of the panels (as those listed are </w:t>
      </w:r>
      <w:r w:rsidR="00D04F46">
        <w:t xml:space="preserve">currently considered </w:t>
      </w:r>
      <w:r>
        <w:t xml:space="preserve">the minimum), a variant identified in other genes on the DNA panel (for which there is not a PBS-listed treatment available) is not intended to prohibit further testing of the RNA. </w:t>
      </w:r>
    </w:p>
    <w:p w14:paraId="562FCDEB" w14:textId="6AD2E89A" w:rsidR="00865C25" w:rsidRDefault="00865C25" w:rsidP="00865C25">
      <w:pPr>
        <w:pStyle w:val="NormalBeforeBullet"/>
      </w:pPr>
      <w:r>
        <w:t>Note, the proposed items include testing of genes which currently do not have PBS-listed specific therapies for NSCLC (</w:t>
      </w:r>
      <w:proofErr w:type="gramStart"/>
      <w:r>
        <w:t>i.e.</w:t>
      </w:r>
      <w:proofErr w:type="gramEnd"/>
      <w:r>
        <w:t xml:space="preserve"> </w:t>
      </w:r>
      <w:r>
        <w:rPr>
          <w:i/>
        </w:rPr>
        <w:t>KRAS, BRAF</w:t>
      </w:r>
      <w:r>
        <w:t xml:space="preserve">, </w:t>
      </w:r>
      <w:r w:rsidRPr="0063232E">
        <w:rPr>
          <w:i/>
        </w:rPr>
        <w:t>MET</w:t>
      </w:r>
      <w:r>
        <w:t>exon14,</w:t>
      </w:r>
      <w:r>
        <w:rPr>
          <w:i/>
        </w:rPr>
        <w:t xml:space="preserve"> </w:t>
      </w:r>
      <w:r w:rsidRPr="00956452">
        <w:rPr>
          <w:i/>
        </w:rPr>
        <w:t xml:space="preserve">RET </w:t>
      </w:r>
      <w:r>
        <w:t xml:space="preserve">and </w:t>
      </w:r>
      <w:r>
        <w:rPr>
          <w:i/>
        </w:rPr>
        <w:t>NTRK</w:t>
      </w:r>
      <w:r w:rsidR="00DF7C1D">
        <w:rPr>
          <w:i/>
        </w:rPr>
        <w:t>1, NTRK2 and NTRK3</w:t>
      </w:r>
      <w:r>
        <w:rPr>
          <w:i/>
        </w:rPr>
        <w:t xml:space="preserve">), </w:t>
      </w:r>
      <w:r>
        <w:t>although</w:t>
      </w:r>
      <w:r>
        <w:rPr>
          <w:i/>
        </w:rPr>
        <w:t xml:space="preserve"> MET</w:t>
      </w:r>
      <w:r>
        <w:t xml:space="preserve">ex14sk has a PBAC-recommended specific therapy, which is not yet PBS-listed. The applicants justified the additional genes by referencing international guidelines, which recommend the inclusion of the specified genes as a minimum (given targeted therapies are available for NSCLC tumours with variants in the specified genes, even if they are not PBS-listed). This should future-proof the items in case the targeted therapies become PBS-listed </w:t>
      </w:r>
      <w:proofErr w:type="gramStart"/>
      <w:r>
        <w:t>in the near future</w:t>
      </w:r>
      <w:proofErr w:type="gramEnd"/>
      <w:r>
        <w:t xml:space="preserve">. Concurrent variants in the listed genes are rare, so identifying pathogenic variants in the </w:t>
      </w:r>
      <w:r>
        <w:rPr>
          <w:i/>
        </w:rPr>
        <w:t xml:space="preserve">KRAS, BRAF, RET </w:t>
      </w:r>
      <w:r>
        <w:t xml:space="preserve">or </w:t>
      </w:r>
      <w:r w:rsidR="00DF7C1D">
        <w:t xml:space="preserve">the three </w:t>
      </w:r>
      <w:r>
        <w:rPr>
          <w:i/>
        </w:rPr>
        <w:t>NTRK</w:t>
      </w:r>
      <w:r>
        <w:t xml:space="preserve"> genes is highly likely to rule out the presence of rearrangements in </w:t>
      </w:r>
      <w:r>
        <w:rPr>
          <w:i/>
        </w:rPr>
        <w:t>ALK</w:t>
      </w:r>
      <w:r>
        <w:t xml:space="preserve"> or </w:t>
      </w:r>
      <w:r>
        <w:rPr>
          <w:i/>
        </w:rPr>
        <w:t xml:space="preserve">ROS1 </w:t>
      </w:r>
      <w:r>
        <w:t xml:space="preserve">genes. The additional genes are therefore reasonable to include, although it may result in a very small number of patients with </w:t>
      </w:r>
      <w:r>
        <w:rPr>
          <w:i/>
        </w:rPr>
        <w:t>ALK</w:t>
      </w:r>
      <w:r>
        <w:t xml:space="preserve"> or </w:t>
      </w:r>
      <w:r>
        <w:rPr>
          <w:i/>
        </w:rPr>
        <w:t>ROS1</w:t>
      </w:r>
      <w:r>
        <w:t xml:space="preserve"> variants in their tumour not being identified, and consequently missing out on receiving an appropriate targeted therapy. </w:t>
      </w:r>
    </w:p>
    <w:p w14:paraId="02FB83FF" w14:textId="63CED7F2" w:rsidR="00865C25" w:rsidRDefault="00865C25" w:rsidP="00865C25">
      <w:pPr>
        <w:pStyle w:val="NormalBeforeBullet"/>
      </w:pPr>
      <w:r>
        <w:t xml:space="preserve">The proposal to refer to a PD-(L)1 immunotherapy rather than pembrolizumab reflects the fact that the PBS restriction for NSCLC of several of these medicines require that the “condition must not have evidence of an activating epidermal growth factor receptor (EGFR) gene or an </w:t>
      </w:r>
      <w:r w:rsidR="00C925AE">
        <w:t>ALK receptor tyrosine kinase</w:t>
      </w:r>
      <w:r w:rsidR="00FD3D93">
        <w:t xml:space="preserve"> </w:t>
      </w:r>
      <w:r>
        <w:t>(</w:t>
      </w:r>
      <w:r w:rsidRPr="00121596">
        <w:rPr>
          <w:i/>
          <w:iCs/>
        </w:rPr>
        <w:t>ALK</w:t>
      </w:r>
      <w:r>
        <w:t xml:space="preserve">) gene rearrangement in tumour”. If MSAC supports this suggestion, then the related changes </w:t>
      </w:r>
      <w:r w:rsidR="00BC5FA0">
        <w:t xml:space="preserve">required </w:t>
      </w:r>
      <w:r>
        <w:t xml:space="preserve">to existing MBS items </w:t>
      </w:r>
      <w:r w:rsidRPr="003F6D26">
        <w:t>73337, 73341</w:t>
      </w:r>
      <w:r>
        <w:t xml:space="preserve"> and</w:t>
      </w:r>
      <w:r w:rsidRPr="003F6D26">
        <w:t xml:space="preserve"> 73344</w:t>
      </w:r>
      <w:r w:rsidR="00BC5FA0">
        <w:t xml:space="preserve"> would align with the equivalent changes to these existing MBS items that have already been supported by MSAC under MSAC Application 1642. </w:t>
      </w:r>
    </w:p>
    <w:p w14:paraId="06037607" w14:textId="77777777" w:rsidR="00865C25" w:rsidRPr="00956452" w:rsidRDefault="00865C25" w:rsidP="00865C25">
      <w:pPr>
        <w:pStyle w:val="NormalBeforeBullet"/>
      </w:pPr>
      <w:r>
        <w:t xml:space="preserve">Sensitivity analyses were performed to assess the impact of allowing patients with </w:t>
      </w:r>
      <w:r>
        <w:rPr>
          <w:i/>
        </w:rPr>
        <w:t xml:space="preserve">KRAS </w:t>
      </w:r>
      <w:r>
        <w:t xml:space="preserve">or </w:t>
      </w:r>
      <w:r>
        <w:rPr>
          <w:i/>
        </w:rPr>
        <w:t>BRAF</w:t>
      </w:r>
      <w:r>
        <w:t xml:space="preserve"> variants to undergo RNA testing. </w:t>
      </w:r>
    </w:p>
    <w:p w14:paraId="4DD39A59" w14:textId="61B7256F" w:rsidR="00865C25" w:rsidRPr="00CE28E3" w:rsidRDefault="00813A4A" w:rsidP="00865C25">
      <w:pPr>
        <w:pStyle w:val="Heading2"/>
        <w:numPr>
          <w:ilvl w:val="0"/>
          <w:numId w:val="0"/>
        </w:numPr>
      </w:pPr>
      <w:bookmarkStart w:id="13" w:name="_Toc109149588"/>
      <w:r>
        <w:t>7</w:t>
      </w:r>
      <w:r w:rsidR="00865C25">
        <w:t>.</w:t>
      </w:r>
      <w:r w:rsidR="00865C25">
        <w:tab/>
      </w:r>
      <w:r w:rsidR="00865C25" w:rsidRPr="00CE28E3">
        <w:t>Population</w:t>
      </w:r>
      <w:bookmarkEnd w:id="13"/>
    </w:p>
    <w:p w14:paraId="49D534D2" w14:textId="77777777" w:rsidR="00865C25" w:rsidRDefault="00865C25" w:rsidP="00865C25">
      <w:pPr>
        <w:pStyle w:val="NormalBeforeBullet"/>
      </w:pPr>
      <w:r>
        <w:t>The target population are those diagnosed with non-squamous or not otherwise specified (NOS) NSCLC. It is estimated that in 2021, there were 11,738 newly diagnosed cases of NSCLC in Australia.</w:t>
      </w:r>
    </w:p>
    <w:p w14:paraId="13582772" w14:textId="77777777" w:rsidR="00865C25" w:rsidRDefault="00865C25" w:rsidP="00865C25">
      <w:pPr>
        <w:pStyle w:val="NormalBeforeBullet"/>
      </w:pPr>
      <w:r>
        <w:t xml:space="preserve">There are </w:t>
      </w:r>
      <w:proofErr w:type="gramStart"/>
      <w:r>
        <w:t>a number of</w:t>
      </w:r>
      <w:proofErr w:type="gramEnd"/>
      <w:r>
        <w:t xml:space="preserve"> different somatic variants which are important to identify in NSCLC tumours, as they may be the primary cause of the cancer growing and dividing. For many variants in NSCLC tumours, there are targeted treatments which have been found effective, and identification of the biomarker can therefore allow optimal treatment of the tumour. The targeted treatments currently listed on the PBS are:</w:t>
      </w:r>
    </w:p>
    <w:p w14:paraId="37EDFB02" w14:textId="77777777" w:rsidR="00865C25" w:rsidRDefault="00865C25" w:rsidP="00764FCE">
      <w:pPr>
        <w:pStyle w:val="NormalBeforeBullet"/>
        <w:numPr>
          <w:ilvl w:val="0"/>
          <w:numId w:val="18"/>
        </w:numPr>
      </w:pPr>
      <w:r>
        <w:t xml:space="preserve">erlotinib, gefitinib, </w:t>
      </w:r>
      <w:proofErr w:type="spellStart"/>
      <w:r>
        <w:t>afatinib</w:t>
      </w:r>
      <w:proofErr w:type="spellEnd"/>
      <w:r>
        <w:t xml:space="preserve">, </w:t>
      </w:r>
      <w:proofErr w:type="spellStart"/>
      <w:r>
        <w:t>osimertinib</w:t>
      </w:r>
      <w:proofErr w:type="spellEnd"/>
      <w:r>
        <w:t xml:space="preserve"> (for </w:t>
      </w:r>
      <w:r>
        <w:rPr>
          <w:i/>
        </w:rPr>
        <w:t xml:space="preserve">EGFR </w:t>
      </w:r>
      <w:r>
        <w:t>activating variants),</w:t>
      </w:r>
    </w:p>
    <w:p w14:paraId="3FC35737" w14:textId="77777777" w:rsidR="00865C25" w:rsidRDefault="00865C25" w:rsidP="00764FCE">
      <w:pPr>
        <w:pStyle w:val="NormalBeforeBullet"/>
        <w:numPr>
          <w:ilvl w:val="0"/>
          <w:numId w:val="18"/>
        </w:numPr>
      </w:pPr>
      <w:r>
        <w:t xml:space="preserve">osimertinib (for </w:t>
      </w:r>
      <w:r>
        <w:rPr>
          <w:i/>
        </w:rPr>
        <w:t xml:space="preserve">EGFR </w:t>
      </w:r>
      <w:r>
        <w:t xml:space="preserve">T790m variant after prior </w:t>
      </w:r>
      <w:r w:rsidRPr="00F82F35">
        <w:t>EGFR</w:t>
      </w:r>
      <w:r>
        <w:t xml:space="preserve"> targeted treatment),</w:t>
      </w:r>
    </w:p>
    <w:p w14:paraId="43F5AA81" w14:textId="77777777" w:rsidR="00865C25" w:rsidRDefault="00865C25" w:rsidP="00764FCE">
      <w:pPr>
        <w:pStyle w:val="NormalBeforeBullet"/>
        <w:numPr>
          <w:ilvl w:val="0"/>
          <w:numId w:val="18"/>
        </w:numPr>
      </w:pPr>
      <w:proofErr w:type="spellStart"/>
      <w:r w:rsidRPr="00F82F35">
        <w:t>crizotinib</w:t>
      </w:r>
      <w:proofErr w:type="spellEnd"/>
      <w:r>
        <w:t xml:space="preserve">, </w:t>
      </w:r>
      <w:proofErr w:type="spellStart"/>
      <w:r>
        <w:t>ceritinib</w:t>
      </w:r>
      <w:proofErr w:type="spellEnd"/>
      <w:r>
        <w:t xml:space="preserve">, </w:t>
      </w:r>
      <w:proofErr w:type="spellStart"/>
      <w:r>
        <w:t>alectinib</w:t>
      </w:r>
      <w:proofErr w:type="spellEnd"/>
      <w:r>
        <w:t xml:space="preserve">, </w:t>
      </w:r>
      <w:proofErr w:type="spellStart"/>
      <w:r>
        <w:t>brigatinib</w:t>
      </w:r>
      <w:proofErr w:type="spellEnd"/>
      <w:r>
        <w:t xml:space="preserve">, </w:t>
      </w:r>
      <w:proofErr w:type="spellStart"/>
      <w:r>
        <w:t>lorlatinib</w:t>
      </w:r>
      <w:proofErr w:type="spellEnd"/>
      <w:r>
        <w:t xml:space="preserve"> (for </w:t>
      </w:r>
      <w:r>
        <w:rPr>
          <w:i/>
        </w:rPr>
        <w:t>ALK</w:t>
      </w:r>
      <w:r>
        <w:t xml:space="preserve"> rearrangements),</w:t>
      </w:r>
    </w:p>
    <w:p w14:paraId="429AE251" w14:textId="77777777" w:rsidR="00865C25" w:rsidRDefault="00865C25" w:rsidP="00764FCE">
      <w:pPr>
        <w:pStyle w:val="NormalBeforeBullet"/>
        <w:numPr>
          <w:ilvl w:val="0"/>
          <w:numId w:val="18"/>
        </w:numPr>
      </w:pPr>
      <w:proofErr w:type="spellStart"/>
      <w:r>
        <w:t>crizotinib</w:t>
      </w:r>
      <w:proofErr w:type="spellEnd"/>
      <w:r>
        <w:t xml:space="preserve"> and </w:t>
      </w:r>
      <w:proofErr w:type="spellStart"/>
      <w:r>
        <w:t>entrectinib</w:t>
      </w:r>
      <w:proofErr w:type="spellEnd"/>
      <w:r>
        <w:t xml:space="preserve"> (for </w:t>
      </w:r>
      <w:r>
        <w:rPr>
          <w:i/>
        </w:rPr>
        <w:t>ROS1</w:t>
      </w:r>
      <w:r>
        <w:t xml:space="preserve"> rearrangements), and</w:t>
      </w:r>
    </w:p>
    <w:p w14:paraId="4AE913E5" w14:textId="77777777" w:rsidR="00865C25" w:rsidRDefault="00865C25" w:rsidP="00764FCE">
      <w:pPr>
        <w:pStyle w:val="NormalBeforeBullet"/>
        <w:numPr>
          <w:ilvl w:val="0"/>
          <w:numId w:val="18"/>
        </w:numPr>
      </w:pPr>
      <w:r>
        <w:t xml:space="preserve">PD-(L)1 immunotherapies (for those with an absence of activating </w:t>
      </w:r>
      <w:r>
        <w:rPr>
          <w:i/>
        </w:rPr>
        <w:t>EGFR</w:t>
      </w:r>
      <w:r>
        <w:t xml:space="preserve"> variants, </w:t>
      </w:r>
      <w:r>
        <w:rPr>
          <w:i/>
        </w:rPr>
        <w:t xml:space="preserve">ALK </w:t>
      </w:r>
      <w:r>
        <w:t xml:space="preserve">rearrangements or </w:t>
      </w:r>
      <w:r>
        <w:rPr>
          <w:i/>
        </w:rPr>
        <w:t>ROS1</w:t>
      </w:r>
      <w:r>
        <w:t xml:space="preserve"> rearrangements).</w:t>
      </w:r>
    </w:p>
    <w:p w14:paraId="6AAD0331" w14:textId="77777777" w:rsidR="00865C25" w:rsidRDefault="00865C25" w:rsidP="00865C25">
      <w:pPr>
        <w:pStyle w:val="NormalBeforeBullet"/>
      </w:pPr>
      <w:proofErr w:type="spellStart"/>
      <w:r>
        <w:t>Tepotinib</w:t>
      </w:r>
      <w:proofErr w:type="spellEnd"/>
      <w:r>
        <w:t xml:space="preserve"> has also been recommended for those with </w:t>
      </w:r>
      <w:r w:rsidRPr="00956452">
        <w:rPr>
          <w:i/>
          <w:iCs/>
        </w:rPr>
        <w:t>MET</w:t>
      </w:r>
      <w:r>
        <w:t>ex14sk alterations.</w:t>
      </w:r>
    </w:p>
    <w:p w14:paraId="0A606830" w14:textId="77777777" w:rsidR="00865C25" w:rsidRDefault="00865C25" w:rsidP="00865C25">
      <w:pPr>
        <w:pStyle w:val="NormalBeforeBullet"/>
      </w:pPr>
      <w:r>
        <w:lastRenderedPageBreak/>
        <w:t xml:space="preserve">Currently, the testing for the relevant biomarkers is done in a sequential manner, with </w:t>
      </w:r>
      <w:r>
        <w:rPr>
          <w:i/>
        </w:rPr>
        <w:t>EGFR</w:t>
      </w:r>
      <w:r>
        <w:t xml:space="preserve"> variants the first to be tested (testing pathologist-determinable, and </w:t>
      </w:r>
      <w:r>
        <w:rPr>
          <w:i/>
        </w:rPr>
        <w:t xml:space="preserve">EGFR </w:t>
      </w:r>
      <w:r>
        <w:t>testing may occur as soon as NSCLC which is non-</w:t>
      </w:r>
      <w:proofErr w:type="gramStart"/>
      <w:r>
        <w:t>squamous</w:t>
      </w:r>
      <w:proofErr w:type="gramEnd"/>
      <w:r>
        <w:t xml:space="preserve"> or NOS is diagnosed). As small NGS gene panels are expected to replace the use of single gene testing, the projected number of patients who would use the proposed intervention can be estimated based on historical use of </w:t>
      </w:r>
      <w:r>
        <w:rPr>
          <w:i/>
        </w:rPr>
        <w:t>EGFR</w:t>
      </w:r>
      <w:r>
        <w:t xml:space="preserve"> testing under MBS item 73337. A survey performed for the purposes of </w:t>
      </w:r>
      <w:hyperlink r:id="rId14" w:history="1">
        <w:r w:rsidRPr="00D97A4A">
          <w:rPr>
            <w:rStyle w:val="Hyperlink"/>
          </w:rPr>
          <w:t>P</w:t>
        </w:r>
        <w:r>
          <w:rPr>
            <w:rStyle w:val="Hyperlink"/>
          </w:rPr>
          <w:t>ICO confirmation 1669</w:t>
        </w:r>
        <w:r w:rsidRPr="00D97A4A">
          <w:rPr>
            <w:rStyle w:val="Hyperlink"/>
          </w:rPr>
          <w:t xml:space="preserve"> </w:t>
        </w:r>
      </w:hyperlink>
      <w:r>
        <w:t>reported that most laboratories are already using small DNA panels. If the proposed separate DNA and RNA panels are added to the MBS, then the small DNA panel item is likely to be able to be used by most laboratories from the time of listing (</w:t>
      </w:r>
      <w:r>
        <w:fldChar w:fldCharType="begin"/>
      </w:r>
      <w:r>
        <w:instrText xml:space="preserve"> REF _Ref111023996 \h </w:instrText>
      </w:r>
      <w:r>
        <w:fldChar w:fldCharType="separate"/>
      </w:r>
      <w:r>
        <w:t xml:space="preserve">Table </w:t>
      </w:r>
      <w:r>
        <w:rPr>
          <w:noProof/>
        </w:rPr>
        <w:t>4</w:t>
      </w:r>
      <w:r>
        <w:fldChar w:fldCharType="end"/>
      </w:r>
      <w:r>
        <w:t xml:space="preserve">). However, capacity to perform small RNA panels is more restricted, and </w:t>
      </w:r>
      <w:proofErr w:type="gramStart"/>
      <w:r>
        <w:t>in the near future</w:t>
      </w:r>
      <w:proofErr w:type="gramEnd"/>
      <w:r>
        <w:t xml:space="preserve">, laboratories may either transfer the tissue to another laboratory for RNA testing or continue to use IHC and FISH for the assessment of </w:t>
      </w:r>
      <w:r>
        <w:rPr>
          <w:i/>
        </w:rPr>
        <w:t xml:space="preserve">ALK </w:t>
      </w:r>
      <w:r>
        <w:t xml:space="preserve">and </w:t>
      </w:r>
      <w:r>
        <w:rPr>
          <w:i/>
        </w:rPr>
        <w:t xml:space="preserve">ROS1. </w:t>
      </w:r>
      <w:r>
        <w:t xml:space="preserve">The applicants have also stated that some patients will have insufficient tumour tissue available for RNA to be extracted, so 5-10% of cases may continue to be tested using FISH rather than an NGS panel. </w:t>
      </w:r>
    </w:p>
    <w:p w14:paraId="2F89B6CE" w14:textId="57653357" w:rsidR="00865C25" w:rsidRPr="00661CC5" w:rsidRDefault="00865C25" w:rsidP="00865C25">
      <w:pPr>
        <w:pStyle w:val="NormalBeforeBullet"/>
      </w:pPr>
      <w:r>
        <w:t xml:space="preserve">Prior testing, and projections of use only consider testing in patients with non-squamous (or not otherwise specified) histology, and do not consider the utilisation if patients with squamous NSCLC are also tested. This is estimated to increase the projections by 15%. </w:t>
      </w:r>
      <w:r w:rsidR="00DC69FB">
        <w:t xml:space="preserve">(Note that Tables 3 and 4 report utilisation and projected utilisation by calendar year). </w:t>
      </w:r>
    </w:p>
    <w:p w14:paraId="5136CD9C" w14:textId="428A29BA" w:rsidR="00865C25" w:rsidRDefault="00865C25" w:rsidP="00865C25">
      <w:pPr>
        <w:pStyle w:val="Caption"/>
      </w:pPr>
      <w:r w:rsidRPr="00CE28E3">
        <w:t>Table</w:t>
      </w:r>
      <w:r>
        <w:t> </w:t>
      </w:r>
      <w:r w:rsidR="007F7A58">
        <w:fldChar w:fldCharType="begin"/>
      </w:r>
      <w:r w:rsidR="007F7A58">
        <w:instrText xml:space="preserve"> SEQ Table \* ARABIC </w:instrText>
      </w:r>
      <w:r w:rsidR="007F7A58">
        <w:fldChar w:fldCharType="separate"/>
      </w:r>
      <w:r>
        <w:rPr>
          <w:noProof/>
        </w:rPr>
        <w:t>3</w:t>
      </w:r>
      <w:r w:rsidR="007F7A58">
        <w:rPr>
          <w:noProof/>
        </w:rPr>
        <w:fldChar w:fldCharType="end"/>
      </w:r>
      <w:r w:rsidRPr="00CE28E3">
        <w:tab/>
      </w:r>
      <w:r>
        <w:t>Use of MBS item 73337, 2015−2021</w:t>
      </w:r>
      <w:r w:rsidR="00DC69FB">
        <w:t>*</w:t>
      </w:r>
    </w:p>
    <w:tbl>
      <w:tblPr>
        <w:tblStyle w:val="TableGrid"/>
        <w:tblW w:w="0" w:type="auto"/>
        <w:tblLook w:val="04A0" w:firstRow="1" w:lastRow="0" w:firstColumn="1" w:lastColumn="0" w:noHBand="0" w:noVBand="1"/>
        <w:tblCaption w:val="Use of MBS item 73337, 2015−2021"/>
        <w:tblDescription w:val="Historical use of the EGFR testing item"/>
      </w:tblPr>
      <w:tblGrid>
        <w:gridCol w:w="1413"/>
        <w:gridCol w:w="1086"/>
        <w:gridCol w:w="1086"/>
        <w:gridCol w:w="1086"/>
        <w:gridCol w:w="1086"/>
        <w:gridCol w:w="1086"/>
        <w:gridCol w:w="1086"/>
        <w:gridCol w:w="1087"/>
      </w:tblGrid>
      <w:tr w:rsidR="00865C25" w:rsidRPr="00507A6B" w14:paraId="13CFE9CD" w14:textId="77777777" w:rsidTr="001A6611">
        <w:trPr>
          <w:tblHeader/>
        </w:trPr>
        <w:tc>
          <w:tcPr>
            <w:tcW w:w="1413" w:type="dxa"/>
          </w:tcPr>
          <w:p w14:paraId="3E7AAC2B" w14:textId="77777777" w:rsidR="00865C25" w:rsidRPr="00507A6B" w:rsidRDefault="00865C25" w:rsidP="001A6611">
            <w:pPr>
              <w:pStyle w:val="TableHeading"/>
              <w:jc w:val="center"/>
            </w:pPr>
          </w:p>
        </w:tc>
        <w:tc>
          <w:tcPr>
            <w:tcW w:w="1086" w:type="dxa"/>
          </w:tcPr>
          <w:p w14:paraId="032BC6F1" w14:textId="77777777" w:rsidR="00865C25" w:rsidRPr="00507A6B" w:rsidRDefault="00865C25" w:rsidP="001A6611">
            <w:pPr>
              <w:pStyle w:val="TableHeading"/>
              <w:jc w:val="center"/>
            </w:pPr>
            <w:r w:rsidRPr="00507A6B">
              <w:t>2015</w:t>
            </w:r>
          </w:p>
        </w:tc>
        <w:tc>
          <w:tcPr>
            <w:tcW w:w="1086" w:type="dxa"/>
          </w:tcPr>
          <w:p w14:paraId="417BAC72" w14:textId="77777777" w:rsidR="00865C25" w:rsidRPr="00507A6B" w:rsidRDefault="00865C25" w:rsidP="001A6611">
            <w:pPr>
              <w:pStyle w:val="TableHeading"/>
              <w:jc w:val="center"/>
            </w:pPr>
            <w:r w:rsidRPr="00507A6B">
              <w:t>2016</w:t>
            </w:r>
          </w:p>
        </w:tc>
        <w:tc>
          <w:tcPr>
            <w:tcW w:w="1086" w:type="dxa"/>
          </w:tcPr>
          <w:p w14:paraId="4093614A" w14:textId="77777777" w:rsidR="00865C25" w:rsidRPr="00507A6B" w:rsidRDefault="00865C25" w:rsidP="001A6611">
            <w:pPr>
              <w:pStyle w:val="TableHeading"/>
              <w:jc w:val="center"/>
            </w:pPr>
            <w:r w:rsidRPr="00507A6B">
              <w:t>2017</w:t>
            </w:r>
          </w:p>
        </w:tc>
        <w:tc>
          <w:tcPr>
            <w:tcW w:w="1086" w:type="dxa"/>
          </w:tcPr>
          <w:p w14:paraId="7108367C" w14:textId="77777777" w:rsidR="00865C25" w:rsidRPr="00507A6B" w:rsidRDefault="00865C25" w:rsidP="001A6611">
            <w:pPr>
              <w:pStyle w:val="TableHeading"/>
              <w:jc w:val="center"/>
            </w:pPr>
            <w:r w:rsidRPr="00507A6B">
              <w:t>2018</w:t>
            </w:r>
          </w:p>
        </w:tc>
        <w:tc>
          <w:tcPr>
            <w:tcW w:w="1086" w:type="dxa"/>
          </w:tcPr>
          <w:p w14:paraId="631F34BF" w14:textId="77777777" w:rsidR="00865C25" w:rsidRPr="00507A6B" w:rsidRDefault="00865C25" w:rsidP="001A6611">
            <w:pPr>
              <w:pStyle w:val="TableHeading"/>
              <w:jc w:val="center"/>
            </w:pPr>
            <w:r w:rsidRPr="00507A6B">
              <w:t>2019</w:t>
            </w:r>
          </w:p>
        </w:tc>
        <w:tc>
          <w:tcPr>
            <w:tcW w:w="1086" w:type="dxa"/>
          </w:tcPr>
          <w:p w14:paraId="3F376D69" w14:textId="77777777" w:rsidR="00865C25" w:rsidRPr="00507A6B" w:rsidRDefault="00865C25" w:rsidP="001A6611">
            <w:pPr>
              <w:pStyle w:val="TableHeading"/>
              <w:jc w:val="center"/>
            </w:pPr>
            <w:r w:rsidRPr="00507A6B">
              <w:t>2020</w:t>
            </w:r>
          </w:p>
        </w:tc>
        <w:tc>
          <w:tcPr>
            <w:tcW w:w="1087" w:type="dxa"/>
          </w:tcPr>
          <w:p w14:paraId="4C6D2FCF" w14:textId="77777777" w:rsidR="00865C25" w:rsidRPr="00507A6B" w:rsidRDefault="00865C25" w:rsidP="001A6611">
            <w:pPr>
              <w:pStyle w:val="TableHeading"/>
              <w:jc w:val="center"/>
            </w:pPr>
            <w:r w:rsidRPr="00507A6B">
              <w:t>2021</w:t>
            </w:r>
          </w:p>
        </w:tc>
      </w:tr>
      <w:tr w:rsidR="00865C25" w:rsidRPr="00507A6B" w14:paraId="11D99744" w14:textId="77777777" w:rsidTr="001A6611">
        <w:tc>
          <w:tcPr>
            <w:tcW w:w="1413" w:type="dxa"/>
          </w:tcPr>
          <w:p w14:paraId="2A490988" w14:textId="77777777" w:rsidR="00865C25" w:rsidRPr="00507A6B" w:rsidRDefault="00865C25" w:rsidP="001A6611">
            <w:pPr>
              <w:pStyle w:val="TableText"/>
            </w:pPr>
            <w:r w:rsidRPr="00507A6B">
              <w:t>No. services</w:t>
            </w:r>
          </w:p>
        </w:tc>
        <w:tc>
          <w:tcPr>
            <w:tcW w:w="1086" w:type="dxa"/>
          </w:tcPr>
          <w:p w14:paraId="4EFF78C0" w14:textId="77777777" w:rsidR="00865C25" w:rsidRPr="00507A6B" w:rsidRDefault="00865C25" w:rsidP="001A6611">
            <w:pPr>
              <w:pStyle w:val="TableText"/>
              <w:jc w:val="center"/>
            </w:pPr>
            <w:r w:rsidRPr="00507A6B">
              <w:t>3,368</w:t>
            </w:r>
          </w:p>
        </w:tc>
        <w:tc>
          <w:tcPr>
            <w:tcW w:w="1086" w:type="dxa"/>
          </w:tcPr>
          <w:p w14:paraId="39C84F7E" w14:textId="77777777" w:rsidR="00865C25" w:rsidRPr="00507A6B" w:rsidRDefault="00865C25" w:rsidP="001A6611">
            <w:pPr>
              <w:pStyle w:val="TableText"/>
              <w:jc w:val="center"/>
            </w:pPr>
            <w:r w:rsidRPr="00507A6B">
              <w:t>3,419</w:t>
            </w:r>
          </w:p>
        </w:tc>
        <w:tc>
          <w:tcPr>
            <w:tcW w:w="1086" w:type="dxa"/>
          </w:tcPr>
          <w:p w14:paraId="549E6445" w14:textId="77777777" w:rsidR="00865C25" w:rsidRPr="00507A6B" w:rsidRDefault="00865C25" w:rsidP="001A6611">
            <w:pPr>
              <w:pStyle w:val="TableText"/>
              <w:jc w:val="center"/>
            </w:pPr>
            <w:r w:rsidRPr="00507A6B">
              <w:t>3,863</w:t>
            </w:r>
          </w:p>
        </w:tc>
        <w:tc>
          <w:tcPr>
            <w:tcW w:w="1086" w:type="dxa"/>
          </w:tcPr>
          <w:p w14:paraId="5B79A08D" w14:textId="77777777" w:rsidR="00865C25" w:rsidRPr="00507A6B" w:rsidRDefault="00865C25" w:rsidP="001A6611">
            <w:pPr>
              <w:pStyle w:val="TableText"/>
              <w:jc w:val="center"/>
            </w:pPr>
            <w:r w:rsidRPr="00507A6B">
              <w:t>4,147</w:t>
            </w:r>
          </w:p>
        </w:tc>
        <w:tc>
          <w:tcPr>
            <w:tcW w:w="1086" w:type="dxa"/>
          </w:tcPr>
          <w:p w14:paraId="64113A3B" w14:textId="77777777" w:rsidR="00865C25" w:rsidRPr="00507A6B" w:rsidRDefault="00865C25" w:rsidP="001A6611">
            <w:pPr>
              <w:pStyle w:val="TableText"/>
              <w:jc w:val="center"/>
            </w:pPr>
            <w:r w:rsidRPr="00507A6B">
              <w:t>4,603</w:t>
            </w:r>
          </w:p>
        </w:tc>
        <w:tc>
          <w:tcPr>
            <w:tcW w:w="1086" w:type="dxa"/>
          </w:tcPr>
          <w:p w14:paraId="03F3D0B0" w14:textId="77777777" w:rsidR="00865C25" w:rsidRPr="00507A6B" w:rsidRDefault="00865C25" w:rsidP="001A6611">
            <w:pPr>
              <w:pStyle w:val="TableText"/>
              <w:jc w:val="center"/>
            </w:pPr>
            <w:r w:rsidRPr="00507A6B">
              <w:t>4,697</w:t>
            </w:r>
          </w:p>
        </w:tc>
        <w:tc>
          <w:tcPr>
            <w:tcW w:w="1087" w:type="dxa"/>
          </w:tcPr>
          <w:p w14:paraId="3B99AEF4" w14:textId="77777777" w:rsidR="00865C25" w:rsidRPr="00507A6B" w:rsidRDefault="00865C25" w:rsidP="001A6611">
            <w:pPr>
              <w:pStyle w:val="TableText"/>
              <w:jc w:val="center"/>
            </w:pPr>
            <w:r w:rsidRPr="00507A6B">
              <w:t>4,854</w:t>
            </w:r>
          </w:p>
        </w:tc>
      </w:tr>
    </w:tbl>
    <w:p w14:paraId="638CD043" w14:textId="496F9139" w:rsidR="00865C25" w:rsidRDefault="00865C25" w:rsidP="00865C25">
      <w:pPr>
        <w:pStyle w:val="TableFooter"/>
      </w:pPr>
      <w:r>
        <w:t>Source: Services Australia</w:t>
      </w:r>
    </w:p>
    <w:p w14:paraId="2C1E7BE6" w14:textId="77777777" w:rsidR="00865C25" w:rsidRDefault="00865C25" w:rsidP="00865C25">
      <w:pPr>
        <w:pStyle w:val="Caption"/>
      </w:pPr>
      <w:bookmarkStart w:id="14" w:name="_Ref111023996"/>
      <w:r>
        <w:t xml:space="preserve">Table </w:t>
      </w:r>
      <w:r w:rsidR="007F7A58">
        <w:fldChar w:fldCharType="begin"/>
      </w:r>
      <w:r w:rsidR="007F7A58">
        <w:instrText xml:space="preserve"> SEQ Table \* ARABIC </w:instrText>
      </w:r>
      <w:r w:rsidR="007F7A58">
        <w:fldChar w:fldCharType="separate"/>
      </w:r>
      <w:r>
        <w:rPr>
          <w:noProof/>
        </w:rPr>
        <w:t>4</w:t>
      </w:r>
      <w:r w:rsidR="007F7A58">
        <w:rPr>
          <w:noProof/>
        </w:rPr>
        <w:fldChar w:fldCharType="end"/>
      </w:r>
      <w:bookmarkEnd w:id="14"/>
      <w:r>
        <w:tab/>
        <w:t>Projected use of small gene panel testing (assuming 100% market share)</w:t>
      </w:r>
    </w:p>
    <w:tbl>
      <w:tblPr>
        <w:tblStyle w:val="TableGrid1"/>
        <w:tblW w:w="5000" w:type="pct"/>
        <w:tblLook w:val="04A0" w:firstRow="1" w:lastRow="0" w:firstColumn="1" w:lastColumn="0" w:noHBand="0" w:noVBand="1"/>
        <w:tblCaption w:val="Projected use of small gene panel testing (assuming 100% market share)"/>
        <w:tblDescription w:val="Estimated future use of NGS panels (based on past EGFR testing item use)"/>
      </w:tblPr>
      <w:tblGrid>
        <w:gridCol w:w="3869"/>
        <w:gridCol w:w="858"/>
        <w:gridCol w:w="858"/>
        <w:gridCol w:w="858"/>
        <w:gridCol w:w="858"/>
        <w:gridCol w:w="858"/>
        <w:gridCol w:w="857"/>
      </w:tblGrid>
      <w:tr w:rsidR="00865C25" w:rsidRPr="00B0078B" w14:paraId="10DD846D" w14:textId="77777777" w:rsidTr="001A6611">
        <w:trPr>
          <w:cnfStyle w:val="100000000000" w:firstRow="1" w:lastRow="0" w:firstColumn="0" w:lastColumn="0" w:oddVBand="0" w:evenVBand="0" w:oddHBand="0" w:evenHBand="0" w:firstRowFirstColumn="0" w:firstRowLastColumn="0" w:lastRowFirstColumn="0" w:lastRowLastColumn="0"/>
          <w:trHeight w:val="300"/>
          <w:tblHeader/>
        </w:trPr>
        <w:tc>
          <w:tcPr>
            <w:tcW w:w="2145" w:type="pct"/>
            <w:noWrap/>
            <w:hideMark/>
          </w:tcPr>
          <w:p w14:paraId="2883ED10" w14:textId="77777777" w:rsidR="00865C25" w:rsidRPr="00B0078B" w:rsidRDefault="00865C25" w:rsidP="001A6611">
            <w:pPr>
              <w:pStyle w:val="TableHeading"/>
              <w:jc w:val="center"/>
            </w:pPr>
          </w:p>
        </w:tc>
        <w:tc>
          <w:tcPr>
            <w:tcW w:w="476" w:type="pct"/>
            <w:noWrap/>
            <w:hideMark/>
          </w:tcPr>
          <w:p w14:paraId="682A55BA" w14:textId="77777777" w:rsidR="00865C25" w:rsidRPr="00B0078B" w:rsidRDefault="00865C25" w:rsidP="001A6611">
            <w:pPr>
              <w:pStyle w:val="TableHeading"/>
              <w:jc w:val="center"/>
            </w:pPr>
            <w:r w:rsidRPr="00B0078B">
              <w:t>2023</w:t>
            </w:r>
          </w:p>
        </w:tc>
        <w:tc>
          <w:tcPr>
            <w:tcW w:w="476" w:type="pct"/>
            <w:noWrap/>
            <w:hideMark/>
          </w:tcPr>
          <w:p w14:paraId="3B27B562" w14:textId="77777777" w:rsidR="00865C25" w:rsidRPr="00B0078B" w:rsidRDefault="00865C25" w:rsidP="001A6611">
            <w:pPr>
              <w:pStyle w:val="TableHeading"/>
              <w:jc w:val="center"/>
            </w:pPr>
            <w:r w:rsidRPr="00B0078B">
              <w:t>2024</w:t>
            </w:r>
          </w:p>
        </w:tc>
        <w:tc>
          <w:tcPr>
            <w:tcW w:w="476" w:type="pct"/>
            <w:noWrap/>
            <w:hideMark/>
          </w:tcPr>
          <w:p w14:paraId="7D665141" w14:textId="77777777" w:rsidR="00865C25" w:rsidRPr="00B0078B" w:rsidRDefault="00865C25" w:rsidP="001A6611">
            <w:pPr>
              <w:pStyle w:val="TableHeading"/>
              <w:jc w:val="center"/>
            </w:pPr>
            <w:r w:rsidRPr="00B0078B">
              <w:t>2025</w:t>
            </w:r>
          </w:p>
        </w:tc>
        <w:tc>
          <w:tcPr>
            <w:tcW w:w="476" w:type="pct"/>
            <w:noWrap/>
            <w:hideMark/>
          </w:tcPr>
          <w:p w14:paraId="594836F4" w14:textId="77777777" w:rsidR="00865C25" w:rsidRPr="00B0078B" w:rsidRDefault="00865C25" w:rsidP="001A6611">
            <w:pPr>
              <w:pStyle w:val="TableHeading"/>
              <w:jc w:val="center"/>
            </w:pPr>
            <w:r w:rsidRPr="00B0078B">
              <w:t>2026</w:t>
            </w:r>
          </w:p>
        </w:tc>
        <w:tc>
          <w:tcPr>
            <w:tcW w:w="476" w:type="pct"/>
            <w:noWrap/>
            <w:hideMark/>
          </w:tcPr>
          <w:p w14:paraId="427110B9" w14:textId="77777777" w:rsidR="00865C25" w:rsidRPr="00B0078B" w:rsidRDefault="00865C25" w:rsidP="001A6611">
            <w:pPr>
              <w:pStyle w:val="TableHeading"/>
              <w:jc w:val="center"/>
            </w:pPr>
            <w:r w:rsidRPr="00B0078B">
              <w:t>2027</w:t>
            </w:r>
          </w:p>
        </w:tc>
        <w:tc>
          <w:tcPr>
            <w:tcW w:w="475" w:type="pct"/>
            <w:noWrap/>
            <w:hideMark/>
          </w:tcPr>
          <w:p w14:paraId="069B5A22" w14:textId="77777777" w:rsidR="00865C25" w:rsidRPr="00B0078B" w:rsidRDefault="00865C25" w:rsidP="001A6611">
            <w:pPr>
              <w:pStyle w:val="TableHeading"/>
              <w:jc w:val="center"/>
            </w:pPr>
            <w:r w:rsidRPr="00B0078B">
              <w:t>2028</w:t>
            </w:r>
          </w:p>
        </w:tc>
      </w:tr>
      <w:tr w:rsidR="00865C25" w:rsidRPr="00B0078B" w14:paraId="3971152A" w14:textId="77777777" w:rsidTr="001A6611">
        <w:trPr>
          <w:trHeight w:val="300"/>
        </w:trPr>
        <w:tc>
          <w:tcPr>
            <w:tcW w:w="2145" w:type="pct"/>
            <w:noWrap/>
            <w:hideMark/>
          </w:tcPr>
          <w:p w14:paraId="1D2DF44F" w14:textId="77777777" w:rsidR="00865C25" w:rsidRPr="00B0078B" w:rsidRDefault="00865C25" w:rsidP="001A6611">
            <w:pPr>
              <w:pStyle w:val="TableText"/>
            </w:pPr>
            <w:r w:rsidRPr="00B0078B">
              <w:t xml:space="preserve">Projected </w:t>
            </w:r>
            <w:r>
              <w:t>use of item 73337</w:t>
            </w:r>
          </w:p>
        </w:tc>
        <w:tc>
          <w:tcPr>
            <w:tcW w:w="476" w:type="pct"/>
            <w:noWrap/>
            <w:hideMark/>
          </w:tcPr>
          <w:p w14:paraId="070242B6" w14:textId="77777777" w:rsidR="00865C25" w:rsidRPr="00B0078B" w:rsidRDefault="00865C25" w:rsidP="001A6611">
            <w:pPr>
              <w:pStyle w:val="TableText"/>
              <w:jc w:val="right"/>
            </w:pPr>
            <w:r w:rsidRPr="00B0078B">
              <w:t>5,521</w:t>
            </w:r>
          </w:p>
        </w:tc>
        <w:tc>
          <w:tcPr>
            <w:tcW w:w="476" w:type="pct"/>
            <w:noWrap/>
            <w:hideMark/>
          </w:tcPr>
          <w:p w14:paraId="7CC5E295" w14:textId="77777777" w:rsidR="00865C25" w:rsidRPr="00B0078B" w:rsidRDefault="00865C25" w:rsidP="001A6611">
            <w:pPr>
              <w:pStyle w:val="TableText"/>
              <w:jc w:val="right"/>
            </w:pPr>
            <w:r w:rsidRPr="00B0078B">
              <w:t>5,797</w:t>
            </w:r>
          </w:p>
        </w:tc>
        <w:tc>
          <w:tcPr>
            <w:tcW w:w="476" w:type="pct"/>
            <w:noWrap/>
            <w:hideMark/>
          </w:tcPr>
          <w:p w14:paraId="4E925D3F" w14:textId="77777777" w:rsidR="00865C25" w:rsidRPr="00B0078B" w:rsidRDefault="00865C25" w:rsidP="001A6611">
            <w:pPr>
              <w:pStyle w:val="TableText"/>
              <w:jc w:val="right"/>
            </w:pPr>
            <w:r w:rsidRPr="00B0078B">
              <w:t>6,074</w:t>
            </w:r>
          </w:p>
        </w:tc>
        <w:tc>
          <w:tcPr>
            <w:tcW w:w="476" w:type="pct"/>
            <w:noWrap/>
            <w:hideMark/>
          </w:tcPr>
          <w:p w14:paraId="6010221C" w14:textId="77777777" w:rsidR="00865C25" w:rsidRPr="00B0078B" w:rsidRDefault="00865C25" w:rsidP="001A6611">
            <w:pPr>
              <w:pStyle w:val="TableText"/>
              <w:jc w:val="right"/>
            </w:pPr>
            <w:r w:rsidRPr="00B0078B">
              <w:t>6,351</w:t>
            </w:r>
          </w:p>
        </w:tc>
        <w:tc>
          <w:tcPr>
            <w:tcW w:w="476" w:type="pct"/>
            <w:noWrap/>
            <w:hideMark/>
          </w:tcPr>
          <w:p w14:paraId="65F97F69" w14:textId="77777777" w:rsidR="00865C25" w:rsidRPr="00B0078B" w:rsidRDefault="00865C25" w:rsidP="001A6611">
            <w:pPr>
              <w:pStyle w:val="TableText"/>
              <w:jc w:val="right"/>
            </w:pPr>
            <w:r w:rsidRPr="00B0078B">
              <w:t>6,628</w:t>
            </w:r>
          </w:p>
        </w:tc>
        <w:tc>
          <w:tcPr>
            <w:tcW w:w="475" w:type="pct"/>
            <w:noWrap/>
            <w:hideMark/>
          </w:tcPr>
          <w:p w14:paraId="2F99C6EC" w14:textId="77777777" w:rsidR="00865C25" w:rsidRPr="00B0078B" w:rsidRDefault="00865C25" w:rsidP="001A6611">
            <w:pPr>
              <w:pStyle w:val="TableText"/>
              <w:jc w:val="right"/>
            </w:pPr>
            <w:r w:rsidRPr="00B0078B">
              <w:t>6,905</w:t>
            </w:r>
          </w:p>
        </w:tc>
      </w:tr>
    </w:tbl>
    <w:p w14:paraId="4245C666" w14:textId="77777777" w:rsidR="00865C25" w:rsidRDefault="00865C25" w:rsidP="00865C25">
      <w:pPr>
        <w:pStyle w:val="NormalBeforeBullet"/>
        <w:spacing w:before="160"/>
      </w:pPr>
      <w:r>
        <w:t>If a patient has a biomarker identified by the small NGS gene panel (or the comparator), they may then be eligible for targeted treatment if they have locally advanced (stage IIIB) or metastatic (stage IV) NSCLC at the point of diagnosis, or once they progress to having locally advanced or metastatic disease.</w:t>
      </w:r>
    </w:p>
    <w:p w14:paraId="09D8FE3D" w14:textId="7D0EE61B" w:rsidR="00865C25" w:rsidRPr="00732AC4" w:rsidRDefault="00865C25" w:rsidP="00865C25">
      <w:pPr>
        <w:pStyle w:val="NormalBeforeBullet"/>
      </w:pPr>
      <w:r>
        <w:t xml:space="preserve">If patients progress while on treatment, they may be suspected of having developed intolerance to treatment due to resistance-variants and may be tested for the </w:t>
      </w:r>
      <w:r>
        <w:rPr>
          <w:i/>
        </w:rPr>
        <w:t xml:space="preserve">EGFR </w:t>
      </w:r>
      <w:r>
        <w:t>T790M resistance variant. Th</w:t>
      </w:r>
      <w:r w:rsidR="00D04F46">
        <w:t>e</w:t>
      </w:r>
      <w:r>
        <w:t xml:space="preserve"> use of </w:t>
      </w:r>
      <w:r w:rsidR="00D04F46">
        <w:t xml:space="preserve">this </w:t>
      </w:r>
      <w:r>
        <w:t xml:space="preserve">test is not expected to alter with the introduction of </w:t>
      </w:r>
      <w:r w:rsidR="00D04F46">
        <w:t xml:space="preserve">the </w:t>
      </w:r>
      <w:r>
        <w:t>small NGS panels.</w:t>
      </w:r>
    </w:p>
    <w:p w14:paraId="6E1FF0BE" w14:textId="5A638A47" w:rsidR="00F938D7" w:rsidRPr="00F938D7" w:rsidRDefault="00865C25" w:rsidP="00F938D7">
      <w:pPr>
        <w:pStyle w:val="Instructionaltext"/>
        <w:rPr>
          <w:color w:val="auto"/>
        </w:rPr>
      </w:pPr>
      <w:r w:rsidRPr="005161E7">
        <w:rPr>
          <w:color w:val="auto"/>
        </w:rPr>
        <w:t>The studies in the systematic review were included if at least 8</w:t>
      </w:r>
      <w:r>
        <w:rPr>
          <w:color w:val="auto"/>
        </w:rPr>
        <w:t>0</w:t>
      </w:r>
      <w:r w:rsidRPr="005161E7">
        <w:rPr>
          <w:color w:val="auto"/>
        </w:rPr>
        <w:t>% of the patient</w:t>
      </w:r>
      <w:r>
        <w:rPr>
          <w:color w:val="auto"/>
        </w:rPr>
        <w:t>s h</w:t>
      </w:r>
      <w:r w:rsidRPr="005161E7">
        <w:rPr>
          <w:color w:val="auto"/>
        </w:rPr>
        <w:t>ad non-squamous NSCLC (</w:t>
      </w:r>
      <w:proofErr w:type="gramStart"/>
      <w:r w:rsidRPr="005161E7">
        <w:rPr>
          <w:color w:val="auto"/>
        </w:rPr>
        <w:t>i.e.</w:t>
      </w:r>
      <w:proofErr w:type="gramEnd"/>
      <w:r w:rsidRPr="005161E7">
        <w:rPr>
          <w:color w:val="auto"/>
        </w:rPr>
        <w:t xml:space="preserve"> studies with a small proportion of squamous NSCLC were allowed as it was considered they would not influence the results significantly</w:t>
      </w:r>
      <w:r>
        <w:rPr>
          <w:color w:val="auto"/>
        </w:rPr>
        <w:t>)</w:t>
      </w:r>
      <w:r w:rsidRPr="005161E7">
        <w:rPr>
          <w:color w:val="auto"/>
        </w:rPr>
        <w:t>.</w:t>
      </w:r>
      <w:r w:rsidR="00F938D7">
        <w:rPr>
          <w:color w:val="auto"/>
        </w:rPr>
        <w:br w:type="page"/>
      </w:r>
    </w:p>
    <w:p w14:paraId="2419E2E7" w14:textId="63F72042" w:rsidR="00865C25" w:rsidRPr="00CE28E3" w:rsidRDefault="00813A4A" w:rsidP="00865C25">
      <w:pPr>
        <w:pStyle w:val="Heading2"/>
        <w:numPr>
          <w:ilvl w:val="0"/>
          <w:numId w:val="0"/>
        </w:numPr>
      </w:pPr>
      <w:bookmarkStart w:id="15" w:name="_Toc109149589"/>
      <w:r>
        <w:lastRenderedPageBreak/>
        <w:t>8</w:t>
      </w:r>
      <w:r w:rsidR="00865C25">
        <w:t>.</w:t>
      </w:r>
      <w:r w:rsidR="00865C25">
        <w:tab/>
      </w:r>
      <w:r w:rsidR="00865C25" w:rsidRPr="00CE28E3">
        <w:t>Comparator</w:t>
      </w:r>
      <w:bookmarkEnd w:id="15"/>
    </w:p>
    <w:p w14:paraId="10227596" w14:textId="77777777" w:rsidR="00865C25" w:rsidRDefault="00865C25" w:rsidP="00865C25">
      <w:pPr>
        <w:pStyle w:val="NormalBeforeBullet"/>
      </w:pPr>
      <w:r w:rsidRPr="00255E20">
        <w:t xml:space="preserve">The comparator to </w:t>
      </w:r>
      <w:r>
        <w:t>(one or two) small</w:t>
      </w:r>
      <w:r w:rsidRPr="00255E20">
        <w:t xml:space="preserve"> NGS </w:t>
      </w:r>
      <w:r>
        <w:t>panels</w:t>
      </w:r>
      <w:r w:rsidRPr="00255E20">
        <w:t xml:space="preserve"> is the use of sequential testing of biomarkers for targeted therapies for NSCLC using items currently available on the MBS</w:t>
      </w:r>
      <w:r>
        <w:t xml:space="preserve"> (or </w:t>
      </w:r>
      <w:proofErr w:type="gramStart"/>
      <w:r>
        <w:t>in the near future</w:t>
      </w:r>
      <w:proofErr w:type="gramEnd"/>
      <w:r>
        <w:t>)</w:t>
      </w:r>
      <w:r w:rsidRPr="00255E20">
        <w:t xml:space="preserve">. </w:t>
      </w:r>
      <w:r>
        <w:t>Specifically, this is:</w:t>
      </w:r>
    </w:p>
    <w:p w14:paraId="1505C1C7" w14:textId="77777777" w:rsidR="00865C25" w:rsidRPr="002A257B" w:rsidRDefault="00865C25" w:rsidP="00F938D7">
      <w:pPr>
        <w:pStyle w:val="NormalBeforeBullet"/>
        <w:numPr>
          <w:ilvl w:val="0"/>
          <w:numId w:val="10"/>
        </w:numPr>
        <w:spacing w:before="0" w:after="0"/>
        <w:ind w:left="714" w:hanging="357"/>
      </w:pPr>
      <w:r w:rsidRPr="002A257B">
        <w:t xml:space="preserve">Testing of </w:t>
      </w:r>
      <w:r w:rsidRPr="008A754B">
        <w:rPr>
          <w:i/>
        </w:rPr>
        <w:t xml:space="preserve">EGFR </w:t>
      </w:r>
      <w:r>
        <w:t>activating variant</w:t>
      </w:r>
      <w:r w:rsidRPr="002A257B">
        <w:t xml:space="preserve"> status</w:t>
      </w:r>
      <w:r>
        <w:t xml:space="preserve"> (MBS item 73337)</w:t>
      </w:r>
    </w:p>
    <w:p w14:paraId="18E7B14F" w14:textId="77777777" w:rsidR="00865C25" w:rsidRPr="000A6CCF" w:rsidRDefault="00865C25" w:rsidP="00F938D7">
      <w:pPr>
        <w:pStyle w:val="NormalBeforeBullet"/>
        <w:numPr>
          <w:ilvl w:val="0"/>
          <w:numId w:val="10"/>
        </w:numPr>
        <w:spacing w:before="0" w:after="0"/>
        <w:ind w:left="714" w:hanging="357"/>
      </w:pPr>
      <w:r w:rsidRPr="002A257B">
        <w:t xml:space="preserve">Immunohistochemistry </w:t>
      </w:r>
      <w:r>
        <w:t xml:space="preserve">(IHC) </w:t>
      </w:r>
      <w:r w:rsidRPr="002A257B">
        <w:t>testing as triage ALK testing</w:t>
      </w:r>
      <w:r>
        <w:t xml:space="preserve"> and triage ROS1 testing (most </w:t>
      </w:r>
      <w:r w:rsidRPr="000A6CCF">
        <w:t xml:space="preserve">likely </w:t>
      </w:r>
      <w:r w:rsidRPr="00C929A4">
        <w:t>included under</w:t>
      </w:r>
      <w:r w:rsidRPr="000A6CCF">
        <w:t xml:space="preserve"> MBS item </w:t>
      </w:r>
      <w:r>
        <w:t>72846</w:t>
      </w:r>
      <w:r w:rsidRPr="000A6CCF">
        <w:t xml:space="preserve"> </w:t>
      </w:r>
      <w:r w:rsidRPr="00C929A4">
        <w:t>at the time of initial diagnosis</w:t>
      </w:r>
      <w:r w:rsidRPr="000A6CCF">
        <w:t>)</w:t>
      </w:r>
    </w:p>
    <w:p w14:paraId="0B89D827" w14:textId="77777777" w:rsidR="00865C25" w:rsidRPr="002A257B" w:rsidRDefault="00865C25" w:rsidP="00F938D7">
      <w:pPr>
        <w:pStyle w:val="NormalBeforeBullet"/>
        <w:numPr>
          <w:ilvl w:val="0"/>
          <w:numId w:val="10"/>
        </w:numPr>
        <w:spacing w:before="0" w:after="0"/>
        <w:ind w:left="714" w:hanging="357"/>
      </w:pPr>
      <w:r w:rsidRPr="002A257B">
        <w:t xml:space="preserve">Testing of </w:t>
      </w:r>
      <w:r w:rsidRPr="008A754B">
        <w:rPr>
          <w:i/>
        </w:rPr>
        <w:t xml:space="preserve">ALK </w:t>
      </w:r>
      <w:r w:rsidRPr="002A257B">
        <w:t>gene rearrangement status by FISH</w:t>
      </w:r>
      <w:r>
        <w:t xml:space="preserve"> (MBS item 73341)</w:t>
      </w:r>
    </w:p>
    <w:p w14:paraId="42360957" w14:textId="77777777" w:rsidR="00865C25" w:rsidRDefault="00865C25" w:rsidP="00F938D7">
      <w:pPr>
        <w:pStyle w:val="NormalBeforeBullet"/>
        <w:numPr>
          <w:ilvl w:val="0"/>
          <w:numId w:val="10"/>
        </w:numPr>
        <w:spacing w:before="0" w:after="0"/>
        <w:ind w:left="714" w:hanging="357"/>
      </w:pPr>
      <w:r w:rsidRPr="002A257B">
        <w:t xml:space="preserve">Testing of </w:t>
      </w:r>
      <w:r w:rsidRPr="008A754B">
        <w:rPr>
          <w:i/>
        </w:rPr>
        <w:t>ROS1</w:t>
      </w:r>
      <w:r w:rsidRPr="002A257B">
        <w:t xml:space="preserve"> gene rearrangement status by FISH</w:t>
      </w:r>
      <w:r>
        <w:t xml:space="preserve"> (MBS item 73344)</w:t>
      </w:r>
    </w:p>
    <w:p w14:paraId="2E1118C9" w14:textId="77777777" w:rsidR="00865C25" w:rsidRPr="002A257B" w:rsidRDefault="00865C25" w:rsidP="00F938D7">
      <w:pPr>
        <w:pStyle w:val="NormalBeforeBullet"/>
        <w:numPr>
          <w:ilvl w:val="0"/>
          <w:numId w:val="10"/>
        </w:numPr>
        <w:spacing w:before="0" w:after="0"/>
        <w:ind w:left="714" w:hanging="357"/>
      </w:pPr>
      <w:r>
        <w:t xml:space="preserve">Testing of </w:t>
      </w:r>
      <w:r>
        <w:rPr>
          <w:i/>
        </w:rPr>
        <w:t>MET</w:t>
      </w:r>
      <w:r>
        <w:t>ex14 skipping alterations (recommended by MSAC)</w:t>
      </w:r>
    </w:p>
    <w:p w14:paraId="60F0AA1D" w14:textId="77777777" w:rsidR="00865C25" w:rsidRDefault="00865C25" w:rsidP="00865C25">
      <w:pPr>
        <w:pStyle w:val="NormalBeforeBullet"/>
      </w:pPr>
      <w:r>
        <w:t xml:space="preserve">At the point of diagnosis, patients are tested for </w:t>
      </w:r>
      <w:r>
        <w:rPr>
          <w:i/>
        </w:rPr>
        <w:t>EGFR</w:t>
      </w:r>
      <w:r>
        <w:t xml:space="preserve"> activating variants using a single gene test and with IHC for ALK and ROS1 protein expression. MSAC has recommended that testing for </w:t>
      </w:r>
      <w:r>
        <w:rPr>
          <w:i/>
        </w:rPr>
        <w:t>MET</w:t>
      </w:r>
      <w:r>
        <w:t>ex14 skipping (</w:t>
      </w:r>
      <w:r>
        <w:rPr>
          <w:i/>
        </w:rPr>
        <w:t>MET</w:t>
      </w:r>
      <w:r>
        <w:t xml:space="preserve">ex14sk) alterations be performed without the absence of other NSCLC biomarkers being a pre-requisite (Public Summary Document, ADAR 1660, p1). Although </w:t>
      </w:r>
      <w:r>
        <w:rPr>
          <w:i/>
        </w:rPr>
        <w:t>MET</w:t>
      </w:r>
      <w:r>
        <w:t xml:space="preserve">ex14sk testing is limited to patients with locally advanced or metastatic disease, the majority of patients meet </w:t>
      </w:r>
      <w:proofErr w:type="gramStart"/>
      <w:r>
        <w:t>this criteria</w:t>
      </w:r>
      <w:proofErr w:type="gramEnd"/>
      <w:r>
        <w:t xml:space="preserve"> at the point of diagnosis, so are assumed to be tested for </w:t>
      </w:r>
      <w:r>
        <w:rPr>
          <w:i/>
        </w:rPr>
        <w:t>MET</w:t>
      </w:r>
      <w:r>
        <w:t>ex14sk at the point of diagnosis.</w:t>
      </w:r>
    </w:p>
    <w:p w14:paraId="0BBB053D" w14:textId="77777777" w:rsidR="00865C25" w:rsidRDefault="00865C25" w:rsidP="00865C25">
      <w:r>
        <w:t xml:space="preserve">If the patient’s tumour is </w:t>
      </w:r>
      <w:r w:rsidRPr="005127FD">
        <w:rPr>
          <w:i/>
        </w:rPr>
        <w:t>EGFR</w:t>
      </w:r>
      <w:r w:rsidRPr="005127FD">
        <w:t xml:space="preserve"> </w:t>
      </w:r>
      <w:r>
        <w:t>activating variant negative, but positive or equivocal on ALK IHC triage testing (staining intensity score &gt;0), they may undergo confirmatory</w:t>
      </w:r>
      <w:r w:rsidRPr="00F57034">
        <w:rPr>
          <w:i/>
        </w:rPr>
        <w:t xml:space="preserve"> ALK</w:t>
      </w:r>
      <w:r>
        <w:t xml:space="preserve"> gene rearrangement testing using FISH if/when they have locally advanced or metastatic disease.</w:t>
      </w:r>
    </w:p>
    <w:p w14:paraId="20C49B73" w14:textId="77777777" w:rsidR="00865C25" w:rsidRDefault="00865C25" w:rsidP="00865C25">
      <w:r>
        <w:t xml:space="preserve">Likewise, if the patient’s tumour is </w:t>
      </w:r>
      <w:r>
        <w:rPr>
          <w:i/>
        </w:rPr>
        <w:t>EGFR</w:t>
      </w:r>
      <w:r>
        <w:t xml:space="preserve"> variant negative, but positive or equivocal on ROS1 IHC triage testing (staining intensity score of 2+ or 3+), they may undergo confirmatory </w:t>
      </w:r>
      <w:r w:rsidRPr="00F57034">
        <w:rPr>
          <w:i/>
        </w:rPr>
        <w:t>ROS1</w:t>
      </w:r>
      <w:r>
        <w:t xml:space="preserve"> gene rearrangement testing using FISH if/when they have locally advanced or metastatic disease.</w:t>
      </w:r>
    </w:p>
    <w:p w14:paraId="318C5DA6" w14:textId="77777777" w:rsidR="00865C25" w:rsidRDefault="00865C25" w:rsidP="00865C25">
      <w:r>
        <w:t xml:space="preserve">If patients do not have locally advanced or metastatic disease at the time of diagnosis, then a block retrieval item (MBS item 72860) </w:t>
      </w:r>
      <w:r w:rsidRPr="000A6CCF">
        <w:t>may be required</w:t>
      </w:r>
      <w:r>
        <w:t xml:space="preserve"> if referral to an outside laboratory is required for the FISH testing.</w:t>
      </w:r>
    </w:p>
    <w:p w14:paraId="70F17F18" w14:textId="3F9E91D8" w:rsidR="00865C25" w:rsidRDefault="00EF6F8E" w:rsidP="00865C25">
      <w:r>
        <w:t>The s</w:t>
      </w:r>
      <w:r w:rsidR="00865C25">
        <w:t xml:space="preserve">mall NGS panels are expected to replace all of these separate genetic </w:t>
      </w:r>
      <w:proofErr w:type="gramStart"/>
      <w:r w:rsidR="00865C25">
        <w:t>tests</w:t>
      </w:r>
      <w:r>
        <w:t>, and</w:t>
      </w:r>
      <w:proofErr w:type="gramEnd"/>
      <w:r>
        <w:t xml:space="preserve"> </w:t>
      </w:r>
      <w:r w:rsidR="00D04F46">
        <w:t xml:space="preserve">will </w:t>
      </w:r>
      <w:r>
        <w:t xml:space="preserve">also include the three </w:t>
      </w:r>
      <w:r>
        <w:rPr>
          <w:i/>
          <w:iCs/>
        </w:rPr>
        <w:t>NTRK</w:t>
      </w:r>
      <w:r>
        <w:t xml:space="preserve"> </w:t>
      </w:r>
      <w:r w:rsidR="00D04F46">
        <w:t xml:space="preserve">gene </w:t>
      </w:r>
      <w:r>
        <w:t>tests which are currently not MBS-reimbursed</w:t>
      </w:r>
      <w:r w:rsidR="00865C25">
        <w:t>. Other tests which co-occur at the point of diagnosis (but will not be affected by the introduction of NGS), are IHC to determine programmed death-ligand 1 (PD-L1) levels (noting that the PBS restriction for pembrolizumab in NSCLC is now agnostic for PD-L1 status).</w:t>
      </w:r>
    </w:p>
    <w:p w14:paraId="7BA5BB18" w14:textId="247DB192" w:rsidR="00865C25" w:rsidRPr="00CE28E3" w:rsidRDefault="00813A4A" w:rsidP="00865C25">
      <w:pPr>
        <w:pStyle w:val="Heading2"/>
        <w:numPr>
          <w:ilvl w:val="0"/>
          <w:numId w:val="0"/>
        </w:numPr>
      </w:pPr>
      <w:bookmarkStart w:id="16" w:name="_Toc109149590"/>
      <w:r>
        <w:t>9</w:t>
      </w:r>
      <w:r w:rsidR="00865C25">
        <w:t>.</w:t>
      </w:r>
      <w:r w:rsidR="00865C25">
        <w:tab/>
      </w:r>
      <w:r w:rsidR="00865C25" w:rsidRPr="00CE28E3">
        <w:t xml:space="preserve">Summary of public consultation </w:t>
      </w:r>
      <w:r w:rsidR="00865C25">
        <w:t>input</w:t>
      </w:r>
      <w:bookmarkEnd w:id="16"/>
    </w:p>
    <w:p w14:paraId="3241D1D9" w14:textId="77777777" w:rsidR="002F422A" w:rsidRPr="00F938D7" w:rsidRDefault="002F422A" w:rsidP="002F422A">
      <w:pPr>
        <w:rPr>
          <w:rFonts w:cstheme="minorHAnsi"/>
        </w:rPr>
      </w:pPr>
      <w:r w:rsidRPr="00F938D7">
        <w:t xml:space="preserve">Consultation input was received from seven (7) organisations. No feedback was received from consumer organisations or individual consumers or carers for this application. The feedback was strongly supportive of public funding of small gene panel testing for non-small cell lung carcinoma. </w:t>
      </w:r>
      <w:r w:rsidRPr="00F938D7">
        <w:rPr>
          <w:rFonts w:cstheme="minorHAnsi"/>
        </w:rPr>
        <w:t>The organisations that submitted input were:</w:t>
      </w:r>
    </w:p>
    <w:p w14:paraId="221C411C" w14:textId="77777777" w:rsidR="002F422A" w:rsidRPr="00F938D7" w:rsidRDefault="002F422A" w:rsidP="002F422A">
      <w:pPr>
        <w:pStyle w:val="paragraph"/>
        <w:numPr>
          <w:ilvl w:val="0"/>
          <w:numId w:val="31"/>
        </w:numPr>
        <w:spacing w:before="0" w:beforeAutospacing="0" w:after="0" w:afterAutospacing="0"/>
        <w:textAlignment w:val="baseline"/>
        <w:rPr>
          <w:rFonts w:ascii="Franklin Gothic Book" w:eastAsiaTheme="minorHAnsi" w:hAnsi="Franklin Gothic Book" w:cstheme="minorHAnsi"/>
          <w:sz w:val="22"/>
          <w:szCs w:val="22"/>
          <w:lang w:eastAsia="en-US"/>
        </w:rPr>
      </w:pPr>
      <w:r w:rsidRPr="00F938D7">
        <w:rPr>
          <w:rFonts w:ascii="Franklin Gothic Book" w:eastAsiaTheme="minorHAnsi" w:hAnsi="Franklin Gothic Book" w:cstheme="minorHAnsi"/>
          <w:sz w:val="22"/>
          <w:szCs w:val="22"/>
          <w:lang w:eastAsia="en-US"/>
        </w:rPr>
        <w:t>Public Pathology Australia (PPA)</w:t>
      </w:r>
    </w:p>
    <w:p w14:paraId="30FA8964" w14:textId="77777777" w:rsidR="002F422A" w:rsidRPr="00F938D7" w:rsidRDefault="002F422A" w:rsidP="002F422A">
      <w:pPr>
        <w:pStyle w:val="paragraph"/>
        <w:numPr>
          <w:ilvl w:val="0"/>
          <w:numId w:val="31"/>
        </w:numPr>
        <w:spacing w:before="0" w:beforeAutospacing="0" w:after="0" w:afterAutospacing="0"/>
        <w:textAlignment w:val="baseline"/>
        <w:rPr>
          <w:rFonts w:ascii="Franklin Gothic Book" w:eastAsiaTheme="minorHAnsi" w:hAnsi="Franklin Gothic Book" w:cstheme="minorHAnsi"/>
          <w:sz w:val="22"/>
          <w:szCs w:val="22"/>
          <w:lang w:eastAsia="en-US"/>
        </w:rPr>
      </w:pPr>
      <w:r w:rsidRPr="00F938D7">
        <w:rPr>
          <w:rFonts w:ascii="Franklin Gothic Book" w:eastAsiaTheme="minorHAnsi" w:hAnsi="Franklin Gothic Book" w:cstheme="minorHAnsi"/>
          <w:sz w:val="22"/>
          <w:szCs w:val="22"/>
          <w:lang w:eastAsia="en-US"/>
        </w:rPr>
        <w:t>Human Genetics Society of Australasia (HGSA)</w:t>
      </w:r>
    </w:p>
    <w:p w14:paraId="1675A057" w14:textId="77777777" w:rsidR="002F422A" w:rsidRPr="00F938D7" w:rsidRDefault="002F422A" w:rsidP="002F422A">
      <w:pPr>
        <w:pStyle w:val="paragraph"/>
        <w:numPr>
          <w:ilvl w:val="0"/>
          <w:numId w:val="31"/>
        </w:numPr>
        <w:spacing w:before="0" w:beforeAutospacing="0" w:after="0" w:afterAutospacing="0"/>
        <w:textAlignment w:val="baseline"/>
        <w:rPr>
          <w:rFonts w:ascii="Franklin Gothic Book" w:eastAsiaTheme="minorHAnsi" w:hAnsi="Franklin Gothic Book" w:cstheme="minorHAnsi"/>
          <w:sz w:val="22"/>
          <w:szCs w:val="22"/>
          <w:lang w:eastAsia="en-US"/>
        </w:rPr>
      </w:pPr>
      <w:r w:rsidRPr="00F938D7">
        <w:rPr>
          <w:rFonts w:ascii="Franklin Gothic Book" w:eastAsiaTheme="minorHAnsi" w:hAnsi="Franklin Gothic Book" w:cstheme="minorHAnsi"/>
          <w:sz w:val="22"/>
          <w:szCs w:val="22"/>
          <w:lang w:eastAsia="en-US"/>
        </w:rPr>
        <w:t xml:space="preserve">Roche Products Pty Ltd and Roche Diagnostics Australia </w:t>
      </w:r>
    </w:p>
    <w:p w14:paraId="3994E95F" w14:textId="77777777" w:rsidR="002F422A" w:rsidRPr="00F938D7" w:rsidRDefault="002F422A" w:rsidP="002F422A">
      <w:pPr>
        <w:pStyle w:val="paragraph"/>
        <w:numPr>
          <w:ilvl w:val="0"/>
          <w:numId w:val="31"/>
        </w:numPr>
        <w:spacing w:before="0" w:beforeAutospacing="0" w:after="0" w:afterAutospacing="0"/>
        <w:textAlignment w:val="baseline"/>
        <w:rPr>
          <w:rFonts w:ascii="Franklin Gothic Book" w:eastAsiaTheme="minorHAnsi" w:hAnsi="Franklin Gothic Book" w:cstheme="minorHAnsi"/>
          <w:sz w:val="22"/>
          <w:szCs w:val="22"/>
          <w:lang w:eastAsia="en-US"/>
        </w:rPr>
      </w:pPr>
      <w:r w:rsidRPr="00F938D7">
        <w:rPr>
          <w:rFonts w:ascii="Franklin Gothic Book" w:eastAsiaTheme="minorHAnsi" w:hAnsi="Franklin Gothic Book" w:cstheme="minorHAnsi"/>
          <w:sz w:val="22"/>
          <w:szCs w:val="22"/>
          <w:lang w:eastAsia="en-US"/>
        </w:rPr>
        <w:t>Australian Genomics Health Alliance (AGHA)</w:t>
      </w:r>
    </w:p>
    <w:p w14:paraId="20C9AB18" w14:textId="77777777" w:rsidR="002F422A" w:rsidRPr="00F938D7" w:rsidRDefault="002F422A" w:rsidP="002F422A">
      <w:pPr>
        <w:pStyle w:val="paragraph"/>
        <w:numPr>
          <w:ilvl w:val="0"/>
          <w:numId w:val="31"/>
        </w:numPr>
        <w:spacing w:before="0" w:beforeAutospacing="0" w:after="0" w:afterAutospacing="0"/>
        <w:textAlignment w:val="baseline"/>
        <w:rPr>
          <w:rFonts w:ascii="Franklin Gothic Book" w:eastAsiaTheme="minorHAnsi" w:hAnsi="Franklin Gothic Book" w:cstheme="minorHAnsi"/>
          <w:sz w:val="22"/>
          <w:szCs w:val="22"/>
          <w:lang w:eastAsia="en-US"/>
        </w:rPr>
      </w:pPr>
      <w:proofErr w:type="spellStart"/>
      <w:r w:rsidRPr="00F938D7">
        <w:rPr>
          <w:rFonts w:ascii="Franklin Gothic Book" w:eastAsiaTheme="minorHAnsi" w:hAnsi="Franklin Gothic Book" w:cstheme="minorHAnsi"/>
          <w:sz w:val="22"/>
          <w:szCs w:val="22"/>
          <w:lang w:eastAsia="en-US"/>
        </w:rPr>
        <w:t>InGeNA</w:t>
      </w:r>
      <w:proofErr w:type="spellEnd"/>
    </w:p>
    <w:p w14:paraId="73B5796E" w14:textId="7EC66534" w:rsidR="002F422A" w:rsidRPr="00F938D7" w:rsidRDefault="002F422A" w:rsidP="002F422A">
      <w:pPr>
        <w:pStyle w:val="paragraph"/>
        <w:numPr>
          <w:ilvl w:val="0"/>
          <w:numId w:val="31"/>
        </w:numPr>
        <w:spacing w:before="0" w:beforeAutospacing="0" w:after="0" w:afterAutospacing="0"/>
        <w:textAlignment w:val="baseline"/>
        <w:rPr>
          <w:rFonts w:ascii="Franklin Gothic Book" w:eastAsiaTheme="minorHAnsi" w:hAnsi="Franklin Gothic Book" w:cstheme="minorHAnsi"/>
          <w:sz w:val="22"/>
          <w:szCs w:val="22"/>
          <w:lang w:eastAsia="en-US"/>
        </w:rPr>
      </w:pPr>
      <w:r w:rsidRPr="00F938D7">
        <w:rPr>
          <w:rFonts w:ascii="Franklin Gothic Book" w:eastAsiaTheme="minorHAnsi" w:hAnsi="Franklin Gothic Book" w:cstheme="minorHAnsi"/>
          <w:sz w:val="22"/>
          <w:szCs w:val="22"/>
          <w:lang w:eastAsia="en-US"/>
        </w:rPr>
        <w:t>Janssen-</w:t>
      </w:r>
      <w:proofErr w:type="spellStart"/>
      <w:r w:rsidRPr="00F938D7">
        <w:rPr>
          <w:rFonts w:ascii="Franklin Gothic Book" w:eastAsiaTheme="minorHAnsi" w:hAnsi="Franklin Gothic Book" w:cstheme="minorHAnsi"/>
          <w:sz w:val="22"/>
          <w:szCs w:val="22"/>
          <w:lang w:eastAsia="en-US"/>
        </w:rPr>
        <w:t>Cilag</w:t>
      </w:r>
      <w:proofErr w:type="spellEnd"/>
      <w:r w:rsidRPr="00F938D7">
        <w:rPr>
          <w:rFonts w:ascii="Franklin Gothic Book" w:eastAsiaTheme="minorHAnsi" w:hAnsi="Franklin Gothic Book" w:cstheme="minorHAnsi"/>
          <w:sz w:val="22"/>
          <w:szCs w:val="22"/>
          <w:lang w:eastAsia="en-US"/>
        </w:rPr>
        <w:t xml:space="preserve"> Pty Ltd</w:t>
      </w:r>
    </w:p>
    <w:p w14:paraId="14005644" w14:textId="77777777" w:rsidR="002F422A" w:rsidRPr="00F938D7" w:rsidRDefault="002F422A" w:rsidP="002F422A">
      <w:pPr>
        <w:pStyle w:val="paragraph"/>
        <w:numPr>
          <w:ilvl w:val="0"/>
          <w:numId w:val="31"/>
        </w:numPr>
        <w:spacing w:before="0" w:beforeAutospacing="0" w:after="0" w:afterAutospacing="0"/>
        <w:textAlignment w:val="baseline"/>
        <w:rPr>
          <w:rFonts w:ascii="Franklin Gothic Book" w:eastAsiaTheme="minorHAnsi" w:hAnsi="Franklin Gothic Book" w:cstheme="minorHAnsi"/>
          <w:sz w:val="22"/>
          <w:szCs w:val="22"/>
          <w:lang w:eastAsia="en-US"/>
        </w:rPr>
      </w:pPr>
      <w:r w:rsidRPr="00F938D7">
        <w:rPr>
          <w:rFonts w:ascii="Franklin Gothic Book" w:eastAsiaTheme="minorHAnsi" w:hAnsi="Franklin Gothic Book" w:cstheme="minorHAnsi"/>
          <w:sz w:val="22"/>
          <w:szCs w:val="22"/>
          <w:lang w:eastAsia="en-US"/>
        </w:rPr>
        <w:t xml:space="preserve">The Thoracic Oncology Group of Australasia (TOGA) </w:t>
      </w:r>
    </w:p>
    <w:p w14:paraId="7950EA19" w14:textId="77777777" w:rsidR="002F422A" w:rsidRPr="00F938D7" w:rsidRDefault="002F422A" w:rsidP="002F422A">
      <w:r w:rsidRPr="00F938D7">
        <w:lastRenderedPageBreak/>
        <w:t>Key benefits of the proposed testing were identified as: </w:t>
      </w:r>
    </w:p>
    <w:p w14:paraId="3031C8C7" w14:textId="77777777" w:rsidR="002F422A" w:rsidRPr="00F938D7" w:rsidRDefault="002F422A" w:rsidP="002F422A">
      <w:pPr>
        <w:pStyle w:val="BulletBeforeDash"/>
        <w:numPr>
          <w:ilvl w:val="0"/>
          <w:numId w:val="32"/>
        </w:numPr>
        <w:autoSpaceDE w:val="0"/>
        <w:autoSpaceDN w:val="0"/>
        <w:adjustRightInd w:val="0"/>
        <w:rPr>
          <w:rFonts w:cstheme="minorHAnsi"/>
          <w:i/>
          <w:iCs/>
          <w:color w:val="auto"/>
          <w:szCs w:val="22"/>
        </w:rPr>
      </w:pPr>
      <w:r w:rsidRPr="00F938D7">
        <w:rPr>
          <w:rFonts w:cstheme="minorHAnsi"/>
          <w:i/>
          <w:iCs/>
          <w:szCs w:val="22"/>
        </w:rPr>
        <w:t xml:space="preserve">“Allowing contemporaneous testing on a single platform will have a dual advantage of making more tissue available for the single test and return results for selection of optimal therapy in a short </w:t>
      </w:r>
      <w:r w:rsidRPr="00F938D7">
        <w:rPr>
          <w:rFonts w:cstheme="minorHAnsi"/>
          <w:i/>
          <w:iCs/>
          <w:color w:val="auto"/>
          <w:szCs w:val="22"/>
        </w:rPr>
        <w:t>timeframe.”</w:t>
      </w:r>
    </w:p>
    <w:p w14:paraId="00F05256" w14:textId="77777777" w:rsidR="002F422A" w:rsidRPr="00F938D7" w:rsidRDefault="002F422A" w:rsidP="002F422A">
      <w:pPr>
        <w:pStyle w:val="BulletBeforeDash"/>
        <w:numPr>
          <w:ilvl w:val="0"/>
          <w:numId w:val="32"/>
        </w:numPr>
        <w:autoSpaceDE w:val="0"/>
        <w:autoSpaceDN w:val="0"/>
        <w:adjustRightInd w:val="0"/>
        <w:rPr>
          <w:rFonts w:cstheme="minorHAnsi"/>
          <w:i/>
          <w:iCs/>
          <w:szCs w:val="22"/>
        </w:rPr>
      </w:pPr>
      <w:r w:rsidRPr="00F938D7">
        <w:rPr>
          <w:rFonts w:cstheme="minorHAnsi"/>
          <w:i/>
          <w:iCs/>
          <w:szCs w:val="22"/>
        </w:rPr>
        <w:t>“MBS funding of a panel-based service positions molecular pathology laboratories to support evolution of molecular testing to keep pace with new therapy developments.”</w:t>
      </w:r>
    </w:p>
    <w:p w14:paraId="1E937121" w14:textId="77777777" w:rsidR="002F422A" w:rsidRPr="00F938D7" w:rsidRDefault="002F422A" w:rsidP="002F422A">
      <w:pPr>
        <w:pStyle w:val="BulletBeforeDash"/>
        <w:numPr>
          <w:ilvl w:val="0"/>
          <w:numId w:val="32"/>
        </w:numPr>
        <w:autoSpaceDE w:val="0"/>
        <w:autoSpaceDN w:val="0"/>
        <w:adjustRightInd w:val="0"/>
        <w:rPr>
          <w:rFonts w:cstheme="minorHAnsi"/>
          <w:i/>
          <w:iCs/>
          <w:szCs w:val="22"/>
        </w:rPr>
      </w:pPr>
      <w:r w:rsidRPr="00F938D7">
        <w:rPr>
          <w:rFonts w:cstheme="minorHAnsi"/>
          <w:szCs w:val="22"/>
        </w:rPr>
        <w:t xml:space="preserve">Funding the test will align with current clinical practice for testing in these patients.  </w:t>
      </w:r>
    </w:p>
    <w:p w14:paraId="1967C832" w14:textId="77777777" w:rsidR="002F422A" w:rsidRPr="00F938D7" w:rsidRDefault="002F422A" w:rsidP="002F422A">
      <w:pPr>
        <w:pStyle w:val="BulletBeforeDash"/>
        <w:numPr>
          <w:ilvl w:val="0"/>
          <w:numId w:val="32"/>
        </w:numPr>
        <w:autoSpaceDE w:val="0"/>
        <w:autoSpaceDN w:val="0"/>
        <w:adjustRightInd w:val="0"/>
        <w:rPr>
          <w:rFonts w:cstheme="minorHAnsi"/>
          <w:i/>
          <w:iCs/>
          <w:szCs w:val="22"/>
        </w:rPr>
      </w:pPr>
      <w:r w:rsidRPr="00F938D7">
        <w:rPr>
          <w:rFonts w:cstheme="minorHAnsi"/>
          <w:szCs w:val="22"/>
        </w:rPr>
        <w:t xml:space="preserve">Funding the testing will support equity of access for patients. </w:t>
      </w:r>
    </w:p>
    <w:p w14:paraId="3D77F6E6" w14:textId="77777777" w:rsidR="002F422A" w:rsidRPr="00F938D7" w:rsidRDefault="002F422A" w:rsidP="002F422A">
      <w:pPr>
        <w:pStyle w:val="BulletBeforeDash"/>
        <w:numPr>
          <w:ilvl w:val="0"/>
          <w:numId w:val="32"/>
        </w:numPr>
        <w:autoSpaceDE w:val="0"/>
        <w:autoSpaceDN w:val="0"/>
        <w:adjustRightInd w:val="0"/>
        <w:rPr>
          <w:rFonts w:cstheme="minorHAnsi"/>
          <w:i/>
          <w:iCs/>
          <w:szCs w:val="22"/>
        </w:rPr>
      </w:pPr>
      <w:r w:rsidRPr="00F938D7">
        <w:rPr>
          <w:rFonts w:cstheme="minorHAnsi"/>
          <w:szCs w:val="22"/>
        </w:rPr>
        <w:t xml:space="preserve">It may reduce the need for re-biopsy.  </w:t>
      </w:r>
    </w:p>
    <w:p w14:paraId="3E47B7C0" w14:textId="77777777" w:rsidR="002F422A" w:rsidRPr="00F938D7" w:rsidRDefault="002F422A" w:rsidP="002F422A">
      <w:pPr>
        <w:pStyle w:val="BulletBeforeDash"/>
        <w:numPr>
          <w:ilvl w:val="0"/>
          <w:numId w:val="32"/>
        </w:numPr>
        <w:autoSpaceDE w:val="0"/>
        <w:autoSpaceDN w:val="0"/>
        <w:adjustRightInd w:val="0"/>
        <w:rPr>
          <w:rFonts w:cstheme="minorHAnsi"/>
          <w:i/>
          <w:iCs/>
          <w:szCs w:val="22"/>
        </w:rPr>
      </w:pPr>
      <w:r w:rsidRPr="00F938D7">
        <w:rPr>
          <w:rFonts w:cstheme="minorHAnsi"/>
          <w:szCs w:val="22"/>
        </w:rPr>
        <w:t>Funding the testing will standardise molecular testing in lung cancer which will improve patient outcomes.</w:t>
      </w:r>
    </w:p>
    <w:p w14:paraId="606108FB" w14:textId="1CBA47C5" w:rsidR="002F422A" w:rsidRPr="00F938D7" w:rsidRDefault="002F422A" w:rsidP="002F422A">
      <w:pPr>
        <w:pStyle w:val="BulletBeforeDash"/>
        <w:numPr>
          <w:ilvl w:val="0"/>
          <w:numId w:val="32"/>
        </w:numPr>
        <w:autoSpaceDE w:val="0"/>
        <w:autoSpaceDN w:val="0"/>
        <w:adjustRightInd w:val="0"/>
        <w:rPr>
          <w:rFonts w:cstheme="minorHAnsi"/>
          <w:i/>
          <w:iCs/>
          <w:szCs w:val="22"/>
        </w:rPr>
      </w:pPr>
      <w:r w:rsidRPr="00F938D7">
        <w:rPr>
          <w:rFonts w:cstheme="minorHAnsi"/>
          <w:szCs w:val="22"/>
        </w:rPr>
        <w:t>The test will allow for faster and more comprehensive genomic testing which may facilitate earlier access to targeted therapies for patients. One organisation stated that up to 75% of patients present with advanced stage of the disease and do not undergo surgery.</w:t>
      </w:r>
    </w:p>
    <w:p w14:paraId="41B9B420" w14:textId="70C1BDE5" w:rsidR="002F422A" w:rsidRPr="00F938D7" w:rsidRDefault="002F422A" w:rsidP="00932117">
      <w:pPr>
        <w:pStyle w:val="BulletBeforeDash"/>
        <w:numPr>
          <w:ilvl w:val="0"/>
          <w:numId w:val="32"/>
        </w:numPr>
        <w:autoSpaceDE w:val="0"/>
        <w:autoSpaceDN w:val="0"/>
        <w:adjustRightInd w:val="0"/>
        <w:rPr>
          <w:rFonts w:cstheme="minorHAnsi"/>
          <w:i/>
          <w:iCs/>
          <w:szCs w:val="22"/>
        </w:rPr>
      </w:pPr>
      <w:r w:rsidRPr="00F938D7">
        <w:rPr>
          <w:rFonts w:cstheme="minorHAnsi"/>
          <w:szCs w:val="22"/>
        </w:rPr>
        <w:t>It may ensure that patients don’t receive treatments they don’t need, which reduces the cost to the health system.</w:t>
      </w:r>
    </w:p>
    <w:p w14:paraId="0C4018E7" w14:textId="77777777" w:rsidR="002F422A" w:rsidRPr="00F938D7" w:rsidRDefault="002F422A" w:rsidP="002F422A">
      <w:r w:rsidRPr="00F938D7">
        <w:t>Potential disadvantages of the proposed genetic testing were identified as: </w:t>
      </w:r>
    </w:p>
    <w:p w14:paraId="12081144" w14:textId="77777777" w:rsidR="002F422A" w:rsidRPr="00F938D7" w:rsidRDefault="002F422A" w:rsidP="002F422A">
      <w:pPr>
        <w:pStyle w:val="BulletBeforeDash"/>
        <w:numPr>
          <w:ilvl w:val="0"/>
          <w:numId w:val="33"/>
        </w:numPr>
        <w:rPr>
          <w:rFonts w:cstheme="minorHAnsi"/>
          <w:i/>
          <w:iCs/>
          <w:szCs w:val="22"/>
        </w:rPr>
      </w:pPr>
      <w:r w:rsidRPr="00F938D7">
        <w:rPr>
          <w:rFonts w:cstheme="minorHAnsi"/>
          <w:i/>
          <w:iCs/>
          <w:szCs w:val="22"/>
        </w:rPr>
        <w:t>“Due to the limited size, small gene panels may preclude patients with rare alterations from receiving targeted therapy and potentially improving their health outcomes.”</w:t>
      </w:r>
    </w:p>
    <w:p w14:paraId="472FD034" w14:textId="2D3D335C" w:rsidR="00733107" w:rsidRPr="00F938D7" w:rsidRDefault="002F422A" w:rsidP="00932117">
      <w:pPr>
        <w:pStyle w:val="BulletBeforeDash"/>
        <w:numPr>
          <w:ilvl w:val="0"/>
          <w:numId w:val="33"/>
        </w:numPr>
        <w:rPr>
          <w:rFonts w:cstheme="minorHAnsi"/>
          <w:i/>
          <w:iCs/>
          <w:szCs w:val="22"/>
        </w:rPr>
      </w:pPr>
      <w:r w:rsidRPr="00F938D7">
        <w:rPr>
          <w:rFonts w:cstheme="minorHAnsi"/>
        </w:rPr>
        <w:t>The knowledge surrounding biomarkers and targets for testing is growing and the small gene panel may not be sufficient to guide best clinical care in future.</w:t>
      </w:r>
    </w:p>
    <w:p w14:paraId="5ABFC872" w14:textId="4C845F04" w:rsidR="00865C25" w:rsidRPr="00CE28E3" w:rsidRDefault="00813A4A" w:rsidP="00865C25">
      <w:pPr>
        <w:pStyle w:val="Heading2"/>
        <w:numPr>
          <w:ilvl w:val="0"/>
          <w:numId w:val="0"/>
        </w:numPr>
      </w:pPr>
      <w:bookmarkStart w:id="17" w:name="_Toc109149591"/>
      <w:r>
        <w:t>10</w:t>
      </w:r>
      <w:r w:rsidR="00865C25">
        <w:t>.</w:t>
      </w:r>
      <w:r w:rsidR="00865C25">
        <w:tab/>
      </w:r>
      <w:r w:rsidR="00865C25" w:rsidRPr="00CE28E3">
        <w:t>Characteristics of the evidence base</w:t>
      </w:r>
      <w:bookmarkEnd w:id="17"/>
    </w:p>
    <w:p w14:paraId="0A79B4DA" w14:textId="77777777" w:rsidR="00865C25" w:rsidRDefault="00865C25" w:rsidP="00865C25">
      <w:pPr>
        <w:pStyle w:val="Instructionaltext"/>
        <w:rPr>
          <w:color w:val="auto"/>
        </w:rPr>
      </w:pPr>
      <w:r>
        <w:rPr>
          <w:color w:val="auto"/>
        </w:rPr>
        <w:t xml:space="preserve">A total of 49 studies were identified from the systematic review, assessing the direct from test to health outcomes evidence, test performance, and change in management. </w:t>
      </w:r>
      <w:proofErr w:type="gramStart"/>
      <w:r>
        <w:rPr>
          <w:color w:val="auto"/>
        </w:rPr>
        <w:t>The majority of</w:t>
      </w:r>
      <w:proofErr w:type="gramEnd"/>
      <w:r>
        <w:rPr>
          <w:color w:val="auto"/>
        </w:rPr>
        <w:t xml:space="preserve"> the evidence was on test performance (k=40), with 30 studies reporting on the concordance of NGS with single gene tests. Conclusions on the concordance of the tests could therefore be made with high certainty. The proportion of samples successfully tested (based on having sufficient tissue/DNA/RNA for testing) was assessed in only one between-patient study, although this was large (n=4040) and had low to moderate risk of bias. However, the evidence may not be directly applicable, as the healthcare setting in the Netherlands used a combination of DNA NGS with fusion testing performed by IHC or FISH or RNA NGS rather than just DNA and RNA NGS.</w:t>
      </w:r>
    </w:p>
    <w:p w14:paraId="7A1BD733" w14:textId="77777777" w:rsidR="00865C25" w:rsidRPr="00FC058D" w:rsidRDefault="00865C25" w:rsidP="00865C25">
      <w:pPr>
        <w:pStyle w:val="Instructionaltext"/>
        <w:rPr>
          <w:color w:val="auto"/>
        </w:rPr>
      </w:pPr>
      <w:r>
        <w:rPr>
          <w:color w:val="auto"/>
        </w:rPr>
        <w:t xml:space="preserve">Change in management data (predictive yield and uptake of rebiopsy) and test-to-health outcomes data (clinical utility) were very limited. However, the last step of linked evidence (assessing the impact of the change of management) was supplemented by targeted (non-systematic) searches, which provided reasonable certainty </w:t>
      </w:r>
      <w:proofErr w:type="gramStart"/>
      <w:r>
        <w:rPr>
          <w:color w:val="auto"/>
        </w:rPr>
        <w:t>in regards to</w:t>
      </w:r>
      <w:proofErr w:type="gramEnd"/>
      <w:r>
        <w:rPr>
          <w:color w:val="auto"/>
        </w:rPr>
        <w:t xml:space="preserve"> the harms associated with rebiopsy, and low certainty evidence that the additional targetable variants identified by NGS are likely to respond to targeted therapies. The economic analysis incorporates the test performance data (concordance and proportion of tests performed successfully) and proportion of samples </w:t>
      </w:r>
      <w:proofErr w:type="spellStart"/>
      <w:r>
        <w:rPr>
          <w:color w:val="auto"/>
        </w:rPr>
        <w:t>rebiopsied</w:t>
      </w:r>
      <w:proofErr w:type="spellEnd"/>
      <w:r>
        <w:rPr>
          <w:color w:val="auto"/>
        </w:rPr>
        <w:t>.</w:t>
      </w:r>
    </w:p>
    <w:p w14:paraId="191BAEB9" w14:textId="27516301" w:rsidR="00865C25" w:rsidRPr="00B01AD7" w:rsidRDefault="00865C25" w:rsidP="00865C25">
      <w:pPr>
        <w:pStyle w:val="Instructionaltext"/>
        <w:rPr>
          <w:color w:val="auto"/>
        </w:rPr>
      </w:pPr>
      <w:r w:rsidRPr="00B01AD7">
        <w:rPr>
          <w:color w:val="auto"/>
        </w:rPr>
        <w:t>Although the target population was non-squamous NSCLC (or NOS), studies were included if no more than 15% of the included sample</w:t>
      </w:r>
      <w:r>
        <w:rPr>
          <w:color w:val="auto"/>
        </w:rPr>
        <w:t>s</w:t>
      </w:r>
      <w:r w:rsidRPr="00B01AD7">
        <w:rPr>
          <w:color w:val="auto"/>
        </w:rPr>
        <w:t xml:space="preserve"> w</w:t>
      </w:r>
      <w:r>
        <w:rPr>
          <w:color w:val="auto"/>
        </w:rPr>
        <w:t>ere</w:t>
      </w:r>
      <w:r w:rsidRPr="00B01AD7">
        <w:rPr>
          <w:color w:val="auto"/>
        </w:rPr>
        <w:t xml:space="preserve"> squamous. Where data could be extracted separately for patients with non-squamous tumours, this was done (such as for some of the key evidence provided by </w:t>
      </w:r>
      <w:proofErr w:type="spellStart"/>
      <w:r w:rsidRPr="00B01AD7">
        <w:rPr>
          <w:color w:val="auto"/>
        </w:rPr>
        <w:t>Steegh</w:t>
      </w:r>
      <w:r>
        <w:rPr>
          <w:color w:val="auto"/>
        </w:rPr>
        <w:t>s</w:t>
      </w:r>
      <w:proofErr w:type="spellEnd"/>
      <w:r w:rsidRPr="00B01AD7">
        <w:rPr>
          <w:color w:val="auto"/>
        </w:rPr>
        <w:t xml:space="preserve"> et al. (2022)</w:t>
      </w:r>
      <w:r>
        <w:rPr>
          <w:color w:val="auto"/>
        </w:rPr>
        <w:t>)</w:t>
      </w:r>
      <w:r w:rsidRPr="00B01AD7">
        <w:rPr>
          <w:color w:val="auto"/>
        </w:rPr>
        <w:t xml:space="preserve">, but </w:t>
      </w:r>
      <w:proofErr w:type="gramStart"/>
      <w:r w:rsidRPr="00B01AD7">
        <w:rPr>
          <w:color w:val="auto"/>
        </w:rPr>
        <w:t>the majority of</w:t>
      </w:r>
      <w:proofErr w:type="gramEnd"/>
      <w:r w:rsidRPr="00B01AD7">
        <w:rPr>
          <w:color w:val="auto"/>
        </w:rPr>
        <w:t xml:space="preserve"> studies did not provide subgroup analyses.</w:t>
      </w:r>
    </w:p>
    <w:p w14:paraId="560AB7F6" w14:textId="77777777" w:rsidR="00865C25" w:rsidRPr="00CE28E3" w:rsidRDefault="00865C25" w:rsidP="00865C25">
      <w:pPr>
        <w:pStyle w:val="Caption"/>
        <w:rPr>
          <w:sz w:val="16"/>
          <w:szCs w:val="16"/>
        </w:rPr>
      </w:pPr>
      <w:bookmarkStart w:id="18" w:name="_Ref69725659"/>
      <w:r w:rsidRPr="00CE28E3">
        <w:lastRenderedPageBreak/>
        <w:t>Table</w:t>
      </w:r>
      <w:r>
        <w:t> </w:t>
      </w:r>
      <w:r w:rsidR="007F7A58">
        <w:fldChar w:fldCharType="begin"/>
      </w:r>
      <w:r w:rsidR="007F7A58">
        <w:instrText xml:space="preserve"> SEQ Table \* ARABIC </w:instrText>
      </w:r>
      <w:r w:rsidR="007F7A58">
        <w:fldChar w:fldCharType="separate"/>
      </w:r>
      <w:r>
        <w:rPr>
          <w:noProof/>
        </w:rPr>
        <w:t>5</w:t>
      </w:r>
      <w:r w:rsidR="007F7A58">
        <w:rPr>
          <w:noProof/>
        </w:rPr>
        <w:fldChar w:fldCharType="end"/>
      </w:r>
      <w:bookmarkEnd w:id="18"/>
      <w:r w:rsidRPr="00CE28E3">
        <w:tab/>
        <w:t xml:space="preserve">Key features of the included evidence </w:t>
      </w:r>
    </w:p>
    <w:tbl>
      <w:tblPr>
        <w:tblStyle w:val="TableGrid1"/>
        <w:tblW w:w="5000" w:type="pct"/>
        <w:tblLook w:val="04A0" w:firstRow="1" w:lastRow="0" w:firstColumn="1" w:lastColumn="0" w:noHBand="0" w:noVBand="1"/>
        <w:tblCaption w:val="Key features of the included evidence "/>
        <w:tblDescription w:val="summary of the number of studies and patients informing each section of the clinical assessment"/>
      </w:tblPr>
      <w:tblGrid>
        <w:gridCol w:w="1816"/>
        <w:gridCol w:w="3325"/>
        <w:gridCol w:w="1938"/>
        <w:gridCol w:w="1937"/>
      </w:tblGrid>
      <w:tr w:rsidR="00865C25" w:rsidRPr="00CE28E3" w14:paraId="1657B857" w14:textId="77777777" w:rsidTr="001A6611">
        <w:trPr>
          <w:cnfStyle w:val="100000000000" w:firstRow="1" w:lastRow="0" w:firstColumn="0" w:lastColumn="0" w:oddVBand="0" w:evenVBand="0" w:oddHBand="0" w:evenHBand="0" w:firstRowFirstColumn="0" w:firstRowLastColumn="0" w:lastRowFirstColumn="0" w:lastRowLastColumn="0"/>
          <w:tblHeader/>
        </w:trPr>
        <w:tc>
          <w:tcPr>
            <w:tcW w:w="1007" w:type="pct"/>
            <w:tcBorders>
              <w:top w:val="single" w:sz="4" w:space="0" w:color="auto"/>
              <w:left w:val="single" w:sz="4" w:space="0" w:color="auto"/>
              <w:bottom w:val="single" w:sz="4" w:space="0" w:color="auto"/>
              <w:right w:val="single" w:sz="4" w:space="0" w:color="auto"/>
            </w:tcBorders>
            <w:vAlign w:val="bottom"/>
          </w:tcPr>
          <w:p w14:paraId="74404084" w14:textId="77777777" w:rsidR="00865C25" w:rsidRPr="00CE28E3" w:rsidRDefault="00865C25" w:rsidP="001A6611">
            <w:pPr>
              <w:pStyle w:val="TableText"/>
              <w:keepNext/>
              <w:rPr>
                <w:b/>
              </w:rPr>
            </w:pPr>
            <w:bookmarkStart w:id="19" w:name="ColumnTitle_Table4"/>
            <w:bookmarkStart w:id="20" w:name="_Hlk68276288"/>
            <w:bookmarkEnd w:id="19"/>
            <w:r>
              <w:rPr>
                <w:b/>
              </w:rPr>
              <w:t>Criterion</w:t>
            </w:r>
          </w:p>
        </w:tc>
        <w:tc>
          <w:tcPr>
            <w:tcW w:w="1844" w:type="pct"/>
            <w:tcBorders>
              <w:top w:val="single" w:sz="4" w:space="0" w:color="auto"/>
              <w:left w:val="single" w:sz="4" w:space="0" w:color="auto"/>
              <w:bottom w:val="single" w:sz="4" w:space="0" w:color="auto"/>
              <w:right w:val="single" w:sz="4" w:space="0" w:color="auto"/>
            </w:tcBorders>
            <w:vAlign w:val="bottom"/>
            <w:hideMark/>
          </w:tcPr>
          <w:p w14:paraId="5FF7F439" w14:textId="77777777" w:rsidR="00865C25" w:rsidRPr="00CE28E3" w:rsidRDefault="00865C25" w:rsidP="001A6611">
            <w:pPr>
              <w:pStyle w:val="TableText"/>
              <w:keepNext/>
              <w:rPr>
                <w:b/>
              </w:rPr>
            </w:pPr>
            <w:r w:rsidRPr="00CE28E3">
              <w:rPr>
                <w:b/>
              </w:rPr>
              <w:t>Type of evidence supplied</w:t>
            </w:r>
          </w:p>
        </w:tc>
        <w:tc>
          <w:tcPr>
            <w:tcW w:w="1075" w:type="pct"/>
            <w:tcBorders>
              <w:top w:val="single" w:sz="4" w:space="0" w:color="auto"/>
              <w:left w:val="single" w:sz="4" w:space="0" w:color="auto"/>
              <w:bottom w:val="single" w:sz="4" w:space="0" w:color="auto"/>
              <w:right w:val="single" w:sz="4" w:space="0" w:color="auto"/>
            </w:tcBorders>
            <w:vAlign w:val="bottom"/>
            <w:hideMark/>
          </w:tcPr>
          <w:p w14:paraId="46611AAE" w14:textId="77777777" w:rsidR="00865C25" w:rsidRPr="00CE28E3" w:rsidRDefault="00865C25" w:rsidP="001A6611">
            <w:pPr>
              <w:pStyle w:val="TableText"/>
              <w:keepNext/>
              <w:rPr>
                <w:b/>
              </w:rPr>
            </w:pPr>
            <w:r w:rsidRPr="00CE28E3">
              <w:rPr>
                <w:b/>
              </w:rPr>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1649553D" w14:textId="77777777" w:rsidR="00865C25" w:rsidRPr="00CE28E3" w:rsidRDefault="00865C25" w:rsidP="001A6611">
            <w:pPr>
              <w:pStyle w:val="TableText"/>
              <w:keepNext/>
              <w:rPr>
                <w:b/>
              </w:rPr>
            </w:pPr>
            <w:r w:rsidRPr="00CE28E3">
              <w:rPr>
                <w:b/>
              </w:rPr>
              <w:t>Overall risk of bias in evidence base</w:t>
            </w:r>
          </w:p>
        </w:tc>
      </w:tr>
      <w:tr w:rsidR="00865C25" w:rsidRPr="00CE28E3" w14:paraId="015DEC17" w14:textId="77777777" w:rsidTr="001A6611">
        <w:tc>
          <w:tcPr>
            <w:tcW w:w="1007" w:type="pct"/>
            <w:tcBorders>
              <w:top w:val="single" w:sz="4" w:space="0" w:color="auto"/>
              <w:left w:val="single" w:sz="4" w:space="0" w:color="auto"/>
              <w:bottom w:val="single" w:sz="4" w:space="0" w:color="auto"/>
              <w:right w:val="single" w:sz="4" w:space="0" w:color="auto"/>
            </w:tcBorders>
            <w:hideMark/>
          </w:tcPr>
          <w:p w14:paraId="3E479768" w14:textId="77777777" w:rsidR="00865C25" w:rsidRPr="00CE28E3" w:rsidRDefault="00865C25" w:rsidP="001A6611">
            <w:pPr>
              <w:pStyle w:val="TableText"/>
              <w:keepNext/>
            </w:pPr>
            <w:r w:rsidRPr="00CE28E3">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5B88344A" w14:textId="77777777" w:rsidR="00865C25" w:rsidRPr="00FC0388" w:rsidRDefault="00865C25" w:rsidP="001A6611">
            <w:pPr>
              <w:pStyle w:val="TableText"/>
              <w:keepNext/>
              <w:rPr>
                <w:color w:val="000000" w:themeColor="text1"/>
              </w:rPr>
            </w:pPr>
            <w:r>
              <w:rPr>
                <w:color w:val="000000" w:themeColor="text1"/>
              </w:rPr>
              <w:t>Evidence that NGS is highly concordant with single-gene testing, and detects more extra cases than it misses</w:t>
            </w:r>
          </w:p>
          <w:p w14:paraId="134AEDFA" w14:textId="77777777" w:rsidR="00865C25" w:rsidRPr="00CE28E3" w:rsidRDefault="00865C25" w:rsidP="001A6611">
            <w:pPr>
              <w:pStyle w:val="TableText"/>
              <w:keepNext/>
            </w:pPr>
            <w:r>
              <w:rPr>
                <w:color w:val="000000" w:themeColor="text1"/>
              </w:rPr>
              <w:t>Evidence that NGS has a higher proportion of samples successfully tested (better use of tumour tissue)</w:t>
            </w:r>
          </w:p>
        </w:tc>
        <w:tc>
          <w:tcPr>
            <w:tcW w:w="1075" w:type="pct"/>
            <w:tcBorders>
              <w:top w:val="single" w:sz="4" w:space="0" w:color="auto"/>
              <w:left w:val="single" w:sz="4" w:space="0" w:color="auto"/>
              <w:bottom w:val="single" w:sz="4" w:space="0" w:color="auto"/>
              <w:right w:val="single" w:sz="4" w:space="0" w:color="auto"/>
            </w:tcBorders>
            <w:hideMark/>
          </w:tcPr>
          <w:p w14:paraId="3C98434C" w14:textId="77777777" w:rsidR="00865C25" w:rsidRDefault="00865C25" w:rsidP="001A6611">
            <w:pPr>
              <w:pStyle w:val="TableText"/>
              <w:keepNext/>
            </w:pPr>
            <w:r>
              <w:rPr>
                <w:rFonts w:ascii="MS Gothic" w:eastAsia="MS Gothic" w:hAnsi="MS Gothic" w:hint="eastAsia"/>
              </w:rPr>
              <w:t>☒</w:t>
            </w:r>
            <w:r w:rsidRPr="00CE28E3">
              <w:tab/>
              <w:t>k=</w:t>
            </w:r>
            <w:r>
              <w:t>30</w:t>
            </w:r>
            <w:r w:rsidRPr="00CE28E3">
              <w:tab/>
              <w:t>n=</w:t>
            </w:r>
            <w:r>
              <w:t>4081</w:t>
            </w:r>
          </w:p>
          <w:p w14:paraId="385A8C48" w14:textId="77777777" w:rsidR="00865C25" w:rsidRPr="00CE28E3" w:rsidRDefault="00865C25" w:rsidP="001A6611">
            <w:pPr>
              <w:pStyle w:val="TableText"/>
              <w:keepNext/>
            </w:pPr>
            <w:r>
              <w:rPr>
                <w:rFonts w:ascii="MS Gothic" w:eastAsia="MS Gothic" w:hAnsi="MS Gothic" w:hint="eastAsia"/>
              </w:rPr>
              <w:t>☒</w:t>
            </w:r>
            <w:r w:rsidRPr="00CE28E3">
              <w:tab/>
              <w:t>k=</w:t>
            </w:r>
            <w:r>
              <w:t>1</w:t>
            </w:r>
            <w:r w:rsidRPr="00CE28E3">
              <w:tab/>
              <w:t>n=</w:t>
            </w:r>
            <w:r>
              <w:t>4040</w:t>
            </w:r>
          </w:p>
        </w:tc>
        <w:tc>
          <w:tcPr>
            <w:tcW w:w="1074" w:type="pct"/>
            <w:tcBorders>
              <w:top w:val="single" w:sz="4" w:space="0" w:color="auto"/>
              <w:left w:val="single" w:sz="4" w:space="0" w:color="auto"/>
              <w:bottom w:val="single" w:sz="4" w:space="0" w:color="auto"/>
              <w:right w:val="single" w:sz="4" w:space="0" w:color="auto"/>
            </w:tcBorders>
            <w:hideMark/>
          </w:tcPr>
          <w:p w14:paraId="04C47F8D" w14:textId="77777777" w:rsidR="00865C25" w:rsidRPr="00B06759" w:rsidRDefault="00865C25" w:rsidP="001A6611">
            <w:pPr>
              <w:pStyle w:val="TableText"/>
              <w:keepNext/>
              <w:rPr>
                <w:color w:val="000000" w:themeColor="text1"/>
              </w:rPr>
            </w:pPr>
            <w:r w:rsidRPr="00FC0388">
              <w:rPr>
                <w:color w:val="000000" w:themeColor="text1"/>
              </w:rPr>
              <w:t>Low to moderate risk of bias (QUADAS 2)</w:t>
            </w:r>
          </w:p>
        </w:tc>
      </w:tr>
      <w:tr w:rsidR="00865C25" w:rsidRPr="00CE28E3" w14:paraId="09BFFB29" w14:textId="77777777" w:rsidTr="001A6611">
        <w:tc>
          <w:tcPr>
            <w:tcW w:w="1007" w:type="pct"/>
            <w:tcBorders>
              <w:top w:val="single" w:sz="4" w:space="0" w:color="auto"/>
              <w:left w:val="single" w:sz="4" w:space="0" w:color="auto"/>
              <w:bottom w:val="single" w:sz="4" w:space="0" w:color="auto"/>
              <w:right w:val="single" w:sz="4" w:space="0" w:color="auto"/>
            </w:tcBorders>
            <w:hideMark/>
          </w:tcPr>
          <w:p w14:paraId="0B36D3C0" w14:textId="77777777" w:rsidR="00865C25" w:rsidRPr="00CE28E3" w:rsidRDefault="00865C25" w:rsidP="001A6611">
            <w:pPr>
              <w:pStyle w:val="TableText"/>
              <w:keepNext/>
            </w:pPr>
            <w:r w:rsidRPr="00CE28E3">
              <w:t>Change in patient management</w:t>
            </w:r>
          </w:p>
        </w:tc>
        <w:tc>
          <w:tcPr>
            <w:tcW w:w="1844" w:type="pct"/>
            <w:tcBorders>
              <w:top w:val="single" w:sz="4" w:space="0" w:color="auto"/>
              <w:left w:val="single" w:sz="4" w:space="0" w:color="auto"/>
              <w:bottom w:val="single" w:sz="4" w:space="0" w:color="auto"/>
              <w:right w:val="single" w:sz="4" w:space="0" w:color="auto"/>
            </w:tcBorders>
            <w:hideMark/>
          </w:tcPr>
          <w:p w14:paraId="5166125D" w14:textId="77777777" w:rsidR="00865C25" w:rsidRPr="00572332" w:rsidRDefault="00865C25" w:rsidP="001A6611">
            <w:pPr>
              <w:pStyle w:val="TableText"/>
              <w:keepNext/>
              <w:rPr>
                <w:color w:val="000000" w:themeColor="text1"/>
              </w:rPr>
            </w:pPr>
            <w:r w:rsidRPr="00572332">
              <w:rPr>
                <w:color w:val="000000" w:themeColor="text1"/>
              </w:rPr>
              <w:t xml:space="preserve">Evidence that shows that use of NGS </w:t>
            </w:r>
            <w:r>
              <w:rPr>
                <w:color w:val="000000" w:themeColor="text1"/>
              </w:rPr>
              <w:t>influences</w:t>
            </w:r>
            <w:r w:rsidRPr="00572332">
              <w:rPr>
                <w:color w:val="000000" w:themeColor="text1"/>
              </w:rPr>
              <w:t xml:space="preserve"> the treatments given in those with discordant results. </w:t>
            </w:r>
          </w:p>
          <w:p w14:paraId="53DB662B" w14:textId="77777777" w:rsidR="00865C25" w:rsidRPr="00CE28E3" w:rsidRDefault="00865C25" w:rsidP="001A6611">
            <w:pPr>
              <w:pStyle w:val="TableText"/>
              <w:keepNext/>
            </w:pPr>
            <w:r w:rsidRPr="00572332">
              <w:rPr>
                <w:color w:val="000000" w:themeColor="text1"/>
              </w:rPr>
              <w:t xml:space="preserve">Evidence that shows that some patients with insufficient tissue are </w:t>
            </w:r>
            <w:proofErr w:type="spellStart"/>
            <w:r w:rsidRPr="00572332">
              <w:rPr>
                <w:color w:val="000000" w:themeColor="text1"/>
              </w:rPr>
              <w:t>rebiopsied</w:t>
            </w:r>
            <w:proofErr w:type="spellEnd"/>
          </w:p>
        </w:tc>
        <w:tc>
          <w:tcPr>
            <w:tcW w:w="1075" w:type="pct"/>
            <w:tcBorders>
              <w:top w:val="single" w:sz="4" w:space="0" w:color="auto"/>
              <w:left w:val="single" w:sz="4" w:space="0" w:color="auto"/>
              <w:bottom w:val="single" w:sz="4" w:space="0" w:color="auto"/>
              <w:right w:val="single" w:sz="4" w:space="0" w:color="auto"/>
            </w:tcBorders>
            <w:hideMark/>
          </w:tcPr>
          <w:p w14:paraId="22EB62D4" w14:textId="77777777" w:rsidR="00865C25" w:rsidRDefault="00865C25" w:rsidP="001A6611">
            <w:pPr>
              <w:pStyle w:val="TableText"/>
              <w:keepNext/>
            </w:pPr>
            <w:r>
              <w:rPr>
                <w:rFonts w:ascii="MS Gothic" w:eastAsia="MS Gothic" w:hAnsi="MS Gothic" w:hint="eastAsia"/>
              </w:rPr>
              <w:t>☒</w:t>
            </w:r>
            <w:r w:rsidRPr="00CE28E3">
              <w:tab/>
              <w:t>k=</w:t>
            </w:r>
            <w:r>
              <w:t>6</w:t>
            </w:r>
            <w:r w:rsidRPr="00CE28E3">
              <w:tab/>
              <w:t>n=</w:t>
            </w:r>
            <w:r>
              <w:t>99</w:t>
            </w:r>
          </w:p>
          <w:p w14:paraId="3B3B2560" w14:textId="77777777" w:rsidR="00865C25" w:rsidRPr="00CE28E3" w:rsidRDefault="00865C25" w:rsidP="001A6611">
            <w:pPr>
              <w:pStyle w:val="TableText"/>
              <w:keepNext/>
            </w:pPr>
            <w:r>
              <w:rPr>
                <w:rFonts w:ascii="MS Gothic" w:eastAsia="MS Gothic" w:hAnsi="MS Gothic" w:hint="eastAsia"/>
              </w:rPr>
              <w:t>☒</w:t>
            </w:r>
            <w:r w:rsidRPr="00CE28E3">
              <w:tab/>
              <w:t>k=</w:t>
            </w:r>
            <w:r>
              <w:t>2</w:t>
            </w:r>
            <w:r w:rsidRPr="00CE28E3">
              <w:tab/>
              <w:t>n=</w:t>
            </w:r>
            <w:r>
              <w:t>225</w:t>
            </w:r>
          </w:p>
        </w:tc>
        <w:tc>
          <w:tcPr>
            <w:tcW w:w="1074" w:type="pct"/>
            <w:tcBorders>
              <w:top w:val="single" w:sz="4" w:space="0" w:color="auto"/>
              <w:left w:val="single" w:sz="4" w:space="0" w:color="auto"/>
              <w:bottom w:val="single" w:sz="4" w:space="0" w:color="auto"/>
              <w:right w:val="single" w:sz="4" w:space="0" w:color="auto"/>
            </w:tcBorders>
            <w:hideMark/>
          </w:tcPr>
          <w:p w14:paraId="67159CDA" w14:textId="77777777" w:rsidR="00865C25" w:rsidRDefault="00865C25" w:rsidP="001A6611">
            <w:pPr>
              <w:pStyle w:val="TableText"/>
              <w:keepNext/>
              <w:rPr>
                <w:color w:val="000000" w:themeColor="text1"/>
              </w:rPr>
            </w:pPr>
            <w:r w:rsidRPr="00FC0388">
              <w:rPr>
                <w:color w:val="000000" w:themeColor="text1"/>
              </w:rPr>
              <w:t>Low to moderate risk of bias (QUADAS 2)</w:t>
            </w:r>
          </w:p>
          <w:p w14:paraId="432F5440" w14:textId="77777777" w:rsidR="00865C25" w:rsidRPr="00D133CF" w:rsidRDefault="00865C25" w:rsidP="001A6611">
            <w:pPr>
              <w:pStyle w:val="TableText"/>
              <w:keepNext/>
              <w:rPr>
                <w:color w:val="000000" w:themeColor="text1"/>
              </w:rPr>
            </w:pPr>
            <w:r>
              <w:rPr>
                <w:color w:val="000000" w:themeColor="text1"/>
              </w:rPr>
              <w:t>(However, very small heterogeneous studies)</w:t>
            </w:r>
          </w:p>
        </w:tc>
      </w:tr>
      <w:tr w:rsidR="00865C25" w:rsidRPr="00CE28E3" w14:paraId="5DC71810" w14:textId="77777777" w:rsidTr="001A6611">
        <w:tc>
          <w:tcPr>
            <w:tcW w:w="1007" w:type="pct"/>
            <w:tcBorders>
              <w:top w:val="single" w:sz="4" w:space="0" w:color="auto"/>
              <w:left w:val="single" w:sz="4" w:space="0" w:color="auto"/>
              <w:bottom w:val="single" w:sz="4" w:space="0" w:color="auto"/>
              <w:right w:val="single" w:sz="4" w:space="0" w:color="auto"/>
            </w:tcBorders>
            <w:hideMark/>
          </w:tcPr>
          <w:p w14:paraId="25131A8E" w14:textId="77777777" w:rsidR="00865C25" w:rsidRPr="00CE28E3" w:rsidRDefault="00865C25" w:rsidP="001A6611">
            <w:pPr>
              <w:pStyle w:val="TableText"/>
              <w:keepNext/>
            </w:pPr>
            <w:r w:rsidRPr="00CE28E3">
              <w:t>Health outcomes</w:t>
            </w:r>
          </w:p>
        </w:tc>
        <w:tc>
          <w:tcPr>
            <w:tcW w:w="1844" w:type="pct"/>
            <w:tcBorders>
              <w:top w:val="single" w:sz="4" w:space="0" w:color="auto"/>
              <w:left w:val="single" w:sz="4" w:space="0" w:color="auto"/>
              <w:bottom w:val="single" w:sz="4" w:space="0" w:color="auto"/>
              <w:right w:val="single" w:sz="4" w:space="0" w:color="auto"/>
            </w:tcBorders>
          </w:tcPr>
          <w:p w14:paraId="68EE7813" w14:textId="77777777" w:rsidR="00865C25" w:rsidRPr="007C547B" w:rsidRDefault="00865C25" w:rsidP="001A6611">
            <w:pPr>
              <w:pStyle w:val="TableText"/>
              <w:keepNext/>
              <w:rPr>
                <w:color w:val="000000" w:themeColor="text1"/>
              </w:rPr>
            </w:pPr>
            <w:r w:rsidRPr="007C547B">
              <w:rPr>
                <w:color w:val="000000" w:themeColor="text1"/>
              </w:rPr>
              <w:t>Evidence that extra cases detected by NGS are likely to respond to TKIs</w:t>
            </w:r>
          </w:p>
          <w:p w14:paraId="1F815D7A" w14:textId="77777777" w:rsidR="00865C25" w:rsidRPr="00CE28E3" w:rsidRDefault="00865C25" w:rsidP="001A6611">
            <w:pPr>
              <w:pStyle w:val="TableText"/>
              <w:keepNext/>
            </w:pPr>
            <w:r w:rsidRPr="007C547B">
              <w:rPr>
                <w:color w:val="000000" w:themeColor="text1"/>
              </w:rPr>
              <w:t xml:space="preserve">Evidence that avoiding </w:t>
            </w:r>
            <w:proofErr w:type="spellStart"/>
            <w:r w:rsidRPr="007C547B">
              <w:rPr>
                <w:color w:val="000000" w:themeColor="text1"/>
              </w:rPr>
              <w:t>rebiopsies</w:t>
            </w:r>
            <w:proofErr w:type="spellEnd"/>
            <w:r w:rsidRPr="007C547B">
              <w:rPr>
                <w:color w:val="000000" w:themeColor="text1"/>
              </w:rPr>
              <w:t xml:space="preserve"> is safer than undergoing rebiopsy</w:t>
            </w:r>
          </w:p>
        </w:tc>
        <w:tc>
          <w:tcPr>
            <w:tcW w:w="1075" w:type="pct"/>
            <w:tcBorders>
              <w:top w:val="single" w:sz="4" w:space="0" w:color="auto"/>
              <w:left w:val="single" w:sz="4" w:space="0" w:color="auto"/>
              <w:bottom w:val="single" w:sz="4" w:space="0" w:color="auto"/>
              <w:right w:val="single" w:sz="4" w:space="0" w:color="auto"/>
            </w:tcBorders>
          </w:tcPr>
          <w:p w14:paraId="40EBCC5D" w14:textId="77777777" w:rsidR="00865C25" w:rsidRPr="00CE28E3" w:rsidRDefault="00865C25" w:rsidP="001A6611">
            <w:pPr>
              <w:pStyle w:val="TableText"/>
              <w:keepNext/>
            </w:pPr>
            <w:r>
              <w:rPr>
                <w:rFonts w:ascii="MS Gothic" w:eastAsia="MS Gothic" w:hAnsi="MS Gothic" w:hint="eastAsia"/>
              </w:rPr>
              <w:t>☒</w:t>
            </w:r>
            <w:r w:rsidRPr="00CE28E3">
              <w:tab/>
              <w:t>k=</w:t>
            </w:r>
            <w:r>
              <w:t>8</w:t>
            </w:r>
            <w:r w:rsidRPr="00CE28E3">
              <w:tab/>
              <w:t>n=</w:t>
            </w:r>
            <w:r>
              <w:t>2921</w:t>
            </w:r>
          </w:p>
          <w:p w14:paraId="310BEAB8" w14:textId="77777777" w:rsidR="00865C25" w:rsidRPr="00CE28E3" w:rsidRDefault="00865C25" w:rsidP="001A6611">
            <w:pPr>
              <w:pStyle w:val="TableText"/>
              <w:keepNext/>
            </w:pPr>
            <w:r>
              <w:rPr>
                <w:rFonts w:ascii="MS Gothic" w:eastAsia="MS Gothic" w:hAnsi="MS Gothic" w:hint="eastAsia"/>
              </w:rPr>
              <w:t>☒</w:t>
            </w:r>
            <w:r w:rsidRPr="00CE28E3">
              <w:tab/>
              <w:t>k=</w:t>
            </w:r>
            <w:r>
              <w:t>16</w:t>
            </w:r>
            <w:r w:rsidRPr="00CE28E3">
              <w:tab/>
              <w:t>n=</w:t>
            </w:r>
            <w:r>
              <w:t>2326</w:t>
            </w:r>
          </w:p>
        </w:tc>
        <w:tc>
          <w:tcPr>
            <w:tcW w:w="1074" w:type="pct"/>
            <w:tcBorders>
              <w:top w:val="single" w:sz="4" w:space="0" w:color="auto"/>
              <w:left w:val="single" w:sz="4" w:space="0" w:color="auto"/>
              <w:bottom w:val="single" w:sz="4" w:space="0" w:color="auto"/>
              <w:right w:val="single" w:sz="4" w:space="0" w:color="auto"/>
            </w:tcBorders>
            <w:hideMark/>
          </w:tcPr>
          <w:p w14:paraId="31387401" w14:textId="77777777" w:rsidR="00865C25" w:rsidRPr="00CE28E3" w:rsidRDefault="00865C25" w:rsidP="001A6611">
            <w:pPr>
              <w:pStyle w:val="TableText"/>
              <w:keepNext/>
            </w:pPr>
            <w:r w:rsidRPr="00D133CF">
              <w:t>Moderate risk of bias (NHLBI for case series, AMSTAR 2 for SRs)</w:t>
            </w:r>
          </w:p>
        </w:tc>
      </w:tr>
      <w:tr w:rsidR="00865C25" w:rsidRPr="00CE28E3" w14:paraId="6BF05260" w14:textId="77777777" w:rsidTr="001A6611">
        <w:trPr>
          <w:trHeight w:val="706"/>
        </w:trPr>
        <w:tc>
          <w:tcPr>
            <w:tcW w:w="1007" w:type="pct"/>
            <w:tcBorders>
              <w:top w:val="single" w:sz="4" w:space="0" w:color="auto"/>
              <w:left w:val="single" w:sz="4" w:space="0" w:color="auto"/>
              <w:bottom w:val="single" w:sz="4" w:space="0" w:color="auto"/>
              <w:right w:val="single" w:sz="4" w:space="0" w:color="auto"/>
            </w:tcBorders>
          </w:tcPr>
          <w:p w14:paraId="39F30584" w14:textId="77777777" w:rsidR="00865C25" w:rsidRPr="00CE28E3" w:rsidRDefault="00865C25" w:rsidP="001A6611">
            <w:pPr>
              <w:pStyle w:val="TableText"/>
              <w:keepNext/>
            </w:pPr>
            <w:r w:rsidRPr="00CE28E3">
              <w:t>Predictive effect</w:t>
            </w:r>
            <w:r>
              <w:t xml:space="preserve"> </w:t>
            </w:r>
            <w:r w:rsidRPr="00CE28E3">
              <w:t>(treatment effect variation)</w:t>
            </w:r>
          </w:p>
        </w:tc>
        <w:tc>
          <w:tcPr>
            <w:tcW w:w="1844" w:type="pct"/>
            <w:tcBorders>
              <w:top w:val="single" w:sz="4" w:space="0" w:color="auto"/>
              <w:left w:val="single" w:sz="4" w:space="0" w:color="auto"/>
              <w:bottom w:val="single" w:sz="4" w:space="0" w:color="auto"/>
              <w:right w:val="single" w:sz="4" w:space="0" w:color="auto"/>
            </w:tcBorders>
          </w:tcPr>
          <w:p w14:paraId="3B275B6A" w14:textId="77777777" w:rsidR="00865C25" w:rsidRPr="00572332" w:rsidRDefault="00865C25" w:rsidP="001A6611">
            <w:pPr>
              <w:pStyle w:val="TableText"/>
              <w:keepNext/>
            </w:pPr>
            <w:r>
              <w:t xml:space="preserve">Evidence that NGS-selection of patients for </w:t>
            </w:r>
            <w:r>
              <w:rPr>
                <w:i/>
              </w:rPr>
              <w:t>ALK</w:t>
            </w:r>
            <w:r>
              <w:t xml:space="preserve"> TKIs is superior to IHC- or FISH- selection for </w:t>
            </w:r>
            <w:r>
              <w:rPr>
                <w:i/>
              </w:rPr>
              <w:t xml:space="preserve">ALK </w:t>
            </w:r>
            <w:r>
              <w:t>TKIs</w:t>
            </w:r>
          </w:p>
        </w:tc>
        <w:tc>
          <w:tcPr>
            <w:tcW w:w="1075" w:type="pct"/>
            <w:tcBorders>
              <w:top w:val="single" w:sz="4" w:space="0" w:color="auto"/>
              <w:left w:val="single" w:sz="4" w:space="0" w:color="auto"/>
              <w:bottom w:val="single" w:sz="4" w:space="0" w:color="auto"/>
              <w:right w:val="single" w:sz="4" w:space="0" w:color="auto"/>
            </w:tcBorders>
          </w:tcPr>
          <w:p w14:paraId="6FEACFC4" w14:textId="77777777" w:rsidR="00865C25" w:rsidRPr="00CE28E3" w:rsidRDefault="00865C25" w:rsidP="001A6611">
            <w:pPr>
              <w:pStyle w:val="TableText"/>
              <w:keepNext/>
            </w:pPr>
            <w:r>
              <w:rPr>
                <w:rFonts w:ascii="MS Gothic" w:eastAsia="MS Gothic" w:hAnsi="MS Gothic" w:hint="eastAsia"/>
              </w:rPr>
              <w:t>☒</w:t>
            </w:r>
            <w:r w:rsidRPr="00CE28E3">
              <w:tab/>
              <w:t>k=</w:t>
            </w:r>
            <w:r>
              <w:t>1</w:t>
            </w:r>
            <w:r w:rsidRPr="00CE28E3">
              <w:tab/>
              <w:t>n=</w:t>
            </w:r>
            <w:r>
              <w:t>50</w:t>
            </w:r>
          </w:p>
        </w:tc>
        <w:tc>
          <w:tcPr>
            <w:tcW w:w="1074" w:type="pct"/>
            <w:tcBorders>
              <w:top w:val="single" w:sz="4" w:space="0" w:color="auto"/>
              <w:left w:val="single" w:sz="4" w:space="0" w:color="auto"/>
              <w:bottom w:val="single" w:sz="4" w:space="0" w:color="auto"/>
              <w:right w:val="single" w:sz="4" w:space="0" w:color="auto"/>
            </w:tcBorders>
          </w:tcPr>
          <w:p w14:paraId="1E317F60" w14:textId="77777777" w:rsidR="00865C25" w:rsidRPr="00CE28E3" w:rsidRDefault="00865C25" w:rsidP="001A6611">
            <w:pPr>
              <w:pStyle w:val="TableText"/>
              <w:keepNext/>
            </w:pPr>
            <w:r w:rsidRPr="00B06759">
              <w:t>Moderate to high risk (QUIPS checklist)</w:t>
            </w:r>
          </w:p>
        </w:tc>
      </w:tr>
    </w:tbl>
    <w:p w14:paraId="7D95182B" w14:textId="414DE502" w:rsidR="00865C25" w:rsidRDefault="00865C25" w:rsidP="00865C25">
      <w:pPr>
        <w:pStyle w:val="TableFigureFooter"/>
        <w:rPr>
          <w:color w:val="258221"/>
        </w:rPr>
      </w:pPr>
      <w:bookmarkStart w:id="21" w:name="_Hlk68276301"/>
      <w:bookmarkEnd w:id="20"/>
      <w:r w:rsidRPr="007C7AB1">
        <w:rPr>
          <w:i/>
        </w:rPr>
        <w:t>ALK</w:t>
      </w:r>
      <w:r>
        <w:t xml:space="preserve"> = </w:t>
      </w:r>
      <w:r w:rsidR="00C925AE">
        <w:t>ALK receptor tyrosine kinase</w:t>
      </w:r>
      <w:r>
        <w:t xml:space="preserve">; AMSTAR 2 = Assessing the Methodological Quality of Systematic Reviews; FISH = fluorescent </w:t>
      </w:r>
      <w:r w:rsidRPr="00357441">
        <w:rPr>
          <w:i/>
          <w:iCs/>
        </w:rPr>
        <w:t>in situ</w:t>
      </w:r>
      <w:r>
        <w:t xml:space="preserve"> hybridisation; IHC = immunohistochemistry; </w:t>
      </w:r>
      <w:r w:rsidRPr="00CE28E3">
        <w:t>k=number of studies, n=number of patients</w:t>
      </w:r>
      <w:r>
        <w:t>; NGS = next generation sequencing</w:t>
      </w:r>
      <w:r w:rsidRPr="000F181F">
        <w:t>;</w:t>
      </w:r>
      <w:r>
        <w:t xml:space="preserve"> QUADAS 2 = Quality assessment tool for diagnostic accuracy studies; QUIPS = Quality of Prognostic Studies tool;</w:t>
      </w:r>
      <w:r w:rsidRPr="000F181F">
        <w:t xml:space="preserve"> </w:t>
      </w:r>
      <w:r>
        <w:t xml:space="preserve">SRs = systematic reviews; </w:t>
      </w:r>
      <w:r w:rsidRPr="000F181F">
        <w:t>TKI = tyrosine kinase inhibitor (therapy)</w:t>
      </w:r>
    </w:p>
    <w:p w14:paraId="5BCD2E05" w14:textId="77777777" w:rsidR="00865C25" w:rsidRDefault="00865C25" w:rsidP="00865C25">
      <w:pPr>
        <w:pStyle w:val="TableFigureFooter"/>
        <w:keepNext/>
      </w:pPr>
      <w:r w:rsidRPr="00392088">
        <w:rPr>
          <w:noProof/>
        </w:rPr>
        <w:lastRenderedPageBreak/>
        <w:drawing>
          <wp:inline distT="0" distB="0" distL="0" distR="0" wp14:anchorId="61600BD0" wp14:editId="3CB2097F">
            <wp:extent cx="5731510" cy="3688715"/>
            <wp:effectExtent l="0" t="0" r="2540" b="6985"/>
            <wp:docPr id="40" name="Picture 40" descr="Assessment framework for small DNA/RNA NGS panel vs sequential single gene testing in patients with non-squamous (or NOS) NSCLC" title="Assessment framework for small DNA/RNA NGS panel vs sequential single gene testing in patients with non-squamous (or NOS) NSC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688715"/>
                    </a:xfrm>
                    <a:prstGeom prst="rect">
                      <a:avLst/>
                    </a:prstGeom>
                  </pic:spPr>
                </pic:pic>
              </a:graphicData>
            </a:graphic>
          </wp:inline>
        </w:drawing>
      </w:r>
    </w:p>
    <w:p w14:paraId="696B4E28" w14:textId="77777777" w:rsidR="00865C25" w:rsidRDefault="00865C25" w:rsidP="00865C25">
      <w:pPr>
        <w:pStyle w:val="Caption"/>
      </w:pPr>
      <w:r>
        <w:t xml:space="preserve">Figure </w:t>
      </w:r>
      <w:r w:rsidR="007F7A58">
        <w:fldChar w:fldCharType="begin"/>
      </w:r>
      <w:r w:rsidR="007F7A58">
        <w:instrText xml:space="preserve"> SEQ Figure \* ARABIC </w:instrText>
      </w:r>
      <w:r w:rsidR="007F7A58">
        <w:fldChar w:fldCharType="separate"/>
      </w:r>
      <w:r>
        <w:rPr>
          <w:noProof/>
        </w:rPr>
        <w:t>1</w:t>
      </w:r>
      <w:r w:rsidR="007F7A58">
        <w:rPr>
          <w:noProof/>
        </w:rPr>
        <w:fldChar w:fldCharType="end"/>
      </w:r>
      <w:r>
        <w:tab/>
        <w:t>Assessment framework for small DNA/RNA NGS panel vs sequential single gene testing in patients with non-squamous (or NOS) NSCLC</w:t>
      </w:r>
    </w:p>
    <w:p w14:paraId="54A2344A" w14:textId="77777777" w:rsidR="00865C25" w:rsidRPr="000F181F" w:rsidRDefault="00865C25" w:rsidP="00865C25">
      <w:pPr>
        <w:pStyle w:val="TableFigureFooter"/>
      </w:pPr>
      <w:r w:rsidRPr="00CE28E3">
        <w:t xml:space="preserve">Figure notes: 1: direct from test to health outcomes evidence; 2: test </w:t>
      </w:r>
      <w:r>
        <w:t xml:space="preserve">performance; 3: change in </w:t>
      </w:r>
      <w:r w:rsidRPr="00CE28E3">
        <w:t>treatment/management; 4:</w:t>
      </w:r>
      <w:r>
        <w:t> </w:t>
      </w:r>
      <w:r w:rsidRPr="00CE28E3">
        <w:t>influence of the change i</w:t>
      </w:r>
      <w:r>
        <w:t>n management on health outcomes</w:t>
      </w:r>
    </w:p>
    <w:p w14:paraId="6DBCD9F7" w14:textId="1199E781" w:rsidR="00865C25" w:rsidRDefault="00813A4A" w:rsidP="00865C25">
      <w:pPr>
        <w:pStyle w:val="Heading2"/>
        <w:numPr>
          <w:ilvl w:val="0"/>
          <w:numId w:val="0"/>
        </w:numPr>
      </w:pPr>
      <w:bookmarkStart w:id="22" w:name="_Toc109149592"/>
      <w:bookmarkEnd w:id="21"/>
      <w:r>
        <w:t>11</w:t>
      </w:r>
      <w:r w:rsidR="00865C25">
        <w:t>.</w:t>
      </w:r>
      <w:r w:rsidR="00865C25">
        <w:tab/>
      </w:r>
      <w:r w:rsidR="00865C25" w:rsidRPr="00CE28E3">
        <w:t>Comparative safety</w:t>
      </w:r>
      <w:bookmarkEnd w:id="22"/>
    </w:p>
    <w:p w14:paraId="0102C5D5" w14:textId="4126BB43" w:rsidR="00865C25" w:rsidRDefault="00865C25" w:rsidP="00865C25">
      <w:r>
        <w:t>No studies directly compared the safety of NGS testing with sequential single-gene testing. However, the evidence supported the claim that NGS had a higher proportion of samples being successfully tested (</w:t>
      </w:r>
      <w:proofErr w:type="gramStart"/>
      <w:r>
        <w:t>i.e.</w:t>
      </w:r>
      <w:proofErr w:type="gramEnd"/>
      <w:r>
        <w:t xml:space="preserve"> making more efficient use of the available tissue to get a test result) than sequential single-gene testing, which should correspond to a lower rate of rebiopsy. A single between-patient comparison</w:t>
      </w:r>
      <w:r w:rsidR="004F7A56">
        <w:t xml:space="preserve"> (</w:t>
      </w:r>
      <w:proofErr w:type="spellStart"/>
      <w:r w:rsidR="004F7A56">
        <w:t>Steeghs</w:t>
      </w:r>
      <w:proofErr w:type="spellEnd"/>
      <w:r w:rsidR="004F7A56">
        <w:t xml:space="preserve"> et al (2022))</w:t>
      </w:r>
      <w:r>
        <w:t xml:space="preserve"> was identified in a retrospective cohort study with a low to moderate risk of bias (a further three studies provided within-patient comparisons, but these were considered to not be as informative, as the volume of tissue used for one method of testing would influence the volume of tissue remaining for the alternative method of testing, and the ordering of testing would highly bias the proportion of samples successfully tested). </w:t>
      </w:r>
      <w:proofErr w:type="spellStart"/>
      <w:r>
        <w:t>Steeghs</w:t>
      </w:r>
      <w:proofErr w:type="spellEnd"/>
      <w:r>
        <w:t xml:space="preserve"> et al. (2022) reported that NGS methods were successful in 97.2% of cases, whereas non-NGS methods were successful in 94.6% of cases (</w:t>
      </w:r>
      <w:r>
        <w:fldChar w:fldCharType="begin"/>
      </w:r>
      <w:r>
        <w:instrText xml:space="preserve"> REF _Ref108597496 \h </w:instrText>
      </w:r>
      <w:r>
        <w:fldChar w:fldCharType="separate"/>
      </w:r>
      <w:r>
        <w:t xml:space="preserve">Figure </w:t>
      </w:r>
      <w:r>
        <w:rPr>
          <w:noProof/>
        </w:rPr>
        <w:t>2</w:t>
      </w:r>
      <w:r>
        <w:fldChar w:fldCharType="end"/>
      </w:r>
      <w:r>
        <w:t>).</w:t>
      </w:r>
    </w:p>
    <w:p w14:paraId="626C1B79" w14:textId="77777777" w:rsidR="00865C25" w:rsidRDefault="00865C25" w:rsidP="00865C25">
      <w:pPr>
        <w:keepNext/>
      </w:pPr>
      <w:r w:rsidRPr="00EC5C1B">
        <w:rPr>
          <w:noProof/>
          <w:lang w:eastAsia="en-AU"/>
        </w:rPr>
        <w:lastRenderedPageBreak/>
        <w:drawing>
          <wp:inline distT="0" distB="0" distL="0" distR="0" wp14:anchorId="15232C4C" wp14:editId="01672D50">
            <wp:extent cx="4848902" cy="2810267"/>
            <wp:effectExtent l="0" t="0" r="8890" b="9525"/>
            <wp:docPr id="29" name="Picture 29" descr="Comparison of pathogenic variants identified by NGS vs non-NGS methods (Sanger sequencing, HRM, MassARRAY, Pyrosequencing, Idylla, Cobas, ddPCR, FISH, IHC and/or RNA-based sequencing) in patients with adenocarcinoma. " title="Comparison of pathogenic variants identified by NGS vs non-NGS methods (Sanger sequencing, HRM, MassARRAY, Pyrosequencing, Idylla, Cobas, ddPCR, FISH, IHC and/or RNA-based sequencing) in patients with adenocarcino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48902" cy="2810267"/>
                    </a:xfrm>
                    <a:prstGeom prst="rect">
                      <a:avLst/>
                    </a:prstGeom>
                  </pic:spPr>
                </pic:pic>
              </a:graphicData>
            </a:graphic>
          </wp:inline>
        </w:drawing>
      </w:r>
    </w:p>
    <w:p w14:paraId="6866D968" w14:textId="77777777" w:rsidR="00865C25" w:rsidRDefault="00865C25" w:rsidP="00865C25">
      <w:pPr>
        <w:pStyle w:val="Caption"/>
      </w:pPr>
      <w:bookmarkStart w:id="23" w:name="_Ref108597496"/>
      <w:r>
        <w:t xml:space="preserve">Figure </w:t>
      </w:r>
      <w:r w:rsidR="007F7A58">
        <w:fldChar w:fldCharType="begin"/>
      </w:r>
      <w:r w:rsidR="007F7A58">
        <w:instrText xml:space="preserve"> SEQ Figure \* ARABIC </w:instrText>
      </w:r>
      <w:r w:rsidR="007F7A58">
        <w:fldChar w:fldCharType="separate"/>
      </w:r>
      <w:r>
        <w:rPr>
          <w:noProof/>
        </w:rPr>
        <w:t>2</w:t>
      </w:r>
      <w:r w:rsidR="007F7A58">
        <w:rPr>
          <w:noProof/>
        </w:rPr>
        <w:fldChar w:fldCharType="end"/>
      </w:r>
      <w:bookmarkEnd w:id="23"/>
      <w:r>
        <w:tab/>
        <w:t xml:space="preserve">Comparison of pathogenic variants identified by NGS vs non-NGS methods (Sanger sequencing, HRM, </w:t>
      </w:r>
      <w:proofErr w:type="spellStart"/>
      <w:r>
        <w:t>MassARRAY</w:t>
      </w:r>
      <w:proofErr w:type="spellEnd"/>
      <w:r>
        <w:t xml:space="preserve">, Pyrosequencing, </w:t>
      </w:r>
      <w:proofErr w:type="spellStart"/>
      <w:r>
        <w:t>Idylla</w:t>
      </w:r>
      <w:proofErr w:type="spellEnd"/>
      <w:r>
        <w:t xml:space="preserve">, Cobas, </w:t>
      </w:r>
      <w:proofErr w:type="spellStart"/>
      <w:r>
        <w:t>ddPCR</w:t>
      </w:r>
      <w:proofErr w:type="spellEnd"/>
      <w:r>
        <w:t xml:space="preserve">, FISH, IHC and/or RNA-based sequencing) in patients with adenocarcinoma. </w:t>
      </w:r>
    </w:p>
    <w:p w14:paraId="4CAF5807" w14:textId="77777777" w:rsidR="00865C25" w:rsidRDefault="00865C25" w:rsidP="00865C25">
      <w:pPr>
        <w:pStyle w:val="TableFooter"/>
      </w:pPr>
      <w:r>
        <w:t xml:space="preserve">Source: </w:t>
      </w:r>
      <w:proofErr w:type="spellStart"/>
      <w:r w:rsidRPr="00EC5C1B">
        <w:t>Steeghs</w:t>
      </w:r>
      <w:proofErr w:type="spellEnd"/>
      <w:r>
        <w:t xml:space="preserve"> et al, 2022, p91. Reproduced with permission under Creative Common CC-BY license. </w:t>
      </w:r>
    </w:p>
    <w:p w14:paraId="7DD0D7EF" w14:textId="3BAEB860" w:rsidR="00865C25" w:rsidRDefault="00865C25" w:rsidP="00865C25">
      <w:pPr>
        <w:pStyle w:val="Tablenotes"/>
      </w:pPr>
      <w:r w:rsidRPr="007C7AB1">
        <w:rPr>
          <w:i/>
        </w:rPr>
        <w:t>ALK</w:t>
      </w:r>
      <w:r>
        <w:t xml:space="preserve"> = </w:t>
      </w:r>
      <w:r w:rsidR="00C925AE">
        <w:t>ALK receptor tyrosine kinase</w:t>
      </w:r>
      <w:r>
        <w:t xml:space="preserve">; </w:t>
      </w:r>
      <w:r w:rsidRPr="00152F12">
        <w:rPr>
          <w:i/>
        </w:rPr>
        <w:t>BRAF</w:t>
      </w:r>
      <w:r>
        <w:t xml:space="preserve"> = </w:t>
      </w:r>
      <w:r w:rsidR="00A01A66" w:rsidRPr="00D06E81">
        <w:t>B-Raf proto-oncogene, serine/threonine kinase</w:t>
      </w:r>
      <w:r>
        <w:t xml:space="preserve">; </w:t>
      </w:r>
      <w:proofErr w:type="spellStart"/>
      <w:r>
        <w:t>ddPCR</w:t>
      </w:r>
      <w:proofErr w:type="spellEnd"/>
      <w:r>
        <w:t xml:space="preserve"> = digital droplet polymerase chain reaction; </w:t>
      </w:r>
      <w:r w:rsidRPr="007C7AB1">
        <w:rPr>
          <w:i/>
        </w:rPr>
        <w:t>EGFR</w:t>
      </w:r>
      <w:r>
        <w:t xml:space="preserve"> = epidermal growth factor receptor; </w:t>
      </w:r>
      <w:r w:rsidRPr="00152F12">
        <w:rPr>
          <w:i/>
        </w:rPr>
        <w:t>ERBB2</w:t>
      </w:r>
      <w:r>
        <w:t xml:space="preserve"> = erb-b2 receptor tyrosine kinase 2; FISH = fluorescent </w:t>
      </w:r>
      <w:r w:rsidRPr="00357441">
        <w:rPr>
          <w:i/>
          <w:iCs/>
        </w:rPr>
        <w:t>in situ</w:t>
      </w:r>
      <w:r>
        <w:t xml:space="preserve"> hybridisation; HRM = high resolution melting; IHC = immunohistochemistry; </w:t>
      </w:r>
      <w:r w:rsidRPr="00152F12">
        <w:rPr>
          <w:i/>
        </w:rPr>
        <w:t>KRAS</w:t>
      </w:r>
      <w:r>
        <w:t xml:space="preserve"> = </w:t>
      </w:r>
      <w:r w:rsidR="00A01A66" w:rsidRPr="00D06E81">
        <w:t>KRAS proto-oncogene, GTPase</w:t>
      </w:r>
      <w:r>
        <w:t xml:space="preserve">; </w:t>
      </w:r>
      <w:r w:rsidRPr="00CE4DC5">
        <w:rPr>
          <w:i/>
        </w:rPr>
        <w:t>MET</w:t>
      </w:r>
      <w:r w:rsidRPr="00CE4DC5">
        <w:t xml:space="preserve"> =</w:t>
      </w:r>
      <w:r>
        <w:t xml:space="preserve"> </w:t>
      </w:r>
      <w:r w:rsidRPr="008F67AF">
        <w:rPr>
          <w:szCs w:val="18"/>
        </w:rPr>
        <w:t>mesenchymal-epithelial transition</w:t>
      </w:r>
      <w:r>
        <w:rPr>
          <w:szCs w:val="18"/>
        </w:rPr>
        <w:t xml:space="preserve">; </w:t>
      </w:r>
      <w:r>
        <w:t xml:space="preserve">NGS = next generation sequencing; </w:t>
      </w:r>
      <w:r w:rsidRPr="00152F12">
        <w:rPr>
          <w:i/>
        </w:rPr>
        <w:t>RET</w:t>
      </w:r>
      <w:r>
        <w:t xml:space="preserve"> = </w:t>
      </w:r>
      <w:r w:rsidR="00A01A66" w:rsidRPr="00D06E81">
        <w:t>ret proto-oncogene</w:t>
      </w:r>
      <w:r>
        <w:t xml:space="preserve">; RNA = ribonucleic acid; </w:t>
      </w:r>
      <w:r w:rsidRPr="00380685">
        <w:rPr>
          <w:i/>
        </w:rPr>
        <w:t>ROS1</w:t>
      </w:r>
      <w:r>
        <w:t xml:space="preserve"> = </w:t>
      </w:r>
      <w:r w:rsidR="00C925AE">
        <w:t>ROS proto-oncogene 1, receptor tyrosine kinase</w:t>
      </w:r>
      <w:r>
        <w:t>; If multiple variants were identified in one patient, only the first variant was included in the pie chart (so that the sum = 100%), **p&lt;0.01, *p&lt;0.05</w:t>
      </w:r>
      <w:r w:rsidR="00A01A66">
        <w:t xml:space="preserve"> </w:t>
      </w:r>
    </w:p>
    <w:p w14:paraId="4FF8F265" w14:textId="62FF1C9F" w:rsidR="00865C25" w:rsidRDefault="00865C25" w:rsidP="00865C25">
      <w:r>
        <w:t xml:space="preserve">The relationship between insufficient tissue for testing, or test failure due to insufficient DNA or RNA and subsequent rebiopsy is uncertain, as some international guidelines now recommend the use of liquid biopsy (i.e., using a blood sample) when tumour tissue is insufficient, rather than performing a second biopsy of tumour tissue/cytology. Two case series reported that 13% and 43% of patients with insufficient tissue for NGS or testing </w:t>
      </w:r>
      <w:r>
        <w:rPr>
          <w:i/>
        </w:rPr>
        <w:t>EGFR</w:t>
      </w:r>
      <w:r>
        <w:t xml:space="preserve"> and </w:t>
      </w:r>
      <w:r>
        <w:rPr>
          <w:i/>
        </w:rPr>
        <w:t xml:space="preserve">ALK </w:t>
      </w:r>
      <w:r>
        <w:t>(by an unspecified method) had a rebiopsy performed, with the remainder either having plasma NGS, or not having their tumour further biomarker-tested</w:t>
      </w:r>
      <w:r w:rsidRPr="004B0DB7">
        <w:rPr>
          <w:rStyle w:val="FootnoteReference"/>
        </w:rPr>
        <w:footnoteReference w:id="4"/>
      </w:r>
      <w:r w:rsidR="00772C41" w:rsidRPr="004B0DB7">
        <w:rPr>
          <w:vertAlign w:val="superscript"/>
        </w:rPr>
        <w:t>,</w:t>
      </w:r>
      <w:r w:rsidR="00460E07" w:rsidRPr="004B0DB7">
        <w:rPr>
          <w:rStyle w:val="FootnoteReference"/>
        </w:rPr>
        <w:footnoteReference w:id="5"/>
      </w:r>
      <w:r w:rsidRPr="004B0DB7">
        <w:t>.</w:t>
      </w:r>
      <w:r>
        <w:t xml:space="preserve"> No Australian guidelines were able to be identified on the role of rebiopsy versus liquid biopsies in the absence of sufficient tissue from the initial biopsy. However, these case series data are unlikely to be relevant to the current Australian setting, as the PBS restrictions for targeted therapies in NSCLC require the biomarkers to be identified in </w:t>
      </w:r>
      <w:r w:rsidRPr="00121596">
        <w:rPr>
          <w:iCs/>
        </w:rPr>
        <w:t>tumour tissue</w:t>
      </w:r>
      <w:r>
        <w:t>. A higher proportion of failed tests are therefore likely to proceed to rebiopsy than reported in these case series.</w:t>
      </w:r>
    </w:p>
    <w:p w14:paraId="1C77EF39" w14:textId="379F170F" w:rsidR="00865C25" w:rsidRDefault="00865C25" w:rsidP="00865C25">
      <w:r>
        <w:t xml:space="preserve">With each rebiopsy, there is a risk of additional adverse events. A systematic review of 16 studies in patients with NSCLC undergoing percutaneous transthoracic needle biopsies (PTNBs) or </w:t>
      </w:r>
      <w:proofErr w:type="spellStart"/>
      <w:r>
        <w:t>rebiopsies</w:t>
      </w:r>
      <w:proofErr w:type="spellEnd"/>
      <w:r>
        <w:t xml:space="preserve"> for biomarker testing, reported that the risk of any adverse event was 17% (95%CI 12%, 23%). The most common complication was pneumothorax (collapsed lung), with a pooled </w:t>
      </w:r>
      <w:r>
        <w:lastRenderedPageBreak/>
        <w:t>incidence of 9.2% (95%CI 4.0%, 15.7%)</w:t>
      </w:r>
      <w:r w:rsidR="00772C41">
        <w:rPr>
          <w:rStyle w:val="FootnoteReference"/>
        </w:rPr>
        <w:footnoteReference w:id="6"/>
      </w:r>
      <w:r>
        <w:t xml:space="preserve">. Severe adverse events (pneumothorax requiring chest tube, massive haemoptysis, air embolism and death) occurred in less than 1%. Although the authors of meta-analysis reported that PTNBs were safe, </w:t>
      </w:r>
      <w:proofErr w:type="gramStart"/>
      <w:r>
        <w:t>it is clear that a</w:t>
      </w:r>
      <w:proofErr w:type="gramEnd"/>
      <w:r>
        <w:t xml:space="preserve"> reduction in the need for rebiopsy would reduce the risk of adverse events associated with biopsies.</w:t>
      </w:r>
    </w:p>
    <w:p w14:paraId="40213214" w14:textId="38E40C9F" w:rsidR="00865C25" w:rsidRPr="00C66FEA" w:rsidRDefault="00865C25" w:rsidP="00865C25">
      <w:r>
        <w:t xml:space="preserve">Linked evidence (of proportion of samples successfully tested, the frequency of rebiopsy, and risk of adverse events due to rebiopsy) therefore supported the claim that NGS has superior safety to sequential single-gene testing. The key uncertainties are the extent to which patients in Australia currently undergo rebiopsy when the volume of tissue available is insufficient, and whether practice in Australia will change </w:t>
      </w:r>
      <w:proofErr w:type="gramStart"/>
      <w:r>
        <w:t>in the near future</w:t>
      </w:r>
      <w:proofErr w:type="gramEnd"/>
      <w:r>
        <w:t xml:space="preserve"> to incorporate liquid biopsy as an alternative to tissue rebiopsy.</w:t>
      </w:r>
    </w:p>
    <w:p w14:paraId="548AF0F9" w14:textId="7F9935EE" w:rsidR="00865C25" w:rsidRDefault="00865C25" w:rsidP="00865C25">
      <w:pPr>
        <w:pStyle w:val="Heading2"/>
        <w:numPr>
          <w:ilvl w:val="0"/>
          <w:numId w:val="0"/>
        </w:numPr>
      </w:pPr>
      <w:bookmarkStart w:id="24" w:name="_Toc109149593"/>
      <w:r>
        <w:t>1</w:t>
      </w:r>
      <w:r w:rsidR="00813A4A">
        <w:t>2</w:t>
      </w:r>
      <w:r>
        <w:t>.</w:t>
      </w:r>
      <w:r>
        <w:tab/>
      </w:r>
      <w:r w:rsidRPr="00CE28E3">
        <w:t>Comparative effectiveness</w:t>
      </w:r>
      <w:bookmarkEnd w:id="24"/>
    </w:p>
    <w:p w14:paraId="714B53C6" w14:textId="77777777" w:rsidR="00865C25" w:rsidRDefault="00865C25" w:rsidP="00865C25">
      <w:r>
        <w:t>The claims made by the applicant was that NGS is superior to sequential single-gene testing, as it makes more efficient use of tumour tissue. This results in a higher proportion of patients being successfully tested, having biomarkers identified, and able to receive targeted treatment (which should result in superior health outcomes). NGS may also detect concurrent variants, which is unlikely with sequential single-gene testing as testing is halted once a targetable biomarker is identified (concurrent variants may influence treatment or provide prognostic information). NGS may also provide faster results than sequential single-gene testing (resulting in faster access to targeted treatment and superior health outcomes). The evidence addressing these claims was examined.</w:t>
      </w:r>
    </w:p>
    <w:p w14:paraId="71D9D288" w14:textId="77777777" w:rsidR="00865C25" w:rsidRDefault="00865C25" w:rsidP="00865C25">
      <w:r>
        <w:t>As outlined in the safety section, a single between-patient study was identified which provided the proportion of samples successfully tested, favouring NGS over sequential single-gene testing (97.2% vs 94.6%).</w:t>
      </w:r>
    </w:p>
    <w:p w14:paraId="4C6E9222" w14:textId="77777777" w:rsidR="00865C25" w:rsidRDefault="00865C25" w:rsidP="00865C25">
      <w:proofErr w:type="gramStart"/>
      <w:r>
        <w:t>In order to</w:t>
      </w:r>
      <w:proofErr w:type="gramEnd"/>
      <w:r>
        <w:t xml:space="preserve"> test how concordant NGS and sequential single-gene testing are, within-patient studies were required, which provide data to compile a 2x2 table. A total of 30 relevant studies were identified in patients with NSCLC, with results separated per gene (rather than per person or per variant). The positive percent agreement (akin to the concept of sensitivity) and negative percent agreement (akin to the concept of specificity) were meta-analysed (where possible). These data were then transformed back into 2x2 data (per 1000 patients), using prevalence figures appropriate to Australia. The summary of these results is shown in </w:t>
      </w:r>
      <w:r>
        <w:fldChar w:fldCharType="begin"/>
      </w:r>
      <w:r>
        <w:instrText xml:space="preserve"> REF _Ref108619549 \h </w:instrText>
      </w:r>
      <w:r>
        <w:fldChar w:fldCharType="separate"/>
      </w:r>
      <w:r>
        <w:t xml:space="preserve">Table </w:t>
      </w:r>
      <w:r>
        <w:rPr>
          <w:noProof/>
        </w:rPr>
        <w:t>6</w:t>
      </w:r>
      <w:r>
        <w:fldChar w:fldCharType="end"/>
      </w:r>
      <w:r>
        <w:t>.</w:t>
      </w:r>
    </w:p>
    <w:p w14:paraId="48E8FD64" w14:textId="77777777" w:rsidR="00865C25" w:rsidRDefault="00865C25" w:rsidP="00865C25">
      <w:r>
        <w:t>In cases successfully tested by both testing strategies, NGS and sequential single-gene testing were highly concordant, with 95.7% of cases receiving the same test result from both strategies (22.4% with a biomarker, and 73.3% without biomarkers). Overall, NGS was estimated to result in an additional 35 cases per 1000 tested with variants identified which would have been missed by single-gene testing, with 8 cases per 1000 having a biomarker missed by NGS, which would have been detected by single-gene testing.</w:t>
      </w:r>
    </w:p>
    <w:p w14:paraId="2D4DB368" w14:textId="15C7D25D" w:rsidR="00865C25" w:rsidRPr="007377C5" w:rsidRDefault="00865C25" w:rsidP="00865C25">
      <w:r>
        <w:t xml:space="preserve">The largest impact which NGS would have (in raw numbers), is an additional 2.5% of patients being found with </w:t>
      </w:r>
      <w:r>
        <w:rPr>
          <w:i/>
        </w:rPr>
        <w:t>EGFR</w:t>
      </w:r>
      <w:r>
        <w:t xml:space="preserve"> variants. This was due in part to NGS having a higher level of analytical sensitivity (a lower threshold of detection) than Sanger sequencing, the </w:t>
      </w:r>
      <w:proofErr w:type="spellStart"/>
      <w:r>
        <w:t>cobas</w:t>
      </w:r>
      <w:proofErr w:type="spellEnd"/>
      <w:r>
        <w:t xml:space="preserve"> assay and some other PCR tests, although NGS had a higher threshold of detection than ARMS-PCR. The population criteria for </w:t>
      </w:r>
      <w:r>
        <w:rPr>
          <w:i/>
        </w:rPr>
        <w:t xml:space="preserve">EGFR </w:t>
      </w:r>
      <w:r>
        <w:t xml:space="preserve">TKIs on the PBS do not specify a threshold for positivity, so the use of tests with a higher level of sensitivity would identify more patients eligible for TKIs, despite </w:t>
      </w:r>
      <w:r>
        <w:lastRenderedPageBreak/>
        <w:t xml:space="preserve">these patients potentially having a different spectrum of disease than those in the key trials used to establish the clinical utility of the test-drug </w:t>
      </w:r>
      <w:proofErr w:type="spellStart"/>
      <w:r>
        <w:t>codependency</w:t>
      </w:r>
      <w:proofErr w:type="spellEnd"/>
      <w:r>
        <w:t>. In addition, NGS detected some rare variants not able to be detected by all the methods of single-gene testing. For example, Tan et al. (2020)</w:t>
      </w:r>
      <w:r w:rsidR="00772C41">
        <w:rPr>
          <w:rStyle w:val="FootnoteReference"/>
        </w:rPr>
        <w:footnoteReference w:id="7"/>
      </w:r>
      <w:r>
        <w:t xml:space="preserve"> reported that NGS identified an additional 12 variants, or which 7 (58%) were common variants (ex19del, L858R or T790M), and 5 (42%) were rare variants. Similarly, Park et al. (2020) reported that of the 16 incremental </w:t>
      </w:r>
      <w:r>
        <w:rPr>
          <w:i/>
        </w:rPr>
        <w:t xml:space="preserve">EGFR </w:t>
      </w:r>
      <w:r>
        <w:t xml:space="preserve">variants identified by NGS, 8 were in hotspot locations (in regions tested by PCR, but below the sensitivity threshold), and the remaining 8 were in locations not tested by PCR, although half of the rare variants identified were considered actionable, and </w:t>
      </w:r>
      <w:r>
        <w:rPr>
          <w:i/>
        </w:rPr>
        <w:t>EGFR</w:t>
      </w:r>
      <w:r>
        <w:t xml:space="preserve"> TKIs were administered. The majority (but not all) of the additional 2.5% with </w:t>
      </w:r>
      <w:r>
        <w:rPr>
          <w:i/>
        </w:rPr>
        <w:t xml:space="preserve">EGFR </w:t>
      </w:r>
      <w:r>
        <w:t xml:space="preserve">variants would therefore be considered to have “activating variants” conferring sensitivity to </w:t>
      </w:r>
      <w:r>
        <w:rPr>
          <w:i/>
        </w:rPr>
        <w:t xml:space="preserve">EGFR </w:t>
      </w:r>
      <w:r>
        <w:t xml:space="preserve">TKIs. </w:t>
      </w:r>
    </w:p>
    <w:p w14:paraId="18E85A9A" w14:textId="77777777" w:rsidR="00865C25" w:rsidRPr="00CD6B40" w:rsidRDefault="00865C25" w:rsidP="00865C25">
      <w:pPr>
        <w:rPr>
          <w:iCs/>
        </w:rPr>
      </w:pPr>
      <w:r>
        <w:t xml:space="preserve">The largest relative difference was the number of patients identified with </w:t>
      </w:r>
      <w:r>
        <w:rPr>
          <w:i/>
        </w:rPr>
        <w:t>ALK</w:t>
      </w:r>
      <w:r>
        <w:t xml:space="preserve"> rearrangements. Four studies used the same threshold for positivity as the PBS restrictions for </w:t>
      </w:r>
      <w:r w:rsidRPr="003A4CD1">
        <w:rPr>
          <w:i/>
        </w:rPr>
        <w:t>ALK</w:t>
      </w:r>
      <w:r>
        <w:rPr>
          <w:i/>
        </w:rPr>
        <w:t xml:space="preserve"> </w:t>
      </w:r>
      <w:r>
        <w:t xml:space="preserve">TKIs (≥15% of cells with staining on FISH), and had similar results (PPA 91%, NPA 99%) to studies which used a lower threshold (≥10%, k=2) or did not specify the threshold for positivity (k=5) (PPA 92%, NPA 99%). </w:t>
      </w:r>
      <w:r w:rsidRPr="003A4CD1">
        <w:t>Results</w:t>
      </w:r>
      <w:r>
        <w:t xml:space="preserve"> for </w:t>
      </w:r>
      <w:r>
        <w:rPr>
          <w:i/>
        </w:rPr>
        <w:t xml:space="preserve">ROS1 </w:t>
      </w:r>
      <w:r>
        <w:t xml:space="preserve">and </w:t>
      </w:r>
      <w:r>
        <w:rPr>
          <w:i/>
        </w:rPr>
        <w:t>MET</w:t>
      </w:r>
      <w:r>
        <w:t>ex14sk were highly concordant between testing methods.</w:t>
      </w:r>
    </w:p>
    <w:p w14:paraId="24E873CE" w14:textId="77777777" w:rsidR="00865C25" w:rsidRDefault="00865C25" w:rsidP="00865C25">
      <w:pPr>
        <w:pStyle w:val="Caption"/>
      </w:pPr>
      <w:bookmarkStart w:id="25" w:name="_Ref108619549"/>
      <w:r>
        <w:t xml:space="preserve">Table </w:t>
      </w:r>
      <w:r w:rsidR="007F7A58">
        <w:fldChar w:fldCharType="begin"/>
      </w:r>
      <w:r w:rsidR="007F7A58">
        <w:instrText xml:space="preserve"> SEQ Table \* ARABIC </w:instrText>
      </w:r>
      <w:r w:rsidR="007F7A58">
        <w:fldChar w:fldCharType="separate"/>
      </w:r>
      <w:r>
        <w:rPr>
          <w:noProof/>
        </w:rPr>
        <w:t>6</w:t>
      </w:r>
      <w:r w:rsidR="007F7A58">
        <w:rPr>
          <w:noProof/>
        </w:rPr>
        <w:fldChar w:fldCharType="end"/>
      </w:r>
      <w:bookmarkEnd w:id="25"/>
      <w:r>
        <w:tab/>
        <w:t>Summary of concordance data between NGS and single-gene testing</w:t>
      </w:r>
    </w:p>
    <w:tbl>
      <w:tblPr>
        <w:tblStyle w:val="TableGrid"/>
        <w:tblW w:w="5000" w:type="pct"/>
        <w:tblLayout w:type="fixed"/>
        <w:tblLook w:val="04A0" w:firstRow="1" w:lastRow="0" w:firstColumn="1" w:lastColumn="0" w:noHBand="0" w:noVBand="1"/>
        <w:tblCaption w:val="Summary of concordance data between NGS and single-gene testing"/>
        <w:tblDescription w:val="Table showing the concordance (by gene) of NGS and single-gene testing, with an overall calculation of the concordance per person. Data were transformed to suit the Australian prevalence of variants. "/>
      </w:tblPr>
      <w:tblGrid>
        <w:gridCol w:w="704"/>
        <w:gridCol w:w="852"/>
        <w:gridCol w:w="849"/>
        <w:gridCol w:w="851"/>
        <w:gridCol w:w="1134"/>
        <w:gridCol w:w="707"/>
        <w:gridCol w:w="710"/>
        <w:gridCol w:w="709"/>
        <w:gridCol w:w="710"/>
        <w:gridCol w:w="822"/>
        <w:gridCol w:w="968"/>
      </w:tblGrid>
      <w:tr w:rsidR="00865C25" w:rsidRPr="00796D44" w14:paraId="6B85AA89" w14:textId="77777777" w:rsidTr="001A6611">
        <w:trPr>
          <w:tblHeader/>
        </w:trPr>
        <w:tc>
          <w:tcPr>
            <w:tcW w:w="390" w:type="pct"/>
            <w:vMerge w:val="restart"/>
          </w:tcPr>
          <w:p w14:paraId="04AF5F9C" w14:textId="77777777" w:rsidR="00865C25" w:rsidRPr="00796D44" w:rsidRDefault="00865C25" w:rsidP="001A6611">
            <w:pPr>
              <w:pStyle w:val="In-tableHeading"/>
            </w:pPr>
            <w:r>
              <w:t>Gene</w:t>
            </w:r>
          </w:p>
        </w:tc>
        <w:tc>
          <w:tcPr>
            <w:tcW w:w="472" w:type="pct"/>
            <w:vMerge w:val="restart"/>
          </w:tcPr>
          <w:p w14:paraId="56F398DF" w14:textId="77777777" w:rsidR="00865C25" w:rsidRPr="00796D44" w:rsidRDefault="00865C25" w:rsidP="001A6611">
            <w:pPr>
              <w:pStyle w:val="In-tableHeading"/>
            </w:pPr>
            <w:r w:rsidRPr="00796D44">
              <w:t>Evidence base</w:t>
            </w:r>
          </w:p>
        </w:tc>
        <w:tc>
          <w:tcPr>
            <w:tcW w:w="471" w:type="pct"/>
            <w:vMerge w:val="restart"/>
          </w:tcPr>
          <w:p w14:paraId="5A3C7B80" w14:textId="77777777" w:rsidR="00865C25" w:rsidRPr="00796D44" w:rsidRDefault="00865C25" w:rsidP="001A6611">
            <w:pPr>
              <w:pStyle w:val="In-tableHeading"/>
            </w:pPr>
            <w:r w:rsidRPr="00796D44">
              <w:t>PPA</w:t>
            </w:r>
            <w:r>
              <w:t xml:space="preserve"> (95%CI)</w:t>
            </w:r>
          </w:p>
        </w:tc>
        <w:tc>
          <w:tcPr>
            <w:tcW w:w="472" w:type="pct"/>
            <w:vMerge w:val="restart"/>
          </w:tcPr>
          <w:p w14:paraId="5D5ACB32" w14:textId="77777777" w:rsidR="00865C25" w:rsidRPr="00796D44" w:rsidRDefault="00865C25" w:rsidP="001A6611">
            <w:pPr>
              <w:pStyle w:val="In-tableHeading"/>
            </w:pPr>
            <w:r w:rsidRPr="00796D44">
              <w:t>NPA</w:t>
            </w:r>
            <w:r>
              <w:t xml:space="preserve"> (95%CI)</w:t>
            </w:r>
          </w:p>
        </w:tc>
        <w:tc>
          <w:tcPr>
            <w:tcW w:w="629" w:type="pct"/>
            <w:vMerge w:val="restart"/>
          </w:tcPr>
          <w:p w14:paraId="7F321401" w14:textId="77777777" w:rsidR="00865C25" w:rsidRPr="00796D44" w:rsidRDefault="00865C25" w:rsidP="001A6611">
            <w:pPr>
              <w:pStyle w:val="In-tableHeading"/>
            </w:pPr>
            <w:r w:rsidRPr="00796D44">
              <w:t>Prevalence</w:t>
            </w:r>
          </w:p>
        </w:tc>
        <w:tc>
          <w:tcPr>
            <w:tcW w:w="1573" w:type="pct"/>
            <w:gridSpan w:val="4"/>
          </w:tcPr>
          <w:p w14:paraId="3F365835" w14:textId="77777777" w:rsidR="00865C25" w:rsidRPr="00796D44" w:rsidRDefault="00865C25" w:rsidP="001A6611">
            <w:pPr>
              <w:pStyle w:val="In-tableHeading"/>
            </w:pPr>
            <w:r>
              <w:t>Per 1000 successfully tested (95%CI)</w:t>
            </w:r>
          </w:p>
        </w:tc>
        <w:tc>
          <w:tcPr>
            <w:tcW w:w="456" w:type="pct"/>
            <w:vMerge w:val="restart"/>
          </w:tcPr>
          <w:p w14:paraId="22E2CE2F" w14:textId="77777777" w:rsidR="00865C25" w:rsidRDefault="00865C25" w:rsidP="001A6611">
            <w:pPr>
              <w:pStyle w:val="In-tableHeading"/>
            </w:pPr>
            <w:r>
              <w:t>PPV (95%CI)</w:t>
            </w:r>
          </w:p>
        </w:tc>
        <w:tc>
          <w:tcPr>
            <w:tcW w:w="537" w:type="pct"/>
            <w:vMerge w:val="restart"/>
          </w:tcPr>
          <w:p w14:paraId="720CAE3F" w14:textId="77777777" w:rsidR="00865C25" w:rsidRDefault="00865C25" w:rsidP="001A6611">
            <w:pPr>
              <w:pStyle w:val="In-tableHeading"/>
            </w:pPr>
            <w:r>
              <w:t>NPV (95%CI)</w:t>
            </w:r>
          </w:p>
        </w:tc>
      </w:tr>
      <w:tr w:rsidR="00865C25" w:rsidRPr="00796D44" w14:paraId="2C25BB51" w14:textId="77777777" w:rsidTr="001A6611">
        <w:trPr>
          <w:tblHeader/>
        </w:trPr>
        <w:tc>
          <w:tcPr>
            <w:tcW w:w="390" w:type="pct"/>
            <w:vMerge/>
          </w:tcPr>
          <w:p w14:paraId="01EC2928" w14:textId="77777777" w:rsidR="00865C25" w:rsidRPr="00796D44" w:rsidRDefault="00865C25" w:rsidP="001A6611">
            <w:pPr>
              <w:pStyle w:val="In-tableHeading"/>
            </w:pPr>
          </w:p>
        </w:tc>
        <w:tc>
          <w:tcPr>
            <w:tcW w:w="472" w:type="pct"/>
            <w:vMerge/>
          </w:tcPr>
          <w:p w14:paraId="5BF39FD9" w14:textId="77777777" w:rsidR="00865C25" w:rsidRPr="00796D44" w:rsidRDefault="00865C25" w:rsidP="001A6611">
            <w:pPr>
              <w:pStyle w:val="In-tableHeading"/>
            </w:pPr>
          </w:p>
        </w:tc>
        <w:tc>
          <w:tcPr>
            <w:tcW w:w="471" w:type="pct"/>
            <w:vMerge/>
          </w:tcPr>
          <w:p w14:paraId="2C482A24" w14:textId="77777777" w:rsidR="00865C25" w:rsidRPr="00796D44" w:rsidRDefault="00865C25" w:rsidP="001A6611">
            <w:pPr>
              <w:pStyle w:val="In-tableHeading"/>
            </w:pPr>
          </w:p>
        </w:tc>
        <w:tc>
          <w:tcPr>
            <w:tcW w:w="472" w:type="pct"/>
            <w:vMerge/>
          </w:tcPr>
          <w:p w14:paraId="67857D8B" w14:textId="77777777" w:rsidR="00865C25" w:rsidRPr="00796D44" w:rsidRDefault="00865C25" w:rsidP="001A6611">
            <w:pPr>
              <w:pStyle w:val="In-tableHeading"/>
            </w:pPr>
          </w:p>
        </w:tc>
        <w:tc>
          <w:tcPr>
            <w:tcW w:w="629" w:type="pct"/>
            <w:vMerge/>
          </w:tcPr>
          <w:p w14:paraId="072E2EDE" w14:textId="77777777" w:rsidR="00865C25" w:rsidRPr="00796D44" w:rsidRDefault="00865C25" w:rsidP="001A6611">
            <w:pPr>
              <w:pStyle w:val="In-tableHeading"/>
            </w:pPr>
          </w:p>
        </w:tc>
        <w:tc>
          <w:tcPr>
            <w:tcW w:w="392" w:type="pct"/>
          </w:tcPr>
          <w:p w14:paraId="11C8A74F" w14:textId="77777777" w:rsidR="00865C25" w:rsidRPr="00796D44" w:rsidRDefault="00865C25" w:rsidP="001A6611">
            <w:pPr>
              <w:pStyle w:val="In-tableHeading"/>
            </w:pPr>
            <w:r w:rsidRPr="00796D44">
              <w:t>NGS+ /SG+</w:t>
            </w:r>
          </w:p>
        </w:tc>
        <w:tc>
          <w:tcPr>
            <w:tcW w:w="394" w:type="pct"/>
          </w:tcPr>
          <w:p w14:paraId="59C73F10" w14:textId="77777777" w:rsidR="00865C25" w:rsidRPr="00796D44" w:rsidRDefault="00865C25" w:rsidP="001A6611">
            <w:pPr>
              <w:pStyle w:val="In-tableHeading"/>
            </w:pPr>
            <w:r w:rsidRPr="00796D44">
              <w:t>NGS+ /SG-</w:t>
            </w:r>
          </w:p>
        </w:tc>
        <w:tc>
          <w:tcPr>
            <w:tcW w:w="393" w:type="pct"/>
          </w:tcPr>
          <w:p w14:paraId="4BCB3FF3" w14:textId="77777777" w:rsidR="00865C25" w:rsidRPr="00796D44" w:rsidRDefault="00865C25" w:rsidP="001A6611">
            <w:pPr>
              <w:pStyle w:val="In-tableHeading"/>
            </w:pPr>
            <w:r w:rsidRPr="00796D44">
              <w:t>NGS- /SG+</w:t>
            </w:r>
          </w:p>
        </w:tc>
        <w:tc>
          <w:tcPr>
            <w:tcW w:w="394" w:type="pct"/>
          </w:tcPr>
          <w:p w14:paraId="4F611FC6" w14:textId="77777777" w:rsidR="00865C25" w:rsidRPr="00796D44" w:rsidRDefault="00865C25" w:rsidP="001A6611">
            <w:pPr>
              <w:pStyle w:val="In-tableHeading"/>
            </w:pPr>
            <w:r w:rsidRPr="00796D44">
              <w:t>NGS- /SG-</w:t>
            </w:r>
          </w:p>
        </w:tc>
        <w:tc>
          <w:tcPr>
            <w:tcW w:w="456" w:type="pct"/>
            <w:vMerge/>
          </w:tcPr>
          <w:p w14:paraId="5C0CC83E" w14:textId="77777777" w:rsidR="00865C25" w:rsidRPr="00796D44" w:rsidRDefault="00865C25" w:rsidP="001A6611">
            <w:pPr>
              <w:pStyle w:val="In-tableHeading"/>
            </w:pPr>
          </w:p>
        </w:tc>
        <w:tc>
          <w:tcPr>
            <w:tcW w:w="537" w:type="pct"/>
            <w:vMerge/>
          </w:tcPr>
          <w:p w14:paraId="716AE024" w14:textId="77777777" w:rsidR="00865C25" w:rsidRPr="00796D44" w:rsidRDefault="00865C25" w:rsidP="001A6611">
            <w:pPr>
              <w:pStyle w:val="In-tableHeading"/>
            </w:pPr>
          </w:p>
        </w:tc>
      </w:tr>
      <w:tr w:rsidR="00865C25" w:rsidRPr="00796D44" w14:paraId="2389ABF6" w14:textId="77777777" w:rsidTr="001A6611">
        <w:tc>
          <w:tcPr>
            <w:tcW w:w="390" w:type="pct"/>
          </w:tcPr>
          <w:p w14:paraId="3E8FDE2E" w14:textId="77777777" w:rsidR="00865C25" w:rsidRPr="006F53B4" w:rsidRDefault="00865C25" w:rsidP="001A6611">
            <w:pPr>
              <w:pStyle w:val="Tabletext0"/>
              <w:rPr>
                <w:i/>
              </w:rPr>
            </w:pPr>
            <w:r w:rsidRPr="006F53B4">
              <w:rPr>
                <w:i/>
              </w:rPr>
              <w:t>EGFR</w:t>
            </w:r>
          </w:p>
        </w:tc>
        <w:tc>
          <w:tcPr>
            <w:tcW w:w="472" w:type="pct"/>
          </w:tcPr>
          <w:p w14:paraId="304B56B1" w14:textId="77777777" w:rsidR="00865C25" w:rsidRPr="00796D44" w:rsidRDefault="00865C25" w:rsidP="001A6611">
            <w:pPr>
              <w:pStyle w:val="Tabletext0"/>
            </w:pPr>
            <w:r w:rsidRPr="00796D44">
              <w:t>n=2611</w:t>
            </w:r>
          </w:p>
          <w:p w14:paraId="55497ED2" w14:textId="77777777" w:rsidR="00865C25" w:rsidRPr="00796D44" w:rsidRDefault="00865C25" w:rsidP="001A6611">
            <w:pPr>
              <w:pStyle w:val="Tabletext0"/>
            </w:pPr>
            <w:r w:rsidRPr="00796D44">
              <w:t>k=22</w:t>
            </w:r>
          </w:p>
        </w:tc>
        <w:tc>
          <w:tcPr>
            <w:tcW w:w="471" w:type="pct"/>
          </w:tcPr>
          <w:p w14:paraId="7F9312CE" w14:textId="77777777" w:rsidR="00865C25" w:rsidRPr="00796D44" w:rsidRDefault="00865C25" w:rsidP="001A6611">
            <w:pPr>
              <w:pStyle w:val="Tabletext0"/>
            </w:pPr>
            <w:r w:rsidRPr="00796D44">
              <w:t>0.98 (0.95, 0.99)</w:t>
            </w:r>
          </w:p>
        </w:tc>
        <w:tc>
          <w:tcPr>
            <w:tcW w:w="472" w:type="pct"/>
          </w:tcPr>
          <w:p w14:paraId="484564D8" w14:textId="77777777" w:rsidR="00865C25" w:rsidRPr="00796D44" w:rsidRDefault="00865C25" w:rsidP="001A6611">
            <w:pPr>
              <w:pStyle w:val="Tabletext0"/>
            </w:pPr>
            <w:r w:rsidRPr="00796D44">
              <w:t>0.97 (0.95, 0.99)</w:t>
            </w:r>
          </w:p>
        </w:tc>
        <w:tc>
          <w:tcPr>
            <w:tcW w:w="629" w:type="pct"/>
          </w:tcPr>
          <w:p w14:paraId="293A7DA0" w14:textId="77777777" w:rsidR="00865C25" w:rsidRPr="00B26AFD" w:rsidRDefault="00865C25" w:rsidP="001A6611">
            <w:pPr>
              <w:pStyle w:val="Tabletext0"/>
              <w:rPr>
                <w:vertAlign w:val="superscript"/>
              </w:rPr>
            </w:pPr>
            <w:r w:rsidRPr="00796D44">
              <w:t>15%</w:t>
            </w:r>
            <w:r>
              <w:rPr>
                <w:vertAlign w:val="superscript"/>
              </w:rPr>
              <w:t>a</w:t>
            </w:r>
          </w:p>
        </w:tc>
        <w:tc>
          <w:tcPr>
            <w:tcW w:w="392" w:type="pct"/>
          </w:tcPr>
          <w:p w14:paraId="43F21DB8" w14:textId="77777777" w:rsidR="00865C25" w:rsidRPr="00796D44" w:rsidRDefault="00865C25" w:rsidP="001A6611">
            <w:pPr>
              <w:pStyle w:val="Tabletext0"/>
              <w:jc w:val="left"/>
            </w:pPr>
            <w:r w:rsidRPr="00796D44">
              <w:t>147 (143, 149)</w:t>
            </w:r>
          </w:p>
        </w:tc>
        <w:tc>
          <w:tcPr>
            <w:tcW w:w="394" w:type="pct"/>
          </w:tcPr>
          <w:p w14:paraId="3A6AF755" w14:textId="77777777" w:rsidR="00865C25" w:rsidRPr="00796D44" w:rsidRDefault="00865C25" w:rsidP="001A6611">
            <w:pPr>
              <w:pStyle w:val="Tabletext0"/>
            </w:pPr>
            <w:r w:rsidRPr="00796D44">
              <w:t>25 (8, 42)</w:t>
            </w:r>
          </w:p>
        </w:tc>
        <w:tc>
          <w:tcPr>
            <w:tcW w:w="393" w:type="pct"/>
          </w:tcPr>
          <w:p w14:paraId="349F4967" w14:textId="77777777" w:rsidR="00865C25" w:rsidRPr="00796D44" w:rsidRDefault="00865C25" w:rsidP="001A6611">
            <w:pPr>
              <w:pStyle w:val="Tabletext0"/>
            </w:pPr>
            <w:r w:rsidRPr="00796D44">
              <w:t>3 (1, 7)</w:t>
            </w:r>
          </w:p>
        </w:tc>
        <w:tc>
          <w:tcPr>
            <w:tcW w:w="394" w:type="pct"/>
          </w:tcPr>
          <w:p w14:paraId="5DCFBFDF" w14:textId="77777777" w:rsidR="00865C25" w:rsidRPr="00796D44" w:rsidRDefault="00865C25" w:rsidP="001A6611">
            <w:pPr>
              <w:pStyle w:val="Tabletext0"/>
            </w:pPr>
            <w:r w:rsidRPr="00796D44">
              <w:t>825 (808, 842)</w:t>
            </w:r>
          </w:p>
        </w:tc>
        <w:tc>
          <w:tcPr>
            <w:tcW w:w="456" w:type="pct"/>
          </w:tcPr>
          <w:p w14:paraId="0600A47C" w14:textId="77777777" w:rsidR="00865C25" w:rsidRPr="00796D44" w:rsidRDefault="00865C25" w:rsidP="001A6611">
            <w:pPr>
              <w:pStyle w:val="Tabletext0"/>
            </w:pPr>
            <w:r>
              <w:t>0.85</w:t>
            </w:r>
          </w:p>
        </w:tc>
        <w:tc>
          <w:tcPr>
            <w:tcW w:w="537" w:type="pct"/>
          </w:tcPr>
          <w:p w14:paraId="61B2CDAF" w14:textId="77777777" w:rsidR="00865C25" w:rsidRPr="00796D44" w:rsidRDefault="00865C25" w:rsidP="001A6611">
            <w:pPr>
              <w:pStyle w:val="Tabletext0"/>
            </w:pPr>
            <w:r>
              <w:t>1.00</w:t>
            </w:r>
          </w:p>
        </w:tc>
      </w:tr>
      <w:tr w:rsidR="00865C25" w:rsidRPr="00796D44" w14:paraId="23F39782" w14:textId="77777777" w:rsidTr="001A6611">
        <w:tc>
          <w:tcPr>
            <w:tcW w:w="390" w:type="pct"/>
          </w:tcPr>
          <w:p w14:paraId="7396B9BB" w14:textId="77777777" w:rsidR="00865C25" w:rsidRPr="006F53B4" w:rsidRDefault="00865C25" w:rsidP="001A6611">
            <w:pPr>
              <w:pStyle w:val="Tabletext0"/>
              <w:rPr>
                <w:i/>
              </w:rPr>
            </w:pPr>
            <w:r w:rsidRPr="006F53B4">
              <w:rPr>
                <w:i/>
              </w:rPr>
              <w:t>ALK</w:t>
            </w:r>
          </w:p>
        </w:tc>
        <w:tc>
          <w:tcPr>
            <w:tcW w:w="472" w:type="pct"/>
          </w:tcPr>
          <w:p w14:paraId="78603211" w14:textId="77777777" w:rsidR="00865C25" w:rsidRDefault="00865C25" w:rsidP="001A6611">
            <w:pPr>
              <w:pStyle w:val="Tabletext0"/>
            </w:pPr>
            <w:r>
              <w:t>n=1464</w:t>
            </w:r>
          </w:p>
          <w:p w14:paraId="1D6DAF30" w14:textId="77777777" w:rsidR="00865C25" w:rsidRPr="00796D44" w:rsidRDefault="00865C25" w:rsidP="001A6611">
            <w:pPr>
              <w:pStyle w:val="Tabletext0"/>
            </w:pPr>
            <w:r>
              <w:t>k=11</w:t>
            </w:r>
          </w:p>
        </w:tc>
        <w:tc>
          <w:tcPr>
            <w:tcW w:w="471" w:type="pct"/>
          </w:tcPr>
          <w:p w14:paraId="13E68567" w14:textId="77777777" w:rsidR="00865C25" w:rsidRPr="00796D44" w:rsidRDefault="00865C25" w:rsidP="001A6611">
            <w:pPr>
              <w:pStyle w:val="Tabletext0"/>
            </w:pPr>
            <w:r>
              <w:t>0.92 (0.77, 0.97)</w:t>
            </w:r>
          </w:p>
        </w:tc>
        <w:tc>
          <w:tcPr>
            <w:tcW w:w="472" w:type="pct"/>
          </w:tcPr>
          <w:p w14:paraId="0D988668" w14:textId="77777777" w:rsidR="00865C25" w:rsidRPr="00796D44" w:rsidRDefault="00865C25" w:rsidP="001A6611">
            <w:pPr>
              <w:pStyle w:val="Tabletext0"/>
            </w:pPr>
            <w:r>
              <w:t>0.99 (0.93, 1.00)</w:t>
            </w:r>
          </w:p>
        </w:tc>
        <w:tc>
          <w:tcPr>
            <w:tcW w:w="629" w:type="pct"/>
          </w:tcPr>
          <w:p w14:paraId="2F68E9EC" w14:textId="77777777" w:rsidR="00865C25" w:rsidRPr="00B26AFD" w:rsidRDefault="00865C25" w:rsidP="001A6611">
            <w:pPr>
              <w:pStyle w:val="Tabletext0"/>
              <w:rPr>
                <w:vertAlign w:val="superscript"/>
              </w:rPr>
            </w:pPr>
            <w:r>
              <w:t>3%</w:t>
            </w:r>
            <w:r>
              <w:rPr>
                <w:vertAlign w:val="superscript"/>
              </w:rPr>
              <w:t>b</w:t>
            </w:r>
          </w:p>
        </w:tc>
        <w:tc>
          <w:tcPr>
            <w:tcW w:w="392" w:type="pct"/>
          </w:tcPr>
          <w:p w14:paraId="66E2C7AB" w14:textId="77777777" w:rsidR="00865C25" w:rsidRPr="00796D44" w:rsidRDefault="00865C25" w:rsidP="001A6611">
            <w:pPr>
              <w:pStyle w:val="Tabletext0"/>
              <w:jc w:val="left"/>
            </w:pPr>
            <w:r>
              <w:t>28 (23, 29)</w:t>
            </w:r>
          </w:p>
        </w:tc>
        <w:tc>
          <w:tcPr>
            <w:tcW w:w="394" w:type="pct"/>
          </w:tcPr>
          <w:p w14:paraId="2512C928" w14:textId="77777777" w:rsidR="00865C25" w:rsidRPr="00796D44" w:rsidRDefault="00865C25" w:rsidP="001A6611">
            <w:pPr>
              <w:pStyle w:val="Tabletext0"/>
            </w:pPr>
            <w:r>
              <w:t>10 (0, 68)</w:t>
            </w:r>
          </w:p>
        </w:tc>
        <w:tc>
          <w:tcPr>
            <w:tcW w:w="393" w:type="pct"/>
          </w:tcPr>
          <w:p w14:paraId="5CBBDBCC" w14:textId="77777777" w:rsidR="00865C25" w:rsidRPr="00796D44" w:rsidRDefault="00865C25" w:rsidP="001A6611">
            <w:pPr>
              <w:pStyle w:val="Tabletext0"/>
            </w:pPr>
            <w:r>
              <w:t>2 (1, 7)</w:t>
            </w:r>
          </w:p>
        </w:tc>
        <w:tc>
          <w:tcPr>
            <w:tcW w:w="394" w:type="pct"/>
          </w:tcPr>
          <w:p w14:paraId="2DEBF9E7" w14:textId="77777777" w:rsidR="00865C25" w:rsidRPr="00796D44" w:rsidRDefault="00865C25" w:rsidP="001A6611">
            <w:pPr>
              <w:pStyle w:val="Tabletext0"/>
            </w:pPr>
            <w:r>
              <w:t>960 (902, 97)</w:t>
            </w:r>
          </w:p>
        </w:tc>
        <w:tc>
          <w:tcPr>
            <w:tcW w:w="456" w:type="pct"/>
          </w:tcPr>
          <w:p w14:paraId="50DECFC2" w14:textId="77777777" w:rsidR="00865C25" w:rsidRDefault="00865C25" w:rsidP="001A6611">
            <w:pPr>
              <w:pStyle w:val="Tabletext0"/>
            </w:pPr>
            <w:r>
              <w:t>0.74</w:t>
            </w:r>
          </w:p>
        </w:tc>
        <w:tc>
          <w:tcPr>
            <w:tcW w:w="537" w:type="pct"/>
          </w:tcPr>
          <w:p w14:paraId="0ED53233" w14:textId="77777777" w:rsidR="00865C25" w:rsidRDefault="00865C25" w:rsidP="001A6611">
            <w:pPr>
              <w:pStyle w:val="Tabletext0"/>
            </w:pPr>
            <w:r>
              <w:t>1.00</w:t>
            </w:r>
          </w:p>
        </w:tc>
      </w:tr>
      <w:tr w:rsidR="00865C25" w:rsidRPr="00796D44" w14:paraId="29972555" w14:textId="77777777" w:rsidTr="001A6611">
        <w:tc>
          <w:tcPr>
            <w:tcW w:w="390" w:type="pct"/>
          </w:tcPr>
          <w:p w14:paraId="53082CEB" w14:textId="77777777" w:rsidR="00865C25" w:rsidRPr="006F53B4" w:rsidRDefault="00865C25" w:rsidP="001A6611">
            <w:pPr>
              <w:pStyle w:val="Tabletext0"/>
              <w:rPr>
                <w:i/>
              </w:rPr>
            </w:pPr>
            <w:r w:rsidRPr="006F53B4">
              <w:rPr>
                <w:i/>
              </w:rPr>
              <w:t>ROS1</w:t>
            </w:r>
          </w:p>
        </w:tc>
        <w:tc>
          <w:tcPr>
            <w:tcW w:w="472" w:type="pct"/>
          </w:tcPr>
          <w:p w14:paraId="7BB01347" w14:textId="77777777" w:rsidR="00865C25" w:rsidRDefault="00865C25" w:rsidP="001A6611">
            <w:pPr>
              <w:pStyle w:val="Tabletext0"/>
            </w:pPr>
            <w:r>
              <w:t>n=830</w:t>
            </w:r>
          </w:p>
          <w:p w14:paraId="2CE077D1" w14:textId="77777777" w:rsidR="00865C25" w:rsidRPr="00796D44" w:rsidRDefault="00865C25" w:rsidP="001A6611">
            <w:pPr>
              <w:pStyle w:val="Tabletext0"/>
            </w:pPr>
            <w:r>
              <w:t>k=6</w:t>
            </w:r>
          </w:p>
        </w:tc>
        <w:tc>
          <w:tcPr>
            <w:tcW w:w="471" w:type="pct"/>
          </w:tcPr>
          <w:p w14:paraId="3A614B7E" w14:textId="77777777" w:rsidR="00865C25" w:rsidRPr="00796D44" w:rsidRDefault="00865C25" w:rsidP="001A6611">
            <w:pPr>
              <w:pStyle w:val="Tabletext0"/>
            </w:pPr>
            <w:r>
              <w:t>0.86 (0.63, 0.96)</w:t>
            </w:r>
          </w:p>
        </w:tc>
        <w:tc>
          <w:tcPr>
            <w:tcW w:w="472" w:type="pct"/>
          </w:tcPr>
          <w:p w14:paraId="4199EDF3" w14:textId="77777777" w:rsidR="00865C25" w:rsidRPr="00796D44" w:rsidRDefault="00865C25" w:rsidP="001A6611">
            <w:pPr>
              <w:pStyle w:val="Tabletext0"/>
            </w:pPr>
            <w:r>
              <w:t>1.00 (0.99, 1.00)</w:t>
            </w:r>
          </w:p>
        </w:tc>
        <w:tc>
          <w:tcPr>
            <w:tcW w:w="629" w:type="pct"/>
          </w:tcPr>
          <w:p w14:paraId="494A6090" w14:textId="77777777" w:rsidR="00865C25" w:rsidRPr="00B26AFD" w:rsidRDefault="00865C25" w:rsidP="001A6611">
            <w:pPr>
              <w:pStyle w:val="Tabletext0"/>
              <w:rPr>
                <w:vertAlign w:val="superscript"/>
              </w:rPr>
            </w:pPr>
            <w:r>
              <w:t>1.61%</w:t>
            </w:r>
            <w:r>
              <w:rPr>
                <w:vertAlign w:val="superscript"/>
              </w:rPr>
              <w:t>c</w:t>
            </w:r>
          </w:p>
        </w:tc>
        <w:tc>
          <w:tcPr>
            <w:tcW w:w="392" w:type="pct"/>
          </w:tcPr>
          <w:p w14:paraId="4567539F" w14:textId="77777777" w:rsidR="00865C25" w:rsidRPr="00796D44" w:rsidRDefault="00865C25" w:rsidP="001A6611">
            <w:pPr>
              <w:pStyle w:val="Tabletext0"/>
              <w:jc w:val="left"/>
            </w:pPr>
            <w:r>
              <w:t>14 (10, 15)</w:t>
            </w:r>
          </w:p>
        </w:tc>
        <w:tc>
          <w:tcPr>
            <w:tcW w:w="394" w:type="pct"/>
          </w:tcPr>
          <w:p w14:paraId="27FFD667" w14:textId="77777777" w:rsidR="00865C25" w:rsidRPr="00796D44" w:rsidRDefault="00865C25" w:rsidP="001A6611">
            <w:pPr>
              <w:pStyle w:val="Tabletext0"/>
            </w:pPr>
            <w:r>
              <w:t>0 (0, 10)</w:t>
            </w:r>
          </w:p>
        </w:tc>
        <w:tc>
          <w:tcPr>
            <w:tcW w:w="393" w:type="pct"/>
          </w:tcPr>
          <w:p w14:paraId="1CD0E684" w14:textId="77777777" w:rsidR="00865C25" w:rsidRPr="00796D44" w:rsidRDefault="00865C25" w:rsidP="001A6611">
            <w:pPr>
              <w:pStyle w:val="Tabletext0"/>
            </w:pPr>
            <w:r>
              <w:t>2 (1, 6)</w:t>
            </w:r>
          </w:p>
        </w:tc>
        <w:tc>
          <w:tcPr>
            <w:tcW w:w="394" w:type="pct"/>
          </w:tcPr>
          <w:p w14:paraId="1528192B" w14:textId="77777777" w:rsidR="00865C25" w:rsidRPr="00796D44" w:rsidRDefault="00865C25" w:rsidP="001A6611">
            <w:pPr>
              <w:pStyle w:val="Tabletext0"/>
            </w:pPr>
            <w:r>
              <w:t>984 (974, 984)</w:t>
            </w:r>
          </w:p>
        </w:tc>
        <w:tc>
          <w:tcPr>
            <w:tcW w:w="456" w:type="pct"/>
          </w:tcPr>
          <w:p w14:paraId="3E5A377A" w14:textId="77777777" w:rsidR="00865C25" w:rsidRDefault="00865C25" w:rsidP="001A6611">
            <w:pPr>
              <w:pStyle w:val="Tabletext0"/>
            </w:pPr>
            <w:r>
              <w:t>1.00</w:t>
            </w:r>
          </w:p>
        </w:tc>
        <w:tc>
          <w:tcPr>
            <w:tcW w:w="537" w:type="pct"/>
          </w:tcPr>
          <w:p w14:paraId="260F0748" w14:textId="77777777" w:rsidR="00865C25" w:rsidRDefault="00865C25" w:rsidP="001A6611">
            <w:pPr>
              <w:pStyle w:val="Tabletext0"/>
            </w:pPr>
            <w:r>
              <w:t>1.00</w:t>
            </w:r>
          </w:p>
        </w:tc>
      </w:tr>
      <w:tr w:rsidR="00865C25" w:rsidRPr="00796D44" w14:paraId="50B4E537" w14:textId="77777777" w:rsidTr="001A6611">
        <w:tc>
          <w:tcPr>
            <w:tcW w:w="390" w:type="pct"/>
          </w:tcPr>
          <w:p w14:paraId="267FEEFE" w14:textId="77777777" w:rsidR="00865C25" w:rsidRPr="006F53B4" w:rsidRDefault="00865C25" w:rsidP="001A6611">
            <w:pPr>
              <w:pStyle w:val="Tabletext0"/>
              <w:rPr>
                <w:i/>
              </w:rPr>
            </w:pPr>
            <w:r w:rsidRPr="006F53B4">
              <w:rPr>
                <w:i/>
              </w:rPr>
              <w:t>MET</w:t>
            </w:r>
            <w:r>
              <w:rPr>
                <w:i/>
              </w:rPr>
              <w:t xml:space="preserve"> </w:t>
            </w:r>
            <w:r w:rsidRPr="006F53B4">
              <w:t>ex14s</w:t>
            </w:r>
            <w:r w:rsidRPr="006F53B4">
              <w:rPr>
                <w:i/>
              </w:rPr>
              <w:t>k</w:t>
            </w:r>
          </w:p>
        </w:tc>
        <w:tc>
          <w:tcPr>
            <w:tcW w:w="472" w:type="pct"/>
          </w:tcPr>
          <w:p w14:paraId="15005A32" w14:textId="77777777" w:rsidR="00865C25" w:rsidRDefault="00865C25" w:rsidP="001A6611">
            <w:pPr>
              <w:pStyle w:val="Tabletext0"/>
            </w:pPr>
            <w:r>
              <w:t>n=99</w:t>
            </w:r>
          </w:p>
          <w:p w14:paraId="4990F46C" w14:textId="77777777" w:rsidR="00865C25" w:rsidRPr="00796D44" w:rsidRDefault="00865C25" w:rsidP="001A6611">
            <w:pPr>
              <w:pStyle w:val="Tabletext0"/>
            </w:pPr>
            <w:r>
              <w:t>k=1</w:t>
            </w:r>
          </w:p>
        </w:tc>
        <w:tc>
          <w:tcPr>
            <w:tcW w:w="471" w:type="pct"/>
          </w:tcPr>
          <w:p w14:paraId="58FDBF48" w14:textId="77777777" w:rsidR="00865C25" w:rsidRPr="00796D44" w:rsidRDefault="00865C25" w:rsidP="001A6611">
            <w:pPr>
              <w:pStyle w:val="Tabletext0"/>
            </w:pPr>
            <w:r>
              <w:t>0.98 (0.89, 1.00)</w:t>
            </w:r>
          </w:p>
        </w:tc>
        <w:tc>
          <w:tcPr>
            <w:tcW w:w="472" w:type="pct"/>
          </w:tcPr>
          <w:p w14:paraId="19A00427" w14:textId="77777777" w:rsidR="00865C25" w:rsidRPr="00796D44" w:rsidRDefault="00865C25" w:rsidP="001A6611">
            <w:pPr>
              <w:pStyle w:val="Tabletext0"/>
            </w:pPr>
            <w:r>
              <w:t>1.00 (0.93, 1.00)</w:t>
            </w:r>
          </w:p>
        </w:tc>
        <w:tc>
          <w:tcPr>
            <w:tcW w:w="629" w:type="pct"/>
          </w:tcPr>
          <w:p w14:paraId="2ACBFB39" w14:textId="77777777" w:rsidR="00865C25" w:rsidRPr="00B26AFD" w:rsidRDefault="00865C25" w:rsidP="001A6611">
            <w:pPr>
              <w:pStyle w:val="Tabletext0"/>
              <w:rPr>
                <w:vertAlign w:val="superscript"/>
              </w:rPr>
            </w:pPr>
            <w:r>
              <w:t>3.6%</w:t>
            </w:r>
            <w:r>
              <w:rPr>
                <w:vertAlign w:val="superscript"/>
              </w:rPr>
              <w:t>d</w:t>
            </w:r>
          </w:p>
        </w:tc>
        <w:tc>
          <w:tcPr>
            <w:tcW w:w="392" w:type="pct"/>
          </w:tcPr>
          <w:p w14:paraId="6E71963E" w14:textId="77777777" w:rsidR="00865C25" w:rsidRPr="00796D44" w:rsidRDefault="00865C25" w:rsidP="001A6611">
            <w:pPr>
              <w:pStyle w:val="Tabletext0"/>
              <w:jc w:val="left"/>
            </w:pPr>
            <w:r>
              <w:t>35 (32, 36)</w:t>
            </w:r>
          </w:p>
        </w:tc>
        <w:tc>
          <w:tcPr>
            <w:tcW w:w="394" w:type="pct"/>
          </w:tcPr>
          <w:p w14:paraId="169DAEE1" w14:textId="77777777" w:rsidR="00865C25" w:rsidRPr="00796D44" w:rsidRDefault="00865C25" w:rsidP="001A6611">
            <w:pPr>
              <w:pStyle w:val="Tabletext0"/>
            </w:pPr>
            <w:r>
              <w:t>0 (0, 69)</w:t>
            </w:r>
          </w:p>
        </w:tc>
        <w:tc>
          <w:tcPr>
            <w:tcW w:w="393" w:type="pct"/>
          </w:tcPr>
          <w:p w14:paraId="3A4AA603" w14:textId="77777777" w:rsidR="00865C25" w:rsidRPr="00796D44" w:rsidRDefault="00865C25" w:rsidP="001A6611">
            <w:pPr>
              <w:pStyle w:val="Tabletext0"/>
            </w:pPr>
            <w:r>
              <w:t>1 (0, 4)</w:t>
            </w:r>
          </w:p>
        </w:tc>
        <w:tc>
          <w:tcPr>
            <w:tcW w:w="394" w:type="pct"/>
          </w:tcPr>
          <w:p w14:paraId="5CCF8460" w14:textId="77777777" w:rsidR="00865C25" w:rsidRPr="00796D44" w:rsidRDefault="00865C25" w:rsidP="001A6611">
            <w:pPr>
              <w:pStyle w:val="Tabletext0"/>
            </w:pPr>
            <w:r>
              <w:t>964 (895, 964)</w:t>
            </w:r>
          </w:p>
        </w:tc>
        <w:tc>
          <w:tcPr>
            <w:tcW w:w="456" w:type="pct"/>
          </w:tcPr>
          <w:p w14:paraId="20163510" w14:textId="77777777" w:rsidR="00865C25" w:rsidRDefault="00865C25" w:rsidP="001A6611">
            <w:pPr>
              <w:pStyle w:val="Tabletext0"/>
            </w:pPr>
            <w:r>
              <w:t>1.00</w:t>
            </w:r>
          </w:p>
        </w:tc>
        <w:tc>
          <w:tcPr>
            <w:tcW w:w="537" w:type="pct"/>
          </w:tcPr>
          <w:p w14:paraId="0EFE66A8" w14:textId="77777777" w:rsidR="00865C25" w:rsidRDefault="00865C25" w:rsidP="001A6611">
            <w:pPr>
              <w:pStyle w:val="Tabletext0"/>
            </w:pPr>
            <w:r>
              <w:t>1.00</w:t>
            </w:r>
          </w:p>
        </w:tc>
      </w:tr>
      <w:tr w:rsidR="00865C25" w:rsidRPr="00796D44" w14:paraId="5D2F005B" w14:textId="77777777" w:rsidTr="001A6611">
        <w:tc>
          <w:tcPr>
            <w:tcW w:w="390" w:type="pct"/>
          </w:tcPr>
          <w:p w14:paraId="46CA52EF" w14:textId="77777777" w:rsidR="00865C25" w:rsidRDefault="00865C25" w:rsidP="001A6611">
            <w:pPr>
              <w:pStyle w:val="Tabletext0"/>
            </w:pPr>
            <w:r>
              <w:t>Total</w:t>
            </w:r>
          </w:p>
        </w:tc>
        <w:tc>
          <w:tcPr>
            <w:tcW w:w="472" w:type="pct"/>
          </w:tcPr>
          <w:p w14:paraId="5ADC8080" w14:textId="77777777" w:rsidR="00865C25" w:rsidRDefault="00865C25" w:rsidP="001A6611">
            <w:pPr>
              <w:pStyle w:val="Tabletext0"/>
            </w:pPr>
          </w:p>
        </w:tc>
        <w:tc>
          <w:tcPr>
            <w:tcW w:w="471" w:type="pct"/>
          </w:tcPr>
          <w:p w14:paraId="583A9AFF" w14:textId="77777777" w:rsidR="00865C25" w:rsidRDefault="00865C25" w:rsidP="001A6611">
            <w:pPr>
              <w:pStyle w:val="Tabletext0"/>
            </w:pPr>
          </w:p>
        </w:tc>
        <w:tc>
          <w:tcPr>
            <w:tcW w:w="472" w:type="pct"/>
          </w:tcPr>
          <w:p w14:paraId="5B590313" w14:textId="77777777" w:rsidR="00865C25" w:rsidRDefault="00865C25" w:rsidP="001A6611">
            <w:pPr>
              <w:pStyle w:val="Tabletext0"/>
            </w:pPr>
          </w:p>
        </w:tc>
        <w:tc>
          <w:tcPr>
            <w:tcW w:w="629" w:type="pct"/>
          </w:tcPr>
          <w:p w14:paraId="00D7D2F6" w14:textId="77777777" w:rsidR="00865C25" w:rsidRDefault="00865C25" w:rsidP="001A6611">
            <w:pPr>
              <w:pStyle w:val="Tabletext0"/>
            </w:pPr>
          </w:p>
        </w:tc>
        <w:tc>
          <w:tcPr>
            <w:tcW w:w="392" w:type="pct"/>
          </w:tcPr>
          <w:p w14:paraId="72C4DFC9" w14:textId="77777777" w:rsidR="00865C25" w:rsidRDefault="00865C25" w:rsidP="001A6611">
            <w:pPr>
              <w:pStyle w:val="Tabletext0"/>
            </w:pPr>
            <w:r>
              <w:t>224</w:t>
            </w:r>
          </w:p>
        </w:tc>
        <w:tc>
          <w:tcPr>
            <w:tcW w:w="394" w:type="pct"/>
          </w:tcPr>
          <w:p w14:paraId="05CA199C" w14:textId="77777777" w:rsidR="00865C25" w:rsidRDefault="00865C25" w:rsidP="001A6611">
            <w:pPr>
              <w:pStyle w:val="Tabletext0"/>
            </w:pPr>
            <w:r>
              <w:t>35</w:t>
            </w:r>
          </w:p>
        </w:tc>
        <w:tc>
          <w:tcPr>
            <w:tcW w:w="393" w:type="pct"/>
          </w:tcPr>
          <w:p w14:paraId="354530CB" w14:textId="77777777" w:rsidR="00865C25" w:rsidRDefault="00865C25" w:rsidP="001A6611">
            <w:pPr>
              <w:pStyle w:val="Tabletext0"/>
            </w:pPr>
            <w:r>
              <w:t>8</w:t>
            </w:r>
          </w:p>
        </w:tc>
        <w:tc>
          <w:tcPr>
            <w:tcW w:w="394" w:type="pct"/>
          </w:tcPr>
          <w:p w14:paraId="3A6D9B49" w14:textId="77777777" w:rsidR="00865C25" w:rsidRDefault="00865C25" w:rsidP="001A6611">
            <w:pPr>
              <w:pStyle w:val="Tabletext0"/>
            </w:pPr>
            <w:r>
              <w:t>733</w:t>
            </w:r>
          </w:p>
        </w:tc>
        <w:tc>
          <w:tcPr>
            <w:tcW w:w="456" w:type="pct"/>
          </w:tcPr>
          <w:p w14:paraId="19EB1A8F" w14:textId="77777777" w:rsidR="00865C25" w:rsidRDefault="00865C25" w:rsidP="001A6611">
            <w:pPr>
              <w:pStyle w:val="Tabletext0"/>
            </w:pPr>
          </w:p>
        </w:tc>
        <w:tc>
          <w:tcPr>
            <w:tcW w:w="537" w:type="pct"/>
          </w:tcPr>
          <w:p w14:paraId="6B66AE06" w14:textId="77777777" w:rsidR="00865C25" w:rsidRDefault="00865C25" w:rsidP="001A6611">
            <w:pPr>
              <w:pStyle w:val="Tabletext0"/>
            </w:pPr>
          </w:p>
        </w:tc>
      </w:tr>
    </w:tbl>
    <w:p w14:paraId="6F2D9DB7" w14:textId="77777777" w:rsidR="00865C25" w:rsidRPr="00B26AFD" w:rsidRDefault="00865C25" w:rsidP="00865C25">
      <w:pPr>
        <w:pStyle w:val="TableFooter"/>
      </w:pPr>
      <w:proofErr w:type="spellStart"/>
      <w:r w:rsidRPr="00B26AFD">
        <w:rPr>
          <w:vertAlign w:val="superscript"/>
        </w:rPr>
        <w:t>a</w:t>
      </w:r>
      <w:r w:rsidRPr="00B26AFD">
        <w:t>Based</w:t>
      </w:r>
      <w:proofErr w:type="spellEnd"/>
      <w:r w:rsidRPr="00B26AFD">
        <w:t xml:space="preserve"> on p18 </w:t>
      </w:r>
      <w:hyperlink r:id="rId17" w:history="1">
        <w:r w:rsidRPr="000C5912">
          <w:rPr>
            <w:rStyle w:val="Hyperlink"/>
          </w:rPr>
          <w:t>MSAC 1161 PSD</w:t>
        </w:r>
      </w:hyperlink>
      <w:r w:rsidRPr="00B26AFD">
        <w:t>, November 2012</w:t>
      </w:r>
    </w:p>
    <w:p w14:paraId="44085C95" w14:textId="77777777" w:rsidR="00865C25" w:rsidRPr="00B26AFD" w:rsidRDefault="00865C25" w:rsidP="00865C25">
      <w:pPr>
        <w:pStyle w:val="TableFooter"/>
      </w:pPr>
      <w:proofErr w:type="spellStart"/>
      <w:r w:rsidRPr="00B26AFD">
        <w:rPr>
          <w:vertAlign w:val="superscript"/>
        </w:rPr>
        <w:t>b</w:t>
      </w:r>
      <w:r w:rsidRPr="00B26AFD">
        <w:t>Based</w:t>
      </w:r>
      <w:proofErr w:type="spellEnd"/>
      <w:r w:rsidRPr="00B26AFD">
        <w:t xml:space="preserve"> on p5 </w:t>
      </w:r>
      <w:hyperlink r:id="rId18" w:history="1">
        <w:r w:rsidRPr="000C5912">
          <w:rPr>
            <w:rStyle w:val="Hyperlink"/>
          </w:rPr>
          <w:t>MSAC 1250.1 PSD</w:t>
        </w:r>
      </w:hyperlink>
      <w:r w:rsidRPr="00B26AFD">
        <w:t>, November 2014</w:t>
      </w:r>
    </w:p>
    <w:p w14:paraId="0FD49793" w14:textId="77777777" w:rsidR="00865C25" w:rsidRPr="00B26AFD" w:rsidRDefault="00865C25" w:rsidP="00865C25">
      <w:pPr>
        <w:pStyle w:val="TableFooter"/>
      </w:pPr>
      <w:proofErr w:type="spellStart"/>
      <w:r w:rsidRPr="00B26AFD">
        <w:rPr>
          <w:vertAlign w:val="superscript"/>
        </w:rPr>
        <w:t>c</w:t>
      </w:r>
      <w:r w:rsidRPr="00B26AFD">
        <w:t>Based</w:t>
      </w:r>
      <w:proofErr w:type="spellEnd"/>
      <w:r w:rsidRPr="00B26AFD">
        <w:t xml:space="preserve"> on p12 </w:t>
      </w:r>
      <w:hyperlink r:id="rId19" w:history="1">
        <w:r w:rsidRPr="000C5912">
          <w:rPr>
            <w:rStyle w:val="Hyperlink"/>
          </w:rPr>
          <w:t>MSAC 1454 PSD</w:t>
        </w:r>
      </w:hyperlink>
      <w:r w:rsidRPr="00B26AFD">
        <w:t>, July 2018</w:t>
      </w:r>
    </w:p>
    <w:p w14:paraId="69C794E7" w14:textId="77777777" w:rsidR="00865C25" w:rsidRPr="00B26AFD" w:rsidRDefault="00865C25" w:rsidP="00865C25">
      <w:pPr>
        <w:pStyle w:val="TableFooter"/>
      </w:pPr>
      <w:proofErr w:type="spellStart"/>
      <w:r w:rsidRPr="00B26AFD">
        <w:rPr>
          <w:vertAlign w:val="superscript"/>
        </w:rPr>
        <w:t>d</w:t>
      </w:r>
      <w:r w:rsidRPr="00B26AFD">
        <w:t>Based</w:t>
      </w:r>
      <w:proofErr w:type="spellEnd"/>
      <w:r w:rsidRPr="00B26AFD">
        <w:t xml:space="preserve"> on Table 11, p27 </w:t>
      </w:r>
      <w:hyperlink r:id="rId20" w:history="1">
        <w:proofErr w:type="spellStart"/>
        <w:r w:rsidRPr="000C5912">
          <w:rPr>
            <w:rStyle w:val="Hyperlink"/>
          </w:rPr>
          <w:t>Tepotinib</w:t>
        </w:r>
        <w:proofErr w:type="spellEnd"/>
        <w:r w:rsidRPr="000C5912">
          <w:rPr>
            <w:rStyle w:val="Hyperlink"/>
          </w:rPr>
          <w:t xml:space="preserve"> PBAC PSD</w:t>
        </w:r>
      </w:hyperlink>
      <w:r w:rsidRPr="00B26AFD">
        <w:t>, November 2021</w:t>
      </w:r>
    </w:p>
    <w:p w14:paraId="28A84C18" w14:textId="6573C546" w:rsidR="00865C25" w:rsidRDefault="00865C25" w:rsidP="00865C25">
      <w:pPr>
        <w:pStyle w:val="TableFooter"/>
      </w:pPr>
      <w:r w:rsidRPr="007C7AB1">
        <w:rPr>
          <w:i/>
        </w:rPr>
        <w:t>ALK</w:t>
      </w:r>
      <w:r>
        <w:t xml:space="preserve"> = </w:t>
      </w:r>
      <w:r w:rsidR="00C925AE">
        <w:t>ALK receptor tyrosine kinase</w:t>
      </w:r>
      <w:r>
        <w:t xml:space="preserve">; </w:t>
      </w:r>
      <w:r w:rsidRPr="007C7AB1">
        <w:rPr>
          <w:i/>
        </w:rPr>
        <w:t>EGFR</w:t>
      </w:r>
      <w:r>
        <w:t xml:space="preserve"> = epidermal growth factor receptor; </w:t>
      </w:r>
      <w:r w:rsidRPr="00CE4DC5">
        <w:rPr>
          <w:i/>
        </w:rPr>
        <w:t>MET</w:t>
      </w:r>
      <w:r w:rsidRPr="00CE4DC5">
        <w:t xml:space="preserve"> =</w:t>
      </w:r>
      <w:r>
        <w:t xml:space="preserve"> </w:t>
      </w:r>
      <w:r w:rsidRPr="008F67AF">
        <w:rPr>
          <w:szCs w:val="18"/>
        </w:rPr>
        <w:t>mesenchymal-epithelial transition</w:t>
      </w:r>
      <w:r>
        <w:rPr>
          <w:szCs w:val="18"/>
        </w:rPr>
        <w:t xml:space="preserve">; </w:t>
      </w:r>
      <w:r>
        <w:t>NGS = next generation sequencing; NPA = negative percent agreement; NPV= negative predictive value; PPA = positive percent agreement;</w:t>
      </w:r>
      <w:r w:rsidRPr="00A9721D">
        <w:rPr>
          <w:i/>
        </w:rPr>
        <w:t xml:space="preserve"> </w:t>
      </w:r>
      <w:r>
        <w:t xml:space="preserve">PPV = positive predictive value; </w:t>
      </w:r>
      <w:r w:rsidRPr="00380685">
        <w:rPr>
          <w:i/>
        </w:rPr>
        <w:t>ROS1</w:t>
      </w:r>
      <w:r>
        <w:t xml:space="preserve"> = </w:t>
      </w:r>
      <w:r w:rsidR="00C925AE">
        <w:t>ROS proto-oncogene 1, receptor tyrosine kinase</w:t>
      </w:r>
      <w:r>
        <w:t xml:space="preserve">; SG = single-gene testing </w:t>
      </w:r>
    </w:p>
    <w:p w14:paraId="5B7BF6F4" w14:textId="4CBCA8D7" w:rsidR="00865C25" w:rsidRDefault="00865C25" w:rsidP="00865C25">
      <w:r>
        <w:t xml:space="preserve">The superiority of targeted therapies over non-targeted therapies for those with biomarkers has been demonstrated in submissions to the PBS for erlotinib, gefitinib, </w:t>
      </w:r>
      <w:proofErr w:type="spellStart"/>
      <w:r>
        <w:t>afatinib</w:t>
      </w:r>
      <w:proofErr w:type="spellEnd"/>
      <w:r>
        <w:t xml:space="preserve">, </w:t>
      </w:r>
      <w:proofErr w:type="spellStart"/>
      <w:r>
        <w:t>osimertinib</w:t>
      </w:r>
      <w:proofErr w:type="spellEnd"/>
      <w:r>
        <w:t xml:space="preserve">, </w:t>
      </w:r>
      <w:proofErr w:type="spellStart"/>
      <w:r>
        <w:t>crizotinib</w:t>
      </w:r>
      <w:proofErr w:type="spellEnd"/>
      <w:r>
        <w:t xml:space="preserve">, </w:t>
      </w:r>
      <w:proofErr w:type="spellStart"/>
      <w:r>
        <w:t>ceritinib</w:t>
      </w:r>
      <w:proofErr w:type="spellEnd"/>
      <w:r>
        <w:t xml:space="preserve">, </w:t>
      </w:r>
      <w:proofErr w:type="spellStart"/>
      <w:r>
        <w:t>alectinib</w:t>
      </w:r>
      <w:proofErr w:type="spellEnd"/>
      <w:r>
        <w:t xml:space="preserve">, </w:t>
      </w:r>
      <w:proofErr w:type="spellStart"/>
      <w:r>
        <w:t>brigatinib</w:t>
      </w:r>
      <w:proofErr w:type="spellEnd"/>
      <w:r>
        <w:t xml:space="preserve">, </w:t>
      </w:r>
      <w:proofErr w:type="spellStart"/>
      <w:r>
        <w:t>lorlatinib</w:t>
      </w:r>
      <w:proofErr w:type="spellEnd"/>
      <w:r>
        <w:t xml:space="preserve">, </w:t>
      </w:r>
      <w:proofErr w:type="spellStart"/>
      <w:r>
        <w:t>entrectinib</w:t>
      </w:r>
      <w:proofErr w:type="spellEnd"/>
      <w:r>
        <w:t xml:space="preserve">, and </w:t>
      </w:r>
      <w:proofErr w:type="spellStart"/>
      <w:r>
        <w:t>tepotinib</w:t>
      </w:r>
      <w:proofErr w:type="spellEnd"/>
      <w:r>
        <w:t xml:space="preserve">. </w:t>
      </w:r>
      <w:proofErr w:type="spellStart"/>
      <w:r>
        <w:t>Steeghs</w:t>
      </w:r>
      <w:proofErr w:type="spellEnd"/>
      <w:r>
        <w:t xml:space="preserve"> et al. (2022)</w:t>
      </w:r>
      <w:r w:rsidR="00772C41" w:rsidRPr="00121596">
        <w:rPr>
          <w:vertAlign w:val="superscript"/>
        </w:rPr>
        <w:t>1</w:t>
      </w:r>
      <w:r w:rsidRPr="00121596">
        <w:rPr>
          <w:vertAlign w:val="superscript"/>
        </w:rPr>
        <w:t xml:space="preserve"> </w:t>
      </w:r>
      <w:r>
        <w:t xml:space="preserve">reported that NGS had a higher success rate, higher sensitivity, and was more comprehensive than sequential single-gene testing, and consequently, a higher yield of </w:t>
      </w:r>
      <w:r>
        <w:lastRenderedPageBreak/>
        <w:t xml:space="preserve">actionable variants. This should therefore result in a higher proportion of patients receiving targeted </w:t>
      </w:r>
      <w:proofErr w:type="gramStart"/>
      <w:r>
        <w:t>therapies, and</w:t>
      </w:r>
      <w:proofErr w:type="gramEnd"/>
      <w:r>
        <w:t xml:space="preserve"> result in superior health outcomes.</w:t>
      </w:r>
    </w:p>
    <w:p w14:paraId="3DBDDE5C" w14:textId="77777777" w:rsidR="00865C25" w:rsidRDefault="00865C25" w:rsidP="00865C25">
      <w:r>
        <w:t xml:space="preserve">Change in management data were scant (six small before-and-after case series) but suggested that in cases where NGS identified actionable variants missed by sequential single gene testing, targeted treatment was initiated in a median of 50% of cases (range 17.6% to 100%). (Note, insufficient information was provided to determine whether those variants considered actionable in the studies would also be considered eligible for PBS-listed targeted treatments). </w:t>
      </w:r>
    </w:p>
    <w:p w14:paraId="38084298" w14:textId="07F74C88" w:rsidR="00865C25" w:rsidRDefault="00865C25" w:rsidP="00865C25">
      <w:r>
        <w:t xml:space="preserve">Targeted searches were performed to identify evidence on whether patients with low allele frequency or rare variants responded to </w:t>
      </w:r>
      <w:r>
        <w:rPr>
          <w:i/>
        </w:rPr>
        <w:t>EGFR</w:t>
      </w:r>
      <w:r>
        <w:t xml:space="preserve"> TKIs in the same manner as patients selected by the clinical utility standards. A systematic review was identified comparing </w:t>
      </w:r>
      <w:r>
        <w:rPr>
          <w:i/>
        </w:rPr>
        <w:t xml:space="preserve">EGFR </w:t>
      </w:r>
      <w:r>
        <w:t>TKI treatment effectiveness in those with common sensitising variants (ex19del or L858R</w:t>
      </w:r>
      <w:r w:rsidR="00772C41">
        <w:rPr>
          <w:rStyle w:val="FootnoteReference"/>
        </w:rPr>
        <w:footnoteReference w:id="8"/>
      </w:r>
      <w:r>
        <w:t>), the common resistance conferring variant (T790M) and rare variants (any other variants)</w:t>
      </w:r>
      <w:r w:rsidR="00772C41">
        <w:rPr>
          <w:rStyle w:val="FootnoteReference"/>
        </w:rPr>
        <w:footnoteReference w:id="9"/>
      </w:r>
      <w:r>
        <w:t xml:space="preserve">. The results were heterogeneous, and not meta-analysed due to differences in the method of grouping variants. Those with exon 20 variants were less likely to respond to the listed </w:t>
      </w:r>
      <w:r>
        <w:rPr>
          <w:i/>
        </w:rPr>
        <w:t>EGFR</w:t>
      </w:r>
      <w:r>
        <w:t xml:space="preserve"> TKIs than those with common sensitising variants, and </w:t>
      </w:r>
      <w:proofErr w:type="gramStart"/>
      <w:r>
        <w:t>a number of</w:t>
      </w:r>
      <w:proofErr w:type="gramEnd"/>
      <w:r>
        <w:t xml:space="preserve"> exon 20 insertions were considered to have some evidence of conferring resistance to </w:t>
      </w:r>
      <w:r>
        <w:rPr>
          <w:i/>
        </w:rPr>
        <w:t xml:space="preserve">EGFR </w:t>
      </w:r>
      <w:r>
        <w:t xml:space="preserve">TKIs. Those with variants in exon 18 (such as variant G719X) frequently responded well to </w:t>
      </w:r>
      <w:r>
        <w:rPr>
          <w:i/>
        </w:rPr>
        <w:t xml:space="preserve">EGFR </w:t>
      </w:r>
      <w:r>
        <w:t xml:space="preserve">TKIs, so this variant may now be considered likely to confer sensitivity to </w:t>
      </w:r>
      <w:r>
        <w:rPr>
          <w:i/>
        </w:rPr>
        <w:t xml:space="preserve">EGFR </w:t>
      </w:r>
      <w:r>
        <w:t xml:space="preserve">TKIs. Therefore, currently, the benefit of having additional rare variants identified due to using NGS is mixed. Eligibility for </w:t>
      </w:r>
      <w:r>
        <w:rPr>
          <w:i/>
        </w:rPr>
        <w:t xml:space="preserve">EGFR </w:t>
      </w:r>
      <w:r>
        <w:t>TKIs will depend on whether the report provided by pathologists to the treating clinician, defines the actionability of the identified variants. In the future, it is expected that targeted treatment for those with exon 20 insertions will become available in Australia, which should increase the proportion of patients who benefit from having rare variants identified.</w:t>
      </w:r>
    </w:p>
    <w:p w14:paraId="2FEF8C86" w14:textId="22B5B2D7" w:rsidR="00865C25" w:rsidRDefault="00865C25" w:rsidP="00865C25">
      <w:pPr>
        <w:pStyle w:val="TableFooter"/>
      </w:pPr>
      <w:r w:rsidRPr="00DF30B2">
        <w:rPr>
          <w:noProof/>
          <w:lang w:eastAsia="en-AU"/>
        </w:rPr>
        <w:lastRenderedPageBreak/>
        <w:drawing>
          <wp:inline distT="0" distB="0" distL="0" distR="0" wp14:anchorId="29917D9D" wp14:editId="0D7578E8">
            <wp:extent cx="6081395" cy="7191375"/>
            <wp:effectExtent l="0" t="0" r="0" b="9525"/>
            <wp:docPr id="37" name="Picture 37" descr="Progression free survival in patients with common or uncommon EGFR variants receiving EGFR-TKI as first-line therapy " title="Progression free survival in patients with common or uncommon EGFR variants receiving EGFR-TKI as first-line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493" t="931"/>
                    <a:stretch/>
                  </pic:blipFill>
                  <pic:spPr bwMode="auto">
                    <a:xfrm>
                      <a:off x="0" y="0"/>
                      <a:ext cx="6097979" cy="7210986"/>
                    </a:xfrm>
                    <a:prstGeom prst="rect">
                      <a:avLst/>
                    </a:prstGeom>
                    <a:ln>
                      <a:noFill/>
                    </a:ln>
                    <a:extLst>
                      <a:ext uri="{53640926-AAD7-44D8-BBD7-CCE9431645EC}">
                        <a14:shadowObscured xmlns:a14="http://schemas.microsoft.com/office/drawing/2010/main"/>
                      </a:ext>
                    </a:extLst>
                  </pic:spPr>
                </pic:pic>
              </a:graphicData>
            </a:graphic>
          </wp:inline>
        </w:drawing>
      </w:r>
    </w:p>
    <w:p w14:paraId="13EEB937" w14:textId="77777777" w:rsidR="00865C25" w:rsidRDefault="00865C25" w:rsidP="00F938D7">
      <w:pPr>
        <w:pStyle w:val="Caption"/>
        <w:spacing w:before="0"/>
      </w:pPr>
      <w:r>
        <w:t xml:space="preserve">Figure </w:t>
      </w:r>
      <w:r w:rsidR="007F7A58">
        <w:fldChar w:fldCharType="begin"/>
      </w:r>
      <w:r w:rsidR="007F7A58">
        <w:instrText xml:space="preserve"> SEQ Figure \* ARABIC </w:instrText>
      </w:r>
      <w:r w:rsidR="007F7A58">
        <w:fldChar w:fldCharType="separate"/>
      </w:r>
      <w:r>
        <w:rPr>
          <w:noProof/>
        </w:rPr>
        <w:t>3</w:t>
      </w:r>
      <w:r w:rsidR="007F7A58">
        <w:rPr>
          <w:noProof/>
        </w:rPr>
        <w:fldChar w:fldCharType="end"/>
      </w:r>
      <w:r>
        <w:tab/>
        <w:t xml:space="preserve">Progression free survival in patients with common or uncommon </w:t>
      </w:r>
      <w:r>
        <w:rPr>
          <w:i/>
        </w:rPr>
        <w:t>EGFR</w:t>
      </w:r>
      <w:r>
        <w:t xml:space="preserve"> variants receiving </w:t>
      </w:r>
      <w:r>
        <w:rPr>
          <w:i/>
        </w:rPr>
        <w:t>EGFR</w:t>
      </w:r>
      <w:r>
        <w:t>-TKI as first-line therapy</w:t>
      </w:r>
    </w:p>
    <w:p w14:paraId="48441FDD" w14:textId="77777777" w:rsidR="00865C25" w:rsidRDefault="00865C25" w:rsidP="00865C25">
      <w:pPr>
        <w:pStyle w:val="TableFooter"/>
      </w:pPr>
      <w:r>
        <w:t>NB: p-values denote comparison between common and uncommon variants.</w:t>
      </w:r>
    </w:p>
    <w:p w14:paraId="7887338E" w14:textId="77777777" w:rsidR="00865C25" w:rsidRPr="00D147B7" w:rsidRDefault="00865C25" w:rsidP="00865C25">
      <w:pPr>
        <w:pStyle w:val="TableFooter"/>
      </w:pPr>
      <w:r>
        <w:t>Liang et al. “compound mutations” refers to two uncommon variants. Wu et al. (2018): L858R cohort includes four patients with both L858R and Ex19del. Ho et al. (2019): exact uncommon mutations are G719X/G719X + S7681/G719X + T790M/Ex19del + Ex20ins/Ex20ins. Lee et al. (2013) and Leduc et al. (2017): “Exon 20 mutations” do not include T790M.</w:t>
      </w:r>
    </w:p>
    <w:p w14:paraId="75D1B95B" w14:textId="77777777" w:rsidR="00865C25" w:rsidRDefault="00865C25" w:rsidP="00865C25">
      <w:pPr>
        <w:pStyle w:val="TableFooter"/>
      </w:pPr>
      <w:r>
        <w:t xml:space="preserve">Source: </w:t>
      </w:r>
      <w:r w:rsidRPr="00D147B7">
        <w:t>John</w:t>
      </w:r>
      <w:r>
        <w:t xml:space="preserve"> et al, 2022</w:t>
      </w:r>
      <w:r>
        <w:rPr>
          <w:rStyle w:val="FootnoteReference"/>
        </w:rPr>
        <w:footnoteReference w:id="10"/>
      </w:r>
      <w:r>
        <w:t xml:space="preserve"> Reproduced under Creative Commons CC-BY license.</w:t>
      </w:r>
    </w:p>
    <w:p w14:paraId="09C0D21F" w14:textId="77777777" w:rsidR="00865C25" w:rsidRPr="00D7619E" w:rsidRDefault="00865C25" w:rsidP="00865C25">
      <w:pPr>
        <w:rPr>
          <w:iCs/>
        </w:rPr>
      </w:pPr>
      <w:r>
        <w:lastRenderedPageBreak/>
        <w:t xml:space="preserve">Targeted (non-systematic) searches were performed to assess whether patients with low allele frequency in tumour tissue (likely only detected by high sensitivity testing methods), responded to </w:t>
      </w:r>
      <w:r w:rsidRPr="00D7619E">
        <w:rPr>
          <w:iCs/>
        </w:rPr>
        <w:t>EGFR</w:t>
      </w:r>
      <w:r>
        <w:rPr>
          <w:i/>
        </w:rPr>
        <w:t xml:space="preserve"> </w:t>
      </w:r>
      <w:r>
        <w:t xml:space="preserve">TKIs in the same manner as those with high allele frequency. Note that for </w:t>
      </w:r>
      <w:r>
        <w:rPr>
          <w:i/>
        </w:rPr>
        <w:t xml:space="preserve">EGFR </w:t>
      </w:r>
      <w:r>
        <w:t xml:space="preserve">TKIs, no threshold is defined for positivity in PBS restrictions. Three observational studies were identified, which suggested that those with a high allele frequency (i.e., a high proportion of tumour cells which have the variant identified) responded better to </w:t>
      </w:r>
      <w:r w:rsidRPr="00D7619E">
        <w:rPr>
          <w:iCs/>
        </w:rPr>
        <w:t>EGFR</w:t>
      </w:r>
      <w:r>
        <w:rPr>
          <w:i/>
        </w:rPr>
        <w:t xml:space="preserve"> </w:t>
      </w:r>
      <w:r>
        <w:t xml:space="preserve">TKIs than those with low allele frequency. Low levels of T790M variants identified concurrently with activating </w:t>
      </w:r>
      <w:r>
        <w:rPr>
          <w:i/>
        </w:rPr>
        <w:t xml:space="preserve">EGFR </w:t>
      </w:r>
      <w:r>
        <w:t xml:space="preserve">variants did not significantly impact on treatment effectiveness of </w:t>
      </w:r>
      <w:r w:rsidRPr="00D7619E">
        <w:rPr>
          <w:iCs/>
        </w:rPr>
        <w:t>EGFR</w:t>
      </w:r>
      <w:r>
        <w:rPr>
          <w:i/>
        </w:rPr>
        <w:t xml:space="preserve"> </w:t>
      </w:r>
      <w:r>
        <w:t>TKIs. Some of the additional variants detected by small NGS panels may therefore not respond to targeted therapy in the same manner as those detected by sequential single-gene testing.</w:t>
      </w:r>
    </w:p>
    <w:p w14:paraId="45499EB1" w14:textId="77777777" w:rsidR="00865C25" w:rsidRDefault="00865C25" w:rsidP="00865C25">
      <w:pPr>
        <w:pStyle w:val="Caption"/>
      </w:pPr>
      <w:r>
        <w:t xml:space="preserve">Table </w:t>
      </w:r>
      <w:r w:rsidR="007F7A58">
        <w:fldChar w:fldCharType="begin"/>
      </w:r>
      <w:r w:rsidR="007F7A58">
        <w:instrText xml:space="preserve"> SEQ Table \* ARABIC </w:instrText>
      </w:r>
      <w:r w:rsidR="007F7A58">
        <w:fldChar w:fldCharType="separate"/>
      </w:r>
      <w:r>
        <w:rPr>
          <w:noProof/>
        </w:rPr>
        <w:t>7</w:t>
      </w:r>
      <w:r w:rsidR="007F7A58">
        <w:rPr>
          <w:noProof/>
        </w:rPr>
        <w:fldChar w:fldCharType="end"/>
      </w:r>
      <w:r>
        <w:tab/>
        <w:t>Association between variant allele frequency and response to treatment</w:t>
      </w:r>
    </w:p>
    <w:tbl>
      <w:tblPr>
        <w:tblStyle w:val="TableGrid"/>
        <w:tblW w:w="0" w:type="auto"/>
        <w:tblLook w:val="04A0" w:firstRow="1" w:lastRow="0" w:firstColumn="1" w:lastColumn="0" w:noHBand="0" w:noVBand="1"/>
        <w:tblCaption w:val="Association between variant allele frequency and response to treatment"/>
        <w:tblDescription w:val="table reporting that those with high allelic frequency have better response to targeted treatment than those with low allelic frequency. Low allelic frequency of resistance variant does not influence treatment response. "/>
      </w:tblPr>
      <w:tblGrid>
        <w:gridCol w:w="1137"/>
        <w:gridCol w:w="1977"/>
        <w:gridCol w:w="1559"/>
        <w:gridCol w:w="992"/>
        <w:gridCol w:w="3351"/>
      </w:tblGrid>
      <w:tr w:rsidR="00865C25" w14:paraId="529AC824" w14:textId="77777777" w:rsidTr="001A6611">
        <w:trPr>
          <w:tblHeader/>
        </w:trPr>
        <w:tc>
          <w:tcPr>
            <w:tcW w:w="1137" w:type="dxa"/>
          </w:tcPr>
          <w:p w14:paraId="3459C551" w14:textId="77777777" w:rsidR="00865C25" w:rsidRDefault="00865C25" w:rsidP="001A6611">
            <w:pPr>
              <w:pStyle w:val="TableHeading"/>
            </w:pPr>
            <w:r>
              <w:t>Study</w:t>
            </w:r>
          </w:p>
        </w:tc>
        <w:tc>
          <w:tcPr>
            <w:tcW w:w="1977" w:type="dxa"/>
          </w:tcPr>
          <w:p w14:paraId="72F3862B" w14:textId="77777777" w:rsidR="00865C25" w:rsidRDefault="00865C25" w:rsidP="001A6611">
            <w:pPr>
              <w:pStyle w:val="TableHeading"/>
            </w:pPr>
            <w:r>
              <w:t>Population</w:t>
            </w:r>
          </w:p>
        </w:tc>
        <w:tc>
          <w:tcPr>
            <w:tcW w:w="1559" w:type="dxa"/>
          </w:tcPr>
          <w:p w14:paraId="036F2659" w14:textId="77777777" w:rsidR="00865C25" w:rsidRDefault="00865C25" w:rsidP="001A6611">
            <w:pPr>
              <w:pStyle w:val="TableHeading"/>
            </w:pPr>
            <w:r>
              <w:t>Intervention</w:t>
            </w:r>
          </w:p>
        </w:tc>
        <w:tc>
          <w:tcPr>
            <w:tcW w:w="992" w:type="dxa"/>
          </w:tcPr>
          <w:p w14:paraId="5A1EC839" w14:textId="77777777" w:rsidR="00865C25" w:rsidRDefault="00865C25" w:rsidP="001A6611">
            <w:pPr>
              <w:pStyle w:val="TableHeading"/>
            </w:pPr>
            <w:r>
              <w:t>Outcome</w:t>
            </w:r>
          </w:p>
        </w:tc>
        <w:tc>
          <w:tcPr>
            <w:tcW w:w="3351" w:type="dxa"/>
          </w:tcPr>
          <w:p w14:paraId="69F40CC5" w14:textId="77777777" w:rsidR="00865C25" w:rsidRDefault="00865C25" w:rsidP="001A6611">
            <w:pPr>
              <w:pStyle w:val="TableHeading"/>
            </w:pPr>
            <w:r>
              <w:t>Results</w:t>
            </w:r>
          </w:p>
        </w:tc>
      </w:tr>
      <w:tr w:rsidR="00865C25" w14:paraId="04BFA1B5" w14:textId="77777777" w:rsidTr="001A6611">
        <w:tc>
          <w:tcPr>
            <w:tcW w:w="1137" w:type="dxa"/>
            <w:vMerge w:val="restart"/>
          </w:tcPr>
          <w:p w14:paraId="16FD0078" w14:textId="77777777" w:rsidR="00865C25" w:rsidRDefault="00865C25" w:rsidP="001A6611">
            <w:pPr>
              <w:pStyle w:val="TableText"/>
            </w:pPr>
            <w:proofErr w:type="spellStart"/>
            <w:r>
              <w:t>Friedlaender</w:t>
            </w:r>
            <w:proofErr w:type="spellEnd"/>
            <w:r>
              <w:t xml:space="preserve"> et al. (2021)</w:t>
            </w:r>
            <w:r>
              <w:rPr>
                <w:rStyle w:val="FootnoteReference"/>
              </w:rPr>
              <w:footnoteReference w:id="11"/>
            </w:r>
          </w:p>
          <w:p w14:paraId="0307CAF2" w14:textId="77777777" w:rsidR="00865C25" w:rsidRDefault="00865C25" w:rsidP="001A6611">
            <w:pPr>
              <w:pStyle w:val="TableText"/>
            </w:pPr>
            <w:r>
              <w:t>Switzerland</w:t>
            </w:r>
          </w:p>
        </w:tc>
        <w:tc>
          <w:tcPr>
            <w:tcW w:w="1977" w:type="dxa"/>
            <w:vMerge w:val="restart"/>
          </w:tcPr>
          <w:p w14:paraId="5D01671A" w14:textId="77777777" w:rsidR="00865C25" w:rsidRDefault="00865C25" w:rsidP="001A6611">
            <w:pPr>
              <w:pStyle w:val="TableText"/>
            </w:pPr>
            <w:r>
              <w:t xml:space="preserve">42 patients with NSCLC and </w:t>
            </w:r>
            <w:r>
              <w:rPr>
                <w:i/>
              </w:rPr>
              <w:t xml:space="preserve">EGFR </w:t>
            </w:r>
            <w:r>
              <w:t>variants</w:t>
            </w:r>
          </w:p>
          <w:p w14:paraId="19DD2B57" w14:textId="77777777" w:rsidR="00865C25" w:rsidRPr="00C75DF4" w:rsidRDefault="00865C25" w:rsidP="001A6611">
            <w:pPr>
              <w:pStyle w:val="TableText"/>
            </w:pPr>
            <w:r>
              <w:t>Threshold for high vs low allelic frequency: 0.30</w:t>
            </w:r>
          </w:p>
        </w:tc>
        <w:tc>
          <w:tcPr>
            <w:tcW w:w="1559" w:type="dxa"/>
            <w:vMerge w:val="restart"/>
          </w:tcPr>
          <w:p w14:paraId="54D45962" w14:textId="77777777" w:rsidR="00865C25" w:rsidRDefault="00865C25" w:rsidP="001A6611">
            <w:pPr>
              <w:pStyle w:val="TableText"/>
            </w:pPr>
            <w:r>
              <w:t xml:space="preserve">NGS using </w:t>
            </w:r>
            <w:proofErr w:type="spellStart"/>
            <w:r>
              <w:t>IonAmpliseq</w:t>
            </w:r>
            <w:proofErr w:type="spellEnd"/>
            <w:r>
              <w:t xml:space="preserve"> Hotspot Panel V2</w:t>
            </w:r>
          </w:p>
          <w:p w14:paraId="7175E7F4" w14:textId="77777777" w:rsidR="00865C25" w:rsidRPr="00BC1BBA" w:rsidRDefault="00865C25" w:rsidP="001A6611">
            <w:pPr>
              <w:pStyle w:val="TableText"/>
            </w:pPr>
            <w:r>
              <w:t xml:space="preserve">Treatment with </w:t>
            </w:r>
            <w:r w:rsidRPr="00D7619E">
              <w:rPr>
                <w:iCs/>
              </w:rPr>
              <w:t>EGFR</w:t>
            </w:r>
            <w:r>
              <w:t xml:space="preserve"> TKI</w:t>
            </w:r>
          </w:p>
        </w:tc>
        <w:tc>
          <w:tcPr>
            <w:tcW w:w="992" w:type="dxa"/>
          </w:tcPr>
          <w:p w14:paraId="5350764C" w14:textId="77777777" w:rsidR="00865C25" w:rsidRDefault="00865C25" w:rsidP="001A6611">
            <w:pPr>
              <w:pStyle w:val="TableText"/>
            </w:pPr>
            <w:r>
              <w:t>PFS</w:t>
            </w:r>
          </w:p>
        </w:tc>
        <w:tc>
          <w:tcPr>
            <w:tcW w:w="3351" w:type="dxa"/>
          </w:tcPr>
          <w:p w14:paraId="50D728C9" w14:textId="77777777" w:rsidR="00865C25" w:rsidRDefault="00865C25" w:rsidP="001A6611">
            <w:pPr>
              <w:pStyle w:val="TableText"/>
            </w:pPr>
            <w:r>
              <w:t>High vs low:</w:t>
            </w:r>
          </w:p>
          <w:p w14:paraId="6944856D" w14:textId="77777777" w:rsidR="00865C25" w:rsidRPr="00BC1BBA" w:rsidRDefault="00865C25" w:rsidP="001A6611">
            <w:pPr>
              <w:pStyle w:val="TableText"/>
            </w:pPr>
            <w:r>
              <w:t>HR = 0.27 (95%CI 0.09, 0.79, p=0.017)</w:t>
            </w:r>
          </w:p>
        </w:tc>
      </w:tr>
      <w:tr w:rsidR="00865C25" w14:paraId="2D783074" w14:textId="77777777" w:rsidTr="001A6611">
        <w:tc>
          <w:tcPr>
            <w:tcW w:w="1137" w:type="dxa"/>
            <w:vMerge/>
          </w:tcPr>
          <w:p w14:paraId="46AB60F0" w14:textId="77777777" w:rsidR="00865C25" w:rsidRPr="00B83443" w:rsidRDefault="00865C25" w:rsidP="001A6611">
            <w:pPr>
              <w:pStyle w:val="TableText"/>
            </w:pPr>
          </w:p>
        </w:tc>
        <w:tc>
          <w:tcPr>
            <w:tcW w:w="1977" w:type="dxa"/>
            <w:vMerge/>
          </w:tcPr>
          <w:p w14:paraId="37B2BC44" w14:textId="77777777" w:rsidR="00865C25" w:rsidRDefault="00865C25" w:rsidP="001A6611">
            <w:pPr>
              <w:pStyle w:val="TableText"/>
            </w:pPr>
          </w:p>
        </w:tc>
        <w:tc>
          <w:tcPr>
            <w:tcW w:w="1559" w:type="dxa"/>
            <w:vMerge/>
          </w:tcPr>
          <w:p w14:paraId="5EED57D0" w14:textId="77777777" w:rsidR="00865C25" w:rsidRDefault="00865C25" w:rsidP="001A6611">
            <w:pPr>
              <w:pStyle w:val="TableText"/>
            </w:pPr>
          </w:p>
        </w:tc>
        <w:tc>
          <w:tcPr>
            <w:tcW w:w="992" w:type="dxa"/>
          </w:tcPr>
          <w:p w14:paraId="524EC1F8" w14:textId="77777777" w:rsidR="00865C25" w:rsidRDefault="00865C25" w:rsidP="001A6611">
            <w:pPr>
              <w:pStyle w:val="TableText"/>
            </w:pPr>
            <w:r>
              <w:t>OS</w:t>
            </w:r>
          </w:p>
        </w:tc>
        <w:tc>
          <w:tcPr>
            <w:tcW w:w="3351" w:type="dxa"/>
          </w:tcPr>
          <w:p w14:paraId="32742727" w14:textId="77777777" w:rsidR="00865C25" w:rsidRDefault="00865C25" w:rsidP="001A6611">
            <w:pPr>
              <w:pStyle w:val="TableText"/>
            </w:pPr>
            <w:r>
              <w:t xml:space="preserve">High vs low: </w:t>
            </w:r>
          </w:p>
          <w:p w14:paraId="2D0ED7C3" w14:textId="77777777" w:rsidR="00865C25" w:rsidRDefault="00865C25" w:rsidP="001A6611">
            <w:pPr>
              <w:pStyle w:val="TableText"/>
            </w:pPr>
            <w:r>
              <w:t>HR = 0.47 (95%CI 0.17, 1.30, p=0.14)</w:t>
            </w:r>
          </w:p>
        </w:tc>
      </w:tr>
      <w:tr w:rsidR="00865C25" w14:paraId="5EC63FA5" w14:textId="77777777" w:rsidTr="001A6611">
        <w:tc>
          <w:tcPr>
            <w:tcW w:w="1137" w:type="dxa"/>
            <w:vMerge w:val="restart"/>
          </w:tcPr>
          <w:p w14:paraId="76E79918" w14:textId="77777777" w:rsidR="00865C25" w:rsidRDefault="00865C25" w:rsidP="001A6611">
            <w:pPr>
              <w:pStyle w:val="TableText"/>
            </w:pPr>
            <w:proofErr w:type="spellStart"/>
            <w:r>
              <w:t>Gieszer</w:t>
            </w:r>
            <w:proofErr w:type="spellEnd"/>
            <w:r>
              <w:t xml:space="preserve"> et al. (2021)</w:t>
            </w:r>
            <w:r>
              <w:rPr>
                <w:rStyle w:val="FootnoteReference"/>
              </w:rPr>
              <w:footnoteReference w:id="12"/>
            </w:r>
            <w:r>
              <w:t xml:space="preserve"> </w:t>
            </w:r>
          </w:p>
          <w:p w14:paraId="2DE92E72" w14:textId="77777777" w:rsidR="00865C25" w:rsidRDefault="00865C25" w:rsidP="001A6611">
            <w:pPr>
              <w:pStyle w:val="TableText"/>
            </w:pPr>
            <w:r>
              <w:t>Hungary</w:t>
            </w:r>
          </w:p>
        </w:tc>
        <w:tc>
          <w:tcPr>
            <w:tcW w:w="1977" w:type="dxa"/>
            <w:vMerge w:val="restart"/>
          </w:tcPr>
          <w:p w14:paraId="65A7A7A6" w14:textId="77777777" w:rsidR="00865C25" w:rsidRDefault="00865C25" w:rsidP="001A6611">
            <w:pPr>
              <w:pStyle w:val="TableText"/>
            </w:pPr>
            <w:r>
              <w:t xml:space="preserve">89 Caucasian patients with NSCLC (adenocarcinomas), and </w:t>
            </w:r>
            <w:r>
              <w:rPr>
                <w:i/>
              </w:rPr>
              <w:t xml:space="preserve">EGFR </w:t>
            </w:r>
            <w:r>
              <w:t>variants</w:t>
            </w:r>
          </w:p>
          <w:p w14:paraId="6BD77C25" w14:textId="77777777" w:rsidR="00865C25" w:rsidRPr="00BC1BBA" w:rsidRDefault="00865C25" w:rsidP="001A6611">
            <w:pPr>
              <w:pStyle w:val="TableText"/>
            </w:pPr>
            <w:r>
              <w:t>Adjusted VAF (</w:t>
            </w:r>
            <w:proofErr w:type="spellStart"/>
            <w:r>
              <w:t>aVAF</w:t>
            </w:r>
            <w:proofErr w:type="spellEnd"/>
            <w:r>
              <w:t>) = VAF/TC% x 100</w:t>
            </w:r>
          </w:p>
        </w:tc>
        <w:tc>
          <w:tcPr>
            <w:tcW w:w="1559" w:type="dxa"/>
            <w:vMerge w:val="restart"/>
          </w:tcPr>
          <w:p w14:paraId="44C28669" w14:textId="77777777" w:rsidR="00865C25" w:rsidRDefault="00865C25" w:rsidP="001A6611">
            <w:pPr>
              <w:pStyle w:val="TableText"/>
            </w:pPr>
            <w:proofErr w:type="spellStart"/>
            <w:r>
              <w:t>Therascreen</w:t>
            </w:r>
            <w:proofErr w:type="spellEnd"/>
            <w:r>
              <w:t xml:space="preserve"> </w:t>
            </w:r>
            <w:r w:rsidRPr="00A72938">
              <w:rPr>
                <w:i/>
              </w:rPr>
              <w:t xml:space="preserve">EGFR </w:t>
            </w:r>
            <w:r>
              <w:t>Pyro assay</w:t>
            </w:r>
          </w:p>
          <w:p w14:paraId="75AB446E" w14:textId="77777777" w:rsidR="00865C25" w:rsidRDefault="00865C25" w:rsidP="001A6611">
            <w:pPr>
              <w:pStyle w:val="TableText"/>
            </w:pPr>
            <w:r>
              <w:t>Erlotinib or gefitinib as first- or second-line treatment</w:t>
            </w:r>
          </w:p>
        </w:tc>
        <w:tc>
          <w:tcPr>
            <w:tcW w:w="992" w:type="dxa"/>
          </w:tcPr>
          <w:p w14:paraId="466D2B71" w14:textId="77777777" w:rsidR="00865C25" w:rsidRDefault="00865C25" w:rsidP="001A6611">
            <w:pPr>
              <w:pStyle w:val="TableText"/>
            </w:pPr>
            <w:r>
              <w:t>PFS</w:t>
            </w:r>
          </w:p>
        </w:tc>
        <w:tc>
          <w:tcPr>
            <w:tcW w:w="3351" w:type="dxa"/>
          </w:tcPr>
          <w:p w14:paraId="65287513" w14:textId="77777777" w:rsidR="00865C25" w:rsidRDefault="00865C25" w:rsidP="001A6611">
            <w:pPr>
              <w:pStyle w:val="TableText"/>
            </w:pPr>
            <w:r>
              <w:t xml:space="preserve">Positive linear correlation between </w:t>
            </w:r>
            <w:proofErr w:type="spellStart"/>
            <w:r>
              <w:t>aVAF</w:t>
            </w:r>
            <w:proofErr w:type="spellEnd"/>
            <w:r>
              <w:t xml:space="preserve"> and PFS:</w:t>
            </w:r>
          </w:p>
          <w:p w14:paraId="5C2050BD" w14:textId="77777777" w:rsidR="00865C25" w:rsidRDefault="00865C25" w:rsidP="001A6611">
            <w:pPr>
              <w:pStyle w:val="TableText"/>
            </w:pPr>
            <w:r>
              <w:t>r = 0.319, p=0.003, Spearman’s correlation</w:t>
            </w:r>
          </w:p>
        </w:tc>
      </w:tr>
      <w:tr w:rsidR="00865C25" w14:paraId="409EADD4" w14:textId="77777777" w:rsidTr="001A6611">
        <w:tc>
          <w:tcPr>
            <w:tcW w:w="1137" w:type="dxa"/>
            <w:vMerge/>
          </w:tcPr>
          <w:p w14:paraId="768486BD" w14:textId="77777777" w:rsidR="00865C25" w:rsidRPr="00BC1BBA" w:rsidRDefault="00865C25" w:rsidP="001A6611">
            <w:pPr>
              <w:pStyle w:val="TableText"/>
            </w:pPr>
          </w:p>
        </w:tc>
        <w:tc>
          <w:tcPr>
            <w:tcW w:w="1977" w:type="dxa"/>
            <w:vMerge/>
          </w:tcPr>
          <w:p w14:paraId="5531ECC8" w14:textId="77777777" w:rsidR="00865C25" w:rsidRDefault="00865C25" w:rsidP="001A6611">
            <w:pPr>
              <w:pStyle w:val="TableText"/>
            </w:pPr>
          </w:p>
        </w:tc>
        <w:tc>
          <w:tcPr>
            <w:tcW w:w="1559" w:type="dxa"/>
            <w:vMerge/>
          </w:tcPr>
          <w:p w14:paraId="775592B0" w14:textId="77777777" w:rsidR="00865C25" w:rsidRDefault="00865C25" w:rsidP="001A6611">
            <w:pPr>
              <w:pStyle w:val="TableText"/>
            </w:pPr>
          </w:p>
        </w:tc>
        <w:tc>
          <w:tcPr>
            <w:tcW w:w="992" w:type="dxa"/>
          </w:tcPr>
          <w:p w14:paraId="28E96891" w14:textId="77777777" w:rsidR="00865C25" w:rsidRDefault="00865C25" w:rsidP="001A6611">
            <w:pPr>
              <w:pStyle w:val="TableText"/>
            </w:pPr>
            <w:r>
              <w:t>PFS</w:t>
            </w:r>
          </w:p>
        </w:tc>
        <w:tc>
          <w:tcPr>
            <w:tcW w:w="3351" w:type="dxa"/>
          </w:tcPr>
          <w:p w14:paraId="1D5D5B9E" w14:textId="77777777" w:rsidR="00865C25" w:rsidRDefault="00865C25" w:rsidP="001A6611">
            <w:pPr>
              <w:pStyle w:val="TableText"/>
            </w:pPr>
            <w:r>
              <w:t>Adjusting for clinicopathological variables (age, gender, variant, treatment, treatment line):</w:t>
            </w:r>
          </w:p>
          <w:p w14:paraId="2190872E" w14:textId="77777777" w:rsidR="00865C25" w:rsidRDefault="00865C25" w:rsidP="001A6611">
            <w:pPr>
              <w:pStyle w:val="TableText"/>
            </w:pPr>
            <w:r>
              <w:t>HR = 0.991 (95%CI 0.982, 0.999, p=0.042)</w:t>
            </w:r>
          </w:p>
        </w:tc>
      </w:tr>
      <w:tr w:rsidR="00865C25" w14:paraId="06014B81" w14:textId="77777777" w:rsidTr="001A6611">
        <w:tc>
          <w:tcPr>
            <w:tcW w:w="1137" w:type="dxa"/>
            <w:vMerge/>
          </w:tcPr>
          <w:p w14:paraId="227F67BF" w14:textId="77777777" w:rsidR="00865C25" w:rsidRPr="00BC1BBA" w:rsidRDefault="00865C25" w:rsidP="001A6611">
            <w:pPr>
              <w:pStyle w:val="TableText"/>
            </w:pPr>
          </w:p>
        </w:tc>
        <w:tc>
          <w:tcPr>
            <w:tcW w:w="1977" w:type="dxa"/>
            <w:vMerge/>
          </w:tcPr>
          <w:p w14:paraId="0CBBDA0A" w14:textId="77777777" w:rsidR="00865C25" w:rsidRDefault="00865C25" w:rsidP="001A6611">
            <w:pPr>
              <w:pStyle w:val="TableText"/>
            </w:pPr>
          </w:p>
        </w:tc>
        <w:tc>
          <w:tcPr>
            <w:tcW w:w="1559" w:type="dxa"/>
            <w:vMerge/>
          </w:tcPr>
          <w:p w14:paraId="1DA86855" w14:textId="77777777" w:rsidR="00865C25" w:rsidRDefault="00865C25" w:rsidP="001A6611">
            <w:pPr>
              <w:pStyle w:val="TableText"/>
            </w:pPr>
          </w:p>
        </w:tc>
        <w:tc>
          <w:tcPr>
            <w:tcW w:w="992" w:type="dxa"/>
          </w:tcPr>
          <w:p w14:paraId="60B74F48" w14:textId="77777777" w:rsidR="00865C25" w:rsidRDefault="00865C25" w:rsidP="001A6611">
            <w:pPr>
              <w:pStyle w:val="TableText"/>
            </w:pPr>
            <w:r>
              <w:t>OS</w:t>
            </w:r>
          </w:p>
        </w:tc>
        <w:tc>
          <w:tcPr>
            <w:tcW w:w="3351" w:type="dxa"/>
          </w:tcPr>
          <w:p w14:paraId="73696527" w14:textId="77777777" w:rsidR="00865C25" w:rsidRDefault="00865C25" w:rsidP="001A6611">
            <w:pPr>
              <w:pStyle w:val="TableText"/>
            </w:pPr>
            <w:r>
              <w:t xml:space="preserve">High vs low </w:t>
            </w:r>
            <w:proofErr w:type="spellStart"/>
            <w:r>
              <w:t>aVAF</w:t>
            </w:r>
            <w:proofErr w:type="spellEnd"/>
          </w:p>
          <w:p w14:paraId="2D5A8DDE" w14:textId="77777777" w:rsidR="00865C25" w:rsidRDefault="00865C25" w:rsidP="001A6611">
            <w:pPr>
              <w:pStyle w:val="TableText"/>
            </w:pPr>
            <w:r>
              <w:t>median 94 vs 57 weeks, p=0.011</w:t>
            </w:r>
          </w:p>
        </w:tc>
      </w:tr>
      <w:tr w:rsidR="00865C25" w14:paraId="1FB249F1" w14:textId="77777777" w:rsidTr="001A6611">
        <w:tc>
          <w:tcPr>
            <w:tcW w:w="1137" w:type="dxa"/>
          </w:tcPr>
          <w:p w14:paraId="7ABA3CC5" w14:textId="77777777" w:rsidR="00865C25" w:rsidRPr="00BC1BBA" w:rsidRDefault="00865C25" w:rsidP="001A6611">
            <w:pPr>
              <w:pStyle w:val="TableText"/>
            </w:pPr>
            <w:r>
              <w:t>Ye et al. (2021)</w:t>
            </w:r>
            <w:r>
              <w:rPr>
                <w:rStyle w:val="FootnoteReference"/>
              </w:rPr>
              <w:footnoteReference w:id="13"/>
            </w:r>
            <w:r>
              <w:t xml:space="preserve"> Australia</w:t>
            </w:r>
          </w:p>
        </w:tc>
        <w:tc>
          <w:tcPr>
            <w:tcW w:w="1977" w:type="dxa"/>
          </w:tcPr>
          <w:p w14:paraId="55BA5883" w14:textId="77777777" w:rsidR="00865C25" w:rsidRDefault="00865C25" w:rsidP="001A6611">
            <w:pPr>
              <w:pStyle w:val="TableText"/>
            </w:pPr>
            <w:r>
              <w:t xml:space="preserve">64 patients with NSCLC and </w:t>
            </w:r>
            <w:r>
              <w:rPr>
                <w:i/>
              </w:rPr>
              <w:t>EGFR</w:t>
            </w:r>
            <w:r>
              <w:t xml:space="preserve"> variants, with stage IV disease</w:t>
            </w:r>
          </w:p>
          <w:p w14:paraId="68E278AC" w14:textId="77777777" w:rsidR="00865C25" w:rsidRDefault="00865C25" w:rsidP="001A6611">
            <w:pPr>
              <w:pStyle w:val="TableText"/>
            </w:pPr>
            <w:r>
              <w:t>14 VAF &lt;0.1%</w:t>
            </w:r>
          </w:p>
          <w:p w14:paraId="533C4B94" w14:textId="77777777" w:rsidR="00865C25" w:rsidRDefault="00865C25" w:rsidP="001A6611">
            <w:pPr>
              <w:pStyle w:val="TableText"/>
            </w:pPr>
            <w:r>
              <w:t>28 VAF ≥0.1%</w:t>
            </w:r>
          </w:p>
          <w:p w14:paraId="4B2C5896" w14:textId="77777777" w:rsidR="00865C25" w:rsidRPr="00683C3A" w:rsidRDefault="00865C25" w:rsidP="001A6611">
            <w:pPr>
              <w:pStyle w:val="TableText"/>
            </w:pPr>
            <w:r>
              <w:t>1 detectable by SS, VAF = 28.5%</w:t>
            </w:r>
          </w:p>
        </w:tc>
        <w:tc>
          <w:tcPr>
            <w:tcW w:w="1559" w:type="dxa"/>
          </w:tcPr>
          <w:p w14:paraId="7F4F5AF0" w14:textId="77777777" w:rsidR="00865C25" w:rsidRDefault="00865C25" w:rsidP="001A6611">
            <w:pPr>
              <w:pStyle w:val="TableText"/>
            </w:pPr>
            <w:r>
              <w:t>Digital PCR</w:t>
            </w:r>
          </w:p>
          <w:p w14:paraId="2260B156" w14:textId="77777777" w:rsidR="00865C25" w:rsidRDefault="00865C25" w:rsidP="001A6611">
            <w:pPr>
              <w:pStyle w:val="TableText"/>
            </w:pPr>
            <w:r>
              <w:t>Erlotinib or gefitinib</w:t>
            </w:r>
          </w:p>
        </w:tc>
        <w:tc>
          <w:tcPr>
            <w:tcW w:w="992" w:type="dxa"/>
          </w:tcPr>
          <w:p w14:paraId="727FE55D" w14:textId="77777777" w:rsidR="00865C25" w:rsidRDefault="00865C25" w:rsidP="001A6611">
            <w:pPr>
              <w:pStyle w:val="TableText"/>
            </w:pPr>
            <w:r>
              <w:t>PFS</w:t>
            </w:r>
          </w:p>
        </w:tc>
        <w:tc>
          <w:tcPr>
            <w:tcW w:w="3351" w:type="dxa"/>
          </w:tcPr>
          <w:p w14:paraId="2F8F18AC" w14:textId="77777777" w:rsidR="00865C25" w:rsidRDefault="00865C25" w:rsidP="001A6611">
            <w:pPr>
              <w:pStyle w:val="TableText"/>
            </w:pPr>
            <w:r>
              <w:t>No significant difference by T790M status (log rank test p = 0.897), or T790M allele frequency (&lt;0.1 vs ≥0.1%, p=0.515)</w:t>
            </w:r>
          </w:p>
        </w:tc>
      </w:tr>
    </w:tbl>
    <w:p w14:paraId="15CB52A8" w14:textId="77777777" w:rsidR="00865C25" w:rsidRPr="003A2CFD" w:rsidRDefault="00865C25" w:rsidP="00865C25">
      <w:pPr>
        <w:pStyle w:val="TableFooter"/>
      </w:pPr>
      <w:r>
        <w:t xml:space="preserve">HR = hazard ratio; NSCLC = non-small cell lung cancer; OS = overall survival; PCR = polymerase chain reaction; PFS = progression free survival; SS = Sanger sequencing; TC = estimated percentage of neoplastic cells; VAF = variant allele frequency, percentage of alleles determined by the assay to have </w:t>
      </w:r>
      <w:r>
        <w:rPr>
          <w:i/>
        </w:rPr>
        <w:t xml:space="preserve">EGFR </w:t>
      </w:r>
      <w:r>
        <w:t>variants</w:t>
      </w:r>
    </w:p>
    <w:p w14:paraId="342EC209" w14:textId="4643562A" w:rsidR="00865C25" w:rsidRDefault="00865C25" w:rsidP="00865C25">
      <w:r>
        <w:t>One of the claims made by the applicant was that NGS returns results faster than sequential single-gene testing. Three cohort studies were identified which compared turnaround times and reported that NGS was 0 to 3 days faster than sequential single-gene testing strategies. The 3-day saving in turnaround time was reported when a combined DNA and RNA panel was used</w:t>
      </w:r>
      <w:r>
        <w:rPr>
          <w:rStyle w:val="FootnoteReference"/>
        </w:rPr>
        <w:footnoteReference w:id="14"/>
      </w:r>
      <w:r>
        <w:t xml:space="preserve">. In </w:t>
      </w:r>
      <w:r>
        <w:lastRenderedPageBreak/>
        <w:t>a large study from the Netherlands, no difference to sequential single gene testing was reported, when a DNA panel was used in combination with either IHC, FISH or an RNA panel</w:t>
      </w:r>
      <w:r w:rsidR="00670669">
        <w:rPr>
          <w:vertAlign w:val="superscript"/>
        </w:rPr>
        <w:t xml:space="preserve"> </w:t>
      </w:r>
      <w:r w:rsidR="00670669">
        <w:t>(</w:t>
      </w:r>
      <w:proofErr w:type="spellStart"/>
      <w:r w:rsidR="00670669">
        <w:t>Steeghs</w:t>
      </w:r>
      <w:proofErr w:type="spellEnd"/>
      <w:r w:rsidR="00670669">
        <w:t xml:space="preserve"> et al. (2022))</w:t>
      </w:r>
      <w:r>
        <w:t xml:space="preserve">. These data are likely to be more applicable to the Australian setting </w:t>
      </w:r>
      <w:proofErr w:type="gramStart"/>
      <w:r>
        <w:t>in the near future</w:t>
      </w:r>
      <w:proofErr w:type="gramEnd"/>
      <w:r>
        <w:t>, as not many laboratories are currently able to use NGS on both DNA and RNA simultaneously. However, as more laboratories develop the ability to perform simultaneous NGS testing, and as more biomarkers are deemed relevant by MSAC/PBAC, the difference in turnaround time between NGS and sequential single gene testing is expected to increase.</w:t>
      </w:r>
    </w:p>
    <w:p w14:paraId="00D6A64B" w14:textId="77777777" w:rsidR="00865C25" w:rsidRDefault="00865C25" w:rsidP="00865C25">
      <w:pPr>
        <w:pStyle w:val="Caption"/>
      </w:pPr>
      <w:r>
        <w:t xml:space="preserve">Table </w:t>
      </w:r>
      <w:r w:rsidR="007F7A58">
        <w:fldChar w:fldCharType="begin"/>
      </w:r>
      <w:r w:rsidR="007F7A58">
        <w:instrText xml:space="preserve"> SEQ Table \* ARABIC </w:instrText>
      </w:r>
      <w:r w:rsidR="007F7A58">
        <w:fldChar w:fldCharType="separate"/>
      </w:r>
      <w:r>
        <w:rPr>
          <w:noProof/>
        </w:rPr>
        <w:t>8</w:t>
      </w:r>
      <w:r w:rsidR="007F7A58">
        <w:rPr>
          <w:noProof/>
        </w:rPr>
        <w:fldChar w:fldCharType="end"/>
      </w:r>
      <w:r>
        <w:t xml:space="preserve"> Turnaround time for NGS vs sequential single-gene testing strategy </w:t>
      </w:r>
    </w:p>
    <w:tbl>
      <w:tblPr>
        <w:tblStyle w:val="TableGrid"/>
        <w:tblW w:w="5000" w:type="pct"/>
        <w:tblLook w:val="04A0" w:firstRow="1" w:lastRow="0" w:firstColumn="1" w:lastColumn="0" w:noHBand="0" w:noVBand="1"/>
        <w:tblCaption w:val="Turnaround time for NGS vs sequential single-gene testing strategy "/>
        <w:tblDescription w:val="Table summarising 3 studies with turnaround time, with NGS saving up to 3 days compared to sequential single gene testing. "/>
      </w:tblPr>
      <w:tblGrid>
        <w:gridCol w:w="1018"/>
        <w:gridCol w:w="1538"/>
        <w:gridCol w:w="1351"/>
        <w:gridCol w:w="1655"/>
        <w:gridCol w:w="1297"/>
        <w:gridCol w:w="1138"/>
        <w:gridCol w:w="1019"/>
      </w:tblGrid>
      <w:tr w:rsidR="00865C25" w:rsidRPr="00606456" w14:paraId="53333EDB" w14:textId="77777777" w:rsidTr="001A6611">
        <w:trPr>
          <w:trHeight w:val="818"/>
          <w:tblHeader/>
        </w:trPr>
        <w:tc>
          <w:tcPr>
            <w:tcW w:w="565" w:type="pct"/>
          </w:tcPr>
          <w:p w14:paraId="45B6489D" w14:textId="77777777" w:rsidR="00865C25" w:rsidRPr="00606456" w:rsidRDefault="00865C25" w:rsidP="001A6611">
            <w:pPr>
              <w:pStyle w:val="TableHeading"/>
            </w:pPr>
            <w:r>
              <w:t>Study</w:t>
            </w:r>
          </w:p>
        </w:tc>
        <w:tc>
          <w:tcPr>
            <w:tcW w:w="853" w:type="pct"/>
          </w:tcPr>
          <w:p w14:paraId="7D0C7FCE" w14:textId="77777777" w:rsidR="00865C25" w:rsidRDefault="00865C25" w:rsidP="001A6611">
            <w:pPr>
              <w:pStyle w:val="TableHeading"/>
            </w:pPr>
            <w:r>
              <w:t>Population</w:t>
            </w:r>
          </w:p>
        </w:tc>
        <w:tc>
          <w:tcPr>
            <w:tcW w:w="749" w:type="pct"/>
          </w:tcPr>
          <w:p w14:paraId="63900628" w14:textId="77777777" w:rsidR="00865C25" w:rsidRPr="00606456" w:rsidRDefault="00865C25" w:rsidP="001A6611">
            <w:pPr>
              <w:pStyle w:val="TableHeading"/>
            </w:pPr>
            <w:r>
              <w:t>Intervention (NGS)</w:t>
            </w:r>
          </w:p>
        </w:tc>
        <w:tc>
          <w:tcPr>
            <w:tcW w:w="918" w:type="pct"/>
          </w:tcPr>
          <w:p w14:paraId="27492458" w14:textId="77777777" w:rsidR="00865C25" w:rsidRPr="00606456" w:rsidRDefault="00865C25" w:rsidP="001A6611">
            <w:pPr>
              <w:pStyle w:val="TableHeading"/>
            </w:pPr>
            <w:r>
              <w:t>Comparator (SG)</w:t>
            </w:r>
          </w:p>
        </w:tc>
        <w:tc>
          <w:tcPr>
            <w:tcW w:w="719" w:type="pct"/>
          </w:tcPr>
          <w:p w14:paraId="3C040874" w14:textId="77777777" w:rsidR="00865C25" w:rsidRPr="00606456" w:rsidRDefault="00865C25" w:rsidP="001A6611">
            <w:pPr>
              <w:pStyle w:val="TableHeading"/>
            </w:pPr>
            <w:r>
              <w:t>Turnaround time for NGS</w:t>
            </w:r>
          </w:p>
        </w:tc>
        <w:tc>
          <w:tcPr>
            <w:tcW w:w="631" w:type="pct"/>
          </w:tcPr>
          <w:p w14:paraId="01C524BC" w14:textId="77777777" w:rsidR="00865C25" w:rsidRPr="00606456" w:rsidRDefault="00865C25" w:rsidP="001A6611">
            <w:pPr>
              <w:pStyle w:val="TableHeading"/>
            </w:pPr>
            <w:r>
              <w:t>Turnaround time for comparator</w:t>
            </w:r>
          </w:p>
        </w:tc>
        <w:tc>
          <w:tcPr>
            <w:tcW w:w="565" w:type="pct"/>
          </w:tcPr>
          <w:p w14:paraId="031EE491" w14:textId="77777777" w:rsidR="00865C25" w:rsidRPr="00606456" w:rsidRDefault="00865C25" w:rsidP="001A6611">
            <w:pPr>
              <w:pStyle w:val="TableHeading"/>
            </w:pPr>
            <w:r>
              <w:t>Difference</w:t>
            </w:r>
          </w:p>
        </w:tc>
      </w:tr>
      <w:tr w:rsidR="00865C25" w:rsidRPr="00606456" w14:paraId="6D17E684" w14:textId="77777777" w:rsidTr="001A6611">
        <w:trPr>
          <w:trHeight w:val="243"/>
        </w:trPr>
        <w:tc>
          <w:tcPr>
            <w:tcW w:w="565" w:type="pct"/>
          </w:tcPr>
          <w:p w14:paraId="6FFF4087" w14:textId="66ED65B8" w:rsidR="00865C25" w:rsidRPr="00105FA9" w:rsidRDefault="00865C25" w:rsidP="001A6611">
            <w:pPr>
              <w:pStyle w:val="TableText"/>
            </w:pPr>
            <w:proofErr w:type="spellStart"/>
            <w:r>
              <w:t>Dall’Olio</w:t>
            </w:r>
            <w:proofErr w:type="spellEnd"/>
            <w:r>
              <w:t xml:space="preserve"> et al. (2020)</w:t>
            </w:r>
            <w:r w:rsidR="00852757" w:rsidRPr="00121596">
              <w:rPr>
                <w:szCs w:val="18"/>
                <w:vertAlign w:val="superscript"/>
              </w:rPr>
              <w:t>13</w:t>
            </w:r>
            <w:r w:rsidRPr="00DE6731">
              <w:rPr>
                <w:rStyle w:val="FootnoteReference"/>
                <w:szCs w:val="18"/>
              </w:rPr>
              <w:t xml:space="preserve"> </w:t>
            </w:r>
          </w:p>
        </w:tc>
        <w:tc>
          <w:tcPr>
            <w:tcW w:w="853" w:type="pct"/>
          </w:tcPr>
          <w:p w14:paraId="2E5B5F99" w14:textId="77777777" w:rsidR="00865C25" w:rsidRDefault="00865C25" w:rsidP="001A6611">
            <w:pPr>
              <w:spacing w:before="0" w:after="120"/>
            </w:pPr>
            <w:r w:rsidRPr="7579F35B">
              <w:rPr>
                <w:rFonts w:ascii="Arial Narrow" w:eastAsia="Arial Narrow" w:hAnsi="Arial Narrow" w:cs="Arial Narrow"/>
                <w:sz w:val="20"/>
                <w:szCs w:val="20"/>
              </w:rPr>
              <w:t>N=537</w:t>
            </w:r>
          </w:p>
          <w:p w14:paraId="026F416F" w14:textId="77777777" w:rsidR="00865C25" w:rsidRPr="00105FA9" w:rsidRDefault="00865C25" w:rsidP="001A6611">
            <w:pPr>
              <w:spacing w:before="0" w:after="120"/>
            </w:pPr>
            <w:r w:rsidRPr="7579F35B">
              <w:rPr>
                <w:rFonts w:ascii="Arial Narrow" w:eastAsia="Arial Narrow" w:hAnsi="Arial Narrow" w:cs="Arial Narrow"/>
                <w:sz w:val="20"/>
                <w:szCs w:val="20"/>
              </w:rPr>
              <w:t>Consecutive NSCLC (adenocarcinoma) patients</w:t>
            </w:r>
          </w:p>
        </w:tc>
        <w:tc>
          <w:tcPr>
            <w:tcW w:w="749" w:type="pct"/>
          </w:tcPr>
          <w:p w14:paraId="012DF26E" w14:textId="77777777" w:rsidR="00865C25" w:rsidRPr="00105FA9" w:rsidRDefault="00865C25" w:rsidP="001A6611">
            <w:pPr>
              <w:pStyle w:val="TableText"/>
            </w:pPr>
            <w:proofErr w:type="spellStart"/>
            <w:r w:rsidRPr="00105FA9">
              <w:t>Oncomine</w:t>
            </w:r>
            <w:proofErr w:type="spellEnd"/>
            <w:r w:rsidRPr="00105FA9">
              <w:t xml:space="preserve"> Focus Assay on DNA and RNA</w:t>
            </w:r>
          </w:p>
        </w:tc>
        <w:tc>
          <w:tcPr>
            <w:tcW w:w="918" w:type="pct"/>
          </w:tcPr>
          <w:p w14:paraId="5ABA14CB" w14:textId="77777777" w:rsidR="00865C25" w:rsidRPr="00105FA9" w:rsidRDefault="00865C25" w:rsidP="001A6611">
            <w:pPr>
              <w:pStyle w:val="TableText"/>
            </w:pPr>
            <w:r w:rsidRPr="00105FA9">
              <w:t>Single gene (</w:t>
            </w:r>
            <w:r w:rsidRPr="00EF5DC7">
              <w:rPr>
                <w:i/>
              </w:rPr>
              <w:t>EGFR, KRAS, BRAF, MET or HER2),</w:t>
            </w:r>
            <w:r w:rsidRPr="00105FA9">
              <w:t xml:space="preserve"> IHC and FISH</w:t>
            </w:r>
          </w:p>
        </w:tc>
        <w:tc>
          <w:tcPr>
            <w:tcW w:w="719" w:type="pct"/>
          </w:tcPr>
          <w:p w14:paraId="2FBC8E60" w14:textId="77777777" w:rsidR="00865C25" w:rsidRPr="00105FA9" w:rsidRDefault="00865C25" w:rsidP="001A6611">
            <w:pPr>
              <w:pStyle w:val="TableText"/>
            </w:pPr>
            <w:r w:rsidRPr="00105FA9">
              <w:t>Mean 10 working days</w:t>
            </w:r>
          </w:p>
        </w:tc>
        <w:tc>
          <w:tcPr>
            <w:tcW w:w="631" w:type="pct"/>
          </w:tcPr>
          <w:p w14:paraId="6FAECF6A" w14:textId="77777777" w:rsidR="00865C25" w:rsidRPr="00105FA9" w:rsidRDefault="00865C25" w:rsidP="001A6611">
            <w:pPr>
              <w:pStyle w:val="TableText"/>
            </w:pPr>
            <w:r w:rsidRPr="00105FA9">
              <w:t>Mean 13.15 days</w:t>
            </w:r>
          </w:p>
        </w:tc>
        <w:tc>
          <w:tcPr>
            <w:tcW w:w="565" w:type="pct"/>
          </w:tcPr>
          <w:p w14:paraId="20580DD8" w14:textId="77777777" w:rsidR="00865C25" w:rsidRPr="00105FA9" w:rsidRDefault="00865C25" w:rsidP="001A6611">
            <w:pPr>
              <w:pStyle w:val="TableText"/>
            </w:pPr>
            <w:r w:rsidRPr="00105FA9">
              <w:t>-3.15 days</w:t>
            </w:r>
          </w:p>
        </w:tc>
      </w:tr>
      <w:tr w:rsidR="00865C25" w:rsidRPr="00606456" w14:paraId="75136CAD" w14:textId="77777777" w:rsidTr="001A6611">
        <w:trPr>
          <w:trHeight w:val="243"/>
        </w:trPr>
        <w:tc>
          <w:tcPr>
            <w:tcW w:w="565" w:type="pct"/>
          </w:tcPr>
          <w:p w14:paraId="48F347FE" w14:textId="3C644159" w:rsidR="00865C25" w:rsidRPr="00105FA9" w:rsidRDefault="00865C25" w:rsidP="001A6611">
            <w:pPr>
              <w:pStyle w:val="TableText"/>
            </w:pPr>
            <w:r>
              <w:t>Li et al. (2021)</w:t>
            </w:r>
            <w:r w:rsidR="00852757" w:rsidRPr="00121596">
              <w:rPr>
                <w:vertAlign w:val="superscript"/>
              </w:rPr>
              <w:t>3</w:t>
            </w:r>
          </w:p>
        </w:tc>
        <w:tc>
          <w:tcPr>
            <w:tcW w:w="853" w:type="pct"/>
          </w:tcPr>
          <w:p w14:paraId="381DC6CC" w14:textId="77777777" w:rsidR="00865C25" w:rsidRPr="00105FA9" w:rsidRDefault="00865C25" w:rsidP="001A6611">
            <w:pPr>
              <w:pStyle w:val="Tabletext0"/>
              <w:spacing w:before="0" w:after="120"/>
              <w:jc w:val="left"/>
            </w:pPr>
            <w:r>
              <w:t>884 newly diagnosed, treatment-naïve metastatic NSCLC patients with limited tissue sample</w:t>
            </w:r>
          </w:p>
        </w:tc>
        <w:tc>
          <w:tcPr>
            <w:tcW w:w="749" w:type="pct"/>
          </w:tcPr>
          <w:p w14:paraId="69604CAF" w14:textId="77777777" w:rsidR="00865C25" w:rsidRPr="00105FA9" w:rsidRDefault="00865C25" w:rsidP="001A6611">
            <w:pPr>
              <w:pStyle w:val="TableText"/>
            </w:pPr>
            <w:r w:rsidRPr="00105FA9">
              <w:t>NGS on DNA only</w:t>
            </w:r>
          </w:p>
        </w:tc>
        <w:tc>
          <w:tcPr>
            <w:tcW w:w="918" w:type="pct"/>
          </w:tcPr>
          <w:p w14:paraId="2E6AC7D7" w14:textId="77777777" w:rsidR="00865C25" w:rsidRPr="00105FA9" w:rsidRDefault="00865C25" w:rsidP="001A6611">
            <w:pPr>
              <w:pStyle w:val="TableText"/>
            </w:pPr>
            <w:r w:rsidRPr="00105FA9">
              <w:t>ARMS-PCR and IHC/FISH</w:t>
            </w:r>
          </w:p>
        </w:tc>
        <w:tc>
          <w:tcPr>
            <w:tcW w:w="719" w:type="pct"/>
          </w:tcPr>
          <w:p w14:paraId="51815D05" w14:textId="77777777" w:rsidR="00865C25" w:rsidRPr="00105FA9" w:rsidRDefault="00865C25" w:rsidP="001A6611">
            <w:pPr>
              <w:pStyle w:val="TableText"/>
            </w:pPr>
            <w:r w:rsidRPr="00105FA9">
              <w:t>Median 12 business days (range 5 - 79 days)</w:t>
            </w:r>
          </w:p>
        </w:tc>
        <w:tc>
          <w:tcPr>
            <w:tcW w:w="631" w:type="pct"/>
          </w:tcPr>
          <w:p w14:paraId="6ADA6174" w14:textId="77777777" w:rsidR="00865C25" w:rsidRPr="00105FA9" w:rsidRDefault="00865C25" w:rsidP="001A6611">
            <w:pPr>
              <w:pStyle w:val="TableText"/>
            </w:pPr>
            <w:r w:rsidRPr="00105FA9">
              <w:t>Median 13 business days (range 9 – 86)</w:t>
            </w:r>
          </w:p>
        </w:tc>
        <w:tc>
          <w:tcPr>
            <w:tcW w:w="565" w:type="pct"/>
          </w:tcPr>
          <w:p w14:paraId="56D99AC5" w14:textId="77777777" w:rsidR="00865C25" w:rsidRPr="00105FA9" w:rsidRDefault="00865C25" w:rsidP="001A6611">
            <w:pPr>
              <w:pStyle w:val="TableText"/>
            </w:pPr>
            <w:r w:rsidRPr="00105FA9">
              <w:t>-1 day</w:t>
            </w:r>
          </w:p>
        </w:tc>
      </w:tr>
      <w:tr w:rsidR="00865C25" w:rsidRPr="00606456" w14:paraId="5B48F58C" w14:textId="77777777" w:rsidTr="001A6611">
        <w:trPr>
          <w:trHeight w:val="243"/>
        </w:trPr>
        <w:tc>
          <w:tcPr>
            <w:tcW w:w="565" w:type="pct"/>
          </w:tcPr>
          <w:p w14:paraId="053D2562" w14:textId="45D7F23B" w:rsidR="00865C25" w:rsidRPr="00105FA9" w:rsidRDefault="00865C25" w:rsidP="001A6611">
            <w:pPr>
              <w:pStyle w:val="TableText"/>
            </w:pPr>
            <w:proofErr w:type="spellStart"/>
            <w:r>
              <w:t>Steeghs</w:t>
            </w:r>
            <w:proofErr w:type="spellEnd"/>
            <w:r>
              <w:t xml:space="preserve"> et al. (2022</w:t>
            </w:r>
            <w:r w:rsidR="00852757">
              <w:t>)</w:t>
            </w:r>
            <w:r w:rsidR="00852757">
              <w:rPr>
                <w:rStyle w:val="FootnoteReference"/>
              </w:rPr>
              <w:t>1</w:t>
            </w:r>
          </w:p>
        </w:tc>
        <w:tc>
          <w:tcPr>
            <w:tcW w:w="853" w:type="pct"/>
          </w:tcPr>
          <w:p w14:paraId="15CFCFE2" w14:textId="77777777" w:rsidR="00865C25" w:rsidRDefault="00865C25" w:rsidP="001A6611">
            <w:pPr>
              <w:pStyle w:val="Tabletext0"/>
              <w:jc w:val="left"/>
            </w:pPr>
            <w:r>
              <w:t>Stage IV NSCLC patients. 3343 NGS patients, 698 non-NGS patients</w:t>
            </w:r>
          </w:p>
        </w:tc>
        <w:tc>
          <w:tcPr>
            <w:tcW w:w="749" w:type="pct"/>
          </w:tcPr>
          <w:p w14:paraId="6066DC2E" w14:textId="77777777" w:rsidR="00865C25" w:rsidRPr="00105FA9" w:rsidRDefault="00865C25" w:rsidP="001A6611">
            <w:pPr>
              <w:pStyle w:val="TableText"/>
            </w:pPr>
            <w:r>
              <w:t>NGS on DNA, plus fusions tested by IHC, FISH or RNA NGS</w:t>
            </w:r>
          </w:p>
        </w:tc>
        <w:tc>
          <w:tcPr>
            <w:tcW w:w="918" w:type="pct"/>
          </w:tcPr>
          <w:p w14:paraId="6519AAB3" w14:textId="77777777" w:rsidR="00865C25" w:rsidRPr="00105FA9" w:rsidRDefault="00865C25" w:rsidP="001A6611">
            <w:pPr>
              <w:pStyle w:val="TableText"/>
            </w:pPr>
            <w:r>
              <w:t>Various non-NGS single gene testing such as ICH and FISH used throughout clinical practice in the Netherlands</w:t>
            </w:r>
          </w:p>
        </w:tc>
        <w:tc>
          <w:tcPr>
            <w:tcW w:w="719" w:type="pct"/>
          </w:tcPr>
          <w:p w14:paraId="24B674A3" w14:textId="77777777" w:rsidR="00865C25" w:rsidRPr="00105FA9" w:rsidRDefault="00865C25" w:rsidP="001A6611">
            <w:pPr>
              <w:pStyle w:val="TableText"/>
            </w:pPr>
            <w:r>
              <w:t>Median 10 days (range 0 - 495; IQR 7 – 14)</w:t>
            </w:r>
          </w:p>
        </w:tc>
        <w:tc>
          <w:tcPr>
            <w:tcW w:w="631" w:type="pct"/>
          </w:tcPr>
          <w:p w14:paraId="06A5625E" w14:textId="77777777" w:rsidR="00865C25" w:rsidRPr="00105FA9" w:rsidRDefault="00865C25" w:rsidP="001A6611">
            <w:pPr>
              <w:pStyle w:val="TableText"/>
            </w:pPr>
            <w:r>
              <w:t>Median 10 days (range 2 – 63; IQR 7 – 13)</w:t>
            </w:r>
          </w:p>
        </w:tc>
        <w:tc>
          <w:tcPr>
            <w:tcW w:w="565" w:type="pct"/>
          </w:tcPr>
          <w:p w14:paraId="11BB58C3" w14:textId="77777777" w:rsidR="00865C25" w:rsidRPr="00105FA9" w:rsidRDefault="00865C25" w:rsidP="001A6611">
            <w:pPr>
              <w:pStyle w:val="TableText"/>
            </w:pPr>
            <w:r>
              <w:t>0 days</w:t>
            </w:r>
          </w:p>
        </w:tc>
      </w:tr>
    </w:tbl>
    <w:p w14:paraId="1900EB5B" w14:textId="6EAC1539" w:rsidR="00865C25" w:rsidRDefault="00865C25" w:rsidP="00865C25">
      <w:pPr>
        <w:pStyle w:val="TableFooter"/>
      </w:pPr>
      <w:r>
        <w:t>ARMS-PCR = amplification-refractory mutation system polymerase chain reaction;</w:t>
      </w:r>
      <w:r w:rsidRPr="00152F12">
        <w:rPr>
          <w:i/>
        </w:rPr>
        <w:t xml:space="preserve"> </w:t>
      </w:r>
      <w:r w:rsidRPr="002412BE">
        <w:t>DNA = deoxyribonucleic acid;</w:t>
      </w:r>
      <w:r w:rsidRPr="00EF5DC7">
        <w:rPr>
          <w:i/>
        </w:rPr>
        <w:t xml:space="preserve"> </w:t>
      </w:r>
      <w:r w:rsidRPr="007C7AB1">
        <w:rPr>
          <w:i/>
        </w:rPr>
        <w:t>EGFR</w:t>
      </w:r>
      <w:r>
        <w:t xml:space="preserve"> = epidermal growth factor receptor; FISH = fluorescent </w:t>
      </w:r>
      <w:r w:rsidRPr="00357441">
        <w:rPr>
          <w:i/>
          <w:iCs/>
        </w:rPr>
        <w:t>in situ</w:t>
      </w:r>
      <w:r>
        <w:t xml:space="preserve"> hybridisation; IHC = immunohistochemistry;</w:t>
      </w:r>
      <w:r w:rsidRPr="00152F12">
        <w:rPr>
          <w:i/>
        </w:rPr>
        <w:t xml:space="preserve"> KRAS</w:t>
      </w:r>
      <w:r>
        <w:t xml:space="preserve"> =</w:t>
      </w:r>
      <w:r w:rsidR="00852757">
        <w:t xml:space="preserve"> </w:t>
      </w:r>
      <w:r w:rsidR="00852757" w:rsidRPr="00D06E81">
        <w:t>KRAS proto-oncogene, GTPase</w:t>
      </w:r>
      <w:r w:rsidRPr="006D7211">
        <w:t xml:space="preserve">; </w:t>
      </w:r>
      <w:r>
        <w:t>NGS = next generation sequencing;</w:t>
      </w:r>
      <w:r w:rsidRPr="00EF5DC7">
        <w:t xml:space="preserve"> </w:t>
      </w:r>
      <w:r>
        <w:t>NSCLC = non-small cell lung cancer; RNA = ribonucleic acid; SG = single-gene testing</w:t>
      </w:r>
    </w:p>
    <w:p w14:paraId="5351C053" w14:textId="77777777" w:rsidR="00865C25" w:rsidRDefault="00865C25" w:rsidP="00865C25">
      <w:r>
        <w:t>The clinical implications of faster initiation of targeted treatment are unclear. No studies could be found which focused on the health implications of the timeliness of targeted treatments (</w:t>
      </w:r>
      <w:proofErr w:type="gramStart"/>
      <w:r>
        <w:t>i.e.</w:t>
      </w:r>
      <w:proofErr w:type="gramEnd"/>
      <w:r>
        <w:t xml:space="preserve"> prompt vs delayed targeted treatment). However, a systematic review was identified which compared health outcomes in those with advanced NSCLC who received timely vs untimely first-line untargeted treatment (surgery, radiotherapy, chemotherapy, or any treatment), and reported that those treated faster had worse outcomes</w:t>
      </w:r>
      <w:r>
        <w:rPr>
          <w:rStyle w:val="FootnoteReference"/>
        </w:rPr>
        <w:footnoteReference w:id="15"/>
      </w:r>
      <w:r>
        <w:t xml:space="preserve">. This “waiting time paradox” is likely due to patients with more symptoms (and worse prognosis) being treated faster, and those treated palliatively receiving more timely care than those treated with curative intent. </w:t>
      </w:r>
    </w:p>
    <w:p w14:paraId="024C07D3" w14:textId="77777777" w:rsidR="00865C25" w:rsidRPr="00223664" w:rsidRDefault="00865C25" w:rsidP="00865C25">
      <w:pPr>
        <w:tabs>
          <w:tab w:val="left" w:pos="720"/>
          <w:tab w:val="left" w:pos="1140"/>
        </w:tabs>
        <w:spacing w:before="240" w:after="120"/>
        <w:rPr>
          <w:b/>
          <w:bCs/>
        </w:rPr>
      </w:pPr>
      <w:r w:rsidRPr="00223664">
        <w:rPr>
          <w:b/>
          <w:bCs/>
        </w:rPr>
        <w:t>Clinical claim</w:t>
      </w:r>
    </w:p>
    <w:p w14:paraId="39D4CAB2" w14:textId="77777777" w:rsidR="00865C25" w:rsidRDefault="00865C25" w:rsidP="00865C25">
      <w:pPr>
        <w:pStyle w:val="Instructionaltext"/>
        <w:rPr>
          <w:color w:val="000000" w:themeColor="text1"/>
        </w:rPr>
      </w:pPr>
      <w:r>
        <w:rPr>
          <w:color w:val="000000" w:themeColor="text1"/>
        </w:rPr>
        <w:t xml:space="preserve">The evidence supported the clinical claim of superior effectiveness due to more patients being identified with variants by small NGS panels than sequential single gene testing (moderate level of confidence). </w:t>
      </w:r>
      <w:proofErr w:type="gramStart"/>
      <w:r>
        <w:rPr>
          <w:color w:val="000000" w:themeColor="text1"/>
        </w:rPr>
        <w:t>The majority of</w:t>
      </w:r>
      <w:proofErr w:type="gramEnd"/>
      <w:r>
        <w:rPr>
          <w:color w:val="000000" w:themeColor="text1"/>
        </w:rPr>
        <w:t xml:space="preserve"> these additional patients would be considered eligible for PBS-listed targeted treatments with the proposed changes to restrictions. The additional patients with </w:t>
      </w:r>
      <w:r>
        <w:rPr>
          <w:color w:val="000000" w:themeColor="text1"/>
        </w:rPr>
        <w:lastRenderedPageBreak/>
        <w:t>actionable variants identified are then able to be managed with targeted treatment, which may result in superior health outcomes (low confidence).</w:t>
      </w:r>
    </w:p>
    <w:p w14:paraId="3370EC7A" w14:textId="77777777" w:rsidR="00865C25" w:rsidRDefault="00865C25" w:rsidP="00865C25">
      <w:pPr>
        <w:pStyle w:val="Instructionaltext"/>
        <w:rPr>
          <w:color w:val="000000" w:themeColor="text1"/>
        </w:rPr>
      </w:pPr>
      <w:r>
        <w:rPr>
          <w:color w:val="000000" w:themeColor="text1"/>
        </w:rPr>
        <w:t xml:space="preserve">The evidence also supported the clinical claim of superior safety, due to the likelihood that the more efficient use of tumour tissue by NGS than sequential single gene testing (moderate confidence) would result in fewer </w:t>
      </w:r>
      <w:proofErr w:type="spellStart"/>
      <w:r>
        <w:rPr>
          <w:color w:val="000000" w:themeColor="text1"/>
        </w:rPr>
        <w:t>rebiopsies</w:t>
      </w:r>
      <w:proofErr w:type="spellEnd"/>
      <w:r>
        <w:rPr>
          <w:color w:val="000000" w:themeColor="text1"/>
        </w:rPr>
        <w:t xml:space="preserve"> being performed (low confidence) and avoiding biopsies would reduce the risk of adverse events associated with biopsies (moderate confidence).</w:t>
      </w:r>
    </w:p>
    <w:p w14:paraId="0E2CDEB0" w14:textId="0D4D558F" w:rsidR="00865C25" w:rsidRPr="00CE28E3" w:rsidRDefault="00865C25" w:rsidP="00865C25">
      <w:pPr>
        <w:pStyle w:val="Heading2"/>
        <w:numPr>
          <w:ilvl w:val="0"/>
          <w:numId w:val="0"/>
        </w:numPr>
      </w:pPr>
      <w:bookmarkStart w:id="26" w:name="_Toc109149594"/>
      <w:r>
        <w:t>1</w:t>
      </w:r>
      <w:r w:rsidR="00813A4A">
        <w:t>3</w:t>
      </w:r>
      <w:r>
        <w:t>.</w:t>
      </w:r>
      <w:r>
        <w:tab/>
      </w:r>
      <w:r w:rsidRPr="00CE28E3">
        <w:t>Economic evaluation</w:t>
      </w:r>
      <w:bookmarkEnd w:id="26"/>
    </w:p>
    <w:p w14:paraId="6A67BBA9" w14:textId="77777777" w:rsidR="00865C25" w:rsidRDefault="00865C25" w:rsidP="00865C25">
      <w:pPr>
        <w:pStyle w:val="NormalBeforeBullet"/>
      </w:pPr>
      <w:r>
        <w:t>The clinical claim of superiority was made based on:</w:t>
      </w:r>
    </w:p>
    <w:p w14:paraId="2897254D" w14:textId="77777777" w:rsidR="00865C25" w:rsidRDefault="00865C25" w:rsidP="00764FCE">
      <w:pPr>
        <w:pStyle w:val="NormalBeforeBullet"/>
        <w:numPr>
          <w:ilvl w:val="0"/>
          <w:numId w:val="15"/>
        </w:numPr>
      </w:pPr>
      <w:r>
        <w:t xml:space="preserve">an improvement in the test success rate (i.e., more samples with </w:t>
      </w:r>
      <w:proofErr w:type="gramStart"/>
      <w:r>
        <w:t>sufficient quantity</w:t>
      </w:r>
      <w:proofErr w:type="gramEnd"/>
      <w:r>
        <w:t xml:space="preserve"> and/or quality to be able to be successfully tested for variants); and</w:t>
      </w:r>
    </w:p>
    <w:p w14:paraId="497ECBD2" w14:textId="6AA3BC3B" w:rsidR="00865C25" w:rsidRDefault="00865C25" w:rsidP="00764FCE">
      <w:pPr>
        <w:pStyle w:val="NormalBeforeBullet"/>
        <w:numPr>
          <w:ilvl w:val="0"/>
          <w:numId w:val="15"/>
        </w:numPr>
      </w:pPr>
      <w:r>
        <w:t xml:space="preserve">an improvement in the yield of variants identified </w:t>
      </w:r>
      <w:r w:rsidRPr="00F467E2">
        <w:t xml:space="preserve">due to being more comprehensive (identifying “in scope” and “beyond restriction” variants) and more sensitive (detecting </w:t>
      </w:r>
      <w:r>
        <w:t xml:space="preserve">in-scope variants at </w:t>
      </w:r>
      <w:r w:rsidRPr="00F467E2">
        <w:t>a lower variant allelic frequency).</w:t>
      </w:r>
    </w:p>
    <w:p w14:paraId="205E10C1" w14:textId="77777777" w:rsidR="00865C25" w:rsidRDefault="00865C25" w:rsidP="00865C25">
      <w:pPr>
        <w:pStyle w:val="NormalBeforeBullet"/>
      </w:pPr>
      <w:r>
        <w:t>Therefore, a cost-effectiveness analysis was presented based on the results of the linked evidence approach. No evidence was identified to enable modelling changes in treatment, and given the following uncertainties, the model presented was truncated at the point of treatment:</w:t>
      </w:r>
    </w:p>
    <w:p w14:paraId="53B5914E" w14:textId="77777777" w:rsidR="00865C25" w:rsidRPr="00F467E2" w:rsidRDefault="00865C25" w:rsidP="00764FCE">
      <w:pPr>
        <w:pStyle w:val="NormalBeforeBullet"/>
        <w:numPr>
          <w:ilvl w:val="0"/>
          <w:numId w:val="17"/>
        </w:numPr>
      </w:pPr>
      <w:r w:rsidRPr="00F467E2">
        <w:t>Variants that can be identified by either current or proposed testing (referred to in the analysis as “common” variants) result in the use of targeted therapies. In patients with common variants that are missed by proposed small gene panel testing (due to discordant results or unsuc</w:t>
      </w:r>
      <w:r>
        <w:t>c</w:t>
      </w:r>
      <w:r w:rsidRPr="00F467E2">
        <w:t>essful testing and unsuccessful rebiopsy) or those that are missed by current testing (due to IHC triage or unsuccessful testing and unsuccessful rebiopsy), patients may receive standard of care (SoC) in place of targeted therapies. Quantifying the foregone benefit associated with the treatment of common variants with SoC is difficult because, in many cases, SoC has evolved since the initial trials of targeted therapies. No evidence was identified in the clinical evaluation to quantify the benefit of targeted therapies compared with SoC in patients with common variants.</w:t>
      </w:r>
    </w:p>
    <w:p w14:paraId="77944B54" w14:textId="5AB72DB5" w:rsidR="00865C25" w:rsidRPr="00F467E2" w:rsidRDefault="00865C25" w:rsidP="00764FCE">
      <w:pPr>
        <w:pStyle w:val="NormalBeforeBullet"/>
        <w:numPr>
          <w:ilvl w:val="0"/>
          <w:numId w:val="17"/>
        </w:numPr>
      </w:pPr>
      <w:r w:rsidRPr="00F467E2">
        <w:t xml:space="preserve">Variants that can only be identified through small gene panel testing are referred to in the analysis as “incremental” </w:t>
      </w:r>
      <w:proofErr w:type="gramStart"/>
      <w:r w:rsidRPr="00F467E2">
        <w:t>variants, and</w:t>
      </w:r>
      <w:proofErr w:type="gramEnd"/>
      <w:r w:rsidRPr="00F467E2">
        <w:t xml:space="preserve"> include variants both within the current scope of eligibility to PBS-listed targeted therapies (due to detection of lower allelic frequencies</w:t>
      </w:r>
      <w:r>
        <w:t xml:space="preserve"> and some additional </w:t>
      </w:r>
      <w:r>
        <w:rPr>
          <w:i/>
        </w:rPr>
        <w:t xml:space="preserve">EGFR </w:t>
      </w:r>
      <w:r>
        <w:t>variants known to confer sensitivity to TKIs</w:t>
      </w:r>
      <w:r w:rsidRPr="00F467E2">
        <w:t>), and those beyond current PBS restrictions.</w:t>
      </w:r>
      <w:r w:rsidR="00CF4E3D">
        <w:t xml:space="preserve"> Notably, given the </w:t>
      </w:r>
      <w:r w:rsidR="00CF4E3D" w:rsidRPr="00CF4E3D">
        <w:t xml:space="preserve">absence of current </w:t>
      </w:r>
      <w:r w:rsidR="00CF4E3D">
        <w:t xml:space="preserve">MBS </w:t>
      </w:r>
      <w:r w:rsidR="00CF4E3D" w:rsidRPr="00CF4E3D">
        <w:t xml:space="preserve">reimbursement for NTRK testing in patients with NSCLC, all NTRK variants detected by panel testing are </w:t>
      </w:r>
      <w:proofErr w:type="gramStart"/>
      <w:r w:rsidR="00CF4E3D" w:rsidRPr="00CF4E3D">
        <w:t>by definition incremental</w:t>
      </w:r>
      <w:proofErr w:type="gramEnd"/>
      <w:r w:rsidR="00CF4E3D" w:rsidRPr="00CF4E3D">
        <w:t xml:space="preserve"> variants.</w:t>
      </w:r>
      <w:r w:rsidRPr="00F467E2">
        <w:t xml:space="preserve"> Best estimates from the clinical evidence base suggest that </w:t>
      </w:r>
      <w:proofErr w:type="gramStart"/>
      <w:r w:rsidRPr="00F467E2">
        <w:t>the majority of</w:t>
      </w:r>
      <w:proofErr w:type="gramEnd"/>
      <w:r w:rsidRPr="00F467E2">
        <w:t xml:space="preserve"> these patients would be eligible for PBS-listed targeted treatments; however, </w:t>
      </w:r>
      <w:r>
        <w:t xml:space="preserve">these patients </w:t>
      </w:r>
      <w:r w:rsidRPr="00F467E2">
        <w:t xml:space="preserve">may have a different spectrum of disease than those in the key trials of the targeted therapies. Therefore, treatment response and duration of treatment in patients with these </w:t>
      </w:r>
      <w:r>
        <w:t>incremental</w:t>
      </w:r>
      <w:r w:rsidRPr="00F467E2">
        <w:t xml:space="preserve"> variants to both targeted therapy and SoC is uncertain, and so the benefits and costs that may be associated with changing treatment from SoC to targeted therapy</w:t>
      </w:r>
      <w:r w:rsidR="004F5129">
        <w:t xml:space="preserve"> associated with these incremental variants</w:t>
      </w:r>
      <w:r w:rsidRPr="00F467E2">
        <w:t xml:space="preserve"> are also uncertain.</w:t>
      </w:r>
      <w:r w:rsidR="00DF7C1D" w:rsidRPr="00DF7C1D">
        <w:t xml:space="preserve"> </w:t>
      </w:r>
    </w:p>
    <w:p w14:paraId="0F1AC83C" w14:textId="77777777" w:rsidR="00865C25" w:rsidRDefault="00865C25" w:rsidP="00764FCE">
      <w:pPr>
        <w:pStyle w:val="NormalBeforeBullet"/>
        <w:numPr>
          <w:ilvl w:val="0"/>
          <w:numId w:val="17"/>
        </w:numPr>
      </w:pPr>
      <w:r w:rsidRPr="006C7F84">
        <w:t xml:space="preserve">In addition to the issues regarding quantifying the differences in outcomes with proposed small gene panel testing, the modelled costs of any analyses that attempt to capture outcomes due to changes in treatment would likely be affected by existing special price </w:t>
      </w:r>
      <w:r w:rsidRPr="006C7F84">
        <w:lastRenderedPageBreak/>
        <w:t>arrangements for targeted therapies and immunotherapies. Analyses based on the published prices would not reflect the accepted cost-effectiveness of the included therapies, and the cost-effectiveness of proposed small gene panel testing would be influenced by confidential discounts applied to both targeted therapies and immunotherapies.</w:t>
      </w:r>
    </w:p>
    <w:p w14:paraId="11805CDF" w14:textId="77777777" w:rsidR="00865C25" w:rsidRDefault="00865C25" w:rsidP="00865C25">
      <w:pPr>
        <w:pStyle w:val="NormalBeforeBullet"/>
      </w:pPr>
      <w:r w:rsidRPr="00086D18">
        <w:t xml:space="preserve">The analysis presented </w:t>
      </w:r>
      <w:r>
        <w:t>was therefore a cost-effectiveness analysis where t</w:t>
      </w:r>
      <w:r w:rsidRPr="00086D18">
        <w:t xml:space="preserve">he primary outcome </w:t>
      </w:r>
      <w:r>
        <w:t xml:space="preserve">reported was </w:t>
      </w:r>
      <w:r w:rsidRPr="00086D18">
        <w:t xml:space="preserve">the net change in patients </w:t>
      </w:r>
      <w:r>
        <w:t xml:space="preserve">determined to be </w:t>
      </w:r>
      <w:r w:rsidRPr="00086D18">
        <w:t>eligible for targeted therapy</w:t>
      </w:r>
      <w:r>
        <w:t xml:space="preserve">. This outcome was disaggregated by </w:t>
      </w:r>
      <w:r w:rsidRPr="00086D18">
        <w:t>type o</w:t>
      </w:r>
      <w:r>
        <w:t>f actionable variant identified (</w:t>
      </w:r>
      <w:proofErr w:type="gramStart"/>
      <w:r>
        <w:t>i.e.</w:t>
      </w:r>
      <w:proofErr w:type="gramEnd"/>
      <w:r>
        <w:t xml:space="preserve"> common or incremental).</w:t>
      </w:r>
    </w:p>
    <w:p w14:paraId="04779DE6" w14:textId="77777777" w:rsidR="00865C25" w:rsidRDefault="00865C25" w:rsidP="00865C25">
      <w:pPr>
        <w:pStyle w:val="NormalBeforeBullet"/>
      </w:pPr>
      <w:r>
        <w:t>A stepped approach wa</w:t>
      </w:r>
      <w:r w:rsidRPr="00086D18">
        <w:t>s used to generate the base case analysis</w:t>
      </w:r>
      <w:r>
        <w:t xml:space="preserve"> that</w:t>
      </w:r>
      <w:r w:rsidRPr="00086D18">
        <w:t xml:space="preserve"> incorporate</w:t>
      </w:r>
      <w:r>
        <w:t>d</w:t>
      </w:r>
      <w:r w:rsidRPr="00086D18">
        <w:t xml:space="preserve"> </w:t>
      </w:r>
      <w:r w:rsidRPr="009A7628">
        <w:t xml:space="preserve">different aspects of the linked evidence separately to distinguish the effect of </w:t>
      </w:r>
      <w:r>
        <w:t xml:space="preserve">each of </w:t>
      </w:r>
      <w:r w:rsidRPr="009A7628">
        <w:t>these on the results.</w:t>
      </w:r>
      <w:r>
        <w:t xml:space="preserve"> Further, incremental yield data with proposed panel testing have been adjusted in the economic analysis to reflect some IHC ± FISH expected in practice and to reflect comparisons to the clinical utility standard. Test success data have also been transformed to reflect implications of </w:t>
      </w:r>
      <w:proofErr w:type="spellStart"/>
      <w:r>
        <w:t>rebiopsies</w:t>
      </w:r>
      <w:proofErr w:type="spellEnd"/>
      <w:r>
        <w:t xml:space="preserve"> due to insufficient quantity or quality of tissue. These translations of the clinical evidence for use in the model have been added in separate steps. Other key model assumptions – RNA panel use restricted to an absence of </w:t>
      </w:r>
      <w:r w:rsidRPr="002204AD">
        <w:rPr>
          <w:i/>
        </w:rPr>
        <w:t>KRAS</w:t>
      </w:r>
      <w:r>
        <w:t xml:space="preserve"> and </w:t>
      </w:r>
      <w:r w:rsidRPr="002204AD">
        <w:rPr>
          <w:i/>
        </w:rPr>
        <w:t>BRAF</w:t>
      </w:r>
      <w:r>
        <w:t xml:space="preserve"> </w:t>
      </w:r>
      <w:proofErr w:type="gramStart"/>
      <w:r>
        <w:t>variants, and</w:t>
      </w:r>
      <w:proofErr w:type="gramEnd"/>
      <w:r>
        <w:t xml:space="preserve"> use of testing in patients who do not progress to advanced disease – have also been incorporated in separate steps.</w:t>
      </w:r>
    </w:p>
    <w:p w14:paraId="7BF12D95" w14:textId="77777777" w:rsidR="00865C25" w:rsidRDefault="00865C25" w:rsidP="00F938D7">
      <w:pPr>
        <w:pStyle w:val="NormalBeforeBullet"/>
      </w:pPr>
      <w:r w:rsidRPr="00086D18">
        <w:t>A summary of the key components of the economic evaluation is presented in</w:t>
      </w:r>
      <w:r>
        <w:t xml:space="preserve"> </w:t>
      </w:r>
      <w:r>
        <w:fldChar w:fldCharType="begin"/>
      </w:r>
      <w:r>
        <w:instrText xml:space="preserve"> REF _Ref69725820 \h </w:instrText>
      </w:r>
      <w:r>
        <w:fldChar w:fldCharType="separate"/>
      </w:r>
      <w:r w:rsidRPr="00CE28E3">
        <w:t>Table</w:t>
      </w:r>
      <w:r>
        <w:t> </w:t>
      </w:r>
      <w:r>
        <w:rPr>
          <w:noProof/>
        </w:rPr>
        <w:t>9</w:t>
      </w:r>
      <w:r>
        <w:fldChar w:fldCharType="end"/>
      </w:r>
      <w:r>
        <w:t>.</w:t>
      </w:r>
    </w:p>
    <w:p w14:paraId="6E6EB3B3" w14:textId="77777777" w:rsidR="00865C25" w:rsidRPr="00CE28E3" w:rsidRDefault="00865C25" w:rsidP="00F938D7">
      <w:pPr>
        <w:pStyle w:val="Caption"/>
        <w:tabs>
          <w:tab w:val="left" w:pos="1134"/>
        </w:tabs>
        <w:spacing w:before="200" w:after="0"/>
        <w:ind w:left="1134" w:hanging="1134"/>
      </w:pPr>
      <w:bookmarkStart w:id="27" w:name="_Ref69725820"/>
      <w:r w:rsidRPr="00CE28E3">
        <w:t>Table</w:t>
      </w:r>
      <w:r>
        <w:t> </w:t>
      </w:r>
      <w:r w:rsidRPr="00CE28E3">
        <w:rPr>
          <w:noProof/>
        </w:rPr>
        <w:fldChar w:fldCharType="begin"/>
      </w:r>
      <w:r w:rsidRPr="00CE28E3">
        <w:rPr>
          <w:noProof/>
        </w:rPr>
        <w:instrText xml:space="preserve"> SEQ Table \* ARABIC </w:instrText>
      </w:r>
      <w:r w:rsidRPr="00CE28E3">
        <w:rPr>
          <w:noProof/>
        </w:rPr>
        <w:fldChar w:fldCharType="separate"/>
      </w:r>
      <w:r>
        <w:rPr>
          <w:noProof/>
        </w:rPr>
        <w:t>9</w:t>
      </w:r>
      <w:r w:rsidRPr="00CE28E3">
        <w:rPr>
          <w:noProof/>
        </w:rPr>
        <w:fldChar w:fldCharType="end"/>
      </w:r>
      <w:bookmarkEnd w:id="27"/>
      <w:r w:rsidRPr="00CE28E3">
        <w:tab/>
        <w:t>Summary of the economic evaluation</w:t>
      </w:r>
    </w:p>
    <w:tbl>
      <w:tblPr>
        <w:tblStyle w:val="TableGrid1"/>
        <w:tblW w:w="5000" w:type="pct"/>
        <w:tblLook w:val="04A0" w:firstRow="1" w:lastRow="0" w:firstColumn="1" w:lastColumn="0" w:noHBand="0" w:noVBand="1"/>
        <w:tblCaption w:val="Summary of the economic evaluation "/>
        <w:tblDescription w:val="Summary of the economic evaluation "/>
      </w:tblPr>
      <w:tblGrid>
        <w:gridCol w:w="1980"/>
        <w:gridCol w:w="7036"/>
      </w:tblGrid>
      <w:tr w:rsidR="00865C25" w:rsidRPr="00CE28E3" w14:paraId="6729875D" w14:textId="77777777" w:rsidTr="001A6611">
        <w:trPr>
          <w:cnfStyle w:val="100000000000" w:firstRow="1" w:lastRow="0" w:firstColumn="0" w:lastColumn="0" w:oddVBand="0" w:evenVBand="0" w:oddHBand="0" w:evenHBand="0" w:firstRowFirstColumn="0" w:firstRowLastColumn="0" w:lastRowFirstColumn="0" w:lastRowLastColumn="0"/>
          <w:tblHeader/>
        </w:trPr>
        <w:tc>
          <w:tcPr>
            <w:tcW w:w="1098" w:type="pct"/>
          </w:tcPr>
          <w:p w14:paraId="27F0BC8F" w14:textId="77777777" w:rsidR="00865C25" w:rsidRPr="000449D1" w:rsidRDefault="00865C25" w:rsidP="001A6611">
            <w:pPr>
              <w:pStyle w:val="TableHeading"/>
              <w:rPr>
                <w:rFonts w:cs="Courier New"/>
              </w:rPr>
            </w:pPr>
            <w:bookmarkStart w:id="28" w:name="Title_Table5"/>
            <w:bookmarkEnd w:id="28"/>
            <w:r w:rsidRPr="000449D1">
              <w:rPr>
                <w:rFonts w:cs="Courier New"/>
              </w:rPr>
              <w:t>Component</w:t>
            </w:r>
          </w:p>
        </w:tc>
        <w:tc>
          <w:tcPr>
            <w:tcW w:w="3902" w:type="pct"/>
          </w:tcPr>
          <w:p w14:paraId="597E8E64" w14:textId="77777777" w:rsidR="00865C25" w:rsidRPr="000449D1" w:rsidRDefault="00865C25" w:rsidP="001A6611">
            <w:pPr>
              <w:pStyle w:val="TableHeading"/>
              <w:rPr>
                <w:rFonts w:cs="Courier New"/>
              </w:rPr>
            </w:pPr>
            <w:r w:rsidRPr="000449D1">
              <w:rPr>
                <w:rFonts w:cs="Courier New"/>
              </w:rPr>
              <w:t>Description</w:t>
            </w:r>
          </w:p>
        </w:tc>
      </w:tr>
      <w:tr w:rsidR="00865C25" w:rsidRPr="000449D1" w14:paraId="0F24AA0C" w14:textId="77777777" w:rsidTr="001A6611">
        <w:tc>
          <w:tcPr>
            <w:tcW w:w="1098" w:type="pct"/>
          </w:tcPr>
          <w:p w14:paraId="3F3AF059" w14:textId="77777777" w:rsidR="00865C25" w:rsidRPr="000449D1" w:rsidRDefault="00865C25" w:rsidP="001A6611">
            <w:pPr>
              <w:pStyle w:val="TableText"/>
              <w:keepNext/>
              <w:rPr>
                <w:rFonts w:cs="Courier New"/>
              </w:rPr>
            </w:pPr>
            <w:r w:rsidRPr="000449D1">
              <w:rPr>
                <w:rFonts w:cs="Courier New"/>
              </w:rPr>
              <w:t>Perspective</w:t>
            </w:r>
          </w:p>
        </w:tc>
        <w:tc>
          <w:tcPr>
            <w:tcW w:w="3902" w:type="pct"/>
          </w:tcPr>
          <w:p w14:paraId="53235FF2" w14:textId="77777777" w:rsidR="00865C25" w:rsidRPr="000449D1" w:rsidRDefault="00865C25" w:rsidP="001A6611">
            <w:pPr>
              <w:pStyle w:val="TableText"/>
              <w:keepNext/>
              <w:rPr>
                <w:rFonts w:cs="Courier New"/>
              </w:rPr>
            </w:pPr>
            <w:r>
              <w:rPr>
                <w:rFonts w:cs="Courier New"/>
              </w:rPr>
              <w:t>Health care system perspective</w:t>
            </w:r>
          </w:p>
        </w:tc>
      </w:tr>
      <w:tr w:rsidR="00865C25" w:rsidRPr="000449D1" w14:paraId="63850083" w14:textId="77777777" w:rsidTr="001A6611">
        <w:trPr>
          <w:tblHeader/>
        </w:trPr>
        <w:tc>
          <w:tcPr>
            <w:tcW w:w="1098" w:type="pct"/>
          </w:tcPr>
          <w:p w14:paraId="0C9C4DC1" w14:textId="77777777" w:rsidR="00865C25" w:rsidRPr="000449D1" w:rsidRDefault="00865C25" w:rsidP="001A6611">
            <w:pPr>
              <w:pStyle w:val="TableText"/>
              <w:keepNext/>
              <w:rPr>
                <w:rFonts w:cs="Courier New"/>
              </w:rPr>
            </w:pPr>
            <w:r w:rsidRPr="000449D1">
              <w:rPr>
                <w:rFonts w:cs="Courier New"/>
              </w:rPr>
              <w:t>Population</w:t>
            </w:r>
          </w:p>
        </w:tc>
        <w:tc>
          <w:tcPr>
            <w:tcW w:w="3902" w:type="pct"/>
          </w:tcPr>
          <w:p w14:paraId="635F8BD9" w14:textId="77777777" w:rsidR="00865C25" w:rsidRPr="0004605B" w:rsidRDefault="00865C25" w:rsidP="001A6611">
            <w:pPr>
              <w:pStyle w:val="TableText"/>
              <w:keepNext/>
            </w:pPr>
            <w:r>
              <w:t>Patients with non-squamous or NOS NSCLC</w:t>
            </w:r>
          </w:p>
        </w:tc>
      </w:tr>
      <w:tr w:rsidR="00865C25" w:rsidRPr="000449D1" w14:paraId="57559E3F" w14:textId="77777777" w:rsidTr="001A6611">
        <w:tc>
          <w:tcPr>
            <w:tcW w:w="1098" w:type="pct"/>
          </w:tcPr>
          <w:p w14:paraId="00718506" w14:textId="77777777" w:rsidR="00865C25" w:rsidRPr="000449D1" w:rsidRDefault="00865C25" w:rsidP="001A6611">
            <w:pPr>
              <w:pStyle w:val="TableText"/>
              <w:keepNext/>
              <w:rPr>
                <w:rFonts w:cs="Courier New"/>
              </w:rPr>
            </w:pPr>
            <w:r w:rsidRPr="000449D1">
              <w:rPr>
                <w:rFonts w:cs="Courier New"/>
              </w:rPr>
              <w:t>Prior testing</w:t>
            </w:r>
          </w:p>
        </w:tc>
        <w:tc>
          <w:tcPr>
            <w:tcW w:w="3902" w:type="pct"/>
          </w:tcPr>
          <w:p w14:paraId="1E08EC15" w14:textId="77777777" w:rsidR="00865C25" w:rsidRPr="000449D1" w:rsidRDefault="00865C25" w:rsidP="001A6611">
            <w:pPr>
              <w:pStyle w:val="TableText"/>
              <w:keepNext/>
              <w:rPr>
                <w:rFonts w:cs="Courier New"/>
              </w:rPr>
            </w:pPr>
            <w:r>
              <w:rPr>
                <w:rFonts w:cs="Courier New"/>
              </w:rPr>
              <w:t>Histopathology testing to confirm tumour histology</w:t>
            </w:r>
          </w:p>
        </w:tc>
      </w:tr>
      <w:tr w:rsidR="00865C25" w:rsidRPr="000449D1" w14:paraId="422C8426" w14:textId="77777777" w:rsidTr="001A6611">
        <w:tc>
          <w:tcPr>
            <w:tcW w:w="1098" w:type="pct"/>
          </w:tcPr>
          <w:p w14:paraId="0AA4BA35" w14:textId="77777777" w:rsidR="00865C25" w:rsidRPr="000449D1" w:rsidRDefault="00865C25" w:rsidP="001A6611">
            <w:pPr>
              <w:pStyle w:val="TableText"/>
              <w:keepNext/>
              <w:rPr>
                <w:rFonts w:cs="Courier New"/>
              </w:rPr>
            </w:pPr>
            <w:r w:rsidRPr="000449D1">
              <w:rPr>
                <w:rFonts w:cs="Courier New"/>
              </w:rPr>
              <w:t>Comparator</w:t>
            </w:r>
          </w:p>
        </w:tc>
        <w:tc>
          <w:tcPr>
            <w:tcW w:w="3902" w:type="pct"/>
          </w:tcPr>
          <w:p w14:paraId="6C8840D8" w14:textId="77777777" w:rsidR="00865C25" w:rsidRPr="000449D1" w:rsidRDefault="00865C25" w:rsidP="001A6611">
            <w:pPr>
              <w:pStyle w:val="TableText"/>
              <w:keepNext/>
              <w:rPr>
                <w:rFonts w:cs="Courier New"/>
              </w:rPr>
            </w:pPr>
            <w:r>
              <w:rPr>
                <w:rFonts w:cs="Courier New"/>
              </w:rPr>
              <w:t xml:space="preserve">Single gene testing (reflex </w:t>
            </w:r>
            <w:r w:rsidRPr="00336456">
              <w:rPr>
                <w:rFonts w:cs="Courier New"/>
                <w:i/>
              </w:rPr>
              <w:t>EGFR</w:t>
            </w:r>
            <w:r>
              <w:rPr>
                <w:rFonts w:cs="Courier New"/>
              </w:rPr>
              <w:t xml:space="preserve">, </w:t>
            </w:r>
            <w:r w:rsidRPr="00A75F36">
              <w:rPr>
                <w:rFonts w:cs="Courier New"/>
              </w:rPr>
              <w:t>ALK</w:t>
            </w:r>
            <w:r w:rsidRPr="00336456">
              <w:rPr>
                <w:rFonts w:cs="Courier New"/>
                <w:i/>
              </w:rPr>
              <w:t xml:space="preserve"> </w:t>
            </w:r>
            <w:r>
              <w:rPr>
                <w:rFonts w:cs="Courier New"/>
              </w:rPr>
              <w:t xml:space="preserve">IHC and </w:t>
            </w:r>
            <w:r w:rsidRPr="00A75F36">
              <w:rPr>
                <w:rFonts w:cs="Courier New"/>
              </w:rPr>
              <w:t>ROS1</w:t>
            </w:r>
            <w:r w:rsidRPr="00336456">
              <w:rPr>
                <w:rFonts w:cs="Courier New"/>
                <w:i/>
              </w:rPr>
              <w:t xml:space="preserve"> </w:t>
            </w:r>
            <w:r>
              <w:rPr>
                <w:rFonts w:cs="Courier New"/>
              </w:rPr>
              <w:t xml:space="preserve">IHC, followed by, if relevant, reflex </w:t>
            </w:r>
            <w:r w:rsidRPr="00336456">
              <w:rPr>
                <w:rFonts w:cs="Courier New"/>
                <w:i/>
              </w:rPr>
              <w:t xml:space="preserve">ALK </w:t>
            </w:r>
            <w:r>
              <w:rPr>
                <w:rFonts w:cs="Courier New"/>
              </w:rPr>
              <w:t xml:space="preserve">FISH and/or </w:t>
            </w:r>
            <w:r w:rsidRPr="00336456">
              <w:rPr>
                <w:rFonts w:cs="Courier New"/>
                <w:i/>
              </w:rPr>
              <w:t xml:space="preserve">ROS1 </w:t>
            </w:r>
            <w:r>
              <w:rPr>
                <w:rFonts w:cs="Courier New"/>
              </w:rPr>
              <w:t xml:space="preserve">FISH, and </w:t>
            </w:r>
            <w:r w:rsidRPr="00336456">
              <w:rPr>
                <w:rFonts w:cs="Courier New"/>
                <w:i/>
              </w:rPr>
              <w:t>MET</w:t>
            </w:r>
            <w:r>
              <w:rPr>
                <w:rFonts w:cs="Courier New"/>
              </w:rPr>
              <w:t>ex14sk testing)</w:t>
            </w:r>
          </w:p>
        </w:tc>
      </w:tr>
      <w:tr w:rsidR="00865C25" w:rsidRPr="000449D1" w14:paraId="33863712" w14:textId="77777777" w:rsidTr="001A6611">
        <w:tc>
          <w:tcPr>
            <w:tcW w:w="1098" w:type="pct"/>
          </w:tcPr>
          <w:p w14:paraId="40D66C03" w14:textId="77777777" w:rsidR="00865C25" w:rsidRPr="000449D1" w:rsidRDefault="00865C25" w:rsidP="001A6611">
            <w:pPr>
              <w:pStyle w:val="TableText"/>
              <w:keepNext/>
              <w:rPr>
                <w:rFonts w:cs="Courier New"/>
              </w:rPr>
            </w:pPr>
            <w:r w:rsidRPr="000449D1">
              <w:rPr>
                <w:rFonts w:cs="Courier New"/>
              </w:rPr>
              <w:t>Type(s) of analysis</w:t>
            </w:r>
          </w:p>
        </w:tc>
        <w:tc>
          <w:tcPr>
            <w:tcW w:w="3902" w:type="pct"/>
          </w:tcPr>
          <w:p w14:paraId="7CFA907E" w14:textId="77777777" w:rsidR="00865C25" w:rsidRPr="000449D1" w:rsidRDefault="00865C25" w:rsidP="001A6611">
            <w:pPr>
              <w:pStyle w:val="TableText"/>
              <w:keepNext/>
              <w:rPr>
                <w:rFonts w:cs="Courier New"/>
              </w:rPr>
            </w:pPr>
            <w:r>
              <w:rPr>
                <w:rFonts w:cs="Courier New"/>
              </w:rPr>
              <w:t>C</w:t>
            </w:r>
            <w:r w:rsidRPr="000449D1">
              <w:rPr>
                <w:rFonts w:cs="Courier New"/>
              </w:rPr>
              <w:t>ost-effectiveness analysis</w:t>
            </w:r>
          </w:p>
        </w:tc>
      </w:tr>
      <w:tr w:rsidR="00865C25" w:rsidRPr="000449D1" w14:paraId="21443719" w14:textId="77777777" w:rsidTr="001A6611">
        <w:tc>
          <w:tcPr>
            <w:tcW w:w="1098" w:type="pct"/>
          </w:tcPr>
          <w:p w14:paraId="3EFB8CC6" w14:textId="77777777" w:rsidR="00865C25" w:rsidRPr="000449D1" w:rsidRDefault="00865C25" w:rsidP="001A6611">
            <w:pPr>
              <w:pStyle w:val="TableText"/>
              <w:keepNext/>
              <w:rPr>
                <w:rFonts w:cs="Courier New"/>
              </w:rPr>
            </w:pPr>
            <w:r w:rsidRPr="000449D1">
              <w:rPr>
                <w:rFonts w:cs="Courier New"/>
              </w:rPr>
              <w:t>Outcomes</w:t>
            </w:r>
          </w:p>
        </w:tc>
        <w:tc>
          <w:tcPr>
            <w:tcW w:w="3902" w:type="pct"/>
          </w:tcPr>
          <w:p w14:paraId="53545C99" w14:textId="77777777" w:rsidR="00865C25" w:rsidRDefault="00865C25" w:rsidP="001A6611">
            <w:pPr>
              <w:pStyle w:val="TableText"/>
              <w:keepNext/>
              <w:rPr>
                <w:rFonts w:cs="Courier New"/>
              </w:rPr>
            </w:pPr>
            <w:r>
              <w:rPr>
                <w:rFonts w:cs="Courier New"/>
              </w:rPr>
              <w:t>Primary: Patients eligible for targeted therapy, disaggregated by patients with common and incremental variants identified</w:t>
            </w:r>
          </w:p>
          <w:p w14:paraId="66713D29" w14:textId="77777777" w:rsidR="00865C25" w:rsidRPr="000449D1" w:rsidRDefault="00865C25" w:rsidP="001A6611">
            <w:pPr>
              <w:pStyle w:val="TableText"/>
              <w:keepNext/>
              <w:rPr>
                <w:rFonts w:cs="Courier New"/>
              </w:rPr>
            </w:pPr>
            <w:r>
              <w:rPr>
                <w:rFonts w:cs="Courier New"/>
              </w:rPr>
              <w:t>Additional: Patients with actionable (</w:t>
            </w:r>
            <w:proofErr w:type="gramStart"/>
            <w:r>
              <w:rPr>
                <w:rFonts w:cs="Courier New"/>
              </w:rPr>
              <w:t>i.e.</w:t>
            </w:r>
            <w:proofErr w:type="gramEnd"/>
            <w:r>
              <w:rPr>
                <w:rFonts w:cs="Courier New"/>
              </w:rPr>
              <w:t xml:space="preserve"> common and incremental variants) variants identified, patients with known biomarker status; changes in </w:t>
            </w:r>
            <w:proofErr w:type="spellStart"/>
            <w:r>
              <w:rPr>
                <w:rFonts w:cs="Courier New"/>
              </w:rPr>
              <w:t>rebiopsies</w:t>
            </w:r>
            <w:proofErr w:type="spellEnd"/>
            <w:r>
              <w:rPr>
                <w:rFonts w:cs="Courier New"/>
              </w:rPr>
              <w:t xml:space="preserve"> required</w:t>
            </w:r>
          </w:p>
        </w:tc>
      </w:tr>
      <w:tr w:rsidR="00865C25" w:rsidRPr="000449D1" w14:paraId="6F9D1BD6" w14:textId="77777777" w:rsidTr="001A6611">
        <w:tc>
          <w:tcPr>
            <w:tcW w:w="1098" w:type="pct"/>
          </w:tcPr>
          <w:p w14:paraId="51026E75" w14:textId="77777777" w:rsidR="00865C25" w:rsidRPr="000449D1" w:rsidRDefault="00865C25" w:rsidP="001A6611">
            <w:pPr>
              <w:pStyle w:val="TableText"/>
              <w:keepNext/>
              <w:rPr>
                <w:rFonts w:cs="Courier New"/>
              </w:rPr>
            </w:pPr>
            <w:r w:rsidRPr="000449D1">
              <w:rPr>
                <w:rFonts w:cs="Courier New"/>
              </w:rPr>
              <w:t>Time horizon</w:t>
            </w:r>
          </w:p>
        </w:tc>
        <w:tc>
          <w:tcPr>
            <w:tcW w:w="3902" w:type="pct"/>
          </w:tcPr>
          <w:p w14:paraId="65545711" w14:textId="77777777" w:rsidR="00865C25" w:rsidRPr="000449D1" w:rsidRDefault="00865C25" w:rsidP="001A6611">
            <w:pPr>
              <w:pStyle w:val="TableText"/>
              <w:keepNext/>
              <w:rPr>
                <w:rFonts w:cs="Courier New"/>
              </w:rPr>
            </w:pPr>
            <w:r>
              <w:rPr>
                <w:rFonts w:cs="Courier New"/>
              </w:rPr>
              <w:t>Time to first-line treatment decisions in the advanced NSCLC setting</w:t>
            </w:r>
          </w:p>
        </w:tc>
      </w:tr>
      <w:tr w:rsidR="00865C25" w:rsidRPr="000449D1" w14:paraId="500D8958" w14:textId="77777777" w:rsidTr="001A6611">
        <w:tc>
          <w:tcPr>
            <w:tcW w:w="1098" w:type="pct"/>
          </w:tcPr>
          <w:p w14:paraId="7941D9D3" w14:textId="77777777" w:rsidR="00865C25" w:rsidRPr="000449D1" w:rsidRDefault="00865C25" w:rsidP="001A6611">
            <w:pPr>
              <w:pStyle w:val="TableText"/>
              <w:keepNext/>
              <w:rPr>
                <w:rFonts w:cs="Courier New"/>
              </w:rPr>
            </w:pPr>
            <w:r w:rsidRPr="000449D1">
              <w:rPr>
                <w:rFonts w:cs="Courier New"/>
              </w:rPr>
              <w:t>Computational method</w:t>
            </w:r>
          </w:p>
        </w:tc>
        <w:tc>
          <w:tcPr>
            <w:tcW w:w="3902" w:type="pct"/>
          </w:tcPr>
          <w:p w14:paraId="6E4E61DF" w14:textId="77777777" w:rsidR="00865C25" w:rsidRPr="000449D1" w:rsidRDefault="00865C25" w:rsidP="001A6611">
            <w:pPr>
              <w:pStyle w:val="TableText"/>
              <w:keepNext/>
              <w:rPr>
                <w:rFonts w:cs="Courier New"/>
              </w:rPr>
            </w:pPr>
            <w:r>
              <w:rPr>
                <w:rFonts w:cs="Courier New"/>
              </w:rPr>
              <w:t>Decision analytic</w:t>
            </w:r>
          </w:p>
        </w:tc>
      </w:tr>
      <w:tr w:rsidR="00865C25" w:rsidRPr="000449D1" w14:paraId="6AA6D306" w14:textId="77777777" w:rsidTr="001A6611">
        <w:tc>
          <w:tcPr>
            <w:tcW w:w="1098" w:type="pct"/>
          </w:tcPr>
          <w:p w14:paraId="325ACD03" w14:textId="77777777" w:rsidR="00865C25" w:rsidRPr="000449D1" w:rsidRDefault="00865C25" w:rsidP="001A6611">
            <w:pPr>
              <w:pStyle w:val="TableText"/>
              <w:keepNext/>
              <w:rPr>
                <w:rFonts w:cs="Courier New"/>
              </w:rPr>
            </w:pPr>
            <w:r w:rsidRPr="000449D1">
              <w:rPr>
                <w:rFonts w:cs="Courier New"/>
              </w:rPr>
              <w:t>Generation of the base case</w:t>
            </w:r>
          </w:p>
        </w:tc>
        <w:tc>
          <w:tcPr>
            <w:tcW w:w="3902" w:type="pct"/>
          </w:tcPr>
          <w:p w14:paraId="6077AFF9" w14:textId="77777777" w:rsidR="00865C25" w:rsidRPr="000449D1" w:rsidRDefault="00865C25" w:rsidP="001A6611">
            <w:pPr>
              <w:pStyle w:val="TableText"/>
              <w:keepNext/>
              <w:rPr>
                <w:rFonts w:cs="Courier New"/>
              </w:rPr>
            </w:pPr>
            <w:r>
              <w:rPr>
                <w:rFonts w:cs="Courier New"/>
              </w:rPr>
              <w:t>M</w:t>
            </w:r>
            <w:r w:rsidRPr="000449D1">
              <w:rPr>
                <w:rFonts w:cs="Courier New"/>
              </w:rPr>
              <w:t>odelled</w:t>
            </w:r>
            <w:r>
              <w:rPr>
                <w:rFonts w:cs="Courier New"/>
              </w:rPr>
              <w:t xml:space="preserve"> stepped analysis, incorporating </w:t>
            </w:r>
            <w:r w:rsidRPr="00511217">
              <w:rPr>
                <w:rFonts w:cs="Courier New"/>
              </w:rPr>
              <w:t>different aspects of the linked evidence, translations of the clinical evidence and other key model assumptions separately to distinguish the effect of each of these on the results.</w:t>
            </w:r>
          </w:p>
        </w:tc>
      </w:tr>
      <w:tr w:rsidR="00865C25" w:rsidRPr="000449D1" w14:paraId="3A5266C1" w14:textId="77777777" w:rsidTr="001A6611">
        <w:tc>
          <w:tcPr>
            <w:tcW w:w="1098" w:type="pct"/>
          </w:tcPr>
          <w:p w14:paraId="1CFA78C7" w14:textId="77777777" w:rsidR="00865C25" w:rsidRPr="000449D1" w:rsidRDefault="00865C25" w:rsidP="001A6611">
            <w:pPr>
              <w:pStyle w:val="TableText"/>
              <w:keepNext/>
              <w:rPr>
                <w:rFonts w:cs="Courier New"/>
              </w:rPr>
            </w:pPr>
            <w:r w:rsidRPr="000449D1">
              <w:rPr>
                <w:rFonts w:cs="Courier New"/>
              </w:rPr>
              <w:t>Transition probabilities</w:t>
            </w:r>
          </w:p>
        </w:tc>
        <w:tc>
          <w:tcPr>
            <w:tcW w:w="3902" w:type="pct"/>
          </w:tcPr>
          <w:p w14:paraId="4FF83DD6" w14:textId="77777777" w:rsidR="00865C25" w:rsidRDefault="00865C25" w:rsidP="001A6611">
            <w:pPr>
              <w:pStyle w:val="TableText"/>
              <w:keepNext/>
              <w:rPr>
                <w:rFonts w:cs="Courier New"/>
              </w:rPr>
            </w:pPr>
            <w:r>
              <w:rPr>
                <w:rFonts w:cs="Courier New"/>
              </w:rPr>
              <w:t>Yield of actionable variants: Accepted estimates of variant yield as identified by the clinical utility standard (‘common’ variants), adjusted for additional variants identified by small gene panel testing in the same biomarker (‘incremental’ variants) using concordance estimates derived in the clinical evaluation. Yield estimates were adjusted to reflect some IHC ± FISH use following small DNA panel testing (in instances where tissue quantity or quality is insufficient for RNA panel testing).</w:t>
            </w:r>
          </w:p>
          <w:p w14:paraId="016928E4" w14:textId="77777777" w:rsidR="00865C25" w:rsidRPr="00807F3E" w:rsidRDefault="00865C25" w:rsidP="001A6611">
            <w:pPr>
              <w:pStyle w:val="TableText"/>
              <w:keepNext/>
              <w:rPr>
                <w:rFonts w:cs="Courier New"/>
              </w:rPr>
            </w:pPr>
            <w:r>
              <w:rPr>
                <w:rFonts w:cs="Courier New"/>
              </w:rPr>
              <w:t>Success of testing was also based on estimates presented in the clinical evaluation.</w:t>
            </w:r>
          </w:p>
        </w:tc>
      </w:tr>
      <w:tr w:rsidR="00865C25" w:rsidRPr="000449D1" w14:paraId="6981D88D" w14:textId="77777777" w:rsidTr="001A6611">
        <w:tc>
          <w:tcPr>
            <w:tcW w:w="1098" w:type="pct"/>
          </w:tcPr>
          <w:p w14:paraId="063CCF3D" w14:textId="77777777" w:rsidR="00865C25" w:rsidRPr="000449D1" w:rsidRDefault="00865C25" w:rsidP="001A6611">
            <w:pPr>
              <w:pStyle w:val="TableText"/>
              <w:keepNext/>
              <w:rPr>
                <w:rFonts w:cs="Courier New"/>
              </w:rPr>
            </w:pPr>
            <w:r w:rsidRPr="000449D1">
              <w:rPr>
                <w:rFonts w:cs="Courier New"/>
              </w:rPr>
              <w:t>Discount rate</w:t>
            </w:r>
          </w:p>
        </w:tc>
        <w:tc>
          <w:tcPr>
            <w:tcW w:w="3902" w:type="pct"/>
          </w:tcPr>
          <w:p w14:paraId="65E6FCEC" w14:textId="77777777" w:rsidR="00865C25" w:rsidRPr="000449D1" w:rsidRDefault="00865C25" w:rsidP="001A6611">
            <w:pPr>
              <w:pStyle w:val="TableText"/>
              <w:keepNext/>
              <w:rPr>
                <w:rFonts w:cs="Courier New"/>
              </w:rPr>
            </w:pPr>
            <w:r>
              <w:rPr>
                <w:rFonts w:cs="Courier New"/>
              </w:rPr>
              <w:t>Not applicable</w:t>
            </w:r>
          </w:p>
        </w:tc>
      </w:tr>
      <w:tr w:rsidR="00865C25" w:rsidRPr="000449D1" w14:paraId="78219E3E" w14:textId="77777777" w:rsidTr="001A6611">
        <w:tc>
          <w:tcPr>
            <w:tcW w:w="1098" w:type="pct"/>
          </w:tcPr>
          <w:p w14:paraId="355D8BDD" w14:textId="77777777" w:rsidR="00865C25" w:rsidRPr="000449D1" w:rsidRDefault="00865C25" w:rsidP="001A6611">
            <w:pPr>
              <w:pStyle w:val="TableText"/>
              <w:keepNext/>
              <w:rPr>
                <w:rFonts w:cs="Courier New"/>
              </w:rPr>
            </w:pPr>
            <w:r w:rsidRPr="000449D1">
              <w:rPr>
                <w:rFonts w:cs="Courier New"/>
              </w:rPr>
              <w:t>Software</w:t>
            </w:r>
          </w:p>
        </w:tc>
        <w:tc>
          <w:tcPr>
            <w:tcW w:w="3902" w:type="pct"/>
          </w:tcPr>
          <w:p w14:paraId="60CB73AD" w14:textId="77777777" w:rsidR="00865C25" w:rsidRPr="000449D1" w:rsidRDefault="00865C25" w:rsidP="001A6611">
            <w:pPr>
              <w:pStyle w:val="TableText"/>
              <w:keepNext/>
              <w:rPr>
                <w:rFonts w:cs="Courier New"/>
              </w:rPr>
            </w:pPr>
            <w:proofErr w:type="spellStart"/>
            <w:r>
              <w:rPr>
                <w:rFonts w:cs="Courier New"/>
              </w:rPr>
              <w:t>TreeAge</w:t>
            </w:r>
            <w:proofErr w:type="spellEnd"/>
            <w:r>
              <w:rPr>
                <w:rFonts w:cs="Courier New"/>
              </w:rPr>
              <w:t xml:space="preserve"> Pro and</w:t>
            </w:r>
            <w:r w:rsidRPr="00A41FD7">
              <w:rPr>
                <w:rFonts w:cs="Courier New"/>
              </w:rPr>
              <w:t xml:space="preserve"> Microsoft Excel</w:t>
            </w:r>
          </w:p>
        </w:tc>
      </w:tr>
    </w:tbl>
    <w:p w14:paraId="3CC0AE07" w14:textId="2998DC7A" w:rsidR="00865C25" w:rsidRDefault="00865C25" w:rsidP="00865C25">
      <w:pPr>
        <w:pStyle w:val="TableFooter"/>
      </w:pPr>
      <w:r>
        <w:rPr>
          <w:i/>
        </w:rPr>
        <w:t>ALK</w:t>
      </w:r>
      <w:r>
        <w:t xml:space="preserve"> = </w:t>
      </w:r>
      <w:r w:rsidR="00C925AE">
        <w:t>ALK receptor tyrosine kinase</w:t>
      </w:r>
      <w:r>
        <w:t xml:space="preserve">; DNA = deoxyribose nucleic acid; </w:t>
      </w:r>
      <w:r w:rsidRPr="00A81F01">
        <w:rPr>
          <w:i/>
        </w:rPr>
        <w:t>EGFR</w:t>
      </w:r>
      <w:r>
        <w:t xml:space="preserve"> = </w:t>
      </w:r>
      <w:r w:rsidRPr="00A81F01">
        <w:t>epidermal growth factor receptor</w:t>
      </w:r>
      <w:r>
        <w:t>; FISH = f</w:t>
      </w:r>
      <w:r w:rsidRPr="003316EF">
        <w:t xml:space="preserve">luorescence </w:t>
      </w:r>
      <w:r w:rsidRPr="00357441">
        <w:rPr>
          <w:i/>
          <w:iCs/>
        </w:rPr>
        <w:t>in situ</w:t>
      </w:r>
      <w:r w:rsidRPr="003316EF">
        <w:t xml:space="preserve"> hybridisation</w:t>
      </w:r>
      <w:r>
        <w:t xml:space="preserve">; IHC = immunohistochemistry; </w:t>
      </w:r>
      <w:r w:rsidRPr="00336456">
        <w:rPr>
          <w:i/>
        </w:rPr>
        <w:t>MET</w:t>
      </w:r>
      <w:r>
        <w:t xml:space="preserve">ex14sk = MET proto-oncogene, receptor tyrosine kinase exon 14 skipping alterations; NOS = not otherwise specified; NSCLC = non-small cell lung cancer; RNA = ribonucleic acid; </w:t>
      </w:r>
      <w:r w:rsidRPr="00743D1B">
        <w:rPr>
          <w:i/>
        </w:rPr>
        <w:t>ROS1</w:t>
      </w:r>
      <w:r>
        <w:t xml:space="preserve"> = </w:t>
      </w:r>
      <w:r w:rsidR="00C925AE">
        <w:t>ROS proto-oncogene 1, receptor tyrosine kinase</w:t>
      </w:r>
      <w:r>
        <w:t>.</w:t>
      </w:r>
    </w:p>
    <w:p w14:paraId="46E125F9" w14:textId="77777777" w:rsidR="00865C25" w:rsidRPr="003251C2" w:rsidRDefault="00865C25" w:rsidP="00865C25">
      <w:pPr>
        <w:pStyle w:val="NormalBeforeBullet"/>
        <w:spacing w:before="160"/>
      </w:pPr>
      <w:r w:rsidRPr="009A7628">
        <w:lastRenderedPageBreak/>
        <w:t xml:space="preserve">The results of </w:t>
      </w:r>
      <w:r>
        <w:t>the</w:t>
      </w:r>
      <w:r w:rsidRPr="009A7628">
        <w:t xml:space="preserve"> stepped analysis </w:t>
      </w:r>
      <w:r>
        <w:t>to generate</w:t>
      </w:r>
      <w:r w:rsidRPr="009A7628">
        <w:t xml:space="preserve"> the base case economic evaluation is presented in</w:t>
      </w:r>
      <w:r>
        <w:t xml:space="preserve"> </w:t>
      </w:r>
      <w:r>
        <w:fldChar w:fldCharType="begin"/>
      </w:r>
      <w:r>
        <w:instrText xml:space="preserve"> REF _Ref69725876 \h  \* MERGEFORMAT </w:instrText>
      </w:r>
      <w:r>
        <w:fldChar w:fldCharType="separate"/>
      </w:r>
      <w:r w:rsidRPr="00CE28E3">
        <w:t>Table</w:t>
      </w:r>
      <w:r>
        <w:t> 10</w:t>
      </w:r>
      <w:r>
        <w:fldChar w:fldCharType="end"/>
      </w:r>
      <w:r>
        <w:t xml:space="preserve">. The steps that had the most effect on the results of the analysis included restricting RNA-only panel testing to those without </w:t>
      </w:r>
      <w:r w:rsidRPr="00A75F36">
        <w:rPr>
          <w:i/>
        </w:rPr>
        <w:t>KRAS</w:t>
      </w:r>
      <w:r>
        <w:t xml:space="preserve"> and </w:t>
      </w:r>
      <w:r w:rsidRPr="00A75F36">
        <w:rPr>
          <w:i/>
        </w:rPr>
        <w:t>BRAF</w:t>
      </w:r>
      <w:r>
        <w:t xml:space="preserve"> activating variants; applying an increase in variant yield with panel testing, the inclusion of patients tested with early-stage disease who do not progress; and including costs and outcomes related to rebiopsy.</w:t>
      </w:r>
    </w:p>
    <w:p w14:paraId="467A9CB8" w14:textId="77777777" w:rsidR="00865C25" w:rsidRPr="00CE28E3" w:rsidRDefault="00865C25" w:rsidP="00865C25">
      <w:pPr>
        <w:pStyle w:val="Caption"/>
      </w:pPr>
      <w:bookmarkStart w:id="29" w:name="_Ref69725876"/>
      <w:r w:rsidRPr="00CE28E3">
        <w:t>Table</w:t>
      </w:r>
      <w:r>
        <w:t> </w:t>
      </w:r>
      <w:r w:rsidRPr="00CE28E3">
        <w:rPr>
          <w:noProof/>
        </w:rPr>
        <w:fldChar w:fldCharType="begin"/>
      </w:r>
      <w:r w:rsidRPr="00CE28E3">
        <w:rPr>
          <w:noProof/>
        </w:rPr>
        <w:instrText xml:space="preserve"> SEQ Table \* ARABIC </w:instrText>
      </w:r>
      <w:r w:rsidRPr="00CE28E3">
        <w:rPr>
          <w:noProof/>
        </w:rPr>
        <w:fldChar w:fldCharType="separate"/>
      </w:r>
      <w:r>
        <w:rPr>
          <w:noProof/>
        </w:rPr>
        <w:t>10</w:t>
      </w:r>
      <w:r w:rsidRPr="00CE28E3">
        <w:rPr>
          <w:noProof/>
        </w:rPr>
        <w:fldChar w:fldCharType="end"/>
      </w:r>
      <w:bookmarkEnd w:id="29"/>
      <w:r w:rsidRPr="00CE28E3">
        <w:t xml:space="preserve"> </w:t>
      </w:r>
      <w:r w:rsidRPr="00CE28E3">
        <w:tab/>
        <w:t>Results of the stepped economic analysis</w:t>
      </w:r>
    </w:p>
    <w:tbl>
      <w:tblPr>
        <w:tblStyle w:val="TableGrid1"/>
        <w:tblW w:w="5000" w:type="pct"/>
        <w:tblLayout w:type="fixed"/>
        <w:tblLook w:val="04A0" w:firstRow="1" w:lastRow="0" w:firstColumn="1" w:lastColumn="0" w:noHBand="0" w:noVBand="1"/>
        <w:tblCaption w:val="Results of the stepped economic analysis"/>
        <w:tblDescription w:val="Results of the stepped economic analysis"/>
      </w:tblPr>
      <w:tblGrid>
        <w:gridCol w:w="5521"/>
        <w:gridCol w:w="1205"/>
        <w:gridCol w:w="1206"/>
        <w:gridCol w:w="1084"/>
      </w:tblGrid>
      <w:tr w:rsidR="00865C25" w:rsidRPr="00373827" w14:paraId="60288196" w14:textId="77777777" w:rsidTr="001A6611">
        <w:trPr>
          <w:cnfStyle w:val="100000000000" w:firstRow="1" w:lastRow="0" w:firstColumn="0" w:lastColumn="0" w:oddVBand="0" w:evenVBand="0" w:oddHBand="0" w:evenHBand="0" w:firstRowFirstColumn="0" w:firstRowLastColumn="0" w:lastRowFirstColumn="0" w:lastRowLastColumn="0"/>
          <w:trHeight w:val="300"/>
          <w:tblHeader/>
        </w:trPr>
        <w:tc>
          <w:tcPr>
            <w:tcW w:w="3062" w:type="pct"/>
            <w:tcBorders>
              <w:bottom w:val="single" w:sz="4" w:space="0" w:color="auto"/>
            </w:tcBorders>
            <w:noWrap/>
            <w:hideMark/>
          </w:tcPr>
          <w:p w14:paraId="68DB21D2" w14:textId="77777777" w:rsidR="00865C25" w:rsidRPr="00373827" w:rsidRDefault="00865C25" w:rsidP="001A6611">
            <w:pPr>
              <w:pStyle w:val="TableHeading"/>
              <w:keepNext w:val="0"/>
            </w:pPr>
          </w:p>
        </w:tc>
        <w:tc>
          <w:tcPr>
            <w:tcW w:w="668" w:type="pct"/>
            <w:tcBorders>
              <w:bottom w:val="single" w:sz="4" w:space="0" w:color="auto"/>
            </w:tcBorders>
            <w:noWrap/>
            <w:hideMark/>
          </w:tcPr>
          <w:p w14:paraId="39AD7378" w14:textId="77777777" w:rsidR="00865C25" w:rsidRPr="00373827" w:rsidRDefault="00865C25" w:rsidP="001A6611">
            <w:pPr>
              <w:pStyle w:val="TableHeading"/>
              <w:keepNext w:val="0"/>
              <w:jc w:val="center"/>
            </w:pPr>
            <w:r w:rsidRPr="00373827">
              <w:t>Small gene panel testing</w:t>
            </w:r>
          </w:p>
        </w:tc>
        <w:tc>
          <w:tcPr>
            <w:tcW w:w="669" w:type="pct"/>
            <w:tcBorders>
              <w:bottom w:val="single" w:sz="4" w:space="0" w:color="auto"/>
            </w:tcBorders>
            <w:noWrap/>
            <w:hideMark/>
          </w:tcPr>
          <w:p w14:paraId="4E3397F0" w14:textId="77777777" w:rsidR="00865C25" w:rsidRPr="00373827" w:rsidRDefault="00865C25" w:rsidP="001A6611">
            <w:pPr>
              <w:pStyle w:val="TableHeading"/>
              <w:keepNext w:val="0"/>
              <w:jc w:val="center"/>
            </w:pPr>
            <w:r w:rsidRPr="00373827">
              <w:t>Single gene testing</w:t>
            </w:r>
          </w:p>
        </w:tc>
        <w:tc>
          <w:tcPr>
            <w:tcW w:w="601" w:type="pct"/>
            <w:tcBorders>
              <w:bottom w:val="single" w:sz="4" w:space="0" w:color="auto"/>
            </w:tcBorders>
            <w:noWrap/>
            <w:hideMark/>
          </w:tcPr>
          <w:p w14:paraId="2C58A7C2" w14:textId="77777777" w:rsidR="00865C25" w:rsidRPr="00373827" w:rsidRDefault="00865C25" w:rsidP="001A6611">
            <w:pPr>
              <w:pStyle w:val="TableHeading"/>
              <w:keepNext w:val="0"/>
              <w:jc w:val="center"/>
            </w:pPr>
            <w:r w:rsidRPr="00373827">
              <w:t>Increment</w:t>
            </w:r>
          </w:p>
        </w:tc>
      </w:tr>
      <w:tr w:rsidR="00865C25" w:rsidRPr="00373827" w14:paraId="347F9D62" w14:textId="77777777" w:rsidTr="001A6611">
        <w:trPr>
          <w:trHeight w:val="300"/>
        </w:trPr>
        <w:tc>
          <w:tcPr>
            <w:tcW w:w="5000" w:type="pct"/>
            <w:gridSpan w:val="4"/>
            <w:noWrap/>
            <w:hideMark/>
          </w:tcPr>
          <w:p w14:paraId="0D00359B" w14:textId="77777777" w:rsidR="00865C25" w:rsidRDefault="00865C25" w:rsidP="001A6611">
            <w:pPr>
              <w:pStyle w:val="TableText"/>
              <w:keepNext/>
              <w:rPr>
                <w:b/>
              </w:rPr>
            </w:pPr>
            <w:r>
              <w:rPr>
                <w:b/>
              </w:rPr>
              <w:t>Step 1: T</w:t>
            </w:r>
            <w:r w:rsidRPr="00373827">
              <w:rPr>
                <w:b/>
              </w:rPr>
              <w:t>est cost difference only</w:t>
            </w:r>
          </w:p>
          <w:p w14:paraId="5C15342E" w14:textId="77777777" w:rsidR="00865C25" w:rsidRPr="00373827" w:rsidRDefault="00865C25" w:rsidP="001A6611">
            <w:pPr>
              <w:pStyle w:val="TableText"/>
              <w:keepNext/>
              <w:rPr>
                <w:b/>
              </w:rPr>
            </w:pPr>
            <w:r>
              <w:rPr>
                <w:rFonts w:cs="Courier New"/>
              </w:rPr>
              <w:t>N</w:t>
            </w:r>
            <w:r w:rsidRPr="006B4048">
              <w:rPr>
                <w:rFonts w:cs="Courier New"/>
              </w:rPr>
              <w:t xml:space="preserve">o difference in success or </w:t>
            </w:r>
            <w:r>
              <w:rPr>
                <w:rFonts w:cs="Courier New"/>
              </w:rPr>
              <w:t xml:space="preserve">yield between current and proposed testing. In two-stage panel testing, patients with </w:t>
            </w:r>
            <w:r w:rsidRPr="00F63608">
              <w:rPr>
                <w:rFonts w:cs="Courier New"/>
                <w:i/>
              </w:rPr>
              <w:t>KRAS</w:t>
            </w:r>
            <w:r>
              <w:rPr>
                <w:rFonts w:cs="Courier New"/>
              </w:rPr>
              <w:t xml:space="preserve"> or </w:t>
            </w:r>
            <w:r w:rsidRPr="00F63608">
              <w:rPr>
                <w:rFonts w:cs="Courier New"/>
                <w:i/>
              </w:rPr>
              <w:t>BRAF</w:t>
            </w:r>
            <w:r>
              <w:rPr>
                <w:rFonts w:cs="Courier New"/>
              </w:rPr>
              <w:t xml:space="preserve"> variants receive RNA testing.</w:t>
            </w:r>
          </w:p>
        </w:tc>
      </w:tr>
      <w:tr w:rsidR="00865C25" w:rsidRPr="00373827" w14:paraId="782AF4FE" w14:textId="77777777" w:rsidTr="001A6611">
        <w:trPr>
          <w:trHeight w:val="300"/>
        </w:trPr>
        <w:tc>
          <w:tcPr>
            <w:tcW w:w="3062" w:type="pct"/>
            <w:tcBorders>
              <w:bottom w:val="single" w:sz="4" w:space="0" w:color="auto"/>
            </w:tcBorders>
            <w:noWrap/>
            <w:hideMark/>
          </w:tcPr>
          <w:p w14:paraId="1EC575D2" w14:textId="77777777" w:rsidR="00865C25" w:rsidRPr="00373827" w:rsidRDefault="00865C25" w:rsidP="001A6611">
            <w:pPr>
              <w:pStyle w:val="TableText"/>
            </w:pPr>
            <w:r w:rsidRPr="00373827">
              <w:t>Total cost</w:t>
            </w:r>
          </w:p>
        </w:tc>
        <w:tc>
          <w:tcPr>
            <w:tcW w:w="668" w:type="pct"/>
            <w:tcBorders>
              <w:bottom w:val="single" w:sz="4" w:space="0" w:color="auto"/>
            </w:tcBorders>
            <w:noWrap/>
            <w:hideMark/>
          </w:tcPr>
          <w:p w14:paraId="1845BC21" w14:textId="77777777" w:rsidR="00865C25" w:rsidRPr="00373827" w:rsidRDefault="00865C25" w:rsidP="001A6611">
            <w:pPr>
              <w:pStyle w:val="TableText"/>
              <w:jc w:val="right"/>
            </w:pPr>
            <w:r w:rsidRPr="009D31F8">
              <w:t>$1,240.55</w:t>
            </w:r>
          </w:p>
        </w:tc>
        <w:tc>
          <w:tcPr>
            <w:tcW w:w="669" w:type="pct"/>
            <w:tcBorders>
              <w:bottom w:val="single" w:sz="4" w:space="0" w:color="auto"/>
            </w:tcBorders>
            <w:noWrap/>
            <w:hideMark/>
          </w:tcPr>
          <w:p w14:paraId="464EF25D" w14:textId="77777777" w:rsidR="00865C25" w:rsidRPr="00373827" w:rsidRDefault="00865C25" w:rsidP="001A6611">
            <w:pPr>
              <w:pStyle w:val="TableText"/>
              <w:jc w:val="right"/>
            </w:pPr>
            <w:r w:rsidRPr="009D31F8">
              <w:t>$894.72</w:t>
            </w:r>
          </w:p>
        </w:tc>
        <w:tc>
          <w:tcPr>
            <w:tcW w:w="601" w:type="pct"/>
            <w:tcBorders>
              <w:bottom w:val="single" w:sz="4" w:space="0" w:color="auto"/>
            </w:tcBorders>
            <w:noWrap/>
            <w:hideMark/>
          </w:tcPr>
          <w:p w14:paraId="5DB4B259" w14:textId="77777777" w:rsidR="00865C25" w:rsidRPr="00373827" w:rsidRDefault="00865C25" w:rsidP="001A6611">
            <w:pPr>
              <w:pStyle w:val="TableText"/>
              <w:jc w:val="right"/>
            </w:pPr>
            <w:r w:rsidRPr="009D31F8">
              <w:t>$345.83</w:t>
            </w:r>
          </w:p>
        </w:tc>
      </w:tr>
      <w:tr w:rsidR="00865C25" w:rsidRPr="00373827" w14:paraId="2872070D" w14:textId="77777777" w:rsidTr="001A6611">
        <w:trPr>
          <w:trHeight w:val="300"/>
        </w:trPr>
        <w:tc>
          <w:tcPr>
            <w:tcW w:w="5000" w:type="pct"/>
            <w:gridSpan w:val="4"/>
            <w:noWrap/>
            <w:hideMark/>
          </w:tcPr>
          <w:p w14:paraId="2305AD5C" w14:textId="57585DBC" w:rsidR="00865C25" w:rsidRDefault="00865C25" w:rsidP="001A6611">
            <w:pPr>
              <w:pStyle w:val="TableText"/>
              <w:keepNext/>
              <w:rPr>
                <w:b/>
              </w:rPr>
            </w:pPr>
            <w:r>
              <w:rPr>
                <w:b/>
              </w:rPr>
              <w:t>Step 2: R</w:t>
            </w:r>
            <w:r w:rsidRPr="00373827">
              <w:rPr>
                <w:b/>
              </w:rPr>
              <w:t>NA panel testing</w:t>
            </w:r>
            <w:r>
              <w:rPr>
                <w:b/>
              </w:rPr>
              <w:t xml:space="preserve"> restricted</w:t>
            </w:r>
            <w:r w:rsidRPr="00373827">
              <w:rPr>
                <w:b/>
              </w:rPr>
              <w:t xml:space="preserve"> to </w:t>
            </w:r>
            <w:r w:rsidR="00942ED0" w:rsidRPr="00942ED0">
              <w:rPr>
                <w:b/>
                <w:i/>
              </w:rPr>
              <w:t xml:space="preserve">EGFR, KRAS, BRAF and MET </w:t>
            </w:r>
            <w:r w:rsidRPr="00373827">
              <w:rPr>
                <w:b/>
              </w:rPr>
              <w:t>negatives</w:t>
            </w:r>
          </w:p>
          <w:p w14:paraId="2BD86A48" w14:textId="77777777" w:rsidR="00865C25" w:rsidRPr="00373827" w:rsidRDefault="00865C25" w:rsidP="001A6611">
            <w:pPr>
              <w:pStyle w:val="TableText"/>
              <w:keepNext/>
              <w:rPr>
                <w:b/>
              </w:rPr>
            </w:pPr>
            <w:r>
              <w:rPr>
                <w:rFonts w:cs="Courier New"/>
              </w:rPr>
              <w:t xml:space="preserve">As per the proposed small RNA gene panel test item, where two-stage panel testing is used, patients found with </w:t>
            </w:r>
            <w:r w:rsidRPr="00F63608">
              <w:rPr>
                <w:rFonts w:cs="Courier New"/>
                <w:i/>
              </w:rPr>
              <w:t>KRAS</w:t>
            </w:r>
            <w:r>
              <w:rPr>
                <w:rFonts w:cs="Courier New"/>
              </w:rPr>
              <w:t xml:space="preserve"> or </w:t>
            </w:r>
            <w:r w:rsidRPr="00F63608">
              <w:rPr>
                <w:rFonts w:cs="Courier New"/>
                <w:i/>
              </w:rPr>
              <w:t>BRAF</w:t>
            </w:r>
            <w:r>
              <w:rPr>
                <w:rFonts w:cs="Courier New"/>
              </w:rPr>
              <w:t xml:space="preserve"> variants </w:t>
            </w:r>
            <w:r w:rsidRPr="00AB61FE">
              <w:rPr>
                <w:rFonts w:cs="Courier New"/>
                <w:u w:val="single"/>
              </w:rPr>
              <w:t>cannot</w:t>
            </w:r>
            <w:r>
              <w:rPr>
                <w:rFonts w:cs="Courier New"/>
              </w:rPr>
              <w:t xml:space="preserve"> receive RNA testing.</w:t>
            </w:r>
          </w:p>
        </w:tc>
      </w:tr>
      <w:tr w:rsidR="00865C25" w:rsidRPr="00373827" w14:paraId="684875B7" w14:textId="77777777" w:rsidTr="001A6611">
        <w:trPr>
          <w:trHeight w:val="300"/>
        </w:trPr>
        <w:tc>
          <w:tcPr>
            <w:tcW w:w="3062" w:type="pct"/>
            <w:tcBorders>
              <w:bottom w:val="single" w:sz="4" w:space="0" w:color="auto"/>
            </w:tcBorders>
            <w:noWrap/>
            <w:hideMark/>
          </w:tcPr>
          <w:p w14:paraId="39854EB9" w14:textId="77777777" w:rsidR="00865C25" w:rsidRPr="00373827" w:rsidRDefault="00865C25" w:rsidP="001A6611">
            <w:pPr>
              <w:pStyle w:val="TableText"/>
            </w:pPr>
            <w:r w:rsidRPr="00373827">
              <w:t>Total cost</w:t>
            </w:r>
          </w:p>
        </w:tc>
        <w:tc>
          <w:tcPr>
            <w:tcW w:w="668" w:type="pct"/>
            <w:tcBorders>
              <w:bottom w:val="single" w:sz="4" w:space="0" w:color="auto"/>
            </w:tcBorders>
            <w:noWrap/>
            <w:hideMark/>
          </w:tcPr>
          <w:p w14:paraId="4A29D03F" w14:textId="77777777" w:rsidR="00865C25" w:rsidRPr="00373827" w:rsidRDefault="00865C25" w:rsidP="001A6611">
            <w:pPr>
              <w:pStyle w:val="TableText"/>
              <w:jc w:val="right"/>
            </w:pPr>
            <w:r w:rsidRPr="009D31F8">
              <w:t>$1,093.43</w:t>
            </w:r>
          </w:p>
        </w:tc>
        <w:tc>
          <w:tcPr>
            <w:tcW w:w="669" w:type="pct"/>
            <w:tcBorders>
              <w:bottom w:val="single" w:sz="4" w:space="0" w:color="auto"/>
            </w:tcBorders>
            <w:noWrap/>
            <w:hideMark/>
          </w:tcPr>
          <w:p w14:paraId="4126CDD7" w14:textId="77777777" w:rsidR="00865C25" w:rsidRPr="00373827" w:rsidRDefault="00865C25" w:rsidP="001A6611">
            <w:pPr>
              <w:pStyle w:val="TableText"/>
              <w:jc w:val="right"/>
            </w:pPr>
            <w:r w:rsidRPr="009D31F8">
              <w:t>$894.72</w:t>
            </w:r>
          </w:p>
        </w:tc>
        <w:tc>
          <w:tcPr>
            <w:tcW w:w="601" w:type="pct"/>
            <w:tcBorders>
              <w:bottom w:val="single" w:sz="4" w:space="0" w:color="auto"/>
            </w:tcBorders>
            <w:noWrap/>
            <w:hideMark/>
          </w:tcPr>
          <w:p w14:paraId="08B3797D" w14:textId="77777777" w:rsidR="00865C25" w:rsidRPr="00373827" w:rsidRDefault="00865C25" w:rsidP="001A6611">
            <w:pPr>
              <w:pStyle w:val="TableText"/>
              <w:jc w:val="right"/>
            </w:pPr>
            <w:r w:rsidRPr="009D31F8">
              <w:t>$198.72</w:t>
            </w:r>
          </w:p>
        </w:tc>
      </w:tr>
      <w:tr w:rsidR="00865C25" w:rsidRPr="00373827" w14:paraId="76AC174A" w14:textId="77777777" w:rsidTr="001A6611">
        <w:trPr>
          <w:trHeight w:val="300"/>
        </w:trPr>
        <w:tc>
          <w:tcPr>
            <w:tcW w:w="5000" w:type="pct"/>
            <w:gridSpan w:val="4"/>
            <w:tcBorders>
              <w:bottom w:val="single" w:sz="4" w:space="0" w:color="auto"/>
            </w:tcBorders>
            <w:noWrap/>
            <w:hideMark/>
          </w:tcPr>
          <w:p w14:paraId="3ED8EE5C" w14:textId="77777777" w:rsidR="00865C25" w:rsidRDefault="00865C25" w:rsidP="001A6611">
            <w:pPr>
              <w:pStyle w:val="TableText"/>
              <w:keepNext/>
              <w:rPr>
                <w:b/>
              </w:rPr>
            </w:pPr>
            <w:r>
              <w:rPr>
                <w:b/>
              </w:rPr>
              <w:t xml:space="preserve">Step 3: </w:t>
            </w:r>
            <w:r w:rsidRPr="00373827">
              <w:rPr>
                <w:b/>
              </w:rPr>
              <w:t xml:space="preserve">Incorporate </w:t>
            </w:r>
            <w:r>
              <w:rPr>
                <w:b/>
              </w:rPr>
              <w:t>differences in</w:t>
            </w:r>
            <w:r w:rsidRPr="00373827">
              <w:rPr>
                <w:b/>
              </w:rPr>
              <w:t xml:space="preserve"> test success</w:t>
            </w:r>
            <w:r>
              <w:rPr>
                <w:b/>
              </w:rPr>
              <w:t xml:space="preserve"> across model arms</w:t>
            </w:r>
          </w:p>
          <w:p w14:paraId="233D0316" w14:textId="77777777" w:rsidR="00865C25" w:rsidRPr="00373827" w:rsidRDefault="00865C25" w:rsidP="001A6611">
            <w:pPr>
              <w:pStyle w:val="TableText"/>
              <w:keepNext/>
              <w:rPr>
                <w:b/>
              </w:rPr>
            </w:pPr>
            <w:r>
              <w:t xml:space="preserve">Sufficient sample is available for testing in 97.2% of patients tested with small gene panels, compared to 94.6% with single gene testing, based on </w:t>
            </w:r>
            <w:proofErr w:type="spellStart"/>
            <w:r>
              <w:t>Steeghs</w:t>
            </w:r>
            <w:proofErr w:type="spellEnd"/>
            <w:r>
              <w:t xml:space="preserve"> et al. (</w:t>
            </w:r>
            <w:proofErr w:type="gramStart"/>
            <w:r>
              <w:t>2022)</w:t>
            </w:r>
            <w:r w:rsidRPr="00EF55F9">
              <w:rPr>
                <w:vertAlign w:val="superscript"/>
              </w:rPr>
              <w:t>a</w:t>
            </w:r>
            <w:proofErr w:type="gramEnd"/>
            <w:r>
              <w:t xml:space="preserve"> (Section 10). As proposed testing can only be claimed once per episode of disease and cannot be claimed in addition to single gene items, where testing is not successful due to insufficient sample, no cost of testing is assumed to apply in either model arm.</w:t>
            </w:r>
          </w:p>
        </w:tc>
      </w:tr>
      <w:tr w:rsidR="00865C25" w:rsidRPr="00373827" w14:paraId="786E1245" w14:textId="77777777" w:rsidTr="001A6611">
        <w:trPr>
          <w:trHeight w:val="300"/>
        </w:trPr>
        <w:tc>
          <w:tcPr>
            <w:tcW w:w="3062" w:type="pct"/>
            <w:tcBorders>
              <w:bottom w:val="nil"/>
            </w:tcBorders>
            <w:noWrap/>
            <w:hideMark/>
          </w:tcPr>
          <w:p w14:paraId="430669D8" w14:textId="77777777" w:rsidR="00865C25" w:rsidRPr="00373827" w:rsidRDefault="00865C25" w:rsidP="001A6611">
            <w:pPr>
              <w:pStyle w:val="TableText"/>
              <w:keepNext/>
            </w:pPr>
            <w:r w:rsidRPr="00373827">
              <w:t>Total cost</w:t>
            </w:r>
          </w:p>
        </w:tc>
        <w:tc>
          <w:tcPr>
            <w:tcW w:w="668" w:type="pct"/>
            <w:tcBorders>
              <w:bottom w:val="nil"/>
            </w:tcBorders>
            <w:noWrap/>
            <w:hideMark/>
          </w:tcPr>
          <w:p w14:paraId="681755F6" w14:textId="77777777" w:rsidR="00865C25" w:rsidRPr="00373827" w:rsidRDefault="00865C25" w:rsidP="001A6611">
            <w:pPr>
              <w:pStyle w:val="TableText"/>
              <w:keepNext/>
              <w:jc w:val="right"/>
            </w:pPr>
            <w:r w:rsidRPr="009D31F8">
              <w:t>$1,062.82</w:t>
            </w:r>
          </w:p>
        </w:tc>
        <w:tc>
          <w:tcPr>
            <w:tcW w:w="669" w:type="pct"/>
            <w:tcBorders>
              <w:bottom w:val="nil"/>
            </w:tcBorders>
            <w:noWrap/>
            <w:hideMark/>
          </w:tcPr>
          <w:p w14:paraId="6249BE0B" w14:textId="77777777" w:rsidR="00865C25" w:rsidRPr="00373827" w:rsidRDefault="00865C25" w:rsidP="001A6611">
            <w:pPr>
              <w:pStyle w:val="TableText"/>
              <w:keepNext/>
              <w:jc w:val="right"/>
            </w:pPr>
            <w:r w:rsidRPr="009D31F8">
              <w:t>$846.40</w:t>
            </w:r>
          </w:p>
        </w:tc>
        <w:tc>
          <w:tcPr>
            <w:tcW w:w="601" w:type="pct"/>
            <w:tcBorders>
              <w:bottom w:val="nil"/>
            </w:tcBorders>
            <w:noWrap/>
            <w:hideMark/>
          </w:tcPr>
          <w:p w14:paraId="420C999E" w14:textId="77777777" w:rsidR="00865C25" w:rsidRPr="00373827" w:rsidRDefault="00865C25" w:rsidP="001A6611">
            <w:pPr>
              <w:pStyle w:val="TableText"/>
              <w:keepNext/>
              <w:jc w:val="right"/>
            </w:pPr>
            <w:r w:rsidRPr="009D31F8">
              <w:t>$216.42</w:t>
            </w:r>
          </w:p>
        </w:tc>
      </w:tr>
      <w:tr w:rsidR="00865C25" w:rsidRPr="00373827" w14:paraId="4CAA731F" w14:textId="77777777" w:rsidTr="001A6611">
        <w:trPr>
          <w:trHeight w:val="300"/>
        </w:trPr>
        <w:tc>
          <w:tcPr>
            <w:tcW w:w="3062" w:type="pct"/>
            <w:tcBorders>
              <w:top w:val="nil"/>
              <w:bottom w:val="single" w:sz="4" w:space="0" w:color="auto"/>
            </w:tcBorders>
            <w:noWrap/>
            <w:hideMark/>
          </w:tcPr>
          <w:p w14:paraId="31BFD309" w14:textId="77777777" w:rsidR="00865C25" w:rsidRPr="00594BF4" w:rsidRDefault="00865C25" w:rsidP="001A6611">
            <w:pPr>
              <w:pStyle w:val="TableText"/>
              <w:keepNext/>
            </w:pPr>
            <w:r w:rsidRPr="00373827">
              <w:t xml:space="preserve">Proportion with an actionable variant </w:t>
            </w:r>
            <w:proofErr w:type="spellStart"/>
            <w:r w:rsidRPr="00373827">
              <w:t>identified</w:t>
            </w:r>
            <w:r>
              <w:rPr>
                <w:vertAlign w:val="superscript"/>
              </w:rPr>
              <w:t>b</w:t>
            </w:r>
            <w:proofErr w:type="spellEnd"/>
          </w:p>
        </w:tc>
        <w:tc>
          <w:tcPr>
            <w:tcW w:w="668" w:type="pct"/>
            <w:tcBorders>
              <w:top w:val="nil"/>
              <w:bottom w:val="single" w:sz="4" w:space="0" w:color="auto"/>
            </w:tcBorders>
            <w:noWrap/>
            <w:hideMark/>
          </w:tcPr>
          <w:p w14:paraId="270FBE63" w14:textId="77777777" w:rsidR="00865C25" w:rsidRPr="00373827" w:rsidRDefault="00865C25" w:rsidP="001A6611">
            <w:pPr>
              <w:pStyle w:val="TableText"/>
              <w:keepNext/>
              <w:jc w:val="right"/>
            </w:pPr>
            <w:r w:rsidRPr="009D31F8">
              <w:t>0.2256</w:t>
            </w:r>
          </w:p>
        </w:tc>
        <w:tc>
          <w:tcPr>
            <w:tcW w:w="669" w:type="pct"/>
            <w:tcBorders>
              <w:top w:val="nil"/>
              <w:bottom w:val="single" w:sz="4" w:space="0" w:color="auto"/>
            </w:tcBorders>
            <w:noWrap/>
            <w:hideMark/>
          </w:tcPr>
          <w:p w14:paraId="2207A5B2" w14:textId="77777777" w:rsidR="00865C25" w:rsidRPr="00373827" w:rsidRDefault="00865C25" w:rsidP="001A6611">
            <w:pPr>
              <w:pStyle w:val="TableText"/>
              <w:keepNext/>
              <w:jc w:val="right"/>
            </w:pPr>
            <w:r w:rsidRPr="009D31F8">
              <w:t>0.2196</w:t>
            </w:r>
          </w:p>
        </w:tc>
        <w:tc>
          <w:tcPr>
            <w:tcW w:w="601" w:type="pct"/>
            <w:tcBorders>
              <w:top w:val="nil"/>
            </w:tcBorders>
            <w:noWrap/>
            <w:hideMark/>
          </w:tcPr>
          <w:p w14:paraId="1A6C6D51" w14:textId="77777777" w:rsidR="00865C25" w:rsidRPr="00373827" w:rsidRDefault="00865C25" w:rsidP="001A6611">
            <w:pPr>
              <w:pStyle w:val="TableText"/>
              <w:keepNext/>
              <w:jc w:val="right"/>
            </w:pPr>
            <w:r w:rsidRPr="009D31F8">
              <w:t>0.0060</w:t>
            </w:r>
          </w:p>
        </w:tc>
      </w:tr>
      <w:tr w:rsidR="00865C25" w:rsidRPr="00373827" w14:paraId="60826ED6" w14:textId="77777777" w:rsidTr="001A6611">
        <w:trPr>
          <w:trHeight w:val="300"/>
        </w:trPr>
        <w:tc>
          <w:tcPr>
            <w:tcW w:w="3062" w:type="pct"/>
            <w:tcBorders>
              <w:bottom w:val="single" w:sz="4" w:space="0" w:color="auto"/>
              <w:right w:val="nil"/>
            </w:tcBorders>
            <w:noWrap/>
            <w:hideMark/>
          </w:tcPr>
          <w:p w14:paraId="420F5D07" w14:textId="77777777" w:rsidR="00865C25" w:rsidRPr="00373827" w:rsidRDefault="00865C25" w:rsidP="001A6611">
            <w:pPr>
              <w:pStyle w:val="TableText"/>
              <w:rPr>
                <w:b/>
              </w:rPr>
            </w:pPr>
            <w:r w:rsidRPr="00373827">
              <w:rPr>
                <w:b/>
              </w:rPr>
              <w:t>ICER per additional patient with an actionable variant identified</w:t>
            </w:r>
          </w:p>
        </w:tc>
        <w:tc>
          <w:tcPr>
            <w:tcW w:w="668" w:type="pct"/>
            <w:tcBorders>
              <w:left w:val="nil"/>
              <w:bottom w:val="single" w:sz="4" w:space="0" w:color="auto"/>
              <w:right w:val="nil"/>
            </w:tcBorders>
            <w:noWrap/>
            <w:hideMark/>
          </w:tcPr>
          <w:p w14:paraId="6270BD8B" w14:textId="77777777" w:rsidR="00865C25" w:rsidRPr="00373827" w:rsidRDefault="00865C25" w:rsidP="001A6611">
            <w:pPr>
              <w:pStyle w:val="TableText"/>
              <w:jc w:val="right"/>
              <w:rPr>
                <w:b/>
              </w:rPr>
            </w:pPr>
          </w:p>
        </w:tc>
        <w:tc>
          <w:tcPr>
            <w:tcW w:w="669" w:type="pct"/>
            <w:tcBorders>
              <w:left w:val="nil"/>
              <w:bottom w:val="single" w:sz="4" w:space="0" w:color="auto"/>
            </w:tcBorders>
            <w:noWrap/>
            <w:hideMark/>
          </w:tcPr>
          <w:p w14:paraId="1A245BD5" w14:textId="77777777" w:rsidR="00865C25" w:rsidRPr="00373827" w:rsidRDefault="00865C25" w:rsidP="001A6611">
            <w:pPr>
              <w:pStyle w:val="TableText"/>
              <w:jc w:val="right"/>
              <w:rPr>
                <w:b/>
              </w:rPr>
            </w:pPr>
          </w:p>
        </w:tc>
        <w:tc>
          <w:tcPr>
            <w:tcW w:w="601" w:type="pct"/>
            <w:tcBorders>
              <w:bottom w:val="single" w:sz="4" w:space="0" w:color="auto"/>
            </w:tcBorders>
            <w:noWrap/>
            <w:hideMark/>
          </w:tcPr>
          <w:p w14:paraId="7FE3C827" w14:textId="77777777" w:rsidR="00865C25" w:rsidRPr="00F11286" w:rsidRDefault="00865C25" w:rsidP="001A6611">
            <w:pPr>
              <w:pStyle w:val="TableText"/>
              <w:jc w:val="right"/>
              <w:rPr>
                <w:b/>
              </w:rPr>
            </w:pPr>
            <w:r w:rsidRPr="00F11286">
              <w:rPr>
                <w:b/>
              </w:rPr>
              <w:t>$35,862</w:t>
            </w:r>
          </w:p>
        </w:tc>
      </w:tr>
      <w:tr w:rsidR="00865C25" w:rsidRPr="00373827" w14:paraId="59D60FE6" w14:textId="77777777" w:rsidTr="001A6611">
        <w:trPr>
          <w:trHeight w:val="300"/>
        </w:trPr>
        <w:tc>
          <w:tcPr>
            <w:tcW w:w="5000" w:type="pct"/>
            <w:gridSpan w:val="4"/>
            <w:tcBorders>
              <w:bottom w:val="single" w:sz="4" w:space="0" w:color="auto"/>
            </w:tcBorders>
            <w:noWrap/>
            <w:hideMark/>
          </w:tcPr>
          <w:p w14:paraId="06E2EC86" w14:textId="77777777" w:rsidR="00865C25" w:rsidRDefault="00865C25" w:rsidP="001A6611">
            <w:pPr>
              <w:pStyle w:val="TableText"/>
              <w:keepNext/>
              <w:rPr>
                <w:b/>
              </w:rPr>
            </w:pPr>
            <w:r>
              <w:rPr>
                <w:b/>
              </w:rPr>
              <w:t>Step 4: I</w:t>
            </w:r>
            <w:r w:rsidRPr="00373827">
              <w:rPr>
                <w:b/>
              </w:rPr>
              <w:t>ncorporate difference</w:t>
            </w:r>
            <w:r>
              <w:rPr>
                <w:b/>
              </w:rPr>
              <w:t>s</w:t>
            </w:r>
            <w:r w:rsidRPr="00373827">
              <w:rPr>
                <w:b/>
              </w:rPr>
              <w:t xml:space="preserve"> in yield</w:t>
            </w:r>
            <w:r>
              <w:rPr>
                <w:b/>
              </w:rPr>
              <w:t xml:space="preserve"> across model arms</w:t>
            </w:r>
          </w:p>
          <w:p w14:paraId="4A988FEB" w14:textId="77777777" w:rsidR="00865C25" w:rsidRPr="00373827" w:rsidRDefault="00865C25" w:rsidP="001A6611">
            <w:pPr>
              <w:pStyle w:val="TableText"/>
              <w:keepNext/>
              <w:rPr>
                <w:b/>
              </w:rPr>
            </w:pPr>
            <w:r>
              <w:t>Concordance data of small gene panel testing, relative to the respective single gene test, is incorporated (</w:t>
            </w:r>
            <w:r>
              <w:fldChar w:fldCharType="begin"/>
            </w:r>
            <w:r>
              <w:instrText xml:space="preserve"> REF _Ref108619549 \h  \* MERGEFORMAT </w:instrText>
            </w:r>
            <w:r>
              <w:fldChar w:fldCharType="separate"/>
            </w:r>
            <w:r>
              <w:t xml:space="preserve">Table </w:t>
            </w:r>
            <w:r>
              <w:rPr>
                <w:noProof/>
              </w:rPr>
              <w:t>6</w:t>
            </w:r>
            <w:r>
              <w:fldChar w:fldCharType="end"/>
            </w:r>
            <w:r>
              <w:t xml:space="preserve">, Section 10). Where PPA &lt; 1, some variants that may have otherwise been identified through single gene testing may be missed, and where NPA &lt; 1 additional </w:t>
            </w:r>
            <w:r w:rsidRPr="00F467E2">
              <w:t>“in scope” and “beyond restriction” variants</w:t>
            </w:r>
            <w:r>
              <w:t xml:space="preserve"> are identified. As the majority of small gene panel testing uses the two-step method, with more variants identified on the small DNA panel, fewer small RNA panels may be required (and so a reduction in small gene panel test cost is observed).</w:t>
            </w:r>
          </w:p>
        </w:tc>
      </w:tr>
      <w:tr w:rsidR="00865C25" w:rsidRPr="00373827" w14:paraId="649A4866" w14:textId="77777777" w:rsidTr="001A6611">
        <w:trPr>
          <w:trHeight w:val="300"/>
        </w:trPr>
        <w:tc>
          <w:tcPr>
            <w:tcW w:w="3062" w:type="pct"/>
            <w:tcBorders>
              <w:bottom w:val="nil"/>
            </w:tcBorders>
            <w:noWrap/>
            <w:hideMark/>
          </w:tcPr>
          <w:p w14:paraId="042CC91E" w14:textId="77777777" w:rsidR="00865C25" w:rsidRPr="00373827" w:rsidRDefault="00865C25" w:rsidP="001A6611">
            <w:pPr>
              <w:pStyle w:val="TableText"/>
              <w:keepNext/>
            </w:pPr>
            <w:r w:rsidRPr="00373827">
              <w:t>Total cost</w:t>
            </w:r>
          </w:p>
        </w:tc>
        <w:tc>
          <w:tcPr>
            <w:tcW w:w="668" w:type="pct"/>
            <w:tcBorders>
              <w:bottom w:val="nil"/>
            </w:tcBorders>
            <w:noWrap/>
            <w:hideMark/>
          </w:tcPr>
          <w:p w14:paraId="452C4037" w14:textId="77777777" w:rsidR="00865C25" w:rsidRPr="00373827" w:rsidRDefault="00865C25" w:rsidP="001A6611">
            <w:pPr>
              <w:pStyle w:val="TableText"/>
              <w:keepNext/>
              <w:jc w:val="right"/>
            </w:pPr>
            <w:r w:rsidRPr="009D31F8">
              <w:t>$1,052.71</w:t>
            </w:r>
          </w:p>
        </w:tc>
        <w:tc>
          <w:tcPr>
            <w:tcW w:w="669" w:type="pct"/>
            <w:tcBorders>
              <w:bottom w:val="nil"/>
            </w:tcBorders>
            <w:noWrap/>
            <w:hideMark/>
          </w:tcPr>
          <w:p w14:paraId="4DA86049" w14:textId="77777777" w:rsidR="00865C25" w:rsidRPr="00373827" w:rsidRDefault="00865C25" w:rsidP="001A6611">
            <w:pPr>
              <w:pStyle w:val="TableText"/>
              <w:keepNext/>
              <w:jc w:val="right"/>
            </w:pPr>
            <w:r w:rsidRPr="009D31F8">
              <w:t>$846.40</w:t>
            </w:r>
          </w:p>
        </w:tc>
        <w:tc>
          <w:tcPr>
            <w:tcW w:w="601" w:type="pct"/>
            <w:tcBorders>
              <w:bottom w:val="nil"/>
            </w:tcBorders>
            <w:noWrap/>
            <w:hideMark/>
          </w:tcPr>
          <w:p w14:paraId="4F82B659" w14:textId="77777777" w:rsidR="00865C25" w:rsidRPr="00373827" w:rsidRDefault="00865C25" w:rsidP="001A6611">
            <w:pPr>
              <w:pStyle w:val="TableText"/>
              <w:keepNext/>
              <w:jc w:val="right"/>
            </w:pPr>
            <w:r w:rsidRPr="009D31F8">
              <w:t>$206.30</w:t>
            </w:r>
          </w:p>
        </w:tc>
      </w:tr>
      <w:tr w:rsidR="00865C25" w:rsidRPr="00373827" w14:paraId="58C483F1" w14:textId="77777777" w:rsidTr="001A6611">
        <w:trPr>
          <w:trHeight w:val="300"/>
        </w:trPr>
        <w:tc>
          <w:tcPr>
            <w:tcW w:w="3062" w:type="pct"/>
            <w:tcBorders>
              <w:top w:val="nil"/>
              <w:bottom w:val="single" w:sz="4" w:space="0" w:color="auto"/>
            </w:tcBorders>
            <w:noWrap/>
            <w:hideMark/>
          </w:tcPr>
          <w:p w14:paraId="0DD8699E" w14:textId="77777777" w:rsidR="00865C25" w:rsidRPr="00373827" w:rsidRDefault="00865C25" w:rsidP="001A6611">
            <w:pPr>
              <w:pStyle w:val="TableText"/>
              <w:keepNext/>
            </w:pPr>
            <w:r w:rsidRPr="00373827">
              <w:t xml:space="preserve">Proportion with an actionable variant </w:t>
            </w:r>
            <w:proofErr w:type="spellStart"/>
            <w:r w:rsidRPr="00373827">
              <w:t>identified</w:t>
            </w:r>
            <w:r>
              <w:rPr>
                <w:vertAlign w:val="superscript"/>
              </w:rPr>
              <w:t>b</w:t>
            </w:r>
            <w:proofErr w:type="spellEnd"/>
          </w:p>
        </w:tc>
        <w:tc>
          <w:tcPr>
            <w:tcW w:w="668" w:type="pct"/>
            <w:tcBorders>
              <w:top w:val="nil"/>
              <w:bottom w:val="single" w:sz="4" w:space="0" w:color="auto"/>
            </w:tcBorders>
            <w:noWrap/>
            <w:hideMark/>
          </w:tcPr>
          <w:p w14:paraId="42588FD7" w14:textId="77777777" w:rsidR="00865C25" w:rsidRPr="00373827" w:rsidRDefault="00865C25" w:rsidP="001A6611">
            <w:pPr>
              <w:pStyle w:val="TableText"/>
              <w:keepNext/>
              <w:jc w:val="right"/>
            </w:pPr>
            <w:r w:rsidRPr="009D31F8">
              <w:t>0.2517</w:t>
            </w:r>
          </w:p>
        </w:tc>
        <w:tc>
          <w:tcPr>
            <w:tcW w:w="669" w:type="pct"/>
            <w:tcBorders>
              <w:top w:val="nil"/>
              <w:bottom w:val="single" w:sz="4" w:space="0" w:color="auto"/>
            </w:tcBorders>
            <w:noWrap/>
            <w:hideMark/>
          </w:tcPr>
          <w:p w14:paraId="5A9302D8" w14:textId="77777777" w:rsidR="00865C25" w:rsidRPr="00373827" w:rsidRDefault="00865C25" w:rsidP="001A6611">
            <w:pPr>
              <w:pStyle w:val="TableText"/>
              <w:keepNext/>
              <w:jc w:val="right"/>
            </w:pPr>
            <w:r w:rsidRPr="009D31F8">
              <w:t>0.2196</w:t>
            </w:r>
          </w:p>
        </w:tc>
        <w:tc>
          <w:tcPr>
            <w:tcW w:w="601" w:type="pct"/>
            <w:tcBorders>
              <w:top w:val="nil"/>
            </w:tcBorders>
            <w:noWrap/>
            <w:hideMark/>
          </w:tcPr>
          <w:p w14:paraId="54E10D35" w14:textId="77777777" w:rsidR="00865C25" w:rsidRPr="00373827" w:rsidRDefault="00865C25" w:rsidP="001A6611">
            <w:pPr>
              <w:pStyle w:val="TableText"/>
              <w:keepNext/>
              <w:jc w:val="right"/>
            </w:pPr>
            <w:r w:rsidRPr="009D31F8">
              <w:t>0.0321</w:t>
            </w:r>
          </w:p>
        </w:tc>
      </w:tr>
      <w:tr w:rsidR="00865C25" w:rsidRPr="00373827" w14:paraId="2BCF5969" w14:textId="77777777" w:rsidTr="001A6611">
        <w:trPr>
          <w:trHeight w:val="300"/>
        </w:trPr>
        <w:tc>
          <w:tcPr>
            <w:tcW w:w="3062" w:type="pct"/>
            <w:tcBorders>
              <w:bottom w:val="single" w:sz="4" w:space="0" w:color="auto"/>
              <w:right w:val="nil"/>
            </w:tcBorders>
            <w:noWrap/>
            <w:hideMark/>
          </w:tcPr>
          <w:p w14:paraId="06069EA7" w14:textId="77777777" w:rsidR="00865C25" w:rsidRPr="00373827" w:rsidRDefault="00865C25" w:rsidP="001A6611">
            <w:pPr>
              <w:pStyle w:val="TableText"/>
              <w:rPr>
                <w:b/>
              </w:rPr>
            </w:pPr>
            <w:r w:rsidRPr="00373827">
              <w:rPr>
                <w:b/>
              </w:rPr>
              <w:t>ICER per additional patient with an actionable variant identified</w:t>
            </w:r>
          </w:p>
        </w:tc>
        <w:tc>
          <w:tcPr>
            <w:tcW w:w="668" w:type="pct"/>
            <w:tcBorders>
              <w:left w:val="nil"/>
              <w:bottom w:val="single" w:sz="4" w:space="0" w:color="auto"/>
              <w:right w:val="nil"/>
            </w:tcBorders>
            <w:noWrap/>
            <w:hideMark/>
          </w:tcPr>
          <w:p w14:paraId="470127F0" w14:textId="77777777" w:rsidR="00865C25" w:rsidRPr="00373827" w:rsidRDefault="00865C25" w:rsidP="001A6611">
            <w:pPr>
              <w:pStyle w:val="TableText"/>
              <w:jc w:val="right"/>
              <w:rPr>
                <w:b/>
              </w:rPr>
            </w:pPr>
          </w:p>
        </w:tc>
        <w:tc>
          <w:tcPr>
            <w:tcW w:w="669" w:type="pct"/>
            <w:tcBorders>
              <w:left w:val="nil"/>
              <w:bottom w:val="single" w:sz="4" w:space="0" w:color="auto"/>
            </w:tcBorders>
            <w:noWrap/>
            <w:hideMark/>
          </w:tcPr>
          <w:p w14:paraId="1265EFAB" w14:textId="77777777" w:rsidR="00865C25" w:rsidRPr="00373827" w:rsidRDefault="00865C25" w:rsidP="001A6611">
            <w:pPr>
              <w:pStyle w:val="TableText"/>
              <w:jc w:val="right"/>
              <w:rPr>
                <w:b/>
              </w:rPr>
            </w:pPr>
          </w:p>
        </w:tc>
        <w:tc>
          <w:tcPr>
            <w:tcW w:w="601" w:type="pct"/>
            <w:tcBorders>
              <w:bottom w:val="single" w:sz="4" w:space="0" w:color="auto"/>
            </w:tcBorders>
            <w:noWrap/>
            <w:hideMark/>
          </w:tcPr>
          <w:p w14:paraId="6BA81F8D" w14:textId="77777777" w:rsidR="00865C25" w:rsidRPr="00F11286" w:rsidRDefault="00865C25" w:rsidP="001A6611">
            <w:pPr>
              <w:pStyle w:val="TableText"/>
              <w:jc w:val="right"/>
              <w:rPr>
                <w:b/>
              </w:rPr>
            </w:pPr>
            <w:r w:rsidRPr="00F11286">
              <w:rPr>
                <w:b/>
              </w:rPr>
              <w:t>$6,425</w:t>
            </w:r>
          </w:p>
        </w:tc>
      </w:tr>
      <w:tr w:rsidR="00865C25" w:rsidRPr="00373827" w14:paraId="34B44BEC" w14:textId="77777777" w:rsidTr="001A6611">
        <w:trPr>
          <w:trHeight w:val="300"/>
        </w:trPr>
        <w:tc>
          <w:tcPr>
            <w:tcW w:w="5000" w:type="pct"/>
            <w:gridSpan w:val="4"/>
            <w:tcBorders>
              <w:bottom w:val="single" w:sz="4" w:space="0" w:color="auto"/>
            </w:tcBorders>
            <w:noWrap/>
            <w:hideMark/>
          </w:tcPr>
          <w:p w14:paraId="4CA5EE48" w14:textId="77777777" w:rsidR="00865C25" w:rsidRDefault="00865C25" w:rsidP="001A6611">
            <w:pPr>
              <w:pStyle w:val="TableText"/>
              <w:keepNext/>
              <w:rPr>
                <w:b/>
              </w:rPr>
            </w:pPr>
            <w:r>
              <w:rPr>
                <w:b/>
              </w:rPr>
              <w:t xml:space="preserve">Step 5: </w:t>
            </w:r>
            <w:r w:rsidRPr="00F11286">
              <w:rPr>
                <w:b/>
              </w:rPr>
              <w:t xml:space="preserve">Adjust </w:t>
            </w:r>
            <w:r w:rsidRPr="00A931C4">
              <w:rPr>
                <w:b/>
                <w:i/>
              </w:rPr>
              <w:t>ALK</w:t>
            </w:r>
            <w:r>
              <w:rPr>
                <w:b/>
              </w:rPr>
              <w:t xml:space="preserve"> </w:t>
            </w:r>
            <w:r w:rsidRPr="00F11286">
              <w:rPr>
                <w:b/>
              </w:rPr>
              <w:t>concordance for comparison to clinical utility standard</w:t>
            </w:r>
          </w:p>
          <w:p w14:paraId="14B31188" w14:textId="77777777" w:rsidR="00865C25" w:rsidRPr="00373827" w:rsidRDefault="00865C25" w:rsidP="001A6611">
            <w:pPr>
              <w:pStyle w:val="TableText"/>
              <w:keepNext/>
              <w:rPr>
                <w:b/>
              </w:rPr>
            </w:pPr>
            <w:r w:rsidRPr="00A931C4">
              <w:t xml:space="preserve">The concordance of small gene panel testing to single gene test methods for </w:t>
            </w:r>
            <w:r w:rsidRPr="009D7665">
              <w:rPr>
                <w:i/>
              </w:rPr>
              <w:t>ALK</w:t>
            </w:r>
            <w:r w:rsidRPr="00A931C4">
              <w:t xml:space="preserve"> in </w:t>
            </w:r>
            <w:r>
              <w:fldChar w:fldCharType="begin"/>
            </w:r>
            <w:r>
              <w:instrText xml:space="preserve"> REF _Ref108619549 \h  \* MERGEFORMAT </w:instrText>
            </w:r>
            <w:r>
              <w:fldChar w:fldCharType="separate"/>
            </w:r>
            <w:r>
              <w:t xml:space="preserve">Table </w:t>
            </w:r>
            <w:r>
              <w:rPr>
                <w:noProof/>
              </w:rPr>
              <w:t>6</w:t>
            </w:r>
            <w:r>
              <w:fldChar w:fldCharType="end"/>
            </w:r>
            <w:r w:rsidRPr="00A931C4">
              <w:t xml:space="preserve"> was based on a c</w:t>
            </w:r>
            <w:r>
              <w:t>omparison of NGS to FISH ± IHC, whereas the</w:t>
            </w:r>
            <w:r w:rsidRPr="00A931C4">
              <w:t xml:space="preserve"> clinical utility standard used in the trials for </w:t>
            </w:r>
            <w:r w:rsidRPr="009D7665">
              <w:rPr>
                <w:i/>
              </w:rPr>
              <w:t>ALK</w:t>
            </w:r>
            <w:r w:rsidRPr="00A931C4">
              <w:t xml:space="preserve"> targeted therapy was FISH</w:t>
            </w:r>
            <w:r>
              <w:t xml:space="preserve"> (≥15% positive cells)</w:t>
            </w:r>
            <w:r w:rsidRPr="00A931C4">
              <w:t>.</w:t>
            </w:r>
            <w:r>
              <w:t xml:space="preserve"> Only one study that compared small gene panel testing to FISH reported using this same definition of positivity (Park and Shim </w:t>
            </w:r>
            <w:proofErr w:type="gramStart"/>
            <w:r>
              <w:t>2020)</w:t>
            </w:r>
            <w:r>
              <w:rPr>
                <w:vertAlign w:val="superscript"/>
              </w:rPr>
              <w:t>c</w:t>
            </w:r>
            <w:r>
              <w:t>.</w:t>
            </w:r>
            <w:proofErr w:type="gramEnd"/>
            <w:r>
              <w:t xml:space="preserve"> PPA of </w:t>
            </w:r>
            <w:r w:rsidRPr="002068C0">
              <w:rPr>
                <w:i/>
              </w:rPr>
              <w:t>ALK</w:t>
            </w:r>
            <w:r>
              <w:t xml:space="preserve"> and </w:t>
            </w:r>
            <w:r w:rsidRPr="002068C0">
              <w:rPr>
                <w:i/>
              </w:rPr>
              <w:t>ROS1</w:t>
            </w:r>
            <w:r>
              <w:t xml:space="preserve"> IHC relative to FISH was also incorporated.</w:t>
            </w:r>
          </w:p>
        </w:tc>
      </w:tr>
      <w:tr w:rsidR="00865C25" w:rsidRPr="00373827" w14:paraId="17C1F0B2" w14:textId="77777777" w:rsidTr="001A6611">
        <w:trPr>
          <w:trHeight w:val="300"/>
        </w:trPr>
        <w:tc>
          <w:tcPr>
            <w:tcW w:w="3062" w:type="pct"/>
            <w:tcBorders>
              <w:bottom w:val="nil"/>
            </w:tcBorders>
            <w:noWrap/>
            <w:hideMark/>
          </w:tcPr>
          <w:p w14:paraId="03D17B73" w14:textId="77777777" w:rsidR="00865C25" w:rsidRPr="00373827" w:rsidRDefault="00865C25" w:rsidP="001A6611">
            <w:pPr>
              <w:pStyle w:val="TableText"/>
              <w:keepNext/>
            </w:pPr>
            <w:r w:rsidRPr="00373827">
              <w:t>Total cost</w:t>
            </w:r>
          </w:p>
        </w:tc>
        <w:tc>
          <w:tcPr>
            <w:tcW w:w="668" w:type="pct"/>
            <w:tcBorders>
              <w:bottom w:val="nil"/>
            </w:tcBorders>
            <w:noWrap/>
            <w:hideMark/>
          </w:tcPr>
          <w:p w14:paraId="16798EAC" w14:textId="77777777" w:rsidR="00865C25" w:rsidRPr="00373827" w:rsidRDefault="00865C25" w:rsidP="001A6611">
            <w:pPr>
              <w:pStyle w:val="TableText"/>
              <w:keepNext/>
              <w:jc w:val="right"/>
            </w:pPr>
            <w:r w:rsidRPr="009D31F8">
              <w:t>$1,052.71</w:t>
            </w:r>
          </w:p>
        </w:tc>
        <w:tc>
          <w:tcPr>
            <w:tcW w:w="669" w:type="pct"/>
            <w:tcBorders>
              <w:bottom w:val="nil"/>
            </w:tcBorders>
            <w:noWrap/>
            <w:hideMark/>
          </w:tcPr>
          <w:p w14:paraId="5063102F" w14:textId="77777777" w:rsidR="00865C25" w:rsidRPr="00373827" w:rsidRDefault="00865C25" w:rsidP="001A6611">
            <w:pPr>
              <w:pStyle w:val="TableText"/>
              <w:keepNext/>
              <w:jc w:val="right"/>
            </w:pPr>
            <w:r w:rsidRPr="009D31F8">
              <w:t>$846.40</w:t>
            </w:r>
          </w:p>
        </w:tc>
        <w:tc>
          <w:tcPr>
            <w:tcW w:w="601" w:type="pct"/>
            <w:tcBorders>
              <w:bottom w:val="nil"/>
            </w:tcBorders>
            <w:noWrap/>
            <w:hideMark/>
          </w:tcPr>
          <w:p w14:paraId="0370C1A8" w14:textId="77777777" w:rsidR="00865C25" w:rsidRPr="00373827" w:rsidRDefault="00865C25" w:rsidP="001A6611">
            <w:pPr>
              <w:pStyle w:val="TableText"/>
              <w:keepNext/>
              <w:jc w:val="right"/>
            </w:pPr>
            <w:r w:rsidRPr="009D31F8">
              <w:t>$206.30</w:t>
            </w:r>
          </w:p>
        </w:tc>
      </w:tr>
      <w:tr w:rsidR="00865C25" w:rsidRPr="00373827" w14:paraId="462C6D5B" w14:textId="77777777" w:rsidTr="001A6611">
        <w:trPr>
          <w:trHeight w:val="300"/>
        </w:trPr>
        <w:tc>
          <w:tcPr>
            <w:tcW w:w="3062" w:type="pct"/>
            <w:tcBorders>
              <w:top w:val="nil"/>
              <w:bottom w:val="single" w:sz="4" w:space="0" w:color="auto"/>
            </w:tcBorders>
            <w:noWrap/>
            <w:hideMark/>
          </w:tcPr>
          <w:p w14:paraId="063BAC04" w14:textId="77777777" w:rsidR="00865C25" w:rsidRPr="00373827" w:rsidRDefault="00865C25" w:rsidP="001A6611">
            <w:pPr>
              <w:pStyle w:val="TableText"/>
              <w:keepNext/>
            </w:pPr>
            <w:r w:rsidRPr="00373827">
              <w:t xml:space="preserve">Proportion with an actionable variant </w:t>
            </w:r>
            <w:proofErr w:type="spellStart"/>
            <w:r w:rsidRPr="00373827">
              <w:t>identified</w:t>
            </w:r>
            <w:r>
              <w:rPr>
                <w:vertAlign w:val="superscript"/>
              </w:rPr>
              <w:t>b</w:t>
            </w:r>
            <w:proofErr w:type="spellEnd"/>
          </w:p>
        </w:tc>
        <w:tc>
          <w:tcPr>
            <w:tcW w:w="668" w:type="pct"/>
            <w:tcBorders>
              <w:top w:val="nil"/>
              <w:bottom w:val="single" w:sz="4" w:space="0" w:color="auto"/>
            </w:tcBorders>
            <w:noWrap/>
          </w:tcPr>
          <w:p w14:paraId="3A42D6A4" w14:textId="77777777" w:rsidR="00865C25" w:rsidRPr="00373827" w:rsidRDefault="00865C25" w:rsidP="001A6611">
            <w:pPr>
              <w:pStyle w:val="TableText"/>
              <w:keepNext/>
              <w:jc w:val="right"/>
            </w:pPr>
            <w:r w:rsidRPr="00637F12">
              <w:t>0.2526</w:t>
            </w:r>
          </w:p>
        </w:tc>
        <w:tc>
          <w:tcPr>
            <w:tcW w:w="669" w:type="pct"/>
            <w:tcBorders>
              <w:top w:val="nil"/>
              <w:bottom w:val="single" w:sz="4" w:space="0" w:color="auto"/>
            </w:tcBorders>
            <w:noWrap/>
          </w:tcPr>
          <w:p w14:paraId="31312C78" w14:textId="77777777" w:rsidR="00865C25" w:rsidRPr="00373827" w:rsidRDefault="00865C25" w:rsidP="001A6611">
            <w:pPr>
              <w:pStyle w:val="TableText"/>
              <w:keepNext/>
              <w:jc w:val="right"/>
            </w:pPr>
            <w:r w:rsidRPr="00637F12">
              <w:t>0.2184</w:t>
            </w:r>
          </w:p>
        </w:tc>
        <w:tc>
          <w:tcPr>
            <w:tcW w:w="601" w:type="pct"/>
            <w:tcBorders>
              <w:top w:val="nil"/>
            </w:tcBorders>
            <w:noWrap/>
          </w:tcPr>
          <w:p w14:paraId="4683B7BB" w14:textId="77777777" w:rsidR="00865C25" w:rsidRPr="00373827" w:rsidRDefault="00865C25" w:rsidP="001A6611">
            <w:pPr>
              <w:pStyle w:val="TableText"/>
              <w:keepNext/>
              <w:jc w:val="right"/>
            </w:pPr>
            <w:r w:rsidRPr="00637F12">
              <w:t>0.0342</w:t>
            </w:r>
          </w:p>
        </w:tc>
      </w:tr>
      <w:tr w:rsidR="00865C25" w:rsidRPr="00373827" w14:paraId="02BA371C" w14:textId="77777777" w:rsidTr="001A6611">
        <w:trPr>
          <w:trHeight w:val="300"/>
        </w:trPr>
        <w:tc>
          <w:tcPr>
            <w:tcW w:w="3062" w:type="pct"/>
            <w:tcBorders>
              <w:bottom w:val="single" w:sz="4" w:space="0" w:color="auto"/>
              <w:right w:val="nil"/>
            </w:tcBorders>
            <w:noWrap/>
            <w:hideMark/>
          </w:tcPr>
          <w:p w14:paraId="316C0F88" w14:textId="77777777" w:rsidR="00865C25" w:rsidRPr="00373827" w:rsidRDefault="00865C25" w:rsidP="001A6611">
            <w:pPr>
              <w:pStyle w:val="TableText"/>
              <w:rPr>
                <w:b/>
              </w:rPr>
            </w:pPr>
            <w:r w:rsidRPr="00373827">
              <w:rPr>
                <w:b/>
              </w:rPr>
              <w:t>ICER per additional patient with an actionable variant identified</w:t>
            </w:r>
          </w:p>
        </w:tc>
        <w:tc>
          <w:tcPr>
            <w:tcW w:w="668" w:type="pct"/>
            <w:tcBorders>
              <w:left w:val="nil"/>
              <w:bottom w:val="single" w:sz="4" w:space="0" w:color="auto"/>
              <w:right w:val="nil"/>
            </w:tcBorders>
            <w:noWrap/>
          </w:tcPr>
          <w:p w14:paraId="199C9539" w14:textId="77777777" w:rsidR="00865C25" w:rsidRPr="00373827" w:rsidRDefault="00865C25" w:rsidP="001A6611">
            <w:pPr>
              <w:pStyle w:val="TableText"/>
              <w:jc w:val="right"/>
              <w:rPr>
                <w:b/>
              </w:rPr>
            </w:pPr>
          </w:p>
        </w:tc>
        <w:tc>
          <w:tcPr>
            <w:tcW w:w="669" w:type="pct"/>
            <w:tcBorders>
              <w:left w:val="nil"/>
              <w:bottom w:val="single" w:sz="4" w:space="0" w:color="auto"/>
            </w:tcBorders>
            <w:noWrap/>
          </w:tcPr>
          <w:p w14:paraId="271563C1" w14:textId="77777777" w:rsidR="00865C25" w:rsidRPr="00373827" w:rsidRDefault="00865C25" w:rsidP="001A6611">
            <w:pPr>
              <w:pStyle w:val="TableText"/>
              <w:jc w:val="right"/>
              <w:rPr>
                <w:b/>
              </w:rPr>
            </w:pPr>
          </w:p>
        </w:tc>
        <w:tc>
          <w:tcPr>
            <w:tcW w:w="601" w:type="pct"/>
            <w:tcBorders>
              <w:bottom w:val="single" w:sz="4" w:space="0" w:color="auto"/>
            </w:tcBorders>
            <w:noWrap/>
          </w:tcPr>
          <w:p w14:paraId="7AA0B7DB" w14:textId="77777777" w:rsidR="00865C25" w:rsidRPr="00152404" w:rsidRDefault="00865C25" w:rsidP="001A6611">
            <w:pPr>
              <w:pStyle w:val="TableText"/>
              <w:jc w:val="right"/>
              <w:rPr>
                <w:b/>
              </w:rPr>
            </w:pPr>
            <w:r w:rsidRPr="00152404">
              <w:rPr>
                <w:b/>
              </w:rPr>
              <w:t>$6,026</w:t>
            </w:r>
          </w:p>
        </w:tc>
      </w:tr>
      <w:tr w:rsidR="00865C25" w:rsidRPr="00373827" w14:paraId="7BE87397" w14:textId="77777777" w:rsidTr="001A6611">
        <w:trPr>
          <w:trHeight w:val="300"/>
        </w:trPr>
        <w:tc>
          <w:tcPr>
            <w:tcW w:w="5000" w:type="pct"/>
            <w:gridSpan w:val="4"/>
            <w:tcBorders>
              <w:bottom w:val="single" w:sz="4" w:space="0" w:color="auto"/>
            </w:tcBorders>
            <w:noWrap/>
            <w:hideMark/>
          </w:tcPr>
          <w:p w14:paraId="3CE0EC0A" w14:textId="77777777" w:rsidR="00865C25" w:rsidRDefault="00865C25" w:rsidP="001A6611">
            <w:pPr>
              <w:pStyle w:val="TableText"/>
              <w:keepNext/>
              <w:rPr>
                <w:b/>
              </w:rPr>
            </w:pPr>
            <w:r>
              <w:rPr>
                <w:b/>
              </w:rPr>
              <w:lastRenderedPageBreak/>
              <w:t>Step 6: A</w:t>
            </w:r>
            <w:r w:rsidRPr="00373827">
              <w:rPr>
                <w:b/>
              </w:rPr>
              <w:t>djust for some IHC ± FISH use with proposed testing</w:t>
            </w:r>
          </w:p>
          <w:p w14:paraId="1BCBFE53" w14:textId="77777777" w:rsidR="00865C25" w:rsidRPr="00373827" w:rsidRDefault="00865C25" w:rsidP="001A6611">
            <w:pPr>
              <w:pStyle w:val="TableText"/>
              <w:keepNext/>
              <w:rPr>
                <w:b/>
              </w:rPr>
            </w:pPr>
            <w:r>
              <w:t xml:space="preserve">The applicant expected that 5−10% of tests would require current testing methods. MSAC have previously considered that small DNA panels are currently being used for </w:t>
            </w:r>
            <w:r w:rsidRPr="009D7665">
              <w:rPr>
                <w:i/>
              </w:rPr>
              <w:t>EGFR</w:t>
            </w:r>
            <w:r>
              <w:t xml:space="preserve"> testing (MSAC 1669 PSD, March 2022 MSAC Meeting) and so this has been assumed to apply to small RNA gene panels only, as RNA panels may have larger sampling requirements. This reduces both the cost of proposed testing </w:t>
            </w:r>
            <w:proofErr w:type="gramStart"/>
            <w:r>
              <w:t>and also</w:t>
            </w:r>
            <w:proofErr w:type="gramEnd"/>
            <w:r>
              <w:t xml:space="preserve"> yield (as additional </w:t>
            </w:r>
            <w:r w:rsidRPr="00F467E2">
              <w:t>“in scope” and “beyond restriction” variants</w:t>
            </w:r>
            <w:r>
              <w:t xml:space="preserve"> would not be identified in this proportion of patients)</w:t>
            </w:r>
          </w:p>
        </w:tc>
      </w:tr>
      <w:tr w:rsidR="00865C25" w:rsidRPr="00373827" w14:paraId="0DF8CD8F" w14:textId="77777777" w:rsidTr="001A6611">
        <w:trPr>
          <w:trHeight w:val="300"/>
        </w:trPr>
        <w:tc>
          <w:tcPr>
            <w:tcW w:w="3062" w:type="pct"/>
            <w:tcBorders>
              <w:bottom w:val="nil"/>
            </w:tcBorders>
            <w:noWrap/>
            <w:hideMark/>
          </w:tcPr>
          <w:p w14:paraId="1FA765F6" w14:textId="77777777" w:rsidR="00865C25" w:rsidRPr="00373827" w:rsidRDefault="00865C25" w:rsidP="001A6611">
            <w:pPr>
              <w:pStyle w:val="TableText"/>
              <w:keepNext/>
            </w:pPr>
            <w:r w:rsidRPr="00373827">
              <w:t>Total cost</w:t>
            </w:r>
          </w:p>
        </w:tc>
        <w:tc>
          <w:tcPr>
            <w:tcW w:w="668" w:type="pct"/>
            <w:tcBorders>
              <w:bottom w:val="nil"/>
            </w:tcBorders>
            <w:noWrap/>
          </w:tcPr>
          <w:p w14:paraId="73FF5CD0" w14:textId="77777777" w:rsidR="00865C25" w:rsidRPr="00373827" w:rsidRDefault="00865C25" w:rsidP="001A6611">
            <w:pPr>
              <w:pStyle w:val="TableText"/>
              <w:keepNext/>
              <w:jc w:val="right"/>
            </w:pPr>
            <w:r w:rsidRPr="00637F12">
              <w:t>$1,035.55</w:t>
            </w:r>
          </w:p>
        </w:tc>
        <w:tc>
          <w:tcPr>
            <w:tcW w:w="669" w:type="pct"/>
            <w:tcBorders>
              <w:bottom w:val="nil"/>
            </w:tcBorders>
            <w:noWrap/>
          </w:tcPr>
          <w:p w14:paraId="26989E96" w14:textId="77777777" w:rsidR="00865C25" w:rsidRPr="00373827" w:rsidRDefault="00865C25" w:rsidP="001A6611">
            <w:pPr>
              <w:pStyle w:val="TableText"/>
              <w:keepNext/>
              <w:jc w:val="right"/>
            </w:pPr>
            <w:r w:rsidRPr="00637F12">
              <w:t>$846.40</w:t>
            </w:r>
          </w:p>
        </w:tc>
        <w:tc>
          <w:tcPr>
            <w:tcW w:w="601" w:type="pct"/>
            <w:tcBorders>
              <w:bottom w:val="nil"/>
            </w:tcBorders>
            <w:noWrap/>
          </w:tcPr>
          <w:p w14:paraId="4808A042" w14:textId="77777777" w:rsidR="00865C25" w:rsidRPr="00373827" w:rsidRDefault="00865C25" w:rsidP="001A6611">
            <w:pPr>
              <w:pStyle w:val="TableText"/>
              <w:keepNext/>
              <w:jc w:val="right"/>
            </w:pPr>
            <w:r w:rsidRPr="00637F12">
              <w:t>$189.15</w:t>
            </w:r>
          </w:p>
        </w:tc>
      </w:tr>
      <w:tr w:rsidR="00865C25" w:rsidRPr="00373827" w14:paraId="060614CD" w14:textId="77777777" w:rsidTr="001A6611">
        <w:trPr>
          <w:trHeight w:val="300"/>
        </w:trPr>
        <w:tc>
          <w:tcPr>
            <w:tcW w:w="3062" w:type="pct"/>
            <w:tcBorders>
              <w:top w:val="nil"/>
              <w:bottom w:val="single" w:sz="4" w:space="0" w:color="auto"/>
            </w:tcBorders>
            <w:noWrap/>
            <w:hideMark/>
          </w:tcPr>
          <w:p w14:paraId="1CF2A8AA" w14:textId="77777777" w:rsidR="00865C25" w:rsidRPr="00373827" w:rsidRDefault="00865C25" w:rsidP="001A6611">
            <w:pPr>
              <w:pStyle w:val="TableText"/>
              <w:keepNext/>
            </w:pPr>
            <w:r w:rsidRPr="00373827">
              <w:t xml:space="preserve">Proportion with an actionable variant </w:t>
            </w:r>
            <w:proofErr w:type="spellStart"/>
            <w:r w:rsidRPr="00373827">
              <w:t>identified</w:t>
            </w:r>
            <w:r>
              <w:rPr>
                <w:vertAlign w:val="superscript"/>
              </w:rPr>
              <w:t>b</w:t>
            </w:r>
            <w:proofErr w:type="spellEnd"/>
          </w:p>
        </w:tc>
        <w:tc>
          <w:tcPr>
            <w:tcW w:w="668" w:type="pct"/>
            <w:tcBorders>
              <w:top w:val="nil"/>
              <w:bottom w:val="single" w:sz="4" w:space="0" w:color="auto"/>
            </w:tcBorders>
            <w:noWrap/>
          </w:tcPr>
          <w:p w14:paraId="243D40B3" w14:textId="77777777" w:rsidR="00865C25" w:rsidRPr="00373827" w:rsidRDefault="00865C25" w:rsidP="001A6611">
            <w:pPr>
              <w:pStyle w:val="TableText"/>
              <w:keepNext/>
              <w:jc w:val="right"/>
            </w:pPr>
            <w:r w:rsidRPr="00637F12">
              <w:t>0.2523</w:t>
            </w:r>
          </w:p>
        </w:tc>
        <w:tc>
          <w:tcPr>
            <w:tcW w:w="669" w:type="pct"/>
            <w:tcBorders>
              <w:top w:val="nil"/>
              <w:bottom w:val="single" w:sz="4" w:space="0" w:color="auto"/>
            </w:tcBorders>
            <w:noWrap/>
          </w:tcPr>
          <w:p w14:paraId="5CE7DCAE" w14:textId="77777777" w:rsidR="00865C25" w:rsidRPr="00373827" w:rsidRDefault="00865C25" w:rsidP="001A6611">
            <w:pPr>
              <w:pStyle w:val="TableText"/>
              <w:keepNext/>
              <w:jc w:val="right"/>
            </w:pPr>
            <w:r w:rsidRPr="00637F12">
              <w:t>0.2184</w:t>
            </w:r>
          </w:p>
        </w:tc>
        <w:tc>
          <w:tcPr>
            <w:tcW w:w="601" w:type="pct"/>
            <w:tcBorders>
              <w:top w:val="nil"/>
            </w:tcBorders>
            <w:noWrap/>
          </w:tcPr>
          <w:p w14:paraId="4609EE41" w14:textId="77777777" w:rsidR="00865C25" w:rsidRPr="00373827" w:rsidRDefault="00865C25" w:rsidP="001A6611">
            <w:pPr>
              <w:pStyle w:val="TableText"/>
              <w:keepNext/>
              <w:jc w:val="right"/>
            </w:pPr>
            <w:r w:rsidRPr="00637F12">
              <w:t>0.0339</w:t>
            </w:r>
          </w:p>
        </w:tc>
      </w:tr>
      <w:tr w:rsidR="00865C25" w:rsidRPr="00373827" w14:paraId="32D5364D" w14:textId="77777777" w:rsidTr="001A6611">
        <w:trPr>
          <w:trHeight w:val="300"/>
        </w:trPr>
        <w:tc>
          <w:tcPr>
            <w:tcW w:w="3062" w:type="pct"/>
            <w:tcBorders>
              <w:bottom w:val="single" w:sz="4" w:space="0" w:color="auto"/>
              <w:right w:val="nil"/>
            </w:tcBorders>
            <w:noWrap/>
            <w:hideMark/>
          </w:tcPr>
          <w:p w14:paraId="3258A024" w14:textId="77777777" w:rsidR="00865C25" w:rsidRPr="00373827" w:rsidRDefault="00865C25" w:rsidP="001A6611">
            <w:pPr>
              <w:pStyle w:val="TableText"/>
              <w:rPr>
                <w:b/>
              </w:rPr>
            </w:pPr>
            <w:r w:rsidRPr="00373827">
              <w:rPr>
                <w:b/>
              </w:rPr>
              <w:t>ICER per additional patient with an actionable variant identified</w:t>
            </w:r>
          </w:p>
        </w:tc>
        <w:tc>
          <w:tcPr>
            <w:tcW w:w="668" w:type="pct"/>
            <w:tcBorders>
              <w:left w:val="nil"/>
              <w:bottom w:val="single" w:sz="4" w:space="0" w:color="auto"/>
              <w:right w:val="nil"/>
            </w:tcBorders>
            <w:noWrap/>
          </w:tcPr>
          <w:p w14:paraId="0D044A3E" w14:textId="77777777" w:rsidR="00865C25" w:rsidRPr="00373827" w:rsidRDefault="00865C25" w:rsidP="001A6611">
            <w:pPr>
              <w:pStyle w:val="TableText"/>
              <w:jc w:val="right"/>
              <w:rPr>
                <w:b/>
              </w:rPr>
            </w:pPr>
          </w:p>
        </w:tc>
        <w:tc>
          <w:tcPr>
            <w:tcW w:w="669" w:type="pct"/>
            <w:tcBorders>
              <w:left w:val="nil"/>
              <w:bottom w:val="single" w:sz="4" w:space="0" w:color="auto"/>
            </w:tcBorders>
            <w:noWrap/>
          </w:tcPr>
          <w:p w14:paraId="78A0D2BC" w14:textId="77777777" w:rsidR="00865C25" w:rsidRPr="00373827" w:rsidRDefault="00865C25" w:rsidP="001A6611">
            <w:pPr>
              <w:pStyle w:val="TableText"/>
              <w:jc w:val="right"/>
              <w:rPr>
                <w:b/>
              </w:rPr>
            </w:pPr>
          </w:p>
        </w:tc>
        <w:tc>
          <w:tcPr>
            <w:tcW w:w="601" w:type="pct"/>
            <w:tcBorders>
              <w:bottom w:val="single" w:sz="4" w:space="0" w:color="auto"/>
            </w:tcBorders>
            <w:noWrap/>
          </w:tcPr>
          <w:p w14:paraId="4CC16890" w14:textId="77777777" w:rsidR="00865C25" w:rsidRPr="00152404" w:rsidRDefault="00865C25" w:rsidP="001A6611">
            <w:pPr>
              <w:pStyle w:val="TableText"/>
              <w:jc w:val="right"/>
              <w:rPr>
                <w:b/>
              </w:rPr>
            </w:pPr>
            <w:r w:rsidRPr="00152404">
              <w:rPr>
                <w:b/>
              </w:rPr>
              <w:t>$5,582</w:t>
            </w:r>
          </w:p>
        </w:tc>
      </w:tr>
      <w:tr w:rsidR="00865C25" w:rsidRPr="00373827" w14:paraId="636362C4" w14:textId="77777777" w:rsidTr="001A6611">
        <w:trPr>
          <w:trHeight w:val="300"/>
        </w:trPr>
        <w:tc>
          <w:tcPr>
            <w:tcW w:w="5000" w:type="pct"/>
            <w:gridSpan w:val="4"/>
            <w:tcBorders>
              <w:bottom w:val="single" w:sz="4" w:space="0" w:color="auto"/>
            </w:tcBorders>
            <w:noWrap/>
            <w:hideMark/>
          </w:tcPr>
          <w:p w14:paraId="38910795" w14:textId="77777777" w:rsidR="00865C25" w:rsidRDefault="00865C25" w:rsidP="001A6611">
            <w:pPr>
              <w:pStyle w:val="TableText"/>
              <w:keepNext/>
              <w:rPr>
                <w:b/>
              </w:rPr>
            </w:pPr>
            <w:r>
              <w:rPr>
                <w:b/>
              </w:rPr>
              <w:t>Step 7: Incorporate</w:t>
            </w:r>
            <w:r w:rsidRPr="00373827">
              <w:rPr>
                <w:b/>
              </w:rPr>
              <w:t xml:space="preserve"> patients with early disease who do not progress</w:t>
            </w:r>
          </w:p>
          <w:p w14:paraId="2EDCB047" w14:textId="77777777" w:rsidR="00865C25" w:rsidRPr="00373827" w:rsidRDefault="00865C25" w:rsidP="001A6611">
            <w:pPr>
              <w:pStyle w:val="TableText"/>
              <w:keepNext/>
              <w:rPr>
                <w:b/>
              </w:rPr>
            </w:pPr>
            <w:r>
              <w:t xml:space="preserve">Small gene panel testing is proposed to occur on diagnosis of non-squamous or NOS NSCLC. While current </w:t>
            </w:r>
            <w:r w:rsidRPr="009D7665">
              <w:rPr>
                <w:i/>
              </w:rPr>
              <w:t xml:space="preserve">EGFR </w:t>
            </w:r>
            <w:r>
              <w:t xml:space="preserve">and </w:t>
            </w:r>
            <w:r w:rsidRPr="00956452">
              <w:t>ALK</w:t>
            </w:r>
            <w:r w:rsidRPr="009D7665">
              <w:rPr>
                <w:i/>
              </w:rPr>
              <w:t xml:space="preserve"> </w:t>
            </w:r>
            <w:r>
              <w:t xml:space="preserve">and </w:t>
            </w:r>
            <w:r w:rsidRPr="00956452">
              <w:t>ROS1</w:t>
            </w:r>
            <w:r w:rsidRPr="009D7665">
              <w:rPr>
                <w:i/>
              </w:rPr>
              <w:t xml:space="preserve"> </w:t>
            </w:r>
            <w:r>
              <w:t xml:space="preserve">IHC testing also occur at diagnosis, </w:t>
            </w:r>
            <w:r w:rsidRPr="009D7665">
              <w:rPr>
                <w:i/>
              </w:rPr>
              <w:t xml:space="preserve">ALK </w:t>
            </w:r>
            <w:r>
              <w:t xml:space="preserve">and </w:t>
            </w:r>
            <w:r w:rsidRPr="009D7665">
              <w:rPr>
                <w:i/>
              </w:rPr>
              <w:t xml:space="preserve">ROS1 </w:t>
            </w:r>
            <w:r>
              <w:t xml:space="preserve">FISH and proposed </w:t>
            </w:r>
            <w:r w:rsidRPr="009D7665">
              <w:rPr>
                <w:i/>
              </w:rPr>
              <w:t>MET</w:t>
            </w:r>
            <w:r>
              <w:t xml:space="preserve">ex14sk testing do not occur until the development of advanced disease. The analysis therefore has been adjusted to reflect that not all patients who receive small gene panel testing would develop advanced disease (and so would not be eligible for targeted therapy, currently available only in the advanced setting). </w:t>
            </w:r>
          </w:p>
        </w:tc>
      </w:tr>
      <w:tr w:rsidR="00865C25" w:rsidRPr="00373827" w14:paraId="091B868D" w14:textId="77777777" w:rsidTr="001A6611">
        <w:trPr>
          <w:trHeight w:val="300"/>
        </w:trPr>
        <w:tc>
          <w:tcPr>
            <w:tcW w:w="3062" w:type="pct"/>
            <w:tcBorders>
              <w:bottom w:val="nil"/>
            </w:tcBorders>
            <w:noWrap/>
            <w:hideMark/>
          </w:tcPr>
          <w:p w14:paraId="76D0E446" w14:textId="77777777" w:rsidR="00865C25" w:rsidRPr="00373827" w:rsidRDefault="00865C25" w:rsidP="001A6611">
            <w:pPr>
              <w:pStyle w:val="TableText"/>
              <w:keepNext/>
            </w:pPr>
            <w:r w:rsidRPr="00373827">
              <w:t>Total cost</w:t>
            </w:r>
          </w:p>
        </w:tc>
        <w:tc>
          <w:tcPr>
            <w:tcW w:w="668" w:type="pct"/>
            <w:tcBorders>
              <w:bottom w:val="nil"/>
            </w:tcBorders>
            <w:noWrap/>
          </w:tcPr>
          <w:p w14:paraId="46D240EC" w14:textId="77777777" w:rsidR="00865C25" w:rsidRPr="00373827" w:rsidRDefault="00865C25" w:rsidP="001A6611">
            <w:pPr>
              <w:pStyle w:val="TableText"/>
              <w:keepNext/>
              <w:jc w:val="right"/>
            </w:pPr>
            <w:r w:rsidRPr="00637F12">
              <w:t>$1,035.54</w:t>
            </w:r>
          </w:p>
        </w:tc>
        <w:tc>
          <w:tcPr>
            <w:tcW w:w="669" w:type="pct"/>
            <w:tcBorders>
              <w:bottom w:val="nil"/>
            </w:tcBorders>
            <w:noWrap/>
          </w:tcPr>
          <w:p w14:paraId="0B11825E" w14:textId="77777777" w:rsidR="00865C25" w:rsidRPr="00373827" w:rsidRDefault="00865C25" w:rsidP="001A6611">
            <w:pPr>
              <w:pStyle w:val="TableText"/>
              <w:keepNext/>
              <w:jc w:val="right"/>
            </w:pPr>
            <w:r w:rsidRPr="00637F12">
              <w:t>$743.77</w:t>
            </w:r>
          </w:p>
        </w:tc>
        <w:tc>
          <w:tcPr>
            <w:tcW w:w="601" w:type="pct"/>
            <w:tcBorders>
              <w:bottom w:val="nil"/>
            </w:tcBorders>
            <w:noWrap/>
          </w:tcPr>
          <w:p w14:paraId="39C30174" w14:textId="77777777" w:rsidR="00865C25" w:rsidRPr="00373827" w:rsidRDefault="00865C25" w:rsidP="001A6611">
            <w:pPr>
              <w:pStyle w:val="TableText"/>
              <w:keepNext/>
              <w:jc w:val="right"/>
            </w:pPr>
            <w:r w:rsidRPr="00637F12">
              <w:t>$291.76</w:t>
            </w:r>
          </w:p>
        </w:tc>
      </w:tr>
      <w:tr w:rsidR="00865C25" w:rsidRPr="00373827" w14:paraId="35AD4656" w14:textId="77777777" w:rsidTr="001A6611">
        <w:trPr>
          <w:trHeight w:val="300"/>
        </w:trPr>
        <w:tc>
          <w:tcPr>
            <w:tcW w:w="3062" w:type="pct"/>
            <w:tcBorders>
              <w:top w:val="nil"/>
              <w:bottom w:val="nil"/>
            </w:tcBorders>
            <w:noWrap/>
            <w:hideMark/>
          </w:tcPr>
          <w:p w14:paraId="000586AC" w14:textId="77777777" w:rsidR="00865C25" w:rsidRPr="00373827" w:rsidRDefault="00865C25" w:rsidP="001A6611">
            <w:pPr>
              <w:pStyle w:val="TableText"/>
              <w:keepNext/>
            </w:pPr>
            <w:r w:rsidRPr="00373827">
              <w:t>Proportion eligible for targeted therapy</w:t>
            </w:r>
          </w:p>
        </w:tc>
        <w:tc>
          <w:tcPr>
            <w:tcW w:w="668" w:type="pct"/>
            <w:tcBorders>
              <w:top w:val="nil"/>
              <w:bottom w:val="nil"/>
            </w:tcBorders>
            <w:noWrap/>
          </w:tcPr>
          <w:p w14:paraId="6F0C37D8" w14:textId="77777777" w:rsidR="00865C25" w:rsidRPr="00373827" w:rsidRDefault="00865C25" w:rsidP="001A6611">
            <w:pPr>
              <w:pStyle w:val="TableText"/>
              <w:keepNext/>
              <w:jc w:val="right"/>
            </w:pPr>
            <w:r w:rsidRPr="00637F12">
              <w:t>0.1913</w:t>
            </w:r>
          </w:p>
        </w:tc>
        <w:tc>
          <w:tcPr>
            <w:tcW w:w="669" w:type="pct"/>
            <w:tcBorders>
              <w:top w:val="nil"/>
              <w:bottom w:val="nil"/>
            </w:tcBorders>
            <w:noWrap/>
          </w:tcPr>
          <w:p w14:paraId="42C73EA0" w14:textId="77777777" w:rsidR="00865C25" w:rsidRPr="00373827" w:rsidRDefault="00865C25" w:rsidP="001A6611">
            <w:pPr>
              <w:pStyle w:val="TableText"/>
              <w:keepNext/>
              <w:jc w:val="right"/>
            </w:pPr>
            <w:r w:rsidRPr="00637F12">
              <w:t>0.1656</w:t>
            </w:r>
          </w:p>
        </w:tc>
        <w:tc>
          <w:tcPr>
            <w:tcW w:w="601" w:type="pct"/>
            <w:tcBorders>
              <w:top w:val="nil"/>
              <w:bottom w:val="nil"/>
            </w:tcBorders>
            <w:noWrap/>
          </w:tcPr>
          <w:p w14:paraId="70BA49C7" w14:textId="77777777" w:rsidR="00865C25" w:rsidRPr="00373827" w:rsidRDefault="00865C25" w:rsidP="001A6611">
            <w:pPr>
              <w:pStyle w:val="TableText"/>
              <w:keepNext/>
              <w:jc w:val="right"/>
            </w:pPr>
            <w:r w:rsidRPr="00637F12">
              <w:t>0.0257</w:t>
            </w:r>
          </w:p>
        </w:tc>
      </w:tr>
      <w:tr w:rsidR="00865C25" w:rsidRPr="00373827" w14:paraId="5C310EBE" w14:textId="77777777" w:rsidTr="001A6611">
        <w:trPr>
          <w:trHeight w:val="300"/>
        </w:trPr>
        <w:tc>
          <w:tcPr>
            <w:tcW w:w="3062" w:type="pct"/>
            <w:tcBorders>
              <w:bottom w:val="single" w:sz="4" w:space="0" w:color="auto"/>
              <w:right w:val="nil"/>
            </w:tcBorders>
            <w:noWrap/>
            <w:hideMark/>
          </w:tcPr>
          <w:p w14:paraId="53703293" w14:textId="77777777" w:rsidR="00865C25" w:rsidRPr="00373827" w:rsidRDefault="00865C25" w:rsidP="001A6611">
            <w:pPr>
              <w:pStyle w:val="TableText"/>
              <w:rPr>
                <w:b/>
              </w:rPr>
            </w:pPr>
            <w:r w:rsidRPr="00373827">
              <w:rPr>
                <w:b/>
              </w:rPr>
              <w:t>ICER per additional patient eligible for targeted therapy</w:t>
            </w:r>
          </w:p>
        </w:tc>
        <w:tc>
          <w:tcPr>
            <w:tcW w:w="668" w:type="pct"/>
            <w:tcBorders>
              <w:left w:val="nil"/>
              <w:bottom w:val="single" w:sz="4" w:space="0" w:color="auto"/>
              <w:right w:val="nil"/>
            </w:tcBorders>
            <w:noWrap/>
          </w:tcPr>
          <w:p w14:paraId="1251095F" w14:textId="77777777" w:rsidR="00865C25" w:rsidRPr="00373827" w:rsidRDefault="00865C25" w:rsidP="001A6611">
            <w:pPr>
              <w:pStyle w:val="TableText"/>
              <w:jc w:val="right"/>
              <w:rPr>
                <w:b/>
              </w:rPr>
            </w:pPr>
          </w:p>
        </w:tc>
        <w:tc>
          <w:tcPr>
            <w:tcW w:w="669" w:type="pct"/>
            <w:tcBorders>
              <w:left w:val="nil"/>
              <w:bottom w:val="single" w:sz="4" w:space="0" w:color="auto"/>
            </w:tcBorders>
            <w:noWrap/>
          </w:tcPr>
          <w:p w14:paraId="49E13E6E" w14:textId="77777777" w:rsidR="00865C25" w:rsidRPr="00373827" w:rsidRDefault="00865C25" w:rsidP="001A6611">
            <w:pPr>
              <w:pStyle w:val="TableText"/>
              <w:jc w:val="right"/>
              <w:rPr>
                <w:b/>
              </w:rPr>
            </w:pPr>
          </w:p>
        </w:tc>
        <w:tc>
          <w:tcPr>
            <w:tcW w:w="601" w:type="pct"/>
            <w:tcBorders>
              <w:bottom w:val="single" w:sz="4" w:space="0" w:color="auto"/>
            </w:tcBorders>
            <w:noWrap/>
          </w:tcPr>
          <w:p w14:paraId="6124CF49" w14:textId="77777777" w:rsidR="00865C25" w:rsidRPr="00152404" w:rsidRDefault="00865C25" w:rsidP="001A6611">
            <w:pPr>
              <w:pStyle w:val="TableText"/>
              <w:jc w:val="right"/>
              <w:rPr>
                <w:b/>
              </w:rPr>
            </w:pPr>
            <w:r w:rsidRPr="00152404">
              <w:rPr>
                <w:b/>
              </w:rPr>
              <w:t>$11,352</w:t>
            </w:r>
          </w:p>
        </w:tc>
      </w:tr>
      <w:tr w:rsidR="00865C25" w:rsidRPr="00373827" w14:paraId="090EBD71" w14:textId="77777777" w:rsidTr="001A6611">
        <w:trPr>
          <w:trHeight w:val="300"/>
        </w:trPr>
        <w:tc>
          <w:tcPr>
            <w:tcW w:w="5000" w:type="pct"/>
            <w:gridSpan w:val="4"/>
            <w:tcBorders>
              <w:bottom w:val="single" w:sz="4" w:space="0" w:color="auto"/>
            </w:tcBorders>
            <w:noWrap/>
            <w:hideMark/>
          </w:tcPr>
          <w:p w14:paraId="610F6617" w14:textId="77777777" w:rsidR="00865C25" w:rsidRDefault="00865C25" w:rsidP="001A6611">
            <w:pPr>
              <w:pStyle w:val="TableText"/>
              <w:keepNext/>
              <w:rPr>
                <w:b/>
              </w:rPr>
            </w:pPr>
            <w:r>
              <w:rPr>
                <w:b/>
              </w:rPr>
              <w:t xml:space="preserve">Step 8: </w:t>
            </w:r>
            <w:r w:rsidRPr="00373827">
              <w:rPr>
                <w:b/>
              </w:rPr>
              <w:t xml:space="preserve">Incorporate </w:t>
            </w:r>
            <w:proofErr w:type="spellStart"/>
            <w:r w:rsidRPr="00373827">
              <w:rPr>
                <w:b/>
              </w:rPr>
              <w:t>rebiopsies</w:t>
            </w:r>
            <w:proofErr w:type="spellEnd"/>
          </w:p>
          <w:p w14:paraId="26CC5CBE" w14:textId="77777777" w:rsidR="00865C25" w:rsidRPr="00373827" w:rsidRDefault="00865C25" w:rsidP="001A6611">
            <w:pPr>
              <w:pStyle w:val="TableText"/>
              <w:keepNext/>
              <w:rPr>
                <w:b/>
              </w:rPr>
            </w:pPr>
            <w:r>
              <w:t xml:space="preserve">In those with insufficient sample for testing, rebiopsy is attempted where 20% are assumed to fail (Kelly et al. </w:t>
            </w:r>
            <w:proofErr w:type="gramStart"/>
            <w:r>
              <w:t>2019)</w:t>
            </w:r>
            <w:r>
              <w:rPr>
                <w:vertAlign w:val="superscript"/>
              </w:rPr>
              <w:t>d</w:t>
            </w:r>
            <w:r>
              <w:t>.</w:t>
            </w:r>
            <w:proofErr w:type="gramEnd"/>
            <w:r>
              <w:t xml:space="preserve"> </w:t>
            </w:r>
          </w:p>
        </w:tc>
      </w:tr>
      <w:tr w:rsidR="00865C25" w:rsidRPr="00373827" w14:paraId="0BCBFC62" w14:textId="77777777" w:rsidTr="001A6611">
        <w:trPr>
          <w:trHeight w:val="300"/>
        </w:trPr>
        <w:tc>
          <w:tcPr>
            <w:tcW w:w="3062" w:type="pct"/>
            <w:tcBorders>
              <w:bottom w:val="nil"/>
            </w:tcBorders>
            <w:noWrap/>
            <w:hideMark/>
          </w:tcPr>
          <w:p w14:paraId="1586586B" w14:textId="77777777" w:rsidR="00865C25" w:rsidRPr="00373827" w:rsidRDefault="00865C25" w:rsidP="001A6611">
            <w:pPr>
              <w:pStyle w:val="TableText"/>
              <w:keepNext/>
            </w:pPr>
            <w:r w:rsidRPr="00373827">
              <w:t>Total cost</w:t>
            </w:r>
          </w:p>
        </w:tc>
        <w:tc>
          <w:tcPr>
            <w:tcW w:w="668" w:type="pct"/>
            <w:tcBorders>
              <w:bottom w:val="nil"/>
            </w:tcBorders>
            <w:noWrap/>
          </w:tcPr>
          <w:p w14:paraId="5DFAB578" w14:textId="77777777" w:rsidR="00865C25" w:rsidRPr="00373827" w:rsidRDefault="00865C25" w:rsidP="001A6611">
            <w:pPr>
              <w:pStyle w:val="TableText"/>
              <w:keepNext/>
              <w:jc w:val="right"/>
            </w:pPr>
            <w:r w:rsidRPr="00637F12">
              <w:t>$1,173.23</w:t>
            </w:r>
          </w:p>
        </w:tc>
        <w:tc>
          <w:tcPr>
            <w:tcW w:w="669" w:type="pct"/>
            <w:tcBorders>
              <w:bottom w:val="nil"/>
            </w:tcBorders>
            <w:noWrap/>
          </w:tcPr>
          <w:p w14:paraId="7610AA10" w14:textId="77777777" w:rsidR="00865C25" w:rsidRPr="00373827" w:rsidRDefault="00865C25" w:rsidP="001A6611">
            <w:pPr>
              <w:pStyle w:val="TableText"/>
              <w:keepNext/>
              <w:jc w:val="right"/>
            </w:pPr>
            <w:r w:rsidRPr="00637F12">
              <w:t>$1,004.20</w:t>
            </w:r>
          </w:p>
        </w:tc>
        <w:tc>
          <w:tcPr>
            <w:tcW w:w="601" w:type="pct"/>
            <w:tcBorders>
              <w:bottom w:val="nil"/>
            </w:tcBorders>
            <w:noWrap/>
          </w:tcPr>
          <w:p w14:paraId="7859101C" w14:textId="77777777" w:rsidR="00865C25" w:rsidRPr="00373827" w:rsidRDefault="00865C25" w:rsidP="001A6611">
            <w:pPr>
              <w:pStyle w:val="TableText"/>
              <w:keepNext/>
              <w:jc w:val="right"/>
            </w:pPr>
            <w:r w:rsidRPr="00637F12">
              <w:t>$169.02</w:t>
            </w:r>
          </w:p>
        </w:tc>
      </w:tr>
      <w:tr w:rsidR="00865C25" w:rsidRPr="00373827" w14:paraId="7EE496BB" w14:textId="77777777" w:rsidTr="001A6611">
        <w:trPr>
          <w:trHeight w:val="300"/>
        </w:trPr>
        <w:tc>
          <w:tcPr>
            <w:tcW w:w="3062" w:type="pct"/>
            <w:tcBorders>
              <w:top w:val="nil"/>
              <w:bottom w:val="nil"/>
            </w:tcBorders>
            <w:noWrap/>
            <w:hideMark/>
          </w:tcPr>
          <w:p w14:paraId="2B9DF8F8" w14:textId="77777777" w:rsidR="00865C25" w:rsidRPr="00373827" w:rsidRDefault="00865C25" w:rsidP="001A6611">
            <w:pPr>
              <w:pStyle w:val="TableText"/>
              <w:keepNext/>
            </w:pPr>
            <w:r w:rsidRPr="00373827">
              <w:t>Proportion eligible for targeted therapy</w:t>
            </w:r>
          </w:p>
        </w:tc>
        <w:tc>
          <w:tcPr>
            <w:tcW w:w="668" w:type="pct"/>
            <w:tcBorders>
              <w:top w:val="nil"/>
              <w:bottom w:val="nil"/>
            </w:tcBorders>
            <w:noWrap/>
          </w:tcPr>
          <w:p w14:paraId="666512DD" w14:textId="77777777" w:rsidR="00865C25" w:rsidRPr="00373827" w:rsidRDefault="00865C25" w:rsidP="001A6611">
            <w:pPr>
              <w:pStyle w:val="TableText"/>
              <w:keepNext/>
              <w:jc w:val="right"/>
            </w:pPr>
            <w:r w:rsidRPr="00637F12">
              <w:t>0.1957</w:t>
            </w:r>
          </w:p>
        </w:tc>
        <w:tc>
          <w:tcPr>
            <w:tcW w:w="669" w:type="pct"/>
            <w:tcBorders>
              <w:top w:val="nil"/>
              <w:bottom w:val="nil"/>
            </w:tcBorders>
            <w:noWrap/>
          </w:tcPr>
          <w:p w14:paraId="4E91A125" w14:textId="77777777" w:rsidR="00865C25" w:rsidRPr="00373827" w:rsidRDefault="00865C25" w:rsidP="001A6611">
            <w:pPr>
              <w:pStyle w:val="TableText"/>
              <w:keepNext/>
              <w:jc w:val="right"/>
            </w:pPr>
            <w:r w:rsidRPr="00637F12">
              <w:t>0.1732</w:t>
            </w:r>
          </w:p>
        </w:tc>
        <w:tc>
          <w:tcPr>
            <w:tcW w:w="601" w:type="pct"/>
            <w:tcBorders>
              <w:top w:val="nil"/>
              <w:bottom w:val="nil"/>
            </w:tcBorders>
            <w:noWrap/>
          </w:tcPr>
          <w:p w14:paraId="43DFE1C2" w14:textId="77777777" w:rsidR="00865C25" w:rsidRPr="00373827" w:rsidRDefault="00865C25" w:rsidP="001A6611">
            <w:pPr>
              <w:pStyle w:val="TableText"/>
              <w:keepNext/>
              <w:jc w:val="right"/>
            </w:pPr>
            <w:r w:rsidRPr="00637F12">
              <w:t>0.0225</w:t>
            </w:r>
          </w:p>
        </w:tc>
      </w:tr>
      <w:tr w:rsidR="00865C25" w:rsidRPr="00373827" w14:paraId="4CFA009A" w14:textId="77777777" w:rsidTr="001A6611">
        <w:trPr>
          <w:trHeight w:val="300"/>
        </w:trPr>
        <w:tc>
          <w:tcPr>
            <w:tcW w:w="3062" w:type="pct"/>
            <w:tcBorders>
              <w:right w:val="nil"/>
            </w:tcBorders>
            <w:noWrap/>
            <w:hideMark/>
          </w:tcPr>
          <w:p w14:paraId="22777A2C" w14:textId="77777777" w:rsidR="00865C25" w:rsidRPr="00373827" w:rsidRDefault="00865C25" w:rsidP="001A6611">
            <w:pPr>
              <w:pStyle w:val="TableText"/>
              <w:rPr>
                <w:b/>
              </w:rPr>
            </w:pPr>
            <w:r w:rsidRPr="00373827">
              <w:rPr>
                <w:b/>
              </w:rPr>
              <w:t>ICER per additional patient eligible for targeted therapy</w:t>
            </w:r>
          </w:p>
        </w:tc>
        <w:tc>
          <w:tcPr>
            <w:tcW w:w="668" w:type="pct"/>
            <w:tcBorders>
              <w:left w:val="nil"/>
              <w:right w:val="nil"/>
            </w:tcBorders>
            <w:noWrap/>
          </w:tcPr>
          <w:p w14:paraId="5C96B5BC" w14:textId="77777777" w:rsidR="00865C25" w:rsidRPr="00373827" w:rsidRDefault="00865C25" w:rsidP="001A6611">
            <w:pPr>
              <w:pStyle w:val="TableText"/>
              <w:jc w:val="right"/>
              <w:rPr>
                <w:b/>
              </w:rPr>
            </w:pPr>
          </w:p>
        </w:tc>
        <w:tc>
          <w:tcPr>
            <w:tcW w:w="669" w:type="pct"/>
            <w:tcBorders>
              <w:left w:val="nil"/>
            </w:tcBorders>
            <w:noWrap/>
          </w:tcPr>
          <w:p w14:paraId="1CC6DFA4" w14:textId="77777777" w:rsidR="00865C25" w:rsidRPr="00373827" w:rsidRDefault="00865C25" w:rsidP="001A6611">
            <w:pPr>
              <w:pStyle w:val="TableText"/>
              <w:jc w:val="right"/>
              <w:rPr>
                <w:b/>
              </w:rPr>
            </w:pPr>
          </w:p>
        </w:tc>
        <w:tc>
          <w:tcPr>
            <w:tcW w:w="601" w:type="pct"/>
            <w:noWrap/>
          </w:tcPr>
          <w:p w14:paraId="147E511A" w14:textId="77777777" w:rsidR="00865C25" w:rsidRPr="00152404" w:rsidRDefault="00865C25" w:rsidP="001A6611">
            <w:pPr>
              <w:pStyle w:val="TableText"/>
              <w:jc w:val="right"/>
              <w:rPr>
                <w:b/>
              </w:rPr>
            </w:pPr>
            <w:r w:rsidRPr="00152404">
              <w:rPr>
                <w:b/>
              </w:rPr>
              <w:t>$7,496</w:t>
            </w:r>
          </w:p>
        </w:tc>
      </w:tr>
    </w:tbl>
    <w:p w14:paraId="2DF5E997" w14:textId="4742BCB8" w:rsidR="00865C25" w:rsidRDefault="00865C25" w:rsidP="00865C25">
      <w:pPr>
        <w:pStyle w:val="TableFooter"/>
      </w:pPr>
      <w:r>
        <w:rPr>
          <w:vertAlign w:val="superscript"/>
        </w:rPr>
        <w:t>a</w:t>
      </w:r>
      <w:r>
        <w:t xml:space="preserve"> </w:t>
      </w:r>
      <w:proofErr w:type="spellStart"/>
      <w:r w:rsidRPr="008542F6">
        <w:t>Steeghs</w:t>
      </w:r>
      <w:proofErr w:type="spellEnd"/>
      <w:r w:rsidRPr="008542F6">
        <w:t xml:space="preserve">, EMP, </w:t>
      </w:r>
      <w:r w:rsidR="00D61C70">
        <w:t>et al (</w:t>
      </w:r>
      <w:r w:rsidRPr="008542F6">
        <w:t>2022</w:t>
      </w:r>
      <w:r w:rsidR="00D61C70">
        <w:t>)</w:t>
      </w:r>
      <w:r w:rsidRPr="008542F6">
        <w:t xml:space="preserve">, 'Mutation-tailored treatment selection in non-small cell lung cancer patients in daily clinical practice', </w:t>
      </w:r>
      <w:r w:rsidRPr="00121596">
        <w:rPr>
          <w:i/>
          <w:iCs/>
        </w:rPr>
        <w:t>Lung Cancer</w:t>
      </w:r>
      <w:r w:rsidRPr="008542F6">
        <w:t xml:space="preserve">, vol. </w:t>
      </w:r>
      <w:r w:rsidRPr="00121596">
        <w:rPr>
          <w:b/>
          <w:bCs/>
        </w:rPr>
        <w:t>167</w:t>
      </w:r>
      <w:r w:rsidRPr="008542F6">
        <w:t>, May, pp. 87-97.</w:t>
      </w:r>
    </w:p>
    <w:p w14:paraId="4E0F10EF" w14:textId="77777777" w:rsidR="00865C25" w:rsidRDefault="00865C25" w:rsidP="00865C25">
      <w:pPr>
        <w:pStyle w:val="TableFooter"/>
      </w:pPr>
      <w:r w:rsidRPr="00EF55F9">
        <w:rPr>
          <w:vertAlign w:val="superscript"/>
        </w:rPr>
        <w:t>b</w:t>
      </w:r>
      <w:r>
        <w:t xml:space="preserve"> Incorporates variants that could </w:t>
      </w:r>
      <w:r w:rsidRPr="00C1061A">
        <w:t>be identified by either current or proposed testing</w:t>
      </w:r>
      <w:r>
        <w:t xml:space="preserve">, or </w:t>
      </w:r>
      <w:r w:rsidRPr="00F467E2">
        <w:t>incremental variants within the current scope of eligibility to PBS-listed targeted therapies, and those beyond current PBS restrictions</w:t>
      </w:r>
      <w:r>
        <w:t>.</w:t>
      </w:r>
    </w:p>
    <w:p w14:paraId="33097AD0" w14:textId="688FE1B5" w:rsidR="00865C25" w:rsidRDefault="00865C25" w:rsidP="00865C25">
      <w:pPr>
        <w:pStyle w:val="TableFooter"/>
      </w:pPr>
      <w:r w:rsidRPr="00C1061A">
        <w:rPr>
          <w:vertAlign w:val="superscript"/>
        </w:rPr>
        <w:t>c</w:t>
      </w:r>
      <w:r>
        <w:t xml:space="preserve"> </w:t>
      </w:r>
      <w:r w:rsidRPr="00EF55F9">
        <w:t xml:space="preserve">Park, E </w:t>
      </w:r>
      <w:r w:rsidR="00D61C70">
        <w:t>et al.</w:t>
      </w:r>
      <w:r w:rsidRPr="00EF55F9">
        <w:t xml:space="preserve"> </w:t>
      </w:r>
      <w:r w:rsidR="00D61C70">
        <w:t>(</w:t>
      </w:r>
      <w:r w:rsidRPr="00EF55F9">
        <w:t>2020</w:t>
      </w:r>
      <w:r w:rsidR="00D61C70">
        <w:t>)</w:t>
      </w:r>
      <w:r w:rsidRPr="00EF55F9">
        <w:t xml:space="preserve">, 'Detection of targetable genetic alterations in Korean lung cancer patients: A comparison study of single-gene assays and targeted next-generation sequencing', </w:t>
      </w:r>
      <w:r w:rsidRPr="00121596">
        <w:rPr>
          <w:i/>
          <w:iCs/>
        </w:rPr>
        <w:t>Cancer Res Treat</w:t>
      </w:r>
      <w:r w:rsidRPr="00EF55F9">
        <w:t xml:space="preserve">, vol. </w:t>
      </w:r>
      <w:r w:rsidRPr="00121596">
        <w:rPr>
          <w:b/>
          <w:bCs/>
        </w:rPr>
        <w:t>52(2)</w:t>
      </w:r>
      <w:r w:rsidRPr="00EF55F9">
        <w:t>, pp. 1-9.</w:t>
      </w:r>
    </w:p>
    <w:p w14:paraId="0DB95D2D" w14:textId="1DB89D16" w:rsidR="00865C25" w:rsidRPr="008542F6" w:rsidRDefault="00865C25" w:rsidP="00865C25">
      <w:pPr>
        <w:pStyle w:val="TableFooter"/>
      </w:pPr>
      <w:r>
        <w:rPr>
          <w:vertAlign w:val="superscript"/>
        </w:rPr>
        <w:t>d</w:t>
      </w:r>
      <w:r>
        <w:t xml:space="preserve"> </w:t>
      </w:r>
      <w:r w:rsidRPr="008542F6">
        <w:t xml:space="preserve">Kelly, RJ, </w:t>
      </w:r>
      <w:r w:rsidR="00D61C70">
        <w:t>et al.</w:t>
      </w:r>
      <w:r w:rsidRPr="008542F6">
        <w:t xml:space="preserve"> </w:t>
      </w:r>
      <w:r w:rsidR="00D61C70">
        <w:t>(</w:t>
      </w:r>
      <w:r w:rsidRPr="008542F6">
        <w:t>2019</w:t>
      </w:r>
      <w:r w:rsidR="00D61C70">
        <w:t>)</w:t>
      </w:r>
      <w:r w:rsidRPr="008542F6">
        <w:t xml:space="preserve">, 'Complications and Economic Burden Associated </w:t>
      </w:r>
      <w:proofErr w:type="gramStart"/>
      <w:r w:rsidRPr="008542F6">
        <w:t>With</w:t>
      </w:r>
      <w:proofErr w:type="gramEnd"/>
      <w:r w:rsidRPr="008542F6">
        <w:t xml:space="preserve"> Obtaining Tissue for Diagnosis and Molecular Analysis in Patients With Non-Small-Cell Lung Cancer in the United States', </w:t>
      </w:r>
      <w:r w:rsidRPr="00121596">
        <w:rPr>
          <w:i/>
          <w:iCs/>
        </w:rPr>
        <w:t xml:space="preserve">J Oncol </w:t>
      </w:r>
      <w:proofErr w:type="spellStart"/>
      <w:r w:rsidRPr="00121596">
        <w:rPr>
          <w:i/>
          <w:iCs/>
        </w:rPr>
        <w:t>Pract</w:t>
      </w:r>
      <w:proofErr w:type="spellEnd"/>
      <w:r w:rsidRPr="008542F6">
        <w:t xml:space="preserve">, vol. </w:t>
      </w:r>
      <w:r w:rsidRPr="00121596">
        <w:rPr>
          <w:b/>
          <w:bCs/>
        </w:rPr>
        <w:t>15</w:t>
      </w:r>
      <w:r w:rsidRPr="008542F6">
        <w:t>, no. 8, Aug, pp. e717-e727.</w:t>
      </w:r>
    </w:p>
    <w:p w14:paraId="1B383222" w14:textId="09B1C31C" w:rsidR="00865C25" w:rsidRPr="00373827" w:rsidRDefault="00865C25" w:rsidP="00865C25">
      <w:pPr>
        <w:pStyle w:val="TableFooter"/>
      </w:pPr>
      <w:r>
        <w:rPr>
          <w:i/>
        </w:rPr>
        <w:t>ALK</w:t>
      </w:r>
      <w:r>
        <w:t xml:space="preserve"> = </w:t>
      </w:r>
      <w:r w:rsidR="00C925AE">
        <w:t>ALK receptor tyrosine kinase</w:t>
      </w:r>
      <w:r>
        <w:t xml:space="preserve">; </w:t>
      </w:r>
      <w:r w:rsidRPr="00152F12">
        <w:rPr>
          <w:i/>
        </w:rPr>
        <w:t>BRAF</w:t>
      </w:r>
      <w:r>
        <w:t xml:space="preserve"> = </w:t>
      </w:r>
      <w:r w:rsidR="00D61C70" w:rsidRPr="00D61C70">
        <w:t>B-Raf proto-oncogene, serine/threonine kinase</w:t>
      </w:r>
      <w:r>
        <w:t xml:space="preserve">; DNA = deoxyribonucleic acid; </w:t>
      </w:r>
      <w:r w:rsidRPr="00A81F01">
        <w:rPr>
          <w:i/>
        </w:rPr>
        <w:t>EGFR</w:t>
      </w:r>
      <w:r>
        <w:t xml:space="preserve"> = </w:t>
      </w:r>
      <w:r w:rsidRPr="00A81F01">
        <w:t>epidermal growth factor receptor</w:t>
      </w:r>
      <w:r>
        <w:t>; FISH = f</w:t>
      </w:r>
      <w:r w:rsidRPr="003316EF">
        <w:t xml:space="preserve">luorescence </w:t>
      </w:r>
      <w:r w:rsidRPr="00956452">
        <w:rPr>
          <w:i/>
        </w:rPr>
        <w:t>in situ</w:t>
      </w:r>
      <w:r w:rsidRPr="003316EF">
        <w:t xml:space="preserve"> hybridisation</w:t>
      </w:r>
      <w:r>
        <w:t xml:space="preserve">; IHC = immunohistochemistry; </w:t>
      </w:r>
      <w:r w:rsidRPr="000B3989">
        <w:rPr>
          <w:i/>
          <w:iCs/>
        </w:rPr>
        <w:t>KRAS</w:t>
      </w:r>
      <w:r w:rsidRPr="00B52D8D">
        <w:t xml:space="preserve"> = </w:t>
      </w:r>
      <w:r w:rsidR="00D61C70" w:rsidRPr="00D61C70">
        <w:t>KRAS proto-oncogene, GTPase</w:t>
      </w:r>
      <w:r>
        <w:t xml:space="preserve">; </w:t>
      </w:r>
      <w:r w:rsidRPr="00336456">
        <w:rPr>
          <w:i/>
        </w:rPr>
        <w:t>MET</w:t>
      </w:r>
      <w:r>
        <w:t>ex14sk = MET proto-oncogene, receptor tyrosine kinase exon 14 skipping alterations; NGS = next-generation sequencing; NOS = not otherwise specified; NPA = negative percent agreement; NSCLC = non-small cell lung cancer; PPA = positive percent agreement; RNA = ribonucleic acid;</w:t>
      </w:r>
      <w:r w:rsidRPr="007C4117">
        <w:rPr>
          <w:i/>
        </w:rPr>
        <w:t xml:space="preserve"> </w:t>
      </w:r>
      <w:r w:rsidRPr="00743D1B">
        <w:rPr>
          <w:i/>
        </w:rPr>
        <w:t>ROS1</w:t>
      </w:r>
      <w:r>
        <w:t xml:space="preserve"> = </w:t>
      </w:r>
      <w:r w:rsidR="00C925AE">
        <w:t>ROS proto-oncogene 1, receptor tyrosine kinase</w:t>
      </w:r>
      <w:r>
        <w:t>.</w:t>
      </w:r>
    </w:p>
    <w:p w14:paraId="55E81153" w14:textId="77777777" w:rsidR="00865C25" w:rsidRDefault="00865C25" w:rsidP="00F938D7">
      <w:pPr>
        <w:spacing w:before="240"/>
      </w:pPr>
      <w:r w:rsidRPr="00B14F98">
        <w:t>Disaggregated costs and outcomes are presented in</w:t>
      </w:r>
      <w:r>
        <w:t xml:space="preserve"> </w:t>
      </w:r>
      <w:r>
        <w:fldChar w:fldCharType="begin"/>
      </w:r>
      <w:r>
        <w:instrText xml:space="preserve"> REF _Ref109142420 \h </w:instrText>
      </w:r>
      <w:r>
        <w:fldChar w:fldCharType="separate"/>
      </w:r>
      <w:r w:rsidRPr="00CE28E3">
        <w:t>Table</w:t>
      </w:r>
      <w:r>
        <w:t> </w:t>
      </w:r>
      <w:r>
        <w:rPr>
          <w:noProof/>
        </w:rPr>
        <w:t>11</w:t>
      </w:r>
      <w:r>
        <w:fldChar w:fldCharType="end"/>
      </w:r>
      <w:r w:rsidRPr="00B14F98">
        <w:t>.</w:t>
      </w:r>
    </w:p>
    <w:p w14:paraId="42ED883A" w14:textId="77777777" w:rsidR="00865C25" w:rsidRPr="00CE28E3" w:rsidRDefault="00865C25" w:rsidP="00865C25">
      <w:pPr>
        <w:pStyle w:val="Caption"/>
      </w:pPr>
      <w:bookmarkStart w:id="30" w:name="_Ref109142420"/>
      <w:r w:rsidRPr="00CE28E3">
        <w:lastRenderedPageBreak/>
        <w:t>Table</w:t>
      </w:r>
      <w:r>
        <w:t> </w:t>
      </w:r>
      <w:r w:rsidR="007F7A58">
        <w:fldChar w:fldCharType="begin"/>
      </w:r>
      <w:r w:rsidR="007F7A58">
        <w:instrText xml:space="preserve"> SEQ Table \* ARABIC </w:instrText>
      </w:r>
      <w:r w:rsidR="007F7A58">
        <w:fldChar w:fldCharType="separate"/>
      </w:r>
      <w:r>
        <w:rPr>
          <w:noProof/>
        </w:rPr>
        <w:t>11</w:t>
      </w:r>
      <w:r w:rsidR="007F7A58">
        <w:rPr>
          <w:noProof/>
        </w:rPr>
        <w:fldChar w:fldCharType="end"/>
      </w:r>
      <w:bookmarkEnd w:id="30"/>
      <w:r w:rsidRPr="00CE28E3">
        <w:tab/>
      </w:r>
      <w:r>
        <w:t>Disaggregated modelled costs and outcomes</w:t>
      </w:r>
    </w:p>
    <w:tbl>
      <w:tblPr>
        <w:tblStyle w:val="TableGrid1"/>
        <w:tblW w:w="5000" w:type="pct"/>
        <w:tblLayout w:type="fixed"/>
        <w:tblLook w:val="04A0" w:firstRow="1" w:lastRow="0" w:firstColumn="1" w:lastColumn="0" w:noHBand="0" w:noVBand="1"/>
        <w:tblCaption w:val="Disaggregated modelled costs and outcomes"/>
        <w:tblDescription w:val="Disaggregated modelled costs and outcomes"/>
      </w:tblPr>
      <w:tblGrid>
        <w:gridCol w:w="3258"/>
        <w:gridCol w:w="2267"/>
        <w:gridCol w:w="1985"/>
        <w:gridCol w:w="1506"/>
      </w:tblGrid>
      <w:tr w:rsidR="00865C25" w:rsidRPr="00C917B1" w14:paraId="2119C2A3" w14:textId="77777777" w:rsidTr="001A6611">
        <w:trPr>
          <w:cnfStyle w:val="100000000000" w:firstRow="1" w:lastRow="0" w:firstColumn="0" w:lastColumn="0" w:oddVBand="0" w:evenVBand="0" w:oddHBand="0" w:evenHBand="0" w:firstRowFirstColumn="0" w:firstRowLastColumn="0" w:lastRowFirstColumn="0" w:lastRowLastColumn="0"/>
          <w:trHeight w:val="300"/>
          <w:tblHeader/>
        </w:trPr>
        <w:tc>
          <w:tcPr>
            <w:tcW w:w="1807" w:type="pct"/>
            <w:tcBorders>
              <w:bottom w:val="single" w:sz="4" w:space="0" w:color="auto"/>
            </w:tcBorders>
            <w:noWrap/>
            <w:hideMark/>
          </w:tcPr>
          <w:p w14:paraId="2D8FE234" w14:textId="77777777" w:rsidR="00865C25" w:rsidRPr="00C917B1" w:rsidRDefault="00865C25" w:rsidP="001A6611">
            <w:pPr>
              <w:pStyle w:val="TableHeading"/>
            </w:pPr>
          </w:p>
        </w:tc>
        <w:tc>
          <w:tcPr>
            <w:tcW w:w="1257" w:type="pct"/>
            <w:tcBorders>
              <w:bottom w:val="single" w:sz="4" w:space="0" w:color="auto"/>
            </w:tcBorders>
            <w:noWrap/>
            <w:hideMark/>
          </w:tcPr>
          <w:p w14:paraId="03E5A329" w14:textId="77777777" w:rsidR="00865C25" w:rsidRPr="00C917B1" w:rsidRDefault="00865C25" w:rsidP="001A6611">
            <w:pPr>
              <w:pStyle w:val="TableHeading"/>
              <w:jc w:val="center"/>
            </w:pPr>
            <w:r w:rsidRPr="00C917B1">
              <w:t>Small gene panel testing</w:t>
            </w:r>
          </w:p>
        </w:tc>
        <w:tc>
          <w:tcPr>
            <w:tcW w:w="1101" w:type="pct"/>
            <w:tcBorders>
              <w:bottom w:val="single" w:sz="4" w:space="0" w:color="auto"/>
            </w:tcBorders>
            <w:noWrap/>
            <w:hideMark/>
          </w:tcPr>
          <w:p w14:paraId="1BB10D33" w14:textId="77777777" w:rsidR="00865C25" w:rsidRPr="00C917B1" w:rsidRDefault="00865C25" w:rsidP="001A6611">
            <w:pPr>
              <w:pStyle w:val="TableHeading"/>
              <w:jc w:val="center"/>
            </w:pPr>
            <w:r w:rsidRPr="00C917B1">
              <w:t>Single gene testing</w:t>
            </w:r>
          </w:p>
        </w:tc>
        <w:tc>
          <w:tcPr>
            <w:tcW w:w="835" w:type="pct"/>
            <w:tcBorders>
              <w:bottom w:val="single" w:sz="4" w:space="0" w:color="auto"/>
            </w:tcBorders>
            <w:noWrap/>
            <w:hideMark/>
          </w:tcPr>
          <w:p w14:paraId="725424EE" w14:textId="77777777" w:rsidR="00865C25" w:rsidRPr="00C917B1" w:rsidRDefault="00865C25" w:rsidP="001A6611">
            <w:pPr>
              <w:pStyle w:val="TableHeading"/>
              <w:jc w:val="center"/>
            </w:pPr>
            <w:r w:rsidRPr="00C917B1">
              <w:t>Increment</w:t>
            </w:r>
          </w:p>
        </w:tc>
      </w:tr>
      <w:tr w:rsidR="00865C25" w:rsidRPr="0028345B" w14:paraId="057AFE37" w14:textId="77777777" w:rsidTr="001A6611">
        <w:trPr>
          <w:trHeight w:val="300"/>
        </w:trPr>
        <w:tc>
          <w:tcPr>
            <w:tcW w:w="1807" w:type="pct"/>
            <w:tcBorders>
              <w:bottom w:val="single" w:sz="4" w:space="0" w:color="auto"/>
              <w:right w:val="nil"/>
            </w:tcBorders>
            <w:noWrap/>
          </w:tcPr>
          <w:p w14:paraId="744CAA93" w14:textId="77777777" w:rsidR="00865C25" w:rsidRPr="0028345B" w:rsidRDefault="00865C25" w:rsidP="001A6611">
            <w:pPr>
              <w:pStyle w:val="TableText"/>
              <w:keepNext/>
              <w:rPr>
                <w:b/>
              </w:rPr>
            </w:pPr>
            <w:r w:rsidRPr="0028345B">
              <w:rPr>
                <w:b/>
              </w:rPr>
              <w:t>Disaggregated costs</w:t>
            </w:r>
          </w:p>
        </w:tc>
        <w:tc>
          <w:tcPr>
            <w:tcW w:w="1257" w:type="pct"/>
            <w:tcBorders>
              <w:left w:val="nil"/>
              <w:bottom w:val="single" w:sz="4" w:space="0" w:color="auto"/>
              <w:right w:val="nil"/>
            </w:tcBorders>
            <w:noWrap/>
          </w:tcPr>
          <w:p w14:paraId="3C38AE8E" w14:textId="77777777" w:rsidR="00865C25" w:rsidRPr="0028345B" w:rsidRDefault="00865C25" w:rsidP="001A6611">
            <w:pPr>
              <w:pStyle w:val="TableText"/>
              <w:keepNext/>
              <w:jc w:val="right"/>
              <w:rPr>
                <w:b/>
              </w:rPr>
            </w:pPr>
          </w:p>
        </w:tc>
        <w:tc>
          <w:tcPr>
            <w:tcW w:w="1101" w:type="pct"/>
            <w:tcBorders>
              <w:left w:val="nil"/>
              <w:bottom w:val="single" w:sz="4" w:space="0" w:color="auto"/>
              <w:right w:val="nil"/>
            </w:tcBorders>
            <w:noWrap/>
          </w:tcPr>
          <w:p w14:paraId="658D5FD1" w14:textId="77777777" w:rsidR="00865C25" w:rsidRPr="0028345B" w:rsidRDefault="00865C25" w:rsidP="001A6611">
            <w:pPr>
              <w:pStyle w:val="TableText"/>
              <w:keepNext/>
              <w:jc w:val="right"/>
              <w:rPr>
                <w:b/>
              </w:rPr>
            </w:pPr>
          </w:p>
        </w:tc>
        <w:tc>
          <w:tcPr>
            <w:tcW w:w="835" w:type="pct"/>
            <w:tcBorders>
              <w:left w:val="nil"/>
              <w:bottom w:val="single" w:sz="4" w:space="0" w:color="auto"/>
            </w:tcBorders>
            <w:noWrap/>
          </w:tcPr>
          <w:p w14:paraId="7BA1B3C8" w14:textId="77777777" w:rsidR="00865C25" w:rsidRPr="0028345B" w:rsidRDefault="00865C25" w:rsidP="001A6611">
            <w:pPr>
              <w:pStyle w:val="TableText"/>
              <w:keepNext/>
              <w:jc w:val="right"/>
              <w:rPr>
                <w:b/>
              </w:rPr>
            </w:pPr>
          </w:p>
        </w:tc>
      </w:tr>
      <w:tr w:rsidR="00865C25" w:rsidRPr="00C917B1" w14:paraId="557F7B1A" w14:textId="77777777" w:rsidTr="001A6611">
        <w:trPr>
          <w:trHeight w:val="300"/>
        </w:trPr>
        <w:tc>
          <w:tcPr>
            <w:tcW w:w="1807" w:type="pct"/>
            <w:tcBorders>
              <w:bottom w:val="nil"/>
            </w:tcBorders>
            <w:noWrap/>
            <w:hideMark/>
          </w:tcPr>
          <w:p w14:paraId="5A772F83" w14:textId="77777777" w:rsidR="00865C25" w:rsidRPr="00C917B1" w:rsidRDefault="00865C25" w:rsidP="001A6611">
            <w:pPr>
              <w:pStyle w:val="TableText"/>
              <w:keepNext/>
            </w:pPr>
            <w:r w:rsidRPr="00C917B1">
              <w:t>Cost of testing</w:t>
            </w:r>
          </w:p>
        </w:tc>
        <w:tc>
          <w:tcPr>
            <w:tcW w:w="1257" w:type="pct"/>
            <w:tcBorders>
              <w:bottom w:val="nil"/>
            </w:tcBorders>
            <w:noWrap/>
          </w:tcPr>
          <w:p w14:paraId="2966A2E3" w14:textId="77777777" w:rsidR="00865C25" w:rsidRPr="00C917B1" w:rsidRDefault="00865C25" w:rsidP="001A6611">
            <w:pPr>
              <w:pStyle w:val="TableText"/>
              <w:keepNext/>
              <w:jc w:val="right"/>
            </w:pPr>
            <w:r w:rsidRPr="00EE787D">
              <w:t>$1,053.65</w:t>
            </w:r>
          </w:p>
        </w:tc>
        <w:tc>
          <w:tcPr>
            <w:tcW w:w="1101" w:type="pct"/>
            <w:tcBorders>
              <w:bottom w:val="nil"/>
            </w:tcBorders>
            <w:noWrap/>
          </w:tcPr>
          <w:p w14:paraId="6183A053" w14:textId="77777777" w:rsidR="00865C25" w:rsidRPr="00C917B1" w:rsidRDefault="00865C25" w:rsidP="001A6611">
            <w:pPr>
              <w:pStyle w:val="TableText"/>
              <w:keepNext/>
              <w:jc w:val="right"/>
            </w:pPr>
            <w:r w:rsidRPr="00EE787D">
              <w:t>$773.59</w:t>
            </w:r>
          </w:p>
        </w:tc>
        <w:tc>
          <w:tcPr>
            <w:tcW w:w="835" w:type="pct"/>
            <w:tcBorders>
              <w:bottom w:val="nil"/>
            </w:tcBorders>
            <w:noWrap/>
          </w:tcPr>
          <w:p w14:paraId="11AA8365" w14:textId="77777777" w:rsidR="00865C25" w:rsidRPr="00C917B1" w:rsidRDefault="00865C25" w:rsidP="001A6611">
            <w:pPr>
              <w:pStyle w:val="TableText"/>
              <w:keepNext/>
              <w:jc w:val="right"/>
            </w:pPr>
            <w:r w:rsidRPr="00EE787D">
              <w:t>$280.06</w:t>
            </w:r>
          </w:p>
        </w:tc>
      </w:tr>
      <w:tr w:rsidR="00865C25" w:rsidRPr="00C917B1" w14:paraId="510BF63A" w14:textId="77777777" w:rsidTr="001A6611">
        <w:trPr>
          <w:trHeight w:val="300"/>
        </w:trPr>
        <w:tc>
          <w:tcPr>
            <w:tcW w:w="1807" w:type="pct"/>
            <w:tcBorders>
              <w:top w:val="nil"/>
            </w:tcBorders>
            <w:noWrap/>
            <w:hideMark/>
          </w:tcPr>
          <w:p w14:paraId="16A2843E" w14:textId="77777777" w:rsidR="00865C25" w:rsidRPr="00C917B1" w:rsidRDefault="00865C25" w:rsidP="001A6611">
            <w:pPr>
              <w:pStyle w:val="TableText"/>
              <w:keepNext/>
            </w:pPr>
            <w:r w:rsidRPr="00C917B1">
              <w:t>Cost of rebiopsy</w:t>
            </w:r>
          </w:p>
        </w:tc>
        <w:tc>
          <w:tcPr>
            <w:tcW w:w="1257" w:type="pct"/>
            <w:tcBorders>
              <w:top w:val="nil"/>
            </w:tcBorders>
            <w:noWrap/>
          </w:tcPr>
          <w:p w14:paraId="73B7F24C" w14:textId="77777777" w:rsidR="00865C25" w:rsidRPr="00C917B1" w:rsidRDefault="00865C25" w:rsidP="001A6611">
            <w:pPr>
              <w:pStyle w:val="TableText"/>
              <w:keepNext/>
              <w:jc w:val="right"/>
            </w:pPr>
            <w:r w:rsidRPr="00EE787D">
              <w:t>$119.58</w:t>
            </w:r>
          </w:p>
        </w:tc>
        <w:tc>
          <w:tcPr>
            <w:tcW w:w="1101" w:type="pct"/>
            <w:tcBorders>
              <w:top w:val="nil"/>
            </w:tcBorders>
            <w:noWrap/>
          </w:tcPr>
          <w:p w14:paraId="72D73B27" w14:textId="77777777" w:rsidR="00865C25" w:rsidRPr="00C917B1" w:rsidRDefault="00865C25" w:rsidP="001A6611">
            <w:pPr>
              <w:pStyle w:val="TableText"/>
              <w:keepNext/>
              <w:jc w:val="right"/>
            </w:pPr>
            <w:r w:rsidRPr="00EE787D">
              <w:t>$230.61</w:t>
            </w:r>
          </w:p>
        </w:tc>
        <w:tc>
          <w:tcPr>
            <w:tcW w:w="835" w:type="pct"/>
            <w:tcBorders>
              <w:top w:val="nil"/>
            </w:tcBorders>
            <w:noWrap/>
          </w:tcPr>
          <w:p w14:paraId="46053696" w14:textId="77777777" w:rsidR="00865C25" w:rsidRPr="00C917B1" w:rsidRDefault="00865C25" w:rsidP="001A6611">
            <w:pPr>
              <w:pStyle w:val="TableText"/>
              <w:keepNext/>
              <w:jc w:val="right"/>
            </w:pPr>
            <w:r w:rsidRPr="00EE787D">
              <w:t>−$111.03</w:t>
            </w:r>
          </w:p>
        </w:tc>
      </w:tr>
      <w:tr w:rsidR="00865C25" w:rsidRPr="00C917B1" w14:paraId="2AED50D5" w14:textId="77777777" w:rsidTr="001A6611">
        <w:trPr>
          <w:trHeight w:val="300"/>
        </w:trPr>
        <w:tc>
          <w:tcPr>
            <w:tcW w:w="1807" w:type="pct"/>
            <w:noWrap/>
            <w:hideMark/>
          </w:tcPr>
          <w:p w14:paraId="52F1F1D3" w14:textId="77777777" w:rsidR="00865C25" w:rsidRPr="00C917B1" w:rsidRDefault="00865C25" w:rsidP="001A6611">
            <w:pPr>
              <w:pStyle w:val="TableText"/>
              <w:keepNext/>
              <w:rPr>
                <w:b/>
              </w:rPr>
            </w:pPr>
            <w:r w:rsidRPr="00C917B1">
              <w:rPr>
                <w:b/>
              </w:rPr>
              <w:t>Total cost</w:t>
            </w:r>
          </w:p>
        </w:tc>
        <w:tc>
          <w:tcPr>
            <w:tcW w:w="1257" w:type="pct"/>
            <w:noWrap/>
          </w:tcPr>
          <w:p w14:paraId="26D714EE" w14:textId="77777777" w:rsidR="00865C25" w:rsidRPr="00C917B1" w:rsidRDefault="00865C25" w:rsidP="001A6611">
            <w:pPr>
              <w:pStyle w:val="TableText"/>
              <w:keepNext/>
              <w:jc w:val="right"/>
              <w:rPr>
                <w:b/>
              </w:rPr>
            </w:pPr>
            <w:r w:rsidRPr="00EE787D">
              <w:t>$1,173.23</w:t>
            </w:r>
          </w:p>
        </w:tc>
        <w:tc>
          <w:tcPr>
            <w:tcW w:w="1101" w:type="pct"/>
            <w:noWrap/>
          </w:tcPr>
          <w:p w14:paraId="244AA9CE" w14:textId="77777777" w:rsidR="00865C25" w:rsidRPr="00C917B1" w:rsidRDefault="00865C25" w:rsidP="001A6611">
            <w:pPr>
              <w:pStyle w:val="TableText"/>
              <w:keepNext/>
              <w:jc w:val="right"/>
              <w:rPr>
                <w:b/>
              </w:rPr>
            </w:pPr>
            <w:r w:rsidRPr="00EE787D">
              <w:t>$1,004.20</w:t>
            </w:r>
          </w:p>
        </w:tc>
        <w:tc>
          <w:tcPr>
            <w:tcW w:w="835" w:type="pct"/>
            <w:noWrap/>
          </w:tcPr>
          <w:p w14:paraId="5F611847" w14:textId="77777777" w:rsidR="00865C25" w:rsidRPr="00C917B1" w:rsidRDefault="00865C25" w:rsidP="001A6611">
            <w:pPr>
              <w:pStyle w:val="TableText"/>
              <w:keepNext/>
              <w:jc w:val="right"/>
              <w:rPr>
                <w:b/>
              </w:rPr>
            </w:pPr>
            <w:r w:rsidRPr="00EE787D">
              <w:t>$169.02</w:t>
            </w:r>
          </w:p>
        </w:tc>
      </w:tr>
      <w:tr w:rsidR="00865C25" w:rsidRPr="0028345B" w14:paraId="0D76732C" w14:textId="77777777" w:rsidTr="001A6611">
        <w:trPr>
          <w:trHeight w:val="300"/>
        </w:trPr>
        <w:tc>
          <w:tcPr>
            <w:tcW w:w="1807" w:type="pct"/>
            <w:tcBorders>
              <w:bottom w:val="single" w:sz="4" w:space="0" w:color="auto"/>
              <w:right w:val="nil"/>
            </w:tcBorders>
            <w:noWrap/>
          </w:tcPr>
          <w:p w14:paraId="6D42CA93" w14:textId="77777777" w:rsidR="00865C25" w:rsidRPr="0028345B" w:rsidRDefault="00865C25" w:rsidP="001A6611">
            <w:pPr>
              <w:pStyle w:val="TableText"/>
              <w:keepNext/>
              <w:rPr>
                <w:b/>
              </w:rPr>
            </w:pPr>
            <w:r w:rsidRPr="0028345B">
              <w:rPr>
                <w:b/>
              </w:rPr>
              <w:t xml:space="preserve">Disaggregated </w:t>
            </w:r>
            <w:r>
              <w:rPr>
                <w:b/>
              </w:rPr>
              <w:t>outcomes</w:t>
            </w:r>
          </w:p>
        </w:tc>
        <w:tc>
          <w:tcPr>
            <w:tcW w:w="1257" w:type="pct"/>
            <w:tcBorders>
              <w:left w:val="nil"/>
              <w:bottom w:val="single" w:sz="4" w:space="0" w:color="auto"/>
              <w:right w:val="nil"/>
            </w:tcBorders>
            <w:noWrap/>
          </w:tcPr>
          <w:p w14:paraId="36626961" w14:textId="77777777" w:rsidR="00865C25" w:rsidRPr="0028345B" w:rsidRDefault="00865C25" w:rsidP="001A6611">
            <w:pPr>
              <w:pStyle w:val="TableText"/>
              <w:keepNext/>
              <w:jc w:val="right"/>
              <w:rPr>
                <w:b/>
              </w:rPr>
            </w:pPr>
          </w:p>
        </w:tc>
        <w:tc>
          <w:tcPr>
            <w:tcW w:w="1101" w:type="pct"/>
            <w:tcBorders>
              <w:left w:val="nil"/>
              <w:bottom w:val="single" w:sz="4" w:space="0" w:color="auto"/>
              <w:right w:val="nil"/>
            </w:tcBorders>
            <w:noWrap/>
          </w:tcPr>
          <w:p w14:paraId="7871915E" w14:textId="77777777" w:rsidR="00865C25" w:rsidRPr="0028345B" w:rsidRDefault="00865C25" w:rsidP="001A6611">
            <w:pPr>
              <w:pStyle w:val="TableText"/>
              <w:keepNext/>
              <w:jc w:val="right"/>
              <w:rPr>
                <w:b/>
              </w:rPr>
            </w:pPr>
          </w:p>
        </w:tc>
        <w:tc>
          <w:tcPr>
            <w:tcW w:w="835" w:type="pct"/>
            <w:tcBorders>
              <w:left w:val="nil"/>
              <w:bottom w:val="single" w:sz="4" w:space="0" w:color="auto"/>
            </w:tcBorders>
            <w:noWrap/>
          </w:tcPr>
          <w:p w14:paraId="37E2A8E7" w14:textId="77777777" w:rsidR="00865C25" w:rsidRPr="0028345B" w:rsidRDefault="00865C25" w:rsidP="001A6611">
            <w:pPr>
              <w:pStyle w:val="TableText"/>
              <w:keepNext/>
              <w:jc w:val="right"/>
              <w:rPr>
                <w:b/>
              </w:rPr>
            </w:pPr>
          </w:p>
        </w:tc>
      </w:tr>
      <w:tr w:rsidR="00865C25" w:rsidRPr="0028345B" w14:paraId="6EA2CB52" w14:textId="77777777" w:rsidTr="001A6611">
        <w:trPr>
          <w:trHeight w:val="300"/>
        </w:trPr>
        <w:tc>
          <w:tcPr>
            <w:tcW w:w="1807" w:type="pct"/>
            <w:tcBorders>
              <w:bottom w:val="single" w:sz="4" w:space="0" w:color="auto"/>
            </w:tcBorders>
            <w:noWrap/>
            <w:hideMark/>
          </w:tcPr>
          <w:p w14:paraId="142D1CE1" w14:textId="77777777" w:rsidR="00865C25" w:rsidRPr="0028345B" w:rsidRDefault="00865C25" w:rsidP="001A6611">
            <w:pPr>
              <w:pStyle w:val="TableText"/>
              <w:keepNext/>
              <w:rPr>
                <w:b/>
              </w:rPr>
            </w:pPr>
            <w:r w:rsidRPr="0028345B">
              <w:rPr>
                <w:b/>
              </w:rPr>
              <w:t>Eligible for targeted therapy</w:t>
            </w:r>
          </w:p>
        </w:tc>
        <w:tc>
          <w:tcPr>
            <w:tcW w:w="1257" w:type="pct"/>
            <w:tcBorders>
              <w:bottom w:val="single" w:sz="4" w:space="0" w:color="auto"/>
            </w:tcBorders>
            <w:noWrap/>
          </w:tcPr>
          <w:p w14:paraId="21B99891" w14:textId="77777777" w:rsidR="00865C25" w:rsidRPr="00152404" w:rsidRDefault="00865C25" w:rsidP="001A6611">
            <w:pPr>
              <w:pStyle w:val="TableText"/>
              <w:keepNext/>
              <w:jc w:val="right"/>
              <w:rPr>
                <w:b/>
              </w:rPr>
            </w:pPr>
            <w:r w:rsidRPr="00152404">
              <w:rPr>
                <w:b/>
              </w:rPr>
              <w:t>0.1957</w:t>
            </w:r>
          </w:p>
        </w:tc>
        <w:tc>
          <w:tcPr>
            <w:tcW w:w="1101" w:type="pct"/>
            <w:tcBorders>
              <w:bottom w:val="single" w:sz="4" w:space="0" w:color="auto"/>
            </w:tcBorders>
            <w:noWrap/>
          </w:tcPr>
          <w:p w14:paraId="681EA853" w14:textId="77777777" w:rsidR="00865C25" w:rsidRPr="00152404" w:rsidRDefault="00865C25" w:rsidP="001A6611">
            <w:pPr>
              <w:pStyle w:val="TableText"/>
              <w:keepNext/>
              <w:jc w:val="right"/>
              <w:rPr>
                <w:b/>
              </w:rPr>
            </w:pPr>
            <w:r w:rsidRPr="00152404">
              <w:rPr>
                <w:b/>
              </w:rPr>
              <w:t>0.1732</w:t>
            </w:r>
          </w:p>
        </w:tc>
        <w:tc>
          <w:tcPr>
            <w:tcW w:w="835" w:type="pct"/>
            <w:tcBorders>
              <w:bottom w:val="single" w:sz="4" w:space="0" w:color="auto"/>
            </w:tcBorders>
            <w:noWrap/>
          </w:tcPr>
          <w:p w14:paraId="7B2C5416" w14:textId="77777777" w:rsidR="00865C25" w:rsidRPr="00152404" w:rsidRDefault="00865C25" w:rsidP="001A6611">
            <w:pPr>
              <w:pStyle w:val="TableText"/>
              <w:keepNext/>
              <w:jc w:val="right"/>
              <w:rPr>
                <w:b/>
              </w:rPr>
            </w:pPr>
            <w:r w:rsidRPr="00152404">
              <w:rPr>
                <w:b/>
              </w:rPr>
              <w:t>0.0225</w:t>
            </w:r>
          </w:p>
        </w:tc>
      </w:tr>
      <w:tr w:rsidR="00865C25" w:rsidRPr="00D304D0" w14:paraId="2BD4D735" w14:textId="77777777" w:rsidTr="001A6611">
        <w:trPr>
          <w:trHeight w:val="300"/>
        </w:trPr>
        <w:tc>
          <w:tcPr>
            <w:tcW w:w="1807" w:type="pct"/>
            <w:tcBorders>
              <w:bottom w:val="nil"/>
            </w:tcBorders>
            <w:noWrap/>
            <w:hideMark/>
          </w:tcPr>
          <w:p w14:paraId="765F0864" w14:textId="77777777" w:rsidR="00865C25" w:rsidRPr="00D304D0" w:rsidRDefault="00865C25" w:rsidP="00764FCE">
            <w:pPr>
              <w:pStyle w:val="TableText"/>
              <w:keepNext/>
              <w:numPr>
                <w:ilvl w:val="0"/>
                <w:numId w:val="16"/>
              </w:numPr>
              <w:ind w:left="306" w:hanging="142"/>
            </w:pPr>
            <w:r>
              <w:t>C</w:t>
            </w:r>
            <w:r w:rsidRPr="00D304D0">
              <w:t>ommon variants</w:t>
            </w:r>
          </w:p>
        </w:tc>
        <w:tc>
          <w:tcPr>
            <w:tcW w:w="1257" w:type="pct"/>
            <w:tcBorders>
              <w:bottom w:val="nil"/>
            </w:tcBorders>
            <w:noWrap/>
          </w:tcPr>
          <w:p w14:paraId="36D1CB0E" w14:textId="77777777" w:rsidR="00865C25" w:rsidRPr="00D304D0" w:rsidRDefault="00865C25" w:rsidP="001A6611">
            <w:pPr>
              <w:pStyle w:val="TableText"/>
              <w:keepNext/>
              <w:jc w:val="right"/>
            </w:pPr>
            <w:r w:rsidRPr="006E7106">
              <w:t>0.1706</w:t>
            </w:r>
          </w:p>
        </w:tc>
        <w:tc>
          <w:tcPr>
            <w:tcW w:w="1101" w:type="pct"/>
            <w:tcBorders>
              <w:bottom w:val="nil"/>
            </w:tcBorders>
            <w:noWrap/>
          </w:tcPr>
          <w:p w14:paraId="2967B320" w14:textId="77777777" w:rsidR="00865C25" w:rsidRPr="00D304D0" w:rsidRDefault="00865C25" w:rsidP="001A6611">
            <w:pPr>
              <w:pStyle w:val="TableText"/>
              <w:keepNext/>
              <w:jc w:val="right"/>
            </w:pPr>
            <w:r w:rsidRPr="006E7106">
              <w:t>0.1732</w:t>
            </w:r>
          </w:p>
        </w:tc>
        <w:tc>
          <w:tcPr>
            <w:tcW w:w="835" w:type="pct"/>
            <w:tcBorders>
              <w:bottom w:val="nil"/>
            </w:tcBorders>
            <w:noWrap/>
          </w:tcPr>
          <w:p w14:paraId="0A4FA0B4" w14:textId="77777777" w:rsidR="00865C25" w:rsidRPr="00D304D0" w:rsidRDefault="00865C25" w:rsidP="001A6611">
            <w:pPr>
              <w:pStyle w:val="TableText"/>
              <w:keepNext/>
              <w:jc w:val="right"/>
            </w:pPr>
            <w:r w:rsidRPr="006E7106">
              <w:t>−0.0026</w:t>
            </w:r>
          </w:p>
        </w:tc>
      </w:tr>
      <w:tr w:rsidR="00865C25" w:rsidRPr="00D304D0" w14:paraId="5BDA776F" w14:textId="77777777" w:rsidTr="001A6611">
        <w:trPr>
          <w:trHeight w:val="300"/>
        </w:trPr>
        <w:tc>
          <w:tcPr>
            <w:tcW w:w="1807" w:type="pct"/>
            <w:tcBorders>
              <w:top w:val="nil"/>
            </w:tcBorders>
            <w:noWrap/>
            <w:hideMark/>
          </w:tcPr>
          <w:p w14:paraId="1F50E07A" w14:textId="77777777" w:rsidR="00865C25" w:rsidRPr="00D304D0" w:rsidRDefault="00865C25" w:rsidP="00764FCE">
            <w:pPr>
              <w:pStyle w:val="TableText"/>
              <w:keepNext/>
              <w:numPr>
                <w:ilvl w:val="0"/>
                <w:numId w:val="16"/>
              </w:numPr>
              <w:ind w:left="306" w:hanging="142"/>
            </w:pPr>
            <w:r>
              <w:t>Incremental</w:t>
            </w:r>
            <w:r w:rsidRPr="00D304D0">
              <w:t xml:space="preserve"> variants</w:t>
            </w:r>
          </w:p>
        </w:tc>
        <w:tc>
          <w:tcPr>
            <w:tcW w:w="1257" w:type="pct"/>
            <w:tcBorders>
              <w:top w:val="nil"/>
            </w:tcBorders>
            <w:noWrap/>
          </w:tcPr>
          <w:p w14:paraId="7CC06216" w14:textId="77777777" w:rsidR="00865C25" w:rsidRPr="00D304D0" w:rsidRDefault="00865C25" w:rsidP="001A6611">
            <w:pPr>
              <w:pStyle w:val="TableText"/>
              <w:keepNext/>
              <w:jc w:val="right"/>
            </w:pPr>
            <w:r w:rsidRPr="006E7106">
              <w:t>0.0251</w:t>
            </w:r>
          </w:p>
        </w:tc>
        <w:tc>
          <w:tcPr>
            <w:tcW w:w="1101" w:type="pct"/>
            <w:tcBorders>
              <w:top w:val="nil"/>
            </w:tcBorders>
            <w:noWrap/>
          </w:tcPr>
          <w:p w14:paraId="7B7FE7EA" w14:textId="77777777" w:rsidR="00865C25" w:rsidRPr="00D304D0" w:rsidRDefault="00865C25" w:rsidP="001A6611">
            <w:pPr>
              <w:pStyle w:val="TableText"/>
              <w:keepNext/>
              <w:jc w:val="right"/>
            </w:pPr>
            <w:r w:rsidRPr="006E7106">
              <w:t>0.0000</w:t>
            </w:r>
          </w:p>
        </w:tc>
        <w:tc>
          <w:tcPr>
            <w:tcW w:w="835" w:type="pct"/>
            <w:tcBorders>
              <w:top w:val="nil"/>
            </w:tcBorders>
            <w:noWrap/>
          </w:tcPr>
          <w:p w14:paraId="74F0FB02" w14:textId="77777777" w:rsidR="00865C25" w:rsidRPr="00D304D0" w:rsidRDefault="00865C25" w:rsidP="001A6611">
            <w:pPr>
              <w:pStyle w:val="TableText"/>
              <w:keepNext/>
              <w:jc w:val="right"/>
            </w:pPr>
            <w:r w:rsidRPr="006E7106">
              <w:t>0.0251</w:t>
            </w:r>
          </w:p>
        </w:tc>
      </w:tr>
      <w:tr w:rsidR="00865C25" w:rsidRPr="00D304D0" w14:paraId="1210A154" w14:textId="77777777" w:rsidTr="001A6611">
        <w:trPr>
          <w:trHeight w:val="300"/>
        </w:trPr>
        <w:tc>
          <w:tcPr>
            <w:tcW w:w="1807" w:type="pct"/>
            <w:tcBorders>
              <w:bottom w:val="single" w:sz="4" w:space="0" w:color="auto"/>
            </w:tcBorders>
            <w:noWrap/>
            <w:hideMark/>
          </w:tcPr>
          <w:p w14:paraId="6724B2F7" w14:textId="77777777" w:rsidR="00865C25" w:rsidRPr="00D304D0" w:rsidRDefault="00865C25" w:rsidP="001A6611">
            <w:pPr>
              <w:pStyle w:val="TableText"/>
              <w:keepNext/>
            </w:pPr>
            <w:r>
              <w:t>A</w:t>
            </w:r>
            <w:r w:rsidRPr="00D304D0">
              <w:t>ctionable variant identified</w:t>
            </w:r>
          </w:p>
        </w:tc>
        <w:tc>
          <w:tcPr>
            <w:tcW w:w="1257" w:type="pct"/>
            <w:tcBorders>
              <w:bottom w:val="single" w:sz="4" w:space="0" w:color="auto"/>
            </w:tcBorders>
            <w:noWrap/>
          </w:tcPr>
          <w:p w14:paraId="05F29F2D" w14:textId="77777777" w:rsidR="00865C25" w:rsidRPr="00D304D0" w:rsidRDefault="00865C25" w:rsidP="001A6611">
            <w:pPr>
              <w:pStyle w:val="TableText"/>
              <w:keepNext/>
              <w:jc w:val="right"/>
            </w:pPr>
            <w:r w:rsidRPr="006E7106">
              <w:t>0.2556</w:t>
            </w:r>
          </w:p>
        </w:tc>
        <w:tc>
          <w:tcPr>
            <w:tcW w:w="1101" w:type="pct"/>
            <w:tcBorders>
              <w:bottom w:val="single" w:sz="4" w:space="0" w:color="auto"/>
            </w:tcBorders>
            <w:noWrap/>
          </w:tcPr>
          <w:p w14:paraId="47D134F9" w14:textId="77777777" w:rsidR="00865C25" w:rsidRPr="00D304D0" w:rsidRDefault="00865C25" w:rsidP="001A6611">
            <w:pPr>
              <w:pStyle w:val="TableText"/>
              <w:keepNext/>
              <w:jc w:val="right"/>
            </w:pPr>
            <w:r w:rsidRPr="006E7106">
              <w:t>0.2075</w:t>
            </w:r>
          </w:p>
        </w:tc>
        <w:tc>
          <w:tcPr>
            <w:tcW w:w="835" w:type="pct"/>
            <w:tcBorders>
              <w:bottom w:val="single" w:sz="4" w:space="0" w:color="auto"/>
            </w:tcBorders>
            <w:noWrap/>
          </w:tcPr>
          <w:p w14:paraId="3FEA1411" w14:textId="77777777" w:rsidR="00865C25" w:rsidRPr="00D304D0" w:rsidRDefault="00865C25" w:rsidP="001A6611">
            <w:pPr>
              <w:pStyle w:val="TableText"/>
              <w:keepNext/>
              <w:jc w:val="right"/>
            </w:pPr>
            <w:r w:rsidRPr="006E7106">
              <w:t>0.0481</w:t>
            </w:r>
          </w:p>
        </w:tc>
      </w:tr>
      <w:tr w:rsidR="00865C25" w:rsidRPr="00D304D0" w14:paraId="1805F990" w14:textId="77777777" w:rsidTr="001A6611">
        <w:trPr>
          <w:trHeight w:val="300"/>
        </w:trPr>
        <w:tc>
          <w:tcPr>
            <w:tcW w:w="1807" w:type="pct"/>
            <w:tcBorders>
              <w:bottom w:val="nil"/>
            </w:tcBorders>
            <w:noWrap/>
            <w:hideMark/>
          </w:tcPr>
          <w:p w14:paraId="2309BC21" w14:textId="77777777" w:rsidR="00865C25" w:rsidRPr="00D304D0" w:rsidRDefault="00865C25" w:rsidP="00764FCE">
            <w:pPr>
              <w:pStyle w:val="TableText"/>
              <w:keepNext/>
              <w:numPr>
                <w:ilvl w:val="0"/>
                <w:numId w:val="16"/>
              </w:numPr>
              <w:ind w:left="306" w:hanging="142"/>
            </w:pPr>
            <w:r>
              <w:t>C</w:t>
            </w:r>
            <w:r w:rsidRPr="00D304D0">
              <w:t>ommon variants identified</w:t>
            </w:r>
          </w:p>
        </w:tc>
        <w:tc>
          <w:tcPr>
            <w:tcW w:w="1257" w:type="pct"/>
            <w:tcBorders>
              <w:bottom w:val="nil"/>
            </w:tcBorders>
            <w:noWrap/>
          </w:tcPr>
          <w:p w14:paraId="478302B3" w14:textId="77777777" w:rsidR="00865C25" w:rsidRPr="00D304D0" w:rsidRDefault="00865C25" w:rsidP="001A6611">
            <w:pPr>
              <w:pStyle w:val="TableText"/>
              <w:keepNext/>
              <w:jc w:val="right"/>
            </w:pPr>
            <w:r w:rsidRPr="006E7106">
              <w:t>0.2226</w:t>
            </w:r>
          </w:p>
        </w:tc>
        <w:tc>
          <w:tcPr>
            <w:tcW w:w="1101" w:type="pct"/>
            <w:tcBorders>
              <w:bottom w:val="nil"/>
            </w:tcBorders>
            <w:noWrap/>
          </w:tcPr>
          <w:p w14:paraId="080B5629" w14:textId="77777777" w:rsidR="00865C25" w:rsidRPr="00D304D0" w:rsidRDefault="00865C25" w:rsidP="001A6611">
            <w:pPr>
              <w:pStyle w:val="TableText"/>
              <w:keepNext/>
              <w:jc w:val="right"/>
            </w:pPr>
            <w:r w:rsidRPr="006E7106">
              <w:t>0.2075</w:t>
            </w:r>
          </w:p>
        </w:tc>
        <w:tc>
          <w:tcPr>
            <w:tcW w:w="835" w:type="pct"/>
            <w:tcBorders>
              <w:bottom w:val="nil"/>
            </w:tcBorders>
            <w:noWrap/>
          </w:tcPr>
          <w:p w14:paraId="35F52129" w14:textId="77777777" w:rsidR="00865C25" w:rsidRPr="00D304D0" w:rsidRDefault="00865C25" w:rsidP="001A6611">
            <w:pPr>
              <w:pStyle w:val="TableText"/>
              <w:keepNext/>
              <w:jc w:val="right"/>
            </w:pPr>
            <w:r w:rsidRPr="006E7106">
              <w:t>0.0152</w:t>
            </w:r>
          </w:p>
        </w:tc>
      </w:tr>
      <w:tr w:rsidR="00865C25" w:rsidRPr="00D304D0" w14:paraId="21F67DC4" w14:textId="77777777" w:rsidTr="001A6611">
        <w:trPr>
          <w:trHeight w:val="300"/>
        </w:trPr>
        <w:tc>
          <w:tcPr>
            <w:tcW w:w="1807" w:type="pct"/>
            <w:tcBorders>
              <w:top w:val="nil"/>
            </w:tcBorders>
            <w:noWrap/>
            <w:hideMark/>
          </w:tcPr>
          <w:p w14:paraId="3843D0B8" w14:textId="77777777" w:rsidR="00865C25" w:rsidRPr="00D304D0" w:rsidRDefault="00865C25" w:rsidP="00764FCE">
            <w:pPr>
              <w:pStyle w:val="TableText"/>
              <w:keepNext/>
              <w:numPr>
                <w:ilvl w:val="0"/>
                <w:numId w:val="16"/>
              </w:numPr>
              <w:ind w:left="306" w:hanging="142"/>
            </w:pPr>
            <w:r>
              <w:t>Incremental</w:t>
            </w:r>
            <w:r w:rsidRPr="00D304D0">
              <w:t xml:space="preserve"> variants identified</w:t>
            </w:r>
          </w:p>
        </w:tc>
        <w:tc>
          <w:tcPr>
            <w:tcW w:w="1257" w:type="pct"/>
            <w:tcBorders>
              <w:top w:val="nil"/>
            </w:tcBorders>
            <w:noWrap/>
          </w:tcPr>
          <w:p w14:paraId="1CAB00A8" w14:textId="77777777" w:rsidR="00865C25" w:rsidRPr="00D304D0" w:rsidRDefault="00865C25" w:rsidP="001A6611">
            <w:pPr>
              <w:pStyle w:val="TableText"/>
              <w:keepNext/>
              <w:jc w:val="right"/>
            </w:pPr>
            <w:r w:rsidRPr="006E7106">
              <w:t>0.0330</w:t>
            </w:r>
          </w:p>
        </w:tc>
        <w:tc>
          <w:tcPr>
            <w:tcW w:w="1101" w:type="pct"/>
            <w:tcBorders>
              <w:top w:val="nil"/>
            </w:tcBorders>
            <w:noWrap/>
          </w:tcPr>
          <w:p w14:paraId="6744F064" w14:textId="77777777" w:rsidR="00865C25" w:rsidRPr="00D304D0" w:rsidRDefault="00865C25" w:rsidP="001A6611">
            <w:pPr>
              <w:pStyle w:val="TableText"/>
              <w:keepNext/>
              <w:jc w:val="right"/>
            </w:pPr>
            <w:r w:rsidRPr="006E7106">
              <w:t>0.0000</w:t>
            </w:r>
          </w:p>
        </w:tc>
        <w:tc>
          <w:tcPr>
            <w:tcW w:w="835" w:type="pct"/>
            <w:tcBorders>
              <w:top w:val="nil"/>
            </w:tcBorders>
            <w:noWrap/>
          </w:tcPr>
          <w:p w14:paraId="5AC7117B" w14:textId="77777777" w:rsidR="00865C25" w:rsidRPr="00D304D0" w:rsidRDefault="00865C25" w:rsidP="001A6611">
            <w:pPr>
              <w:pStyle w:val="TableText"/>
              <w:keepNext/>
              <w:jc w:val="right"/>
            </w:pPr>
            <w:r w:rsidRPr="006E7106">
              <w:t>0.0330</w:t>
            </w:r>
          </w:p>
        </w:tc>
      </w:tr>
      <w:tr w:rsidR="00865C25" w:rsidRPr="00D304D0" w14:paraId="4FD9E9C4" w14:textId="77777777" w:rsidTr="001A6611">
        <w:trPr>
          <w:trHeight w:val="300"/>
        </w:trPr>
        <w:tc>
          <w:tcPr>
            <w:tcW w:w="1807" w:type="pct"/>
            <w:noWrap/>
          </w:tcPr>
          <w:p w14:paraId="08439921" w14:textId="77777777" w:rsidR="00865C25" w:rsidRDefault="00865C25" w:rsidP="001A6611">
            <w:pPr>
              <w:pStyle w:val="TableText"/>
              <w:keepNext/>
            </w:pPr>
            <w:r>
              <w:t>Patients successfully tested</w:t>
            </w:r>
          </w:p>
        </w:tc>
        <w:tc>
          <w:tcPr>
            <w:tcW w:w="1257" w:type="pct"/>
            <w:noWrap/>
          </w:tcPr>
          <w:p w14:paraId="2456410F" w14:textId="77777777" w:rsidR="00865C25" w:rsidRPr="00D304D0" w:rsidRDefault="00865C25" w:rsidP="001A6611">
            <w:pPr>
              <w:pStyle w:val="TableText"/>
              <w:keepNext/>
              <w:jc w:val="right"/>
            </w:pPr>
            <w:r w:rsidRPr="006E7106">
              <w:t>0.9890</w:t>
            </w:r>
          </w:p>
        </w:tc>
        <w:tc>
          <w:tcPr>
            <w:tcW w:w="1101" w:type="pct"/>
            <w:noWrap/>
          </w:tcPr>
          <w:p w14:paraId="1C0AAD86" w14:textId="77777777" w:rsidR="00865C25" w:rsidRPr="00D304D0" w:rsidRDefault="00865C25" w:rsidP="001A6611">
            <w:pPr>
              <w:pStyle w:val="TableText"/>
              <w:keepNext/>
              <w:jc w:val="right"/>
            </w:pPr>
            <w:r w:rsidRPr="006E7106">
              <w:t>0.9788</w:t>
            </w:r>
          </w:p>
        </w:tc>
        <w:tc>
          <w:tcPr>
            <w:tcW w:w="835" w:type="pct"/>
            <w:noWrap/>
          </w:tcPr>
          <w:p w14:paraId="60AFB5AF" w14:textId="77777777" w:rsidR="00865C25" w:rsidRPr="00D304D0" w:rsidRDefault="00865C25" w:rsidP="001A6611">
            <w:pPr>
              <w:pStyle w:val="TableText"/>
              <w:keepNext/>
              <w:jc w:val="right"/>
            </w:pPr>
            <w:r w:rsidRPr="006E7106">
              <w:t>0.0102</w:t>
            </w:r>
          </w:p>
        </w:tc>
      </w:tr>
      <w:tr w:rsidR="00865C25" w:rsidRPr="00D304D0" w14:paraId="0274C342" w14:textId="77777777" w:rsidTr="001A6611">
        <w:trPr>
          <w:trHeight w:val="300"/>
        </w:trPr>
        <w:tc>
          <w:tcPr>
            <w:tcW w:w="1807" w:type="pct"/>
            <w:noWrap/>
            <w:hideMark/>
          </w:tcPr>
          <w:p w14:paraId="75E9F352" w14:textId="77777777" w:rsidR="00865C25" w:rsidRPr="00D304D0" w:rsidRDefault="00865C25" w:rsidP="001A6611">
            <w:pPr>
              <w:pStyle w:val="TableText"/>
              <w:keepNext/>
            </w:pPr>
            <w:r w:rsidRPr="00D304D0">
              <w:t>Proportion with known biomarker status</w:t>
            </w:r>
          </w:p>
        </w:tc>
        <w:tc>
          <w:tcPr>
            <w:tcW w:w="1257" w:type="pct"/>
            <w:noWrap/>
          </w:tcPr>
          <w:p w14:paraId="2B2878F1" w14:textId="77777777" w:rsidR="00865C25" w:rsidRPr="00D304D0" w:rsidRDefault="00865C25" w:rsidP="001A6611">
            <w:pPr>
              <w:pStyle w:val="TableText"/>
              <w:keepNext/>
              <w:jc w:val="right"/>
            </w:pPr>
            <w:r w:rsidRPr="006E7106">
              <w:t>0.9817</w:t>
            </w:r>
          </w:p>
        </w:tc>
        <w:tc>
          <w:tcPr>
            <w:tcW w:w="1101" w:type="pct"/>
            <w:noWrap/>
          </w:tcPr>
          <w:p w14:paraId="4AB47B9C" w14:textId="77777777" w:rsidR="00865C25" w:rsidRPr="00D304D0" w:rsidRDefault="00865C25" w:rsidP="001A6611">
            <w:pPr>
              <w:pStyle w:val="TableText"/>
              <w:keepNext/>
              <w:jc w:val="right"/>
            </w:pPr>
            <w:r w:rsidRPr="00BC1ADD">
              <w:t>0.7583</w:t>
            </w:r>
          </w:p>
        </w:tc>
        <w:tc>
          <w:tcPr>
            <w:tcW w:w="835" w:type="pct"/>
            <w:noWrap/>
          </w:tcPr>
          <w:p w14:paraId="08F6E325" w14:textId="77777777" w:rsidR="00865C25" w:rsidRPr="00D304D0" w:rsidRDefault="00865C25" w:rsidP="001A6611">
            <w:pPr>
              <w:pStyle w:val="TableText"/>
              <w:keepNext/>
              <w:jc w:val="right"/>
            </w:pPr>
            <w:r w:rsidRPr="006E7106">
              <w:t>0.2234</w:t>
            </w:r>
          </w:p>
        </w:tc>
      </w:tr>
      <w:tr w:rsidR="00865C25" w:rsidRPr="00D304D0" w14:paraId="3F495537" w14:textId="77777777" w:rsidTr="001A6611">
        <w:trPr>
          <w:trHeight w:val="300"/>
        </w:trPr>
        <w:tc>
          <w:tcPr>
            <w:tcW w:w="1807" w:type="pct"/>
            <w:noWrap/>
            <w:hideMark/>
          </w:tcPr>
          <w:p w14:paraId="54737306" w14:textId="77777777" w:rsidR="00865C25" w:rsidRPr="00D304D0" w:rsidRDefault="00865C25" w:rsidP="001A6611">
            <w:pPr>
              <w:pStyle w:val="TableText"/>
              <w:keepNext/>
            </w:pPr>
            <w:r w:rsidRPr="00D304D0">
              <w:t>Proportion undergoing rebiopsy</w:t>
            </w:r>
          </w:p>
        </w:tc>
        <w:tc>
          <w:tcPr>
            <w:tcW w:w="1257" w:type="pct"/>
            <w:noWrap/>
          </w:tcPr>
          <w:p w14:paraId="6C1081EC" w14:textId="77777777" w:rsidR="00865C25" w:rsidRPr="00D304D0" w:rsidRDefault="00865C25" w:rsidP="001A6611">
            <w:pPr>
              <w:pStyle w:val="TableText"/>
              <w:keepNext/>
              <w:jc w:val="right"/>
            </w:pPr>
            <w:r w:rsidRPr="006E7106">
              <w:t>0.0212</w:t>
            </w:r>
          </w:p>
        </w:tc>
        <w:tc>
          <w:tcPr>
            <w:tcW w:w="1101" w:type="pct"/>
            <w:noWrap/>
          </w:tcPr>
          <w:p w14:paraId="50553C49" w14:textId="77777777" w:rsidR="00865C25" w:rsidRPr="00D304D0" w:rsidRDefault="00865C25" w:rsidP="001A6611">
            <w:pPr>
              <w:pStyle w:val="TableText"/>
              <w:keepNext/>
              <w:jc w:val="right"/>
            </w:pPr>
            <w:r w:rsidRPr="006E7106">
              <w:t>0.0410</w:t>
            </w:r>
          </w:p>
        </w:tc>
        <w:tc>
          <w:tcPr>
            <w:tcW w:w="835" w:type="pct"/>
            <w:noWrap/>
          </w:tcPr>
          <w:p w14:paraId="70F6989B" w14:textId="77777777" w:rsidR="00865C25" w:rsidRPr="00D304D0" w:rsidRDefault="00865C25" w:rsidP="001A6611">
            <w:pPr>
              <w:pStyle w:val="TableText"/>
              <w:keepNext/>
              <w:jc w:val="right"/>
            </w:pPr>
            <w:r w:rsidRPr="006E7106">
              <w:t>−0.0197</w:t>
            </w:r>
          </w:p>
        </w:tc>
      </w:tr>
    </w:tbl>
    <w:p w14:paraId="7B56EFD3" w14:textId="77777777" w:rsidR="00865C25" w:rsidRDefault="00865C25" w:rsidP="00865C25">
      <w:pPr>
        <w:spacing w:before="160"/>
      </w:pPr>
      <w:r>
        <w:t xml:space="preserve">The additional patients eligible for targeted therapy was driven by an increase in patients with incremental variants identified. A slight reduction in patients with common variants was also observed (due to PPA &lt; 1 applied for small gene panel testing, offset to some extent by improvement in patients successfully tested). As the incremental variants were not identified using the same testing method as was used in the clinical trials of targeted therapy, it is unclear whether </w:t>
      </w:r>
      <w:proofErr w:type="gramStart"/>
      <w:r>
        <w:t>all of</w:t>
      </w:r>
      <w:proofErr w:type="gramEnd"/>
      <w:r>
        <w:t xml:space="preserve"> these patients would respond to targeted therapies to the same extent as those with common variants.</w:t>
      </w:r>
    </w:p>
    <w:p w14:paraId="513B717B" w14:textId="77777777" w:rsidR="00865C25" w:rsidRDefault="00865C25" w:rsidP="00865C25">
      <w:pPr>
        <w:pStyle w:val="NormalBeforeBullet"/>
      </w:pPr>
      <w:r>
        <w:t xml:space="preserve">More patients were identified with actionable variants </w:t>
      </w:r>
      <w:r>
        <w:rPr>
          <w:rFonts w:cs="Courier New"/>
          <w:szCs w:val="20"/>
        </w:rPr>
        <w:t>(</w:t>
      </w:r>
      <w:proofErr w:type="gramStart"/>
      <w:r>
        <w:rPr>
          <w:rFonts w:cs="Courier New"/>
          <w:szCs w:val="20"/>
        </w:rPr>
        <w:t>i.e.</w:t>
      </w:r>
      <w:proofErr w:type="gramEnd"/>
      <w:r>
        <w:rPr>
          <w:rFonts w:cs="Courier New"/>
          <w:szCs w:val="20"/>
        </w:rPr>
        <w:t xml:space="preserve"> combined common and incremental variants) </w:t>
      </w:r>
      <w:r>
        <w:t xml:space="preserve">than those considered eligible for targeted therapy (absolutely and incrementally). This was due to the inclusion of patients tested with </w:t>
      </w:r>
      <w:proofErr w:type="gramStart"/>
      <w:r>
        <w:t>early stage</w:t>
      </w:r>
      <w:proofErr w:type="gramEnd"/>
      <w:r>
        <w:t xml:space="preserve"> disease who do not develop advanced disease (and so are not eligible for targeted therapy). The incremental difference was also higher (and in some cases the direction of the effect changed) due to incomplete current testing performed (</w:t>
      </w:r>
      <w:proofErr w:type="gramStart"/>
      <w:r>
        <w:t>i.e.</w:t>
      </w:r>
      <w:proofErr w:type="gramEnd"/>
      <w:r>
        <w:t xml:space="preserve"> not FISH or </w:t>
      </w:r>
      <w:r w:rsidRPr="00F529F9">
        <w:rPr>
          <w:i/>
        </w:rPr>
        <w:t>MET</w:t>
      </w:r>
      <w:r>
        <w:t>ex14sk testing).</w:t>
      </w:r>
    </w:p>
    <w:p w14:paraId="707D5106" w14:textId="77777777" w:rsidR="00865C25" w:rsidRPr="00373827" w:rsidRDefault="00865C25" w:rsidP="00865C25">
      <w:pPr>
        <w:pStyle w:val="NormalBeforeBullet"/>
      </w:pPr>
      <w:r>
        <w:t xml:space="preserve">The key drivers of the model are presented in </w:t>
      </w:r>
      <w:r>
        <w:fldChar w:fldCharType="begin"/>
      </w:r>
      <w:r>
        <w:instrText xml:space="preserve"> REF _Ref69726321 \h </w:instrText>
      </w:r>
      <w:r>
        <w:fldChar w:fldCharType="separate"/>
      </w:r>
      <w:r w:rsidRPr="00CE28E3">
        <w:t>Table</w:t>
      </w:r>
      <w:r>
        <w:t> </w:t>
      </w:r>
      <w:r>
        <w:rPr>
          <w:noProof/>
        </w:rPr>
        <w:t>12</w:t>
      </w:r>
      <w:r>
        <w:fldChar w:fldCharType="end"/>
      </w:r>
      <w:r>
        <w:t>.</w:t>
      </w:r>
    </w:p>
    <w:p w14:paraId="129A4F1D" w14:textId="77777777" w:rsidR="00865C25" w:rsidRPr="00CE28E3" w:rsidRDefault="00865C25" w:rsidP="00865C25">
      <w:pPr>
        <w:pStyle w:val="Caption"/>
      </w:pPr>
      <w:bookmarkStart w:id="31" w:name="_Ref69726321"/>
      <w:r w:rsidRPr="00CE28E3">
        <w:lastRenderedPageBreak/>
        <w:t>Table</w:t>
      </w:r>
      <w:r>
        <w:t> </w:t>
      </w:r>
      <w:r w:rsidR="007F7A58">
        <w:fldChar w:fldCharType="begin"/>
      </w:r>
      <w:r w:rsidR="007F7A58">
        <w:instrText xml:space="preserve"> SEQ Table \*</w:instrText>
      </w:r>
      <w:r w:rsidR="007F7A58">
        <w:instrText xml:space="preserve"> ARABIC </w:instrText>
      </w:r>
      <w:r w:rsidR="007F7A58">
        <w:fldChar w:fldCharType="separate"/>
      </w:r>
      <w:r>
        <w:rPr>
          <w:noProof/>
        </w:rPr>
        <w:t>12</w:t>
      </w:r>
      <w:r w:rsidR="007F7A58">
        <w:rPr>
          <w:noProof/>
        </w:rPr>
        <w:fldChar w:fldCharType="end"/>
      </w:r>
      <w:bookmarkEnd w:id="31"/>
      <w:r w:rsidRPr="00CE28E3">
        <w:tab/>
        <w:t>Key drivers of the model</w:t>
      </w:r>
    </w:p>
    <w:tbl>
      <w:tblPr>
        <w:tblStyle w:val="TableGrid1"/>
        <w:tblW w:w="5000" w:type="pct"/>
        <w:tblLayout w:type="fixed"/>
        <w:tblCellMar>
          <w:left w:w="28" w:type="dxa"/>
          <w:right w:w="28" w:type="dxa"/>
        </w:tblCellMar>
        <w:tblLook w:val="04A0" w:firstRow="1" w:lastRow="0" w:firstColumn="1" w:lastColumn="0" w:noHBand="0" w:noVBand="1"/>
        <w:tblCaption w:val="Key drivers of the model"/>
        <w:tblDescription w:val="Key drivers of the model"/>
      </w:tblPr>
      <w:tblGrid>
        <w:gridCol w:w="1414"/>
        <w:gridCol w:w="4109"/>
        <w:gridCol w:w="3493"/>
      </w:tblGrid>
      <w:tr w:rsidR="00865C25" w:rsidRPr="001C6C77" w14:paraId="41E77C27" w14:textId="77777777" w:rsidTr="001A6611">
        <w:trPr>
          <w:cnfStyle w:val="100000000000" w:firstRow="1" w:lastRow="0" w:firstColumn="0" w:lastColumn="0" w:oddVBand="0" w:evenVBand="0" w:oddHBand="0" w:evenHBand="0" w:firstRowFirstColumn="0" w:firstRowLastColumn="0" w:lastRowFirstColumn="0" w:lastRowLastColumn="0"/>
          <w:tblHeader/>
        </w:trPr>
        <w:tc>
          <w:tcPr>
            <w:tcW w:w="784" w:type="pct"/>
            <w:shd w:val="clear" w:color="auto" w:fill="auto"/>
            <w:vAlign w:val="center"/>
          </w:tcPr>
          <w:p w14:paraId="44D9CFCB" w14:textId="77777777" w:rsidR="00865C25" w:rsidRPr="001C6C77" w:rsidRDefault="00865C25" w:rsidP="001A6611">
            <w:pPr>
              <w:pStyle w:val="TableHeading"/>
              <w:jc w:val="center"/>
            </w:pPr>
            <w:bookmarkStart w:id="32" w:name="Title_Table10" w:colFirst="0" w:colLast="0"/>
            <w:bookmarkStart w:id="33" w:name="_Hlk68276626"/>
            <w:r w:rsidRPr="001C6C77">
              <w:t>Description</w:t>
            </w:r>
          </w:p>
        </w:tc>
        <w:tc>
          <w:tcPr>
            <w:tcW w:w="2279" w:type="pct"/>
            <w:shd w:val="clear" w:color="auto" w:fill="auto"/>
            <w:vAlign w:val="center"/>
          </w:tcPr>
          <w:p w14:paraId="73058ACA" w14:textId="77777777" w:rsidR="00865C25" w:rsidRPr="001C6C77" w:rsidRDefault="00865C25" w:rsidP="001A6611">
            <w:pPr>
              <w:pStyle w:val="TableHeading"/>
              <w:jc w:val="center"/>
            </w:pPr>
            <w:r w:rsidRPr="001C6C77">
              <w:t>Method/Value</w:t>
            </w:r>
          </w:p>
        </w:tc>
        <w:tc>
          <w:tcPr>
            <w:tcW w:w="1937" w:type="pct"/>
            <w:shd w:val="clear" w:color="auto" w:fill="auto"/>
            <w:vAlign w:val="center"/>
          </w:tcPr>
          <w:p w14:paraId="36AA64BD" w14:textId="77777777" w:rsidR="00865C25" w:rsidRPr="001C6C77" w:rsidRDefault="00865C25" w:rsidP="001A6611">
            <w:pPr>
              <w:pStyle w:val="TableHeading"/>
              <w:jc w:val="center"/>
            </w:pPr>
            <w:r w:rsidRPr="001C6C77">
              <w:t>Impact</w:t>
            </w:r>
            <w:r>
              <w:br/>
            </w:r>
            <w:r w:rsidRPr="001C6C77">
              <w:t>Base case: $</w:t>
            </w:r>
            <w:r>
              <w:t>7,496</w:t>
            </w:r>
            <w:r w:rsidRPr="001C6C77">
              <w:t xml:space="preserve"> per additional patient eligible for </w:t>
            </w:r>
            <w:r>
              <w:t>TT</w:t>
            </w:r>
          </w:p>
        </w:tc>
      </w:tr>
      <w:bookmarkEnd w:id="32"/>
      <w:tr w:rsidR="00865C25" w:rsidRPr="001C6C77" w14:paraId="6296EBCB" w14:textId="77777777" w:rsidTr="001A6611">
        <w:tc>
          <w:tcPr>
            <w:tcW w:w="784" w:type="pct"/>
            <w:shd w:val="clear" w:color="auto" w:fill="auto"/>
          </w:tcPr>
          <w:p w14:paraId="6892C7AC" w14:textId="77777777" w:rsidR="00865C25" w:rsidRPr="001C6C77" w:rsidRDefault="00865C25" w:rsidP="001A6611">
            <w:pPr>
              <w:pStyle w:val="TableText"/>
              <w:keepNext/>
            </w:pPr>
            <w:r w:rsidRPr="001C6C77">
              <w:t>Proportion patients with advanced disease (inc. those who progress)</w:t>
            </w:r>
          </w:p>
        </w:tc>
        <w:tc>
          <w:tcPr>
            <w:tcW w:w="2279" w:type="pct"/>
            <w:shd w:val="clear" w:color="auto" w:fill="auto"/>
          </w:tcPr>
          <w:p w14:paraId="6202F3B7" w14:textId="77777777" w:rsidR="00865C25" w:rsidRPr="001C6C77" w:rsidRDefault="00865C25" w:rsidP="001A6611">
            <w:pPr>
              <w:pStyle w:val="TableText"/>
              <w:keepNext/>
            </w:pPr>
            <w:r w:rsidRPr="001C6C77">
              <w:t xml:space="preserve">Distribution of stage at diagnosis was based on a retrospective analysis of Victorian Cancer Registry data (Mitchell et al. </w:t>
            </w:r>
            <w:proofErr w:type="gramStart"/>
            <w:r w:rsidRPr="001C6C77">
              <w:t>2013)</w:t>
            </w:r>
            <w:r w:rsidRPr="008542F6">
              <w:rPr>
                <w:vertAlign w:val="superscript"/>
              </w:rPr>
              <w:t>a</w:t>
            </w:r>
            <w:proofErr w:type="gramEnd"/>
            <w:r w:rsidRPr="001C6C77">
              <w:t>; 65.5% were advanced at diagnosis. Of those diagnosed with Stages I−IIIA disease, 30% are assumed to experience progression. Therefore, 75.9% of patients diagnosed with non-squamous NSCLC are modelled to have (or reach) an advanced disease stage.</w:t>
            </w:r>
          </w:p>
        </w:tc>
        <w:tc>
          <w:tcPr>
            <w:tcW w:w="1937" w:type="pct"/>
            <w:shd w:val="clear" w:color="auto" w:fill="auto"/>
          </w:tcPr>
          <w:p w14:paraId="264C9257" w14:textId="77777777" w:rsidR="00865C25" w:rsidRPr="001C6C77" w:rsidRDefault="00865C25" w:rsidP="001A6611">
            <w:pPr>
              <w:pStyle w:val="TableText"/>
              <w:keepNext/>
            </w:pPr>
            <w:r w:rsidRPr="001C6C77">
              <w:t xml:space="preserve">The proportion is uncertain. The ICER is </w:t>
            </w:r>
            <w:r>
              <w:t xml:space="preserve">highly </w:t>
            </w:r>
            <w:r w:rsidRPr="001C6C77">
              <w:t>sensitive to changes in this estimate. Increasing the proportion to 100% reduces the ICER to $</w:t>
            </w:r>
            <w:r>
              <w:t>941</w:t>
            </w:r>
            <w:r w:rsidRPr="001C6C77">
              <w:t xml:space="preserve"> per additional patient eligible for TT, whereas decreasing this to 50%, increases the ICER to $</w:t>
            </w:r>
            <w:r>
              <w:t>21,530.</w:t>
            </w:r>
          </w:p>
        </w:tc>
      </w:tr>
      <w:tr w:rsidR="00865C25" w:rsidRPr="00CE28E3" w14:paraId="5C8284A6" w14:textId="77777777" w:rsidTr="001A6611">
        <w:tc>
          <w:tcPr>
            <w:tcW w:w="784" w:type="pct"/>
            <w:shd w:val="clear" w:color="auto" w:fill="auto"/>
          </w:tcPr>
          <w:p w14:paraId="52E0C2EE" w14:textId="77777777" w:rsidR="00865C25" w:rsidRPr="00096645" w:rsidRDefault="00865C25" w:rsidP="001A6611">
            <w:pPr>
              <w:pStyle w:val="TableText"/>
              <w:keepNext/>
            </w:pPr>
            <w:r>
              <w:t>Small gene panel concordance</w:t>
            </w:r>
          </w:p>
        </w:tc>
        <w:tc>
          <w:tcPr>
            <w:tcW w:w="2279" w:type="pct"/>
            <w:shd w:val="clear" w:color="auto" w:fill="auto"/>
          </w:tcPr>
          <w:p w14:paraId="13A30BCA" w14:textId="77777777" w:rsidR="00865C25" w:rsidRPr="00096645" w:rsidRDefault="00865C25" w:rsidP="001A6611">
            <w:pPr>
              <w:pStyle w:val="TableText"/>
              <w:keepNext/>
            </w:pPr>
            <w:r>
              <w:t xml:space="preserve">Based on the systematic literature review of concordance conducted during the clinical evaluation. Given differences between the comparator used for </w:t>
            </w:r>
            <w:r w:rsidRPr="00EF55F9">
              <w:rPr>
                <w:i/>
              </w:rPr>
              <w:t>ALK</w:t>
            </w:r>
            <w:r>
              <w:t xml:space="preserve"> concordance (FISH ± IHC, with varied definitions of FISH positivity) in the meta-analysis, the data most aligned with the clinical utility standard was used in the base economic analysis.</w:t>
            </w:r>
          </w:p>
        </w:tc>
        <w:tc>
          <w:tcPr>
            <w:tcW w:w="1937" w:type="pct"/>
            <w:shd w:val="clear" w:color="auto" w:fill="auto"/>
          </w:tcPr>
          <w:p w14:paraId="71080A5D" w14:textId="77777777" w:rsidR="00865C25" w:rsidRPr="00096645" w:rsidRDefault="00865C25" w:rsidP="001A6611">
            <w:pPr>
              <w:pStyle w:val="TableText"/>
              <w:keepNext/>
            </w:pPr>
            <w:r>
              <w:t xml:space="preserve">The analyses were highly sensitive to the NPA values used (as these determine the incremental variants identified through small gene panel testing). The ICER was most sensitive to </w:t>
            </w:r>
            <w:r>
              <w:rPr>
                <w:i/>
              </w:rPr>
              <w:t xml:space="preserve">EGFR </w:t>
            </w:r>
            <w:r>
              <w:t>NPA values, where the range in ICERs observed was $4,562−$18,168 per additional patient eligible for TT.</w:t>
            </w:r>
          </w:p>
        </w:tc>
      </w:tr>
      <w:tr w:rsidR="00865C25" w:rsidRPr="00CE28E3" w14:paraId="0D40D9C6" w14:textId="77777777" w:rsidTr="001A6611">
        <w:tc>
          <w:tcPr>
            <w:tcW w:w="784" w:type="pct"/>
            <w:shd w:val="clear" w:color="auto" w:fill="auto"/>
          </w:tcPr>
          <w:p w14:paraId="1627BFAE" w14:textId="77777777" w:rsidR="00865C25" w:rsidRDefault="00865C25" w:rsidP="001A6611">
            <w:pPr>
              <w:pStyle w:val="TableText"/>
              <w:keepNext/>
            </w:pPr>
            <w:r>
              <w:t>RNA panel use</w:t>
            </w:r>
          </w:p>
        </w:tc>
        <w:tc>
          <w:tcPr>
            <w:tcW w:w="2279" w:type="pct"/>
            <w:shd w:val="clear" w:color="auto" w:fill="auto"/>
          </w:tcPr>
          <w:p w14:paraId="0DF134DB" w14:textId="77777777" w:rsidR="00865C25" w:rsidRDefault="00865C25" w:rsidP="001A6611">
            <w:pPr>
              <w:pStyle w:val="TableText"/>
              <w:keepNext/>
            </w:pPr>
            <w:r>
              <w:t xml:space="preserve">Where separate DNA then RNA panels are used, only those without </w:t>
            </w:r>
            <w:r w:rsidRPr="006263EF">
              <w:rPr>
                <w:i/>
              </w:rPr>
              <w:t>EGFR</w:t>
            </w:r>
            <w:r>
              <w:t xml:space="preserve">, </w:t>
            </w:r>
            <w:r w:rsidRPr="006263EF">
              <w:rPr>
                <w:i/>
              </w:rPr>
              <w:t>MET</w:t>
            </w:r>
            <w:r>
              <w:t xml:space="preserve">, </w:t>
            </w:r>
            <w:r w:rsidRPr="006263EF">
              <w:rPr>
                <w:i/>
              </w:rPr>
              <w:t>KRAS</w:t>
            </w:r>
            <w:r>
              <w:t xml:space="preserve"> and </w:t>
            </w:r>
            <w:r w:rsidRPr="006263EF">
              <w:rPr>
                <w:i/>
              </w:rPr>
              <w:t>BRAF</w:t>
            </w:r>
            <w:r>
              <w:t xml:space="preserve"> variants are assumed to receive further RNA panel testing (as per the proposed item descriptor).</w:t>
            </w:r>
          </w:p>
        </w:tc>
        <w:tc>
          <w:tcPr>
            <w:tcW w:w="1937" w:type="pct"/>
            <w:shd w:val="clear" w:color="auto" w:fill="auto"/>
          </w:tcPr>
          <w:p w14:paraId="79856356" w14:textId="77777777" w:rsidR="00865C25" w:rsidRDefault="00865C25" w:rsidP="001A6611">
            <w:pPr>
              <w:pStyle w:val="TableText"/>
              <w:keepNext/>
            </w:pPr>
            <w:r>
              <w:t xml:space="preserve">The analysis is highly sensitive to this assumption. Where testing is allowed in those with </w:t>
            </w:r>
            <w:r w:rsidRPr="006263EF">
              <w:rPr>
                <w:i/>
              </w:rPr>
              <w:t>KRAS</w:t>
            </w:r>
            <w:r>
              <w:t xml:space="preserve"> and </w:t>
            </w:r>
            <w:r w:rsidRPr="006263EF">
              <w:rPr>
                <w:i/>
              </w:rPr>
              <w:t>BRAF</w:t>
            </w:r>
            <w:r>
              <w:t xml:space="preserve"> variants, the ICER per additional patient eligible for TT increases to $13,627.</w:t>
            </w:r>
          </w:p>
        </w:tc>
      </w:tr>
      <w:tr w:rsidR="00865C25" w:rsidRPr="00CE28E3" w14:paraId="29372BB2" w14:textId="77777777" w:rsidTr="001A6611">
        <w:tc>
          <w:tcPr>
            <w:tcW w:w="784" w:type="pct"/>
            <w:shd w:val="clear" w:color="auto" w:fill="auto"/>
          </w:tcPr>
          <w:p w14:paraId="0BEF3A67" w14:textId="77777777" w:rsidR="00865C25" w:rsidRPr="00096645" w:rsidRDefault="00865C25" w:rsidP="001A6611">
            <w:pPr>
              <w:pStyle w:val="TableText"/>
              <w:keepNext/>
            </w:pPr>
            <w:r w:rsidRPr="00096645">
              <w:t>Test success</w:t>
            </w:r>
          </w:p>
        </w:tc>
        <w:tc>
          <w:tcPr>
            <w:tcW w:w="2279" w:type="pct"/>
            <w:shd w:val="clear" w:color="auto" w:fill="auto"/>
          </w:tcPr>
          <w:p w14:paraId="73A0411B" w14:textId="77777777" w:rsidR="00865C25" w:rsidRDefault="00865C25" w:rsidP="001A6611">
            <w:pPr>
              <w:pStyle w:val="TableText"/>
              <w:keepNext/>
            </w:pPr>
            <w:r>
              <w:t xml:space="preserve">Based on </w:t>
            </w:r>
            <w:proofErr w:type="spellStart"/>
            <w:r>
              <w:t>Steeghs</w:t>
            </w:r>
            <w:proofErr w:type="spellEnd"/>
            <w:r>
              <w:t xml:space="preserve"> et al. (</w:t>
            </w:r>
            <w:proofErr w:type="gramStart"/>
            <w:r>
              <w:t>2022)</w:t>
            </w:r>
            <w:r w:rsidRPr="008542F6">
              <w:rPr>
                <w:vertAlign w:val="superscript"/>
              </w:rPr>
              <w:t>b</w:t>
            </w:r>
            <w:proofErr w:type="gramEnd"/>
            <w:r>
              <w:t>:</w:t>
            </w:r>
          </w:p>
          <w:p w14:paraId="65EE91C8" w14:textId="77777777" w:rsidR="00865C25" w:rsidRPr="00096645" w:rsidRDefault="00865C25" w:rsidP="00764FCE">
            <w:pPr>
              <w:pStyle w:val="TableText"/>
              <w:keepNext/>
              <w:numPr>
                <w:ilvl w:val="0"/>
                <w:numId w:val="19"/>
              </w:numPr>
            </w:pPr>
            <w:r w:rsidRPr="00096645">
              <w:t>Small gene panel testing: 97.2%</w:t>
            </w:r>
          </w:p>
          <w:p w14:paraId="0C5B91EE" w14:textId="77777777" w:rsidR="00865C25" w:rsidRPr="00096645" w:rsidRDefault="00865C25" w:rsidP="00764FCE">
            <w:pPr>
              <w:pStyle w:val="TableText"/>
              <w:keepNext/>
              <w:numPr>
                <w:ilvl w:val="0"/>
                <w:numId w:val="19"/>
              </w:numPr>
            </w:pPr>
            <w:r w:rsidRPr="00096645">
              <w:t>Single gene testing: 94.6%</w:t>
            </w:r>
          </w:p>
        </w:tc>
        <w:tc>
          <w:tcPr>
            <w:tcW w:w="1937" w:type="pct"/>
            <w:shd w:val="clear" w:color="auto" w:fill="auto"/>
          </w:tcPr>
          <w:p w14:paraId="2FFA1CFF" w14:textId="77777777" w:rsidR="00865C25" w:rsidRPr="00096645" w:rsidRDefault="00865C25" w:rsidP="001A6611">
            <w:pPr>
              <w:pStyle w:val="TableText"/>
              <w:keepNext/>
            </w:pPr>
            <w:r>
              <w:t>The ICER is moderately sensitive to the difference between strategies. Where there is no difference, the ICER increases to $12,829 per additional patient eligible for TT, however when the difference doubles (from 2.6% to 5.2%), the ICER decreases to $2,731.</w:t>
            </w:r>
          </w:p>
        </w:tc>
      </w:tr>
      <w:tr w:rsidR="00865C25" w:rsidRPr="00CE28E3" w14:paraId="0497CD83" w14:textId="77777777" w:rsidTr="001A6611">
        <w:tc>
          <w:tcPr>
            <w:tcW w:w="784" w:type="pct"/>
            <w:shd w:val="clear" w:color="auto" w:fill="auto"/>
          </w:tcPr>
          <w:p w14:paraId="449402F6" w14:textId="77777777" w:rsidR="00865C25" w:rsidRDefault="00865C25" w:rsidP="001A6611">
            <w:pPr>
              <w:pStyle w:val="TableText"/>
              <w:keepNext/>
            </w:pPr>
            <w:r>
              <w:t>Rebiopsy</w:t>
            </w:r>
          </w:p>
        </w:tc>
        <w:tc>
          <w:tcPr>
            <w:tcW w:w="2279" w:type="pct"/>
            <w:shd w:val="clear" w:color="auto" w:fill="auto"/>
          </w:tcPr>
          <w:p w14:paraId="7D427327" w14:textId="77777777" w:rsidR="00865C25" w:rsidRDefault="00865C25" w:rsidP="001A6611">
            <w:pPr>
              <w:pStyle w:val="TableText"/>
              <w:keepNext/>
            </w:pPr>
            <w:r>
              <w:t xml:space="preserve">100% where testing was not successful. Rebiopsy was associated with a 20% failure rate (Kelly et al. </w:t>
            </w:r>
            <w:proofErr w:type="gramStart"/>
            <w:r>
              <w:t>2019)</w:t>
            </w:r>
            <w:r w:rsidRPr="008542F6">
              <w:rPr>
                <w:vertAlign w:val="superscript"/>
              </w:rPr>
              <w:t>c</w:t>
            </w:r>
            <w:proofErr w:type="gramEnd"/>
            <w:r>
              <w:t xml:space="preserve"> and a 14% complication rate (1161 PSD, November 2012 MSAC Meeting).</w:t>
            </w:r>
          </w:p>
          <w:p w14:paraId="79488C8F" w14:textId="77777777" w:rsidR="00865C25" w:rsidRDefault="00865C25" w:rsidP="001A6611">
            <w:pPr>
              <w:pStyle w:val="TableText"/>
              <w:keepNext/>
            </w:pPr>
            <w:r>
              <w:t xml:space="preserve">The base case assumed all </w:t>
            </w:r>
            <w:proofErr w:type="spellStart"/>
            <w:r>
              <w:t>rebiopsies</w:t>
            </w:r>
            <w:proofErr w:type="spellEnd"/>
            <w:r>
              <w:t xml:space="preserve"> occurred in the outpatient setting, with cost based on AR-DRG E42A, B and C.</w:t>
            </w:r>
          </w:p>
        </w:tc>
        <w:tc>
          <w:tcPr>
            <w:tcW w:w="1937" w:type="pct"/>
            <w:shd w:val="clear" w:color="auto" w:fill="auto"/>
          </w:tcPr>
          <w:p w14:paraId="6F4551A4" w14:textId="77777777" w:rsidR="00865C25" w:rsidRDefault="00865C25" w:rsidP="001A6611">
            <w:pPr>
              <w:pStyle w:val="TableText"/>
              <w:keepNext/>
            </w:pPr>
            <w:r>
              <w:t>The analysis was moderately sensitive to the uptake of rebiopsy and to a lesser extent, cost. Reducing the rebiopsy rate to 60% increased the ICER per additional patient eligible for TT to $9,161.</w:t>
            </w:r>
          </w:p>
          <w:p w14:paraId="5159FEFB" w14:textId="77777777" w:rsidR="00865C25" w:rsidRDefault="00865C25" w:rsidP="001A6611">
            <w:pPr>
              <w:pStyle w:val="TableText"/>
              <w:keepNext/>
            </w:pPr>
            <w:r>
              <w:t xml:space="preserve">Assuming all </w:t>
            </w:r>
            <w:proofErr w:type="spellStart"/>
            <w:r>
              <w:t>rebiopsies</w:t>
            </w:r>
            <w:proofErr w:type="spellEnd"/>
            <w:r>
              <w:t xml:space="preserve"> occur in an outpatient setting increased the ICER to $9,475</w:t>
            </w:r>
          </w:p>
        </w:tc>
      </w:tr>
    </w:tbl>
    <w:bookmarkEnd w:id="33"/>
    <w:p w14:paraId="4EB3C466" w14:textId="48574368" w:rsidR="00865C25" w:rsidRDefault="00865C25" w:rsidP="00865C25">
      <w:pPr>
        <w:pStyle w:val="TableFooter"/>
      </w:pPr>
      <w:r w:rsidRPr="008542F6">
        <w:rPr>
          <w:vertAlign w:val="superscript"/>
        </w:rPr>
        <w:t>a</w:t>
      </w:r>
      <w:r>
        <w:t xml:space="preserve"> </w:t>
      </w:r>
      <w:r w:rsidRPr="008542F6">
        <w:t xml:space="preserve">Mitchell, PL, </w:t>
      </w:r>
      <w:r w:rsidR="00D61C70">
        <w:t>et al.</w:t>
      </w:r>
      <w:r w:rsidRPr="008542F6">
        <w:t xml:space="preserve"> </w:t>
      </w:r>
      <w:r w:rsidR="00D61C70">
        <w:t>(</w:t>
      </w:r>
      <w:r w:rsidRPr="008542F6">
        <w:t>2013</w:t>
      </w:r>
      <w:r w:rsidR="00D61C70">
        <w:t>)</w:t>
      </w:r>
      <w:r w:rsidRPr="008542F6">
        <w:t xml:space="preserve">, 'Lung cancer in Victoria: are we making progress?', </w:t>
      </w:r>
      <w:r w:rsidRPr="00121596">
        <w:rPr>
          <w:i/>
          <w:iCs/>
        </w:rPr>
        <w:t>Med J Aust</w:t>
      </w:r>
      <w:r w:rsidRPr="008542F6">
        <w:t xml:space="preserve">, vol. </w:t>
      </w:r>
      <w:r w:rsidRPr="00121596">
        <w:rPr>
          <w:b/>
          <w:bCs/>
        </w:rPr>
        <w:t>199</w:t>
      </w:r>
      <w:r w:rsidRPr="008542F6">
        <w:t>, no. 10, Nov 18, pp. 674-679.</w:t>
      </w:r>
    </w:p>
    <w:p w14:paraId="61826487" w14:textId="65CD7253" w:rsidR="00865C25" w:rsidRDefault="00865C25" w:rsidP="00865C25">
      <w:pPr>
        <w:pStyle w:val="TableFooter"/>
      </w:pPr>
      <w:r w:rsidRPr="008542F6">
        <w:rPr>
          <w:vertAlign w:val="superscript"/>
        </w:rPr>
        <w:t>b</w:t>
      </w:r>
      <w:r>
        <w:t xml:space="preserve"> </w:t>
      </w:r>
      <w:proofErr w:type="spellStart"/>
      <w:r w:rsidRPr="008542F6">
        <w:t>Steeghs</w:t>
      </w:r>
      <w:proofErr w:type="spellEnd"/>
      <w:r w:rsidRPr="008542F6">
        <w:t xml:space="preserve">, EMP, </w:t>
      </w:r>
      <w:r w:rsidR="00D61C70">
        <w:t>et al.</w:t>
      </w:r>
      <w:r w:rsidRPr="008542F6">
        <w:t xml:space="preserve"> </w:t>
      </w:r>
      <w:r w:rsidR="00D61C70">
        <w:t>(</w:t>
      </w:r>
      <w:r w:rsidRPr="008542F6">
        <w:t>2022</w:t>
      </w:r>
      <w:r w:rsidR="00D61C70">
        <w:t>)</w:t>
      </w:r>
      <w:r w:rsidRPr="008542F6">
        <w:t>, 'Mutation-tailored treatment selection in non-small cell lung cancer patients in daily clinical practice', Lung Cancer, vol. 167, May, pp. 87-97.</w:t>
      </w:r>
    </w:p>
    <w:p w14:paraId="62578953" w14:textId="607F889D" w:rsidR="00865C25" w:rsidRPr="008542F6" w:rsidRDefault="00865C25" w:rsidP="00865C25">
      <w:pPr>
        <w:pStyle w:val="TableFooter"/>
      </w:pPr>
      <w:r w:rsidRPr="008542F6">
        <w:rPr>
          <w:vertAlign w:val="superscript"/>
        </w:rPr>
        <w:t>c</w:t>
      </w:r>
      <w:r>
        <w:t xml:space="preserve"> </w:t>
      </w:r>
      <w:r w:rsidRPr="008542F6">
        <w:t xml:space="preserve">Kelly, RJ, </w:t>
      </w:r>
      <w:r w:rsidR="00D61C70">
        <w:t>et al. (</w:t>
      </w:r>
      <w:r w:rsidRPr="008542F6">
        <w:t>2019</w:t>
      </w:r>
      <w:r w:rsidR="00D61C70">
        <w:t>)</w:t>
      </w:r>
      <w:r w:rsidRPr="008542F6">
        <w:t xml:space="preserve">, 'Complications and Economic Burden Associated </w:t>
      </w:r>
      <w:proofErr w:type="gramStart"/>
      <w:r w:rsidRPr="008542F6">
        <w:t>With</w:t>
      </w:r>
      <w:proofErr w:type="gramEnd"/>
      <w:r w:rsidRPr="008542F6">
        <w:t xml:space="preserve"> Obtaining Tissue for Diagnosis and Molecular Analysis in Patients With Non-Small-Cell Lung Cancer in the United States', </w:t>
      </w:r>
      <w:r w:rsidRPr="00121596">
        <w:rPr>
          <w:i/>
          <w:iCs/>
        </w:rPr>
        <w:t xml:space="preserve">J Oncol </w:t>
      </w:r>
      <w:proofErr w:type="spellStart"/>
      <w:r w:rsidRPr="00121596">
        <w:rPr>
          <w:i/>
          <w:iCs/>
        </w:rPr>
        <w:t>Pract</w:t>
      </w:r>
      <w:proofErr w:type="spellEnd"/>
      <w:r w:rsidRPr="008542F6">
        <w:t xml:space="preserve">, vol. </w:t>
      </w:r>
      <w:r w:rsidRPr="00121596">
        <w:rPr>
          <w:b/>
          <w:bCs/>
        </w:rPr>
        <w:t>15</w:t>
      </w:r>
      <w:r w:rsidRPr="008542F6">
        <w:t>, no. 8, Aug, pp. e717-e727.</w:t>
      </w:r>
    </w:p>
    <w:p w14:paraId="533C1FC6" w14:textId="1A4D75C4" w:rsidR="00865C25" w:rsidRDefault="00865C25" w:rsidP="00865C25">
      <w:pPr>
        <w:pStyle w:val="TableFooter"/>
      </w:pPr>
      <w:r>
        <w:rPr>
          <w:i/>
        </w:rPr>
        <w:t>ALK</w:t>
      </w:r>
      <w:r>
        <w:t xml:space="preserve"> = </w:t>
      </w:r>
      <w:r w:rsidR="00C925AE">
        <w:t>ALK receptor tyrosine kinase</w:t>
      </w:r>
      <w:r>
        <w:t xml:space="preserve">; </w:t>
      </w:r>
      <w:r w:rsidRPr="00152F12">
        <w:rPr>
          <w:i/>
        </w:rPr>
        <w:t>BRAF</w:t>
      </w:r>
      <w:r>
        <w:t xml:space="preserve"> = </w:t>
      </w:r>
      <w:r w:rsidR="00D61C70" w:rsidRPr="00D61C70">
        <w:t>B-Raf proto-oncogene, serine/threonine kinase</w:t>
      </w:r>
      <w:r>
        <w:t xml:space="preserve">; DNA = deoxyribose nucleic acid; </w:t>
      </w:r>
      <w:r w:rsidRPr="00A81F01">
        <w:rPr>
          <w:i/>
        </w:rPr>
        <w:t>EGFR</w:t>
      </w:r>
      <w:r>
        <w:t xml:space="preserve"> = </w:t>
      </w:r>
      <w:r w:rsidRPr="00A81F01">
        <w:t>epidermal growth factor receptor</w:t>
      </w:r>
      <w:r>
        <w:t>; FISH = f</w:t>
      </w:r>
      <w:r w:rsidRPr="003316EF">
        <w:t xml:space="preserve">luorescence </w:t>
      </w:r>
      <w:r w:rsidRPr="00956452">
        <w:rPr>
          <w:i/>
        </w:rPr>
        <w:t>in situ</w:t>
      </w:r>
      <w:r w:rsidRPr="003316EF">
        <w:t xml:space="preserve"> hybridisation</w:t>
      </w:r>
      <w:r>
        <w:t xml:space="preserve">; ICER = incremental cost-effectiveness ratio; IHC = immunohistochemistry; </w:t>
      </w:r>
      <w:r w:rsidRPr="000B3989">
        <w:rPr>
          <w:i/>
          <w:iCs/>
        </w:rPr>
        <w:t>KRAS</w:t>
      </w:r>
      <w:r w:rsidRPr="00B52D8D">
        <w:t xml:space="preserve"> = </w:t>
      </w:r>
      <w:r w:rsidR="00420DE8" w:rsidRPr="00D61C70">
        <w:t>KRAS proto-oncogene, GTPase</w:t>
      </w:r>
      <w:r>
        <w:t xml:space="preserve">; </w:t>
      </w:r>
      <w:r w:rsidRPr="00CE4DC5">
        <w:rPr>
          <w:i/>
        </w:rPr>
        <w:t>MET</w:t>
      </w:r>
      <w:r w:rsidRPr="00CE4DC5">
        <w:t xml:space="preserve"> =</w:t>
      </w:r>
      <w:r>
        <w:t xml:space="preserve"> </w:t>
      </w:r>
      <w:r w:rsidR="00420DE8" w:rsidRPr="00420DE8">
        <w:rPr>
          <w:szCs w:val="18"/>
        </w:rPr>
        <w:t>MET proto-oncogene, receptor tyrosine kinase</w:t>
      </w:r>
      <w:r>
        <w:rPr>
          <w:szCs w:val="18"/>
        </w:rPr>
        <w:t xml:space="preserve">; </w:t>
      </w:r>
      <w:r>
        <w:t>NPA = negative percent agreement; NSCLC = non-small cell lung cancer; RNA = ribonucleic acid; TT = targeted therapy.</w:t>
      </w:r>
    </w:p>
    <w:p w14:paraId="449BDAFA" w14:textId="77777777" w:rsidR="00865C25" w:rsidRDefault="00865C25" w:rsidP="00F938D7">
      <w:pPr>
        <w:spacing w:before="240"/>
      </w:pPr>
      <w:r w:rsidRPr="00CE28E3">
        <w:t xml:space="preserve">The results of key sensitivity analyses are </w:t>
      </w:r>
      <w:r w:rsidRPr="00F529F9">
        <w:t>presented in</w:t>
      </w:r>
      <w:r>
        <w:t xml:space="preserve"> </w:t>
      </w:r>
      <w:r>
        <w:fldChar w:fldCharType="begin"/>
      </w:r>
      <w:r>
        <w:instrText xml:space="preserve"> REF _Ref69726347 \h </w:instrText>
      </w:r>
      <w:r>
        <w:fldChar w:fldCharType="separate"/>
      </w:r>
      <w:r w:rsidRPr="00CE28E3">
        <w:t>Table</w:t>
      </w:r>
      <w:r>
        <w:t> </w:t>
      </w:r>
      <w:r>
        <w:rPr>
          <w:noProof/>
        </w:rPr>
        <w:t>13</w:t>
      </w:r>
      <w:r>
        <w:fldChar w:fldCharType="end"/>
      </w:r>
      <w:r w:rsidRPr="00CE28E3">
        <w:t>.</w:t>
      </w:r>
    </w:p>
    <w:p w14:paraId="2A2C7FD0" w14:textId="77777777" w:rsidR="00865C25" w:rsidRPr="00CE28E3" w:rsidRDefault="00865C25" w:rsidP="00865C25">
      <w:pPr>
        <w:pStyle w:val="Caption"/>
      </w:pPr>
      <w:bookmarkStart w:id="34" w:name="_Ref69726347"/>
      <w:r w:rsidRPr="00CE28E3">
        <w:lastRenderedPageBreak/>
        <w:t>Table</w:t>
      </w:r>
      <w:r>
        <w:t> </w:t>
      </w:r>
      <w:r w:rsidR="007F7A58">
        <w:fldChar w:fldCharType="begin"/>
      </w:r>
      <w:r w:rsidR="007F7A58">
        <w:instrText xml:space="preserve"> SEQ Table \* ARABIC </w:instrText>
      </w:r>
      <w:r w:rsidR="007F7A58">
        <w:fldChar w:fldCharType="separate"/>
      </w:r>
      <w:r>
        <w:rPr>
          <w:noProof/>
        </w:rPr>
        <w:t>13</w:t>
      </w:r>
      <w:r w:rsidR="007F7A58">
        <w:rPr>
          <w:noProof/>
        </w:rPr>
        <w:fldChar w:fldCharType="end"/>
      </w:r>
      <w:bookmarkEnd w:id="34"/>
      <w:r w:rsidRPr="00CE28E3">
        <w:tab/>
      </w:r>
      <w:r w:rsidRPr="00F529F9">
        <w:t>Results of the key sensitivity analyses</w:t>
      </w:r>
    </w:p>
    <w:tbl>
      <w:tblPr>
        <w:tblStyle w:val="TableGrid1"/>
        <w:tblW w:w="5000" w:type="pct"/>
        <w:tblLayout w:type="fixed"/>
        <w:tblLook w:val="04A0" w:firstRow="1" w:lastRow="0" w:firstColumn="1" w:lastColumn="0" w:noHBand="0" w:noVBand="1"/>
        <w:tblCaption w:val="Results of the key sensitivity analyses"/>
        <w:tblDescription w:val="Results of the key sensitivity analyses"/>
      </w:tblPr>
      <w:tblGrid>
        <w:gridCol w:w="4957"/>
        <w:gridCol w:w="1086"/>
        <w:gridCol w:w="1087"/>
        <w:gridCol w:w="1087"/>
        <w:gridCol w:w="799"/>
      </w:tblGrid>
      <w:tr w:rsidR="00865C25" w:rsidRPr="00024EB0" w14:paraId="3D0D94E1" w14:textId="77777777" w:rsidTr="001A6611">
        <w:trPr>
          <w:cnfStyle w:val="100000000000" w:firstRow="1" w:lastRow="0" w:firstColumn="0" w:lastColumn="0" w:oddVBand="0" w:evenVBand="0" w:oddHBand="0" w:evenHBand="0" w:firstRowFirstColumn="0" w:firstRowLastColumn="0" w:lastRowFirstColumn="0" w:lastRowLastColumn="0"/>
          <w:trHeight w:val="900"/>
          <w:tblHeader/>
        </w:trPr>
        <w:tc>
          <w:tcPr>
            <w:tcW w:w="2749" w:type="pct"/>
            <w:noWrap/>
            <w:hideMark/>
          </w:tcPr>
          <w:p w14:paraId="083023FC" w14:textId="77777777" w:rsidR="00865C25" w:rsidRPr="00024EB0" w:rsidRDefault="00865C25" w:rsidP="001A6611">
            <w:pPr>
              <w:pStyle w:val="TableHeading"/>
              <w:keepNext w:val="0"/>
            </w:pPr>
          </w:p>
        </w:tc>
        <w:tc>
          <w:tcPr>
            <w:tcW w:w="602" w:type="pct"/>
            <w:hideMark/>
          </w:tcPr>
          <w:p w14:paraId="39E130B9" w14:textId="77777777" w:rsidR="00865C25" w:rsidRPr="00024EB0" w:rsidRDefault="00865C25" w:rsidP="001A6611">
            <w:pPr>
              <w:pStyle w:val="TableHeading"/>
              <w:keepNext w:val="0"/>
              <w:jc w:val="center"/>
            </w:pPr>
            <w:r w:rsidRPr="00024EB0">
              <w:t>Inc</w:t>
            </w:r>
            <w:r>
              <w:t>.</w:t>
            </w:r>
            <w:r w:rsidRPr="00024EB0">
              <w:t xml:space="preserve"> cost</w:t>
            </w:r>
          </w:p>
        </w:tc>
        <w:tc>
          <w:tcPr>
            <w:tcW w:w="603" w:type="pct"/>
            <w:hideMark/>
          </w:tcPr>
          <w:p w14:paraId="0F16E933" w14:textId="77777777" w:rsidR="00865C25" w:rsidRPr="00024EB0" w:rsidRDefault="00865C25" w:rsidP="001A6611">
            <w:pPr>
              <w:pStyle w:val="TableHeading"/>
              <w:keepNext w:val="0"/>
              <w:jc w:val="center"/>
            </w:pPr>
            <w:r w:rsidRPr="00024EB0">
              <w:t>Inc. eligible for targeted therapy</w:t>
            </w:r>
          </w:p>
        </w:tc>
        <w:tc>
          <w:tcPr>
            <w:tcW w:w="603" w:type="pct"/>
            <w:hideMark/>
          </w:tcPr>
          <w:p w14:paraId="7CFD01A5" w14:textId="77777777" w:rsidR="00865C25" w:rsidRPr="00024EB0" w:rsidRDefault="00865C25" w:rsidP="001A6611">
            <w:pPr>
              <w:pStyle w:val="TableHeading"/>
              <w:keepNext w:val="0"/>
              <w:jc w:val="center"/>
            </w:pPr>
            <w:r>
              <w:t>ICER</w:t>
            </w:r>
          </w:p>
        </w:tc>
        <w:tc>
          <w:tcPr>
            <w:tcW w:w="443" w:type="pct"/>
            <w:noWrap/>
            <w:hideMark/>
          </w:tcPr>
          <w:p w14:paraId="11351905" w14:textId="77777777" w:rsidR="00865C25" w:rsidRPr="00024EB0" w:rsidRDefault="00865C25" w:rsidP="001A6611">
            <w:pPr>
              <w:pStyle w:val="TableHeading"/>
              <w:keepNext w:val="0"/>
              <w:jc w:val="right"/>
            </w:pPr>
            <w:r>
              <w:t xml:space="preserve">% </w:t>
            </w:r>
            <w:proofErr w:type="gramStart"/>
            <w:r>
              <w:t>change</w:t>
            </w:r>
            <w:proofErr w:type="gramEnd"/>
          </w:p>
        </w:tc>
      </w:tr>
      <w:tr w:rsidR="00865C25" w:rsidRPr="00DD0D7A" w14:paraId="797761AA" w14:textId="77777777" w:rsidTr="001A6611">
        <w:trPr>
          <w:cnfStyle w:val="100000000000" w:firstRow="1" w:lastRow="0" w:firstColumn="0" w:lastColumn="0" w:oddVBand="0" w:evenVBand="0" w:oddHBand="0" w:evenHBand="0" w:firstRowFirstColumn="0" w:firstRowLastColumn="0" w:lastRowFirstColumn="0" w:lastRowLastColumn="0"/>
          <w:trHeight w:val="300"/>
          <w:tblHeader/>
        </w:trPr>
        <w:tc>
          <w:tcPr>
            <w:tcW w:w="2749" w:type="pct"/>
            <w:tcBorders>
              <w:bottom w:val="single" w:sz="4" w:space="0" w:color="auto"/>
            </w:tcBorders>
            <w:noWrap/>
            <w:hideMark/>
          </w:tcPr>
          <w:p w14:paraId="4D156131" w14:textId="77777777" w:rsidR="00865C25" w:rsidRPr="00DD0D7A" w:rsidRDefault="00865C25" w:rsidP="001A6611">
            <w:pPr>
              <w:pStyle w:val="TableText"/>
              <w:rPr>
                <w:b/>
              </w:rPr>
            </w:pPr>
            <w:r w:rsidRPr="00DD0D7A">
              <w:rPr>
                <w:b/>
              </w:rPr>
              <w:t>Base case</w:t>
            </w:r>
          </w:p>
        </w:tc>
        <w:tc>
          <w:tcPr>
            <w:tcW w:w="602" w:type="pct"/>
            <w:tcBorders>
              <w:bottom w:val="single" w:sz="4" w:space="0" w:color="auto"/>
            </w:tcBorders>
            <w:noWrap/>
          </w:tcPr>
          <w:p w14:paraId="483E6C64" w14:textId="77777777" w:rsidR="00865C25" w:rsidRPr="00DD0D7A" w:rsidRDefault="00865C25" w:rsidP="001A6611">
            <w:pPr>
              <w:pStyle w:val="TableText"/>
              <w:jc w:val="right"/>
              <w:rPr>
                <w:b/>
              </w:rPr>
            </w:pPr>
            <w:r w:rsidRPr="00DD0D7A">
              <w:rPr>
                <w:b/>
              </w:rPr>
              <w:t>$169.02</w:t>
            </w:r>
          </w:p>
        </w:tc>
        <w:tc>
          <w:tcPr>
            <w:tcW w:w="603" w:type="pct"/>
            <w:tcBorders>
              <w:bottom w:val="single" w:sz="4" w:space="0" w:color="auto"/>
            </w:tcBorders>
            <w:noWrap/>
          </w:tcPr>
          <w:p w14:paraId="1DD11F22" w14:textId="77777777" w:rsidR="00865C25" w:rsidRPr="00DD0D7A" w:rsidRDefault="00865C25" w:rsidP="001A6611">
            <w:pPr>
              <w:pStyle w:val="TableText"/>
              <w:jc w:val="right"/>
              <w:rPr>
                <w:b/>
              </w:rPr>
            </w:pPr>
            <w:r w:rsidRPr="00DD0D7A">
              <w:rPr>
                <w:b/>
              </w:rPr>
              <w:t>0.0225</w:t>
            </w:r>
          </w:p>
        </w:tc>
        <w:tc>
          <w:tcPr>
            <w:tcW w:w="603" w:type="pct"/>
            <w:tcBorders>
              <w:bottom w:val="single" w:sz="4" w:space="0" w:color="auto"/>
            </w:tcBorders>
            <w:noWrap/>
          </w:tcPr>
          <w:p w14:paraId="7AA416EB" w14:textId="77777777" w:rsidR="00865C25" w:rsidRPr="00DD0D7A" w:rsidRDefault="00865C25" w:rsidP="001A6611">
            <w:pPr>
              <w:pStyle w:val="TableText"/>
              <w:jc w:val="right"/>
              <w:rPr>
                <w:b/>
              </w:rPr>
            </w:pPr>
            <w:r w:rsidRPr="00DD0D7A">
              <w:rPr>
                <w:b/>
              </w:rPr>
              <w:t>$7,496</w:t>
            </w:r>
          </w:p>
        </w:tc>
        <w:tc>
          <w:tcPr>
            <w:tcW w:w="443" w:type="pct"/>
            <w:tcBorders>
              <w:bottom w:val="single" w:sz="4" w:space="0" w:color="auto"/>
            </w:tcBorders>
            <w:noWrap/>
          </w:tcPr>
          <w:p w14:paraId="04101EB9" w14:textId="77777777" w:rsidR="00865C25" w:rsidRPr="00DD0D7A" w:rsidRDefault="00865C25" w:rsidP="001A6611">
            <w:pPr>
              <w:pStyle w:val="TableText"/>
              <w:jc w:val="right"/>
              <w:rPr>
                <w:b/>
              </w:rPr>
            </w:pPr>
            <w:r w:rsidRPr="00DD0D7A">
              <w:rPr>
                <w:b/>
              </w:rPr>
              <w:t>−</w:t>
            </w:r>
          </w:p>
        </w:tc>
      </w:tr>
      <w:tr w:rsidR="00865C25" w:rsidRPr="00024EB0" w14:paraId="1D57693F" w14:textId="77777777" w:rsidTr="001A6611">
        <w:trPr>
          <w:trHeight w:val="300"/>
        </w:trPr>
        <w:tc>
          <w:tcPr>
            <w:tcW w:w="2749" w:type="pct"/>
            <w:tcBorders>
              <w:bottom w:val="single" w:sz="4" w:space="0" w:color="auto"/>
              <w:right w:val="nil"/>
            </w:tcBorders>
            <w:noWrap/>
            <w:hideMark/>
          </w:tcPr>
          <w:p w14:paraId="73EABB61" w14:textId="77777777" w:rsidR="00865C25" w:rsidRPr="00024EB0" w:rsidRDefault="00865C25" w:rsidP="001A6611">
            <w:pPr>
              <w:pStyle w:val="TableText"/>
            </w:pPr>
            <w:r w:rsidRPr="00024EB0">
              <w:t>Proportion of patients with advanced disease</w:t>
            </w:r>
            <w:r>
              <w:t xml:space="preserve"> </w:t>
            </w:r>
            <w:r w:rsidRPr="00024EB0">
              <w:t>(base case: 75.9%)</w:t>
            </w:r>
          </w:p>
        </w:tc>
        <w:tc>
          <w:tcPr>
            <w:tcW w:w="602" w:type="pct"/>
            <w:tcBorders>
              <w:left w:val="nil"/>
              <w:bottom w:val="single" w:sz="4" w:space="0" w:color="auto"/>
              <w:right w:val="nil"/>
            </w:tcBorders>
            <w:noWrap/>
          </w:tcPr>
          <w:p w14:paraId="0F236590" w14:textId="77777777" w:rsidR="00865C25" w:rsidRPr="00024EB0" w:rsidRDefault="00865C25" w:rsidP="001A6611">
            <w:pPr>
              <w:pStyle w:val="TableText"/>
              <w:jc w:val="right"/>
            </w:pPr>
          </w:p>
        </w:tc>
        <w:tc>
          <w:tcPr>
            <w:tcW w:w="603" w:type="pct"/>
            <w:tcBorders>
              <w:left w:val="nil"/>
              <w:bottom w:val="single" w:sz="4" w:space="0" w:color="auto"/>
              <w:right w:val="nil"/>
            </w:tcBorders>
            <w:noWrap/>
          </w:tcPr>
          <w:p w14:paraId="5BFBF963" w14:textId="77777777" w:rsidR="00865C25" w:rsidRPr="00024EB0" w:rsidRDefault="00865C25" w:rsidP="001A6611">
            <w:pPr>
              <w:pStyle w:val="TableText"/>
              <w:jc w:val="right"/>
            </w:pPr>
          </w:p>
        </w:tc>
        <w:tc>
          <w:tcPr>
            <w:tcW w:w="603" w:type="pct"/>
            <w:tcBorders>
              <w:left w:val="nil"/>
              <w:bottom w:val="single" w:sz="4" w:space="0" w:color="auto"/>
              <w:right w:val="nil"/>
            </w:tcBorders>
            <w:noWrap/>
          </w:tcPr>
          <w:p w14:paraId="6C9B2E05" w14:textId="77777777" w:rsidR="00865C25" w:rsidRPr="00024EB0" w:rsidRDefault="00865C25" w:rsidP="001A6611">
            <w:pPr>
              <w:pStyle w:val="TableText"/>
              <w:jc w:val="right"/>
            </w:pPr>
          </w:p>
        </w:tc>
        <w:tc>
          <w:tcPr>
            <w:tcW w:w="443" w:type="pct"/>
            <w:tcBorders>
              <w:left w:val="nil"/>
              <w:bottom w:val="single" w:sz="4" w:space="0" w:color="auto"/>
            </w:tcBorders>
            <w:noWrap/>
          </w:tcPr>
          <w:p w14:paraId="1841549A" w14:textId="77777777" w:rsidR="00865C25" w:rsidRPr="00024EB0" w:rsidRDefault="00865C25" w:rsidP="001A6611">
            <w:pPr>
              <w:pStyle w:val="TableText"/>
              <w:jc w:val="right"/>
            </w:pPr>
          </w:p>
        </w:tc>
      </w:tr>
      <w:tr w:rsidR="00865C25" w:rsidRPr="00024EB0" w14:paraId="1002C324" w14:textId="77777777" w:rsidTr="001A6611">
        <w:trPr>
          <w:trHeight w:val="300"/>
        </w:trPr>
        <w:tc>
          <w:tcPr>
            <w:tcW w:w="2749" w:type="pct"/>
            <w:tcBorders>
              <w:bottom w:val="nil"/>
              <w:right w:val="single" w:sz="4" w:space="0" w:color="auto"/>
            </w:tcBorders>
            <w:noWrap/>
          </w:tcPr>
          <w:p w14:paraId="3D6D4C6F" w14:textId="77777777" w:rsidR="00865C25" w:rsidRPr="00024EB0" w:rsidRDefault="00865C25" w:rsidP="001A6611">
            <w:pPr>
              <w:pStyle w:val="TableText"/>
            </w:pPr>
            <w:r>
              <w:t>100%</w:t>
            </w:r>
          </w:p>
        </w:tc>
        <w:tc>
          <w:tcPr>
            <w:tcW w:w="602" w:type="pct"/>
            <w:tcBorders>
              <w:left w:val="single" w:sz="4" w:space="0" w:color="auto"/>
              <w:bottom w:val="nil"/>
              <w:right w:val="single" w:sz="4" w:space="0" w:color="auto"/>
            </w:tcBorders>
            <w:noWrap/>
          </w:tcPr>
          <w:p w14:paraId="251A2128" w14:textId="77777777" w:rsidR="00865C25" w:rsidRPr="00024EB0" w:rsidRDefault="00865C25" w:rsidP="001A6611">
            <w:pPr>
              <w:pStyle w:val="TableText"/>
              <w:jc w:val="right"/>
            </w:pPr>
            <w:r w:rsidRPr="005B2B27">
              <w:t>$27.97</w:t>
            </w:r>
          </w:p>
        </w:tc>
        <w:tc>
          <w:tcPr>
            <w:tcW w:w="603" w:type="pct"/>
            <w:tcBorders>
              <w:left w:val="single" w:sz="4" w:space="0" w:color="auto"/>
              <w:bottom w:val="nil"/>
              <w:right w:val="single" w:sz="4" w:space="0" w:color="auto"/>
            </w:tcBorders>
            <w:noWrap/>
          </w:tcPr>
          <w:p w14:paraId="7676C568" w14:textId="77777777" w:rsidR="00865C25" w:rsidRPr="00024EB0" w:rsidRDefault="00865C25" w:rsidP="001A6611">
            <w:pPr>
              <w:pStyle w:val="TableText"/>
              <w:jc w:val="right"/>
            </w:pPr>
            <w:r w:rsidRPr="005B2B27">
              <w:t>0.0297</w:t>
            </w:r>
          </w:p>
        </w:tc>
        <w:tc>
          <w:tcPr>
            <w:tcW w:w="603" w:type="pct"/>
            <w:tcBorders>
              <w:left w:val="single" w:sz="4" w:space="0" w:color="auto"/>
              <w:bottom w:val="nil"/>
              <w:right w:val="single" w:sz="4" w:space="0" w:color="auto"/>
            </w:tcBorders>
            <w:noWrap/>
          </w:tcPr>
          <w:p w14:paraId="45802ABB" w14:textId="77777777" w:rsidR="00865C25" w:rsidRPr="00024EB0" w:rsidRDefault="00865C25" w:rsidP="001A6611">
            <w:pPr>
              <w:pStyle w:val="TableText"/>
              <w:jc w:val="right"/>
            </w:pPr>
            <w:r w:rsidRPr="005B2B27">
              <w:t>$941</w:t>
            </w:r>
          </w:p>
        </w:tc>
        <w:tc>
          <w:tcPr>
            <w:tcW w:w="443" w:type="pct"/>
            <w:tcBorders>
              <w:left w:val="single" w:sz="4" w:space="0" w:color="auto"/>
              <w:bottom w:val="nil"/>
            </w:tcBorders>
            <w:noWrap/>
          </w:tcPr>
          <w:p w14:paraId="60F41CD3" w14:textId="77777777" w:rsidR="00865C25" w:rsidRPr="00024EB0" w:rsidRDefault="00865C25" w:rsidP="001A6611">
            <w:pPr>
              <w:pStyle w:val="TableText"/>
              <w:jc w:val="right"/>
            </w:pPr>
            <w:r w:rsidRPr="005B2B27">
              <w:t>−87%</w:t>
            </w:r>
          </w:p>
        </w:tc>
      </w:tr>
      <w:tr w:rsidR="00865C25" w:rsidRPr="00024EB0" w14:paraId="635877CC" w14:textId="77777777" w:rsidTr="001A6611">
        <w:trPr>
          <w:trHeight w:val="300"/>
        </w:trPr>
        <w:tc>
          <w:tcPr>
            <w:tcW w:w="2749" w:type="pct"/>
            <w:tcBorders>
              <w:top w:val="nil"/>
              <w:bottom w:val="single" w:sz="4" w:space="0" w:color="auto"/>
              <w:right w:val="single" w:sz="4" w:space="0" w:color="auto"/>
            </w:tcBorders>
            <w:noWrap/>
          </w:tcPr>
          <w:p w14:paraId="5504F28D" w14:textId="77777777" w:rsidR="00865C25" w:rsidRPr="00024EB0" w:rsidRDefault="00865C25" w:rsidP="001A6611">
            <w:pPr>
              <w:pStyle w:val="TableText"/>
            </w:pPr>
            <w:r w:rsidRPr="004802F8">
              <w:t>50%</w:t>
            </w:r>
          </w:p>
        </w:tc>
        <w:tc>
          <w:tcPr>
            <w:tcW w:w="602" w:type="pct"/>
            <w:tcBorders>
              <w:top w:val="nil"/>
              <w:left w:val="single" w:sz="4" w:space="0" w:color="auto"/>
              <w:bottom w:val="single" w:sz="4" w:space="0" w:color="auto"/>
              <w:right w:val="single" w:sz="4" w:space="0" w:color="auto"/>
            </w:tcBorders>
            <w:noWrap/>
          </w:tcPr>
          <w:p w14:paraId="39D9E716" w14:textId="77777777" w:rsidR="00865C25" w:rsidRPr="00024EB0" w:rsidRDefault="00865C25" w:rsidP="001A6611">
            <w:pPr>
              <w:pStyle w:val="TableText"/>
              <w:jc w:val="right"/>
            </w:pPr>
            <w:r w:rsidRPr="005B2B27">
              <w:t>$320.01</w:t>
            </w:r>
          </w:p>
        </w:tc>
        <w:tc>
          <w:tcPr>
            <w:tcW w:w="603" w:type="pct"/>
            <w:tcBorders>
              <w:top w:val="nil"/>
              <w:left w:val="single" w:sz="4" w:space="0" w:color="auto"/>
              <w:bottom w:val="single" w:sz="4" w:space="0" w:color="auto"/>
              <w:right w:val="single" w:sz="4" w:space="0" w:color="auto"/>
            </w:tcBorders>
            <w:noWrap/>
          </w:tcPr>
          <w:p w14:paraId="778304FD" w14:textId="77777777" w:rsidR="00865C25" w:rsidRPr="00024EB0" w:rsidRDefault="00865C25" w:rsidP="001A6611">
            <w:pPr>
              <w:pStyle w:val="TableText"/>
              <w:jc w:val="right"/>
            </w:pPr>
            <w:r w:rsidRPr="005B2B27">
              <w:t>0.0149</w:t>
            </w:r>
          </w:p>
        </w:tc>
        <w:tc>
          <w:tcPr>
            <w:tcW w:w="603" w:type="pct"/>
            <w:tcBorders>
              <w:top w:val="nil"/>
              <w:left w:val="single" w:sz="4" w:space="0" w:color="auto"/>
              <w:bottom w:val="single" w:sz="4" w:space="0" w:color="auto"/>
              <w:right w:val="single" w:sz="4" w:space="0" w:color="auto"/>
            </w:tcBorders>
            <w:noWrap/>
          </w:tcPr>
          <w:p w14:paraId="7863617B" w14:textId="77777777" w:rsidR="00865C25" w:rsidRPr="00024EB0" w:rsidRDefault="00865C25" w:rsidP="001A6611">
            <w:pPr>
              <w:pStyle w:val="TableText"/>
              <w:jc w:val="right"/>
            </w:pPr>
            <w:r w:rsidRPr="005B2B27">
              <w:t>$21,530</w:t>
            </w:r>
          </w:p>
        </w:tc>
        <w:tc>
          <w:tcPr>
            <w:tcW w:w="443" w:type="pct"/>
            <w:tcBorders>
              <w:top w:val="nil"/>
              <w:left w:val="single" w:sz="4" w:space="0" w:color="auto"/>
              <w:bottom w:val="single" w:sz="4" w:space="0" w:color="auto"/>
            </w:tcBorders>
            <w:noWrap/>
          </w:tcPr>
          <w:p w14:paraId="179FAA64" w14:textId="77777777" w:rsidR="00865C25" w:rsidRPr="00024EB0" w:rsidRDefault="00865C25" w:rsidP="001A6611">
            <w:pPr>
              <w:pStyle w:val="TableText"/>
              <w:jc w:val="right"/>
            </w:pPr>
            <w:r w:rsidRPr="005B2B27">
              <w:t>187%</w:t>
            </w:r>
          </w:p>
        </w:tc>
      </w:tr>
      <w:tr w:rsidR="00865C25" w:rsidRPr="00024EB0" w14:paraId="7A6F91B7" w14:textId="77777777" w:rsidTr="001A6611">
        <w:trPr>
          <w:trHeight w:val="300"/>
        </w:trPr>
        <w:tc>
          <w:tcPr>
            <w:tcW w:w="2749" w:type="pct"/>
            <w:tcBorders>
              <w:bottom w:val="single" w:sz="4" w:space="0" w:color="auto"/>
              <w:right w:val="nil"/>
            </w:tcBorders>
            <w:noWrap/>
          </w:tcPr>
          <w:p w14:paraId="53F8B329" w14:textId="77777777" w:rsidR="00865C25" w:rsidRPr="00024EB0" w:rsidRDefault="00865C25" w:rsidP="001A6611">
            <w:pPr>
              <w:pStyle w:val="TableText"/>
            </w:pPr>
            <w:r w:rsidRPr="00024EB0">
              <w:t xml:space="preserve">Timing of </w:t>
            </w:r>
            <w:r w:rsidRPr="00DB3E00">
              <w:rPr>
                <w:i/>
              </w:rPr>
              <w:t>MET</w:t>
            </w:r>
            <w:r w:rsidRPr="00024EB0">
              <w:t>ex14sk testing</w:t>
            </w:r>
            <w:r>
              <w:t xml:space="preserve"> </w:t>
            </w:r>
            <w:r w:rsidRPr="00024EB0">
              <w:t xml:space="preserve">(base case: after </w:t>
            </w:r>
            <w:r w:rsidRPr="00DB3E00">
              <w:rPr>
                <w:i/>
              </w:rPr>
              <w:t>EGFR</w:t>
            </w:r>
            <w:r w:rsidRPr="00024EB0">
              <w:t>)</w:t>
            </w:r>
          </w:p>
        </w:tc>
        <w:tc>
          <w:tcPr>
            <w:tcW w:w="602" w:type="pct"/>
            <w:tcBorders>
              <w:left w:val="nil"/>
              <w:bottom w:val="single" w:sz="4" w:space="0" w:color="auto"/>
              <w:right w:val="nil"/>
            </w:tcBorders>
            <w:noWrap/>
          </w:tcPr>
          <w:p w14:paraId="06FE14DF" w14:textId="77777777" w:rsidR="00865C25" w:rsidRPr="00024EB0" w:rsidRDefault="00865C25" w:rsidP="001A6611">
            <w:pPr>
              <w:pStyle w:val="TableText"/>
              <w:jc w:val="right"/>
            </w:pPr>
          </w:p>
        </w:tc>
        <w:tc>
          <w:tcPr>
            <w:tcW w:w="603" w:type="pct"/>
            <w:tcBorders>
              <w:left w:val="nil"/>
              <w:bottom w:val="single" w:sz="4" w:space="0" w:color="auto"/>
              <w:right w:val="nil"/>
            </w:tcBorders>
            <w:noWrap/>
          </w:tcPr>
          <w:p w14:paraId="5C7374D8" w14:textId="77777777" w:rsidR="00865C25" w:rsidRPr="00024EB0" w:rsidRDefault="00865C25" w:rsidP="001A6611">
            <w:pPr>
              <w:pStyle w:val="TableText"/>
              <w:jc w:val="right"/>
            </w:pPr>
          </w:p>
        </w:tc>
        <w:tc>
          <w:tcPr>
            <w:tcW w:w="603" w:type="pct"/>
            <w:tcBorders>
              <w:left w:val="nil"/>
              <w:bottom w:val="single" w:sz="4" w:space="0" w:color="auto"/>
              <w:right w:val="nil"/>
            </w:tcBorders>
            <w:noWrap/>
          </w:tcPr>
          <w:p w14:paraId="54566765" w14:textId="77777777" w:rsidR="00865C25" w:rsidRPr="00024EB0" w:rsidRDefault="00865C25" w:rsidP="001A6611">
            <w:pPr>
              <w:pStyle w:val="TableText"/>
              <w:jc w:val="right"/>
            </w:pPr>
          </w:p>
        </w:tc>
        <w:tc>
          <w:tcPr>
            <w:tcW w:w="443" w:type="pct"/>
            <w:tcBorders>
              <w:left w:val="nil"/>
              <w:bottom w:val="single" w:sz="4" w:space="0" w:color="auto"/>
            </w:tcBorders>
            <w:noWrap/>
          </w:tcPr>
          <w:p w14:paraId="11C9813C" w14:textId="77777777" w:rsidR="00865C25" w:rsidRPr="00024EB0" w:rsidRDefault="00865C25" w:rsidP="001A6611">
            <w:pPr>
              <w:pStyle w:val="TableText"/>
              <w:jc w:val="right"/>
            </w:pPr>
          </w:p>
        </w:tc>
      </w:tr>
      <w:tr w:rsidR="00865C25" w:rsidRPr="00024EB0" w14:paraId="14695431" w14:textId="77777777" w:rsidTr="001A6611">
        <w:trPr>
          <w:trHeight w:val="300"/>
        </w:trPr>
        <w:tc>
          <w:tcPr>
            <w:tcW w:w="2749" w:type="pct"/>
            <w:tcBorders>
              <w:bottom w:val="nil"/>
              <w:right w:val="single" w:sz="4" w:space="0" w:color="auto"/>
            </w:tcBorders>
            <w:noWrap/>
            <w:hideMark/>
          </w:tcPr>
          <w:p w14:paraId="25361F28" w14:textId="77777777" w:rsidR="00865C25" w:rsidRPr="00024EB0" w:rsidRDefault="00865C25" w:rsidP="001A6611">
            <w:pPr>
              <w:pStyle w:val="TableText"/>
            </w:pPr>
            <w:r>
              <w:t>A</w:t>
            </w:r>
            <w:r w:rsidRPr="00024EB0">
              <w:t xml:space="preserve">t the same time as </w:t>
            </w:r>
            <w:r w:rsidRPr="00DB3E00">
              <w:rPr>
                <w:i/>
              </w:rPr>
              <w:t>EGFR</w:t>
            </w:r>
          </w:p>
        </w:tc>
        <w:tc>
          <w:tcPr>
            <w:tcW w:w="602" w:type="pct"/>
            <w:tcBorders>
              <w:left w:val="single" w:sz="4" w:space="0" w:color="auto"/>
              <w:bottom w:val="nil"/>
              <w:right w:val="single" w:sz="4" w:space="0" w:color="auto"/>
            </w:tcBorders>
            <w:noWrap/>
          </w:tcPr>
          <w:p w14:paraId="2855F6CF" w14:textId="77777777" w:rsidR="00865C25" w:rsidRPr="00024EB0" w:rsidRDefault="00865C25" w:rsidP="001A6611">
            <w:pPr>
              <w:pStyle w:val="TableText"/>
              <w:jc w:val="right"/>
            </w:pPr>
            <w:r w:rsidRPr="005B2B27">
              <w:t>$109.54</w:t>
            </w:r>
          </w:p>
        </w:tc>
        <w:tc>
          <w:tcPr>
            <w:tcW w:w="603" w:type="pct"/>
            <w:tcBorders>
              <w:left w:val="single" w:sz="4" w:space="0" w:color="auto"/>
              <w:bottom w:val="nil"/>
              <w:right w:val="single" w:sz="4" w:space="0" w:color="auto"/>
            </w:tcBorders>
            <w:noWrap/>
          </w:tcPr>
          <w:p w14:paraId="04EA1C4C" w14:textId="77777777" w:rsidR="00865C25" w:rsidRPr="00024EB0" w:rsidRDefault="00865C25" w:rsidP="001A6611">
            <w:pPr>
              <w:pStyle w:val="TableText"/>
              <w:jc w:val="right"/>
            </w:pPr>
            <w:r w:rsidRPr="005B2B27">
              <w:t>0.0225</w:t>
            </w:r>
          </w:p>
        </w:tc>
        <w:tc>
          <w:tcPr>
            <w:tcW w:w="603" w:type="pct"/>
            <w:tcBorders>
              <w:left w:val="single" w:sz="4" w:space="0" w:color="auto"/>
              <w:bottom w:val="nil"/>
              <w:right w:val="single" w:sz="4" w:space="0" w:color="auto"/>
            </w:tcBorders>
            <w:noWrap/>
          </w:tcPr>
          <w:p w14:paraId="244C52D2" w14:textId="77777777" w:rsidR="00865C25" w:rsidRPr="00024EB0" w:rsidRDefault="00865C25" w:rsidP="001A6611">
            <w:pPr>
              <w:pStyle w:val="TableText"/>
              <w:jc w:val="right"/>
            </w:pPr>
            <w:r w:rsidRPr="005B2B27">
              <w:t>$4,858</w:t>
            </w:r>
          </w:p>
        </w:tc>
        <w:tc>
          <w:tcPr>
            <w:tcW w:w="443" w:type="pct"/>
            <w:tcBorders>
              <w:left w:val="single" w:sz="4" w:space="0" w:color="auto"/>
              <w:bottom w:val="nil"/>
            </w:tcBorders>
            <w:noWrap/>
          </w:tcPr>
          <w:p w14:paraId="1F121982" w14:textId="77777777" w:rsidR="00865C25" w:rsidRPr="00024EB0" w:rsidRDefault="00865C25" w:rsidP="001A6611">
            <w:pPr>
              <w:pStyle w:val="TableText"/>
              <w:jc w:val="right"/>
            </w:pPr>
            <w:r w:rsidRPr="005B2B27">
              <w:t>−35%</w:t>
            </w:r>
          </w:p>
        </w:tc>
      </w:tr>
      <w:tr w:rsidR="00865C25" w:rsidRPr="00024EB0" w14:paraId="137606CF" w14:textId="77777777" w:rsidTr="001A6611">
        <w:trPr>
          <w:trHeight w:val="300"/>
        </w:trPr>
        <w:tc>
          <w:tcPr>
            <w:tcW w:w="2749" w:type="pct"/>
            <w:tcBorders>
              <w:top w:val="nil"/>
              <w:bottom w:val="single" w:sz="4" w:space="0" w:color="auto"/>
              <w:right w:val="single" w:sz="4" w:space="0" w:color="auto"/>
            </w:tcBorders>
            <w:noWrap/>
          </w:tcPr>
          <w:p w14:paraId="27CF859D" w14:textId="77777777" w:rsidR="00865C25" w:rsidRDefault="00865C25" w:rsidP="001A6611">
            <w:pPr>
              <w:pStyle w:val="TableText"/>
            </w:pPr>
            <w:r>
              <w:t>After EGFR (excluding block retrieval and consult costs)</w:t>
            </w:r>
          </w:p>
        </w:tc>
        <w:tc>
          <w:tcPr>
            <w:tcW w:w="602" w:type="pct"/>
            <w:tcBorders>
              <w:top w:val="nil"/>
              <w:left w:val="single" w:sz="4" w:space="0" w:color="auto"/>
              <w:bottom w:val="single" w:sz="4" w:space="0" w:color="auto"/>
              <w:right w:val="single" w:sz="4" w:space="0" w:color="auto"/>
            </w:tcBorders>
            <w:noWrap/>
          </w:tcPr>
          <w:p w14:paraId="5F459925" w14:textId="77777777" w:rsidR="00865C25" w:rsidRPr="00024EB0" w:rsidRDefault="00865C25" w:rsidP="001A6611">
            <w:pPr>
              <w:pStyle w:val="TableText"/>
              <w:jc w:val="right"/>
            </w:pPr>
            <w:r w:rsidRPr="005B2B27">
              <w:t>$252.67</w:t>
            </w:r>
          </w:p>
        </w:tc>
        <w:tc>
          <w:tcPr>
            <w:tcW w:w="603" w:type="pct"/>
            <w:tcBorders>
              <w:top w:val="nil"/>
              <w:left w:val="single" w:sz="4" w:space="0" w:color="auto"/>
              <w:bottom w:val="single" w:sz="4" w:space="0" w:color="auto"/>
              <w:right w:val="single" w:sz="4" w:space="0" w:color="auto"/>
            </w:tcBorders>
            <w:noWrap/>
          </w:tcPr>
          <w:p w14:paraId="0C111ABA" w14:textId="77777777" w:rsidR="00865C25" w:rsidRPr="00024EB0" w:rsidRDefault="00865C25" w:rsidP="001A6611">
            <w:pPr>
              <w:pStyle w:val="TableText"/>
              <w:jc w:val="right"/>
            </w:pPr>
            <w:r w:rsidRPr="005B2B27">
              <w:t>0.0225</w:t>
            </w:r>
          </w:p>
        </w:tc>
        <w:tc>
          <w:tcPr>
            <w:tcW w:w="603" w:type="pct"/>
            <w:tcBorders>
              <w:top w:val="nil"/>
              <w:left w:val="single" w:sz="4" w:space="0" w:color="auto"/>
              <w:bottom w:val="single" w:sz="4" w:space="0" w:color="auto"/>
              <w:right w:val="single" w:sz="4" w:space="0" w:color="auto"/>
            </w:tcBorders>
            <w:noWrap/>
          </w:tcPr>
          <w:p w14:paraId="073B15D5" w14:textId="77777777" w:rsidR="00865C25" w:rsidRPr="00024EB0" w:rsidRDefault="00865C25" w:rsidP="001A6611">
            <w:pPr>
              <w:pStyle w:val="TableText"/>
              <w:jc w:val="right"/>
            </w:pPr>
            <w:r w:rsidRPr="005B2B27">
              <w:t>$11,206</w:t>
            </w:r>
          </w:p>
        </w:tc>
        <w:tc>
          <w:tcPr>
            <w:tcW w:w="443" w:type="pct"/>
            <w:tcBorders>
              <w:top w:val="nil"/>
              <w:left w:val="single" w:sz="4" w:space="0" w:color="auto"/>
              <w:bottom w:val="single" w:sz="4" w:space="0" w:color="auto"/>
            </w:tcBorders>
            <w:noWrap/>
          </w:tcPr>
          <w:p w14:paraId="00C15211" w14:textId="77777777" w:rsidR="00865C25" w:rsidRPr="00024EB0" w:rsidRDefault="00865C25" w:rsidP="001A6611">
            <w:pPr>
              <w:pStyle w:val="TableText"/>
              <w:jc w:val="right"/>
            </w:pPr>
            <w:r w:rsidRPr="005B2B27">
              <w:t>49%</w:t>
            </w:r>
          </w:p>
        </w:tc>
      </w:tr>
      <w:tr w:rsidR="00865C25" w:rsidRPr="00024EB0" w14:paraId="0F2E11E2" w14:textId="77777777" w:rsidTr="001A6611">
        <w:trPr>
          <w:trHeight w:val="300"/>
        </w:trPr>
        <w:tc>
          <w:tcPr>
            <w:tcW w:w="2749" w:type="pct"/>
            <w:tcBorders>
              <w:bottom w:val="single" w:sz="4" w:space="0" w:color="auto"/>
              <w:right w:val="nil"/>
            </w:tcBorders>
            <w:noWrap/>
            <w:hideMark/>
          </w:tcPr>
          <w:p w14:paraId="31EFE242" w14:textId="77777777" w:rsidR="00865C25" w:rsidRPr="00024EB0" w:rsidRDefault="00865C25" w:rsidP="001A6611">
            <w:pPr>
              <w:pStyle w:val="TableText"/>
            </w:pPr>
            <w:r w:rsidRPr="00024EB0">
              <w:t>Small gene panel testing strategy (base case: mixed)</w:t>
            </w:r>
          </w:p>
        </w:tc>
        <w:tc>
          <w:tcPr>
            <w:tcW w:w="602" w:type="pct"/>
            <w:tcBorders>
              <w:left w:val="nil"/>
              <w:bottom w:val="single" w:sz="4" w:space="0" w:color="auto"/>
              <w:right w:val="nil"/>
            </w:tcBorders>
            <w:noWrap/>
          </w:tcPr>
          <w:p w14:paraId="5AC7BFA6" w14:textId="77777777" w:rsidR="00865C25" w:rsidRPr="00024EB0" w:rsidRDefault="00865C25" w:rsidP="001A6611">
            <w:pPr>
              <w:pStyle w:val="TableText"/>
              <w:jc w:val="right"/>
            </w:pPr>
          </w:p>
        </w:tc>
        <w:tc>
          <w:tcPr>
            <w:tcW w:w="603" w:type="pct"/>
            <w:tcBorders>
              <w:left w:val="nil"/>
              <w:bottom w:val="single" w:sz="4" w:space="0" w:color="auto"/>
              <w:right w:val="nil"/>
            </w:tcBorders>
            <w:noWrap/>
          </w:tcPr>
          <w:p w14:paraId="3C10384E" w14:textId="77777777" w:rsidR="00865C25" w:rsidRPr="00024EB0" w:rsidRDefault="00865C25" w:rsidP="001A6611">
            <w:pPr>
              <w:pStyle w:val="TableText"/>
              <w:jc w:val="right"/>
            </w:pPr>
          </w:p>
        </w:tc>
        <w:tc>
          <w:tcPr>
            <w:tcW w:w="603" w:type="pct"/>
            <w:tcBorders>
              <w:left w:val="nil"/>
              <w:bottom w:val="single" w:sz="4" w:space="0" w:color="auto"/>
              <w:right w:val="nil"/>
            </w:tcBorders>
            <w:noWrap/>
          </w:tcPr>
          <w:p w14:paraId="554CE732" w14:textId="77777777" w:rsidR="00865C25" w:rsidRPr="00024EB0" w:rsidRDefault="00865C25" w:rsidP="001A6611">
            <w:pPr>
              <w:pStyle w:val="TableText"/>
              <w:jc w:val="right"/>
            </w:pPr>
          </w:p>
        </w:tc>
        <w:tc>
          <w:tcPr>
            <w:tcW w:w="443" w:type="pct"/>
            <w:tcBorders>
              <w:left w:val="nil"/>
              <w:bottom w:val="single" w:sz="4" w:space="0" w:color="auto"/>
            </w:tcBorders>
            <w:noWrap/>
          </w:tcPr>
          <w:p w14:paraId="024E415C" w14:textId="77777777" w:rsidR="00865C25" w:rsidRPr="00024EB0" w:rsidRDefault="00865C25" w:rsidP="001A6611">
            <w:pPr>
              <w:pStyle w:val="TableText"/>
              <w:jc w:val="right"/>
            </w:pPr>
          </w:p>
        </w:tc>
      </w:tr>
      <w:tr w:rsidR="00865C25" w:rsidRPr="00024EB0" w14:paraId="60D12DF6" w14:textId="77777777" w:rsidTr="001A6611">
        <w:trPr>
          <w:trHeight w:val="300"/>
        </w:trPr>
        <w:tc>
          <w:tcPr>
            <w:tcW w:w="2749" w:type="pct"/>
            <w:tcBorders>
              <w:bottom w:val="nil"/>
            </w:tcBorders>
            <w:noWrap/>
            <w:hideMark/>
          </w:tcPr>
          <w:p w14:paraId="7570CC10" w14:textId="77777777" w:rsidR="00865C25" w:rsidRPr="00024EB0" w:rsidRDefault="00865C25" w:rsidP="001A6611">
            <w:pPr>
              <w:pStyle w:val="TableText"/>
            </w:pPr>
            <w:r w:rsidRPr="00024EB0">
              <w:t>All combined DNA/RNA panel testing</w:t>
            </w:r>
          </w:p>
        </w:tc>
        <w:tc>
          <w:tcPr>
            <w:tcW w:w="602" w:type="pct"/>
            <w:tcBorders>
              <w:bottom w:val="nil"/>
            </w:tcBorders>
            <w:noWrap/>
          </w:tcPr>
          <w:p w14:paraId="0351852A" w14:textId="77777777" w:rsidR="00865C25" w:rsidRPr="00024EB0" w:rsidRDefault="00865C25" w:rsidP="001A6611">
            <w:pPr>
              <w:pStyle w:val="TableText"/>
              <w:jc w:val="right"/>
            </w:pPr>
            <w:r w:rsidRPr="005B2B27">
              <w:t>$348.65</w:t>
            </w:r>
          </w:p>
        </w:tc>
        <w:tc>
          <w:tcPr>
            <w:tcW w:w="603" w:type="pct"/>
            <w:tcBorders>
              <w:bottom w:val="nil"/>
            </w:tcBorders>
            <w:noWrap/>
          </w:tcPr>
          <w:p w14:paraId="696E5FC4" w14:textId="77777777" w:rsidR="00865C25" w:rsidRPr="00024EB0" w:rsidRDefault="00865C25" w:rsidP="001A6611">
            <w:pPr>
              <w:pStyle w:val="TableText"/>
              <w:jc w:val="right"/>
            </w:pPr>
            <w:r w:rsidRPr="005B2B27">
              <w:t>0.0228</w:t>
            </w:r>
          </w:p>
        </w:tc>
        <w:tc>
          <w:tcPr>
            <w:tcW w:w="603" w:type="pct"/>
            <w:tcBorders>
              <w:bottom w:val="nil"/>
            </w:tcBorders>
            <w:noWrap/>
          </w:tcPr>
          <w:p w14:paraId="4A5CD54C" w14:textId="77777777" w:rsidR="00865C25" w:rsidRPr="00024EB0" w:rsidRDefault="00865C25" w:rsidP="001A6611">
            <w:pPr>
              <w:pStyle w:val="TableText"/>
              <w:jc w:val="right"/>
            </w:pPr>
            <w:r w:rsidRPr="005B2B27">
              <w:t>$15,277</w:t>
            </w:r>
          </w:p>
        </w:tc>
        <w:tc>
          <w:tcPr>
            <w:tcW w:w="443" w:type="pct"/>
            <w:tcBorders>
              <w:bottom w:val="nil"/>
            </w:tcBorders>
            <w:noWrap/>
          </w:tcPr>
          <w:p w14:paraId="666F8F16" w14:textId="77777777" w:rsidR="00865C25" w:rsidRPr="00024EB0" w:rsidRDefault="00865C25" w:rsidP="001A6611">
            <w:pPr>
              <w:pStyle w:val="TableText"/>
              <w:jc w:val="right"/>
            </w:pPr>
            <w:r w:rsidRPr="005B2B27">
              <w:t>104%</w:t>
            </w:r>
          </w:p>
        </w:tc>
      </w:tr>
      <w:tr w:rsidR="00865C25" w:rsidRPr="00024EB0" w14:paraId="3BF0309B" w14:textId="77777777" w:rsidTr="001A6611">
        <w:trPr>
          <w:trHeight w:val="300"/>
        </w:trPr>
        <w:tc>
          <w:tcPr>
            <w:tcW w:w="2749" w:type="pct"/>
            <w:tcBorders>
              <w:top w:val="nil"/>
              <w:bottom w:val="nil"/>
            </w:tcBorders>
            <w:noWrap/>
            <w:hideMark/>
          </w:tcPr>
          <w:p w14:paraId="53DD1094" w14:textId="77777777" w:rsidR="00865C25" w:rsidRPr="00024EB0" w:rsidRDefault="00865C25" w:rsidP="001A6611">
            <w:pPr>
              <w:pStyle w:val="TableText"/>
            </w:pPr>
            <w:r w:rsidRPr="00024EB0">
              <w:t>All two-stage DNA then RNA panel testing</w:t>
            </w:r>
          </w:p>
        </w:tc>
        <w:tc>
          <w:tcPr>
            <w:tcW w:w="602" w:type="pct"/>
            <w:tcBorders>
              <w:top w:val="nil"/>
              <w:bottom w:val="nil"/>
            </w:tcBorders>
            <w:noWrap/>
          </w:tcPr>
          <w:p w14:paraId="62D1F247" w14:textId="77777777" w:rsidR="00865C25" w:rsidRPr="00024EB0" w:rsidRDefault="00865C25" w:rsidP="001A6611">
            <w:pPr>
              <w:pStyle w:val="TableText"/>
              <w:jc w:val="right"/>
            </w:pPr>
            <w:r w:rsidRPr="005B2B27">
              <w:t>$116.98</w:t>
            </w:r>
          </w:p>
        </w:tc>
        <w:tc>
          <w:tcPr>
            <w:tcW w:w="603" w:type="pct"/>
            <w:tcBorders>
              <w:top w:val="nil"/>
              <w:bottom w:val="nil"/>
            </w:tcBorders>
            <w:noWrap/>
          </w:tcPr>
          <w:p w14:paraId="2B4878F1" w14:textId="77777777" w:rsidR="00865C25" w:rsidRPr="00024EB0" w:rsidRDefault="00865C25" w:rsidP="001A6611">
            <w:pPr>
              <w:pStyle w:val="TableText"/>
              <w:jc w:val="right"/>
            </w:pPr>
            <w:r w:rsidRPr="005B2B27">
              <w:t>0.0228</w:t>
            </w:r>
          </w:p>
        </w:tc>
        <w:tc>
          <w:tcPr>
            <w:tcW w:w="603" w:type="pct"/>
            <w:tcBorders>
              <w:top w:val="nil"/>
              <w:bottom w:val="nil"/>
            </w:tcBorders>
            <w:noWrap/>
          </w:tcPr>
          <w:p w14:paraId="165485A7" w14:textId="77777777" w:rsidR="00865C25" w:rsidRPr="00024EB0" w:rsidRDefault="00865C25" w:rsidP="001A6611">
            <w:pPr>
              <w:pStyle w:val="TableText"/>
              <w:jc w:val="right"/>
            </w:pPr>
            <w:r w:rsidRPr="005B2B27">
              <w:t>$5,126</w:t>
            </w:r>
          </w:p>
        </w:tc>
        <w:tc>
          <w:tcPr>
            <w:tcW w:w="443" w:type="pct"/>
            <w:tcBorders>
              <w:top w:val="nil"/>
              <w:bottom w:val="nil"/>
            </w:tcBorders>
            <w:noWrap/>
          </w:tcPr>
          <w:p w14:paraId="439811D0" w14:textId="77777777" w:rsidR="00865C25" w:rsidRPr="00024EB0" w:rsidRDefault="00865C25" w:rsidP="001A6611">
            <w:pPr>
              <w:pStyle w:val="TableText"/>
              <w:jc w:val="right"/>
            </w:pPr>
            <w:r w:rsidRPr="005B2B27">
              <w:t>−32%</w:t>
            </w:r>
          </w:p>
        </w:tc>
      </w:tr>
      <w:tr w:rsidR="00865C25" w:rsidRPr="00024EB0" w14:paraId="6C3F18E4" w14:textId="77777777" w:rsidTr="001A6611">
        <w:trPr>
          <w:trHeight w:val="300"/>
        </w:trPr>
        <w:tc>
          <w:tcPr>
            <w:tcW w:w="2749" w:type="pct"/>
            <w:tcBorders>
              <w:top w:val="nil"/>
              <w:bottom w:val="nil"/>
            </w:tcBorders>
            <w:noWrap/>
            <w:hideMark/>
          </w:tcPr>
          <w:p w14:paraId="08856E33" w14:textId="77777777" w:rsidR="00865C25" w:rsidRPr="00024EB0" w:rsidRDefault="00865C25" w:rsidP="001A6611">
            <w:pPr>
              <w:pStyle w:val="TableText"/>
            </w:pPr>
            <w:r>
              <w:t>All DNA then IHC/</w:t>
            </w:r>
            <w:r w:rsidRPr="00024EB0">
              <w:t>FISH testing</w:t>
            </w:r>
          </w:p>
        </w:tc>
        <w:tc>
          <w:tcPr>
            <w:tcW w:w="602" w:type="pct"/>
            <w:tcBorders>
              <w:top w:val="nil"/>
              <w:bottom w:val="nil"/>
            </w:tcBorders>
            <w:noWrap/>
          </w:tcPr>
          <w:p w14:paraId="01E13D60" w14:textId="77777777" w:rsidR="00865C25" w:rsidRPr="00024EB0" w:rsidRDefault="00865C25" w:rsidP="001A6611">
            <w:pPr>
              <w:pStyle w:val="TableText"/>
              <w:jc w:val="right"/>
            </w:pPr>
            <w:r w:rsidRPr="005B2B27">
              <w:t>−$162.34</w:t>
            </w:r>
          </w:p>
        </w:tc>
        <w:tc>
          <w:tcPr>
            <w:tcW w:w="603" w:type="pct"/>
            <w:tcBorders>
              <w:top w:val="nil"/>
              <w:bottom w:val="nil"/>
            </w:tcBorders>
            <w:noWrap/>
          </w:tcPr>
          <w:p w14:paraId="38FC2ABF" w14:textId="77777777" w:rsidR="00865C25" w:rsidRPr="00024EB0" w:rsidRDefault="00865C25" w:rsidP="001A6611">
            <w:pPr>
              <w:pStyle w:val="TableText"/>
              <w:jc w:val="right"/>
            </w:pPr>
            <w:r w:rsidRPr="005B2B27">
              <w:t>0.0173</w:t>
            </w:r>
          </w:p>
        </w:tc>
        <w:tc>
          <w:tcPr>
            <w:tcW w:w="603" w:type="pct"/>
            <w:tcBorders>
              <w:top w:val="nil"/>
              <w:bottom w:val="nil"/>
            </w:tcBorders>
            <w:noWrap/>
          </w:tcPr>
          <w:p w14:paraId="3D00B4EF" w14:textId="77777777" w:rsidR="00865C25" w:rsidRPr="00024EB0" w:rsidRDefault="00865C25" w:rsidP="001A6611">
            <w:pPr>
              <w:pStyle w:val="TableText"/>
              <w:jc w:val="right"/>
            </w:pPr>
            <w:r w:rsidRPr="005B2B27">
              <w:t>Dominant</w:t>
            </w:r>
          </w:p>
        </w:tc>
        <w:tc>
          <w:tcPr>
            <w:tcW w:w="443" w:type="pct"/>
            <w:tcBorders>
              <w:top w:val="nil"/>
              <w:bottom w:val="nil"/>
            </w:tcBorders>
            <w:noWrap/>
          </w:tcPr>
          <w:p w14:paraId="5F2A139B" w14:textId="77777777" w:rsidR="00865C25" w:rsidRPr="00024EB0" w:rsidRDefault="00865C25" w:rsidP="001A6611">
            <w:pPr>
              <w:pStyle w:val="TableText"/>
              <w:jc w:val="right"/>
            </w:pPr>
            <w:r w:rsidRPr="005B2B27">
              <w:t>−225%</w:t>
            </w:r>
          </w:p>
        </w:tc>
      </w:tr>
      <w:tr w:rsidR="00865C25" w:rsidRPr="00024EB0" w14:paraId="753F0260" w14:textId="77777777" w:rsidTr="001A6611">
        <w:trPr>
          <w:trHeight w:val="300"/>
        </w:trPr>
        <w:tc>
          <w:tcPr>
            <w:tcW w:w="5000" w:type="pct"/>
            <w:gridSpan w:val="5"/>
            <w:tcBorders>
              <w:bottom w:val="single" w:sz="4" w:space="0" w:color="auto"/>
            </w:tcBorders>
            <w:noWrap/>
            <w:hideMark/>
          </w:tcPr>
          <w:p w14:paraId="4BAADF22" w14:textId="77777777" w:rsidR="00865C25" w:rsidRPr="00024EB0" w:rsidRDefault="00865C25" w:rsidP="001A6611">
            <w:pPr>
              <w:pStyle w:val="TableText"/>
            </w:pPr>
            <w:r w:rsidRPr="00024EB0">
              <w:t>Test success</w:t>
            </w:r>
            <w:r>
              <w:t xml:space="preserve"> </w:t>
            </w:r>
            <w:r w:rsidRPr="00024EB0">
              <w:t>(base case: 97.2% for panels, 94.6% for single-gene testing)</w:t>
            </w:r>
          </w:p>
        </w:tc>
      </w:tr>
      <w:tr w:rsidR="00865C25" w:rsidRPr="00024EB0" w14:paraId="602E73E6" w14:textId="77777777" w:rsidTr="001A6611">
        <w:trPr>
          <w:trHeight w:val="300"/>
        </w:trPr>
        <w:tc>
          <w:tcPr>
            <w:tcW w:w="2749" w:type="pct"/>
            <w:tcBorders>
              <w:top w:val="nil"/>
              <w:bottom w:val="nil"/>
            </w:tcBorders>
            <w:noWrap/>
            <w:hideMark/>
          </w:tcPr>
          <w:p w14:paraId="0D4B13B7" w14:textId="77777777" w:rsidR="00865C25" w:rsidRPr="00024EB0" w:rsidRDefault="00865C25" w:rsidP="001A6611">
            <w:pPr>
              <w:pStyle w:val="TableText"/>
            </w:pPr>
            <w:r w:rsidRPr="00024EB0">
              <w:t>Both strategies 97.2%</w:t>
            </w:r>
          </w:p>
        </w:tc>
        <w:tc>
          <w:tcPr>
            <w:tcW w:w="602" w:type="pct"/>
            <w:tcBorders>
              <w:top w:val="nil"/>
              <w:bottom w:val="nil"/>
            </w:tcBorders>
            <w:noWrap/>
          </w:tcPr>
          <w:p w14:paraId="14400A42" w14:textId="77777777" w:rsidR="00865C25" w:rsidRPr="00024EB0" w:rsidRDefault="00865C25" w:rsidP="001A6611">
            <w:pPr>
              <w:pStyle w:val="TableText"/>
              <w:jc w:val="right"/>
            </w:pPr>
            <w:r w:rsidRPr="005B2B27">
              <w:t>$273.97</w:t>
            </w:r>
          </w:p>
        </w:tc>
        <w:tc>
          <w:tcPr>
            <w:tcW w:w="603" w:type="pct"/>
            <w:tcBorders>
              <w:top w:val="nil"/>
              <w:bottom w:val="nil"/>
            </w:tcBorders>
            <w:noWrap/>
          </w:tcPr>
          <w:p w14:paraId="77D630FB" w14:textId="77777777" w:rsidR="00865C25" w:rsidRPr="00024EB0" w:rsidRDefault="00865C25" w:rsidP="001A6611">
            <w:pPr>
              <w:pStyle w:val="TableText"/>
              <w:jc w:val="right"/>
            </w:pPr>
            <w:r w:rsidRPr="005B2B27">
              <w:t>0.0216</w:t>
            </w:r>
          </w:p>
        </w:tc>
        <w:tc>
          <w:tcPr>
            <w:tcW w:w="603" w:type="pct"/>
            <w:tcBorders>
              <w:top w:val="nil"/>
              <w:bottom w:val="nil"/>
            </w:tcBorders>
            <w:noWrap/>
          </w:tcPr>
          <w:p w14:paraId="6F22176C" w14:textId="77777777" w:rsidR="00865C25" w:rsidRPr="00024EB0" w:rsidRDefault="00865C25" w:rsidP="001A6611">
            <w:pPr>
              <w:pStyle w:val="TableText"/>
              <w:jc w:val="right"/>
            </w:pPr>
            <w:r w:rsidRPr="005B2B27">
              <w:t>$12,662</w:t>
            </w:r>
          </w:p>
        </w:tc>
        <w:tc>
          <w:tcPr>
            <w:tcW w:w="443" w:type="pct"/>
            <w:tcBorders>
              <w:top w:val="nil"/>
              <w:bottom w:val="nil"/>
            </w:tcBorders>
            <w:noWrap/>
          </w:tcPr>
          <w:p w14:paraId="09E98F63" w14:textId="77777777" w:rsidR="00865C25" w:rsidRPr="00024EB0" w:rsidRDefault="00865C25" w:rsidP="001A6611">
            <w:pPr>
              <w:pStyle w:val="TableText"/>
              <w:jc w:val="right"/>
            </w:pPr>
            <w:r w:rsidRPr="005B2B27">
              <w:t>69%</w:t>
            </w:r>
          </w:p>
        </w:tc>
      </w:tr>
      <w:tr w:rsidR="00865C25" w:rsidRPr="00024EB0" w14:paraId="3C427D9E" w14:textId="77777777" w:rsidTr="001A6611">
        <w:trPr>
          <w:trHeight w:val="300"/>
        </w:trPr>
        <w:tc>
          <w:tcPr>
            <w:tcW w:w="2749" w:type="pct"/>
            <w:tcBorders>
              <w:top w:val="nil"/>
              <w:bottom w:val="nil"/>
            </w:tcBorders>
            <w:noWrap/>
            <w:hideMark/>
          </w:tcPr>
          <w:p w14:paraId="71211B77" w14:textId="77777777" w:rsidR="00865C25" w:rsidRPr="00024EB0" w:rsidRDefault="00865C25" w:rsidP="001A6611">
            <w:pPr>
              <w:pStyle w:val="TableText"/>
            </w:pPr>
            <w:r w:rsidRPr="00917F12">
              <w:t>97.2% for panels</w:t>
            </w:r>
            <w:r>
              <w:t>, 95.9%</w:t>
            </w:r>
            <w:proofErr w:type="spellStart"/>
            <w:proofErr w:type="gramStart"/>
            <w:r w:rsidRPr="00916E2F">
              <w:rPr>
                <w:vertAlign w:val="superscript"/>
              </w:rPr>
              <w:t>a</w:t>
            </w:r>
            <w:proofErr w:type="spellEnd"/>
            <w:r>
              <w:t xml:space="preserve"> for</w:t>
            </w:r>
            <w:proofErr w:type="gramEnd"/>
            <w:r>
              <w:t xml:space="preserve"> single-gene testing</w:t>
            </w:r>
          </w:p>
        </w:tc>
        <w:tc>
          <w:tcPr>
            <w:tcW w:w="602" w:type="pct"/>
            <w:tcBorders>
              <w:top w:val="nil"/>
              <w:bottom w:val="nil"/>
            </w:tcBorders>
            <w:noWrap/>
          </w:tcPr>
          <w:p w14:paraId="1E278710" w14:textId="77777777" w:rsidR="00865C25" w:rsidRPr="00024EB0" w:rsidRDefault="00865C25" w:rsidP="001A6611">
            <w:pPr>
              <w:pStyle w:val="TableText"/>
              <w:jc w:val="right"/>
            </w:pPr>
            <w:r w:rsidRPr="005B2B27">
              <w:t>$221.50</w:t>
            </w:r>
          </w:p>
        </w:tc>
        <w:tc>
          <w:tcPr>
            <w:tcW w:w="603" w:type="pct"/>
            <w:tcBorders>
              <w:top w:val="nil"/>
              <w:bottom w:val="nil"/>
            </w:tcBorders>
            <w:noWrap/>
          </w:tcPr>
          <w:p w14:paraId="6D753AC4" w14:textId="77777777" w:rsidR="00865C25" w:rsidRPr="00024EB0" w:rsidRDefault="00865C25" w:rsidP="001A6611">
            <w:pPr>
              <w:pStyle w:val="TableText"/>
              <w:jc w:val="right"/>
            </w:pPr>
            <w:r w:rsidRPr="005B2B27">
              <w:t>0.0221</w:t>
            </w:r>
          </w:p>
        </w:tc>
        <w:tc>
          <w:tcPr>
            <w:tcW w:w="603" w:type="pct"/>
            <w:tcBorders>
              <w:top w:val="nil"/>
              <w:bottom w:val="nil"/>
            </w:tcBorders>
            <w:noWrap/>
          </w:tcPr>
          <w:p w14:paraId="455C55C2" w14:textId="77777777" w:rsidR="00865C25" w:rsidRPr="00024EB0" w:rsidRDefault="00865C25" w:rsidP="001A6611">
            <w:pPr>
              <w:pStyle w:val="TableText"/>
              <w:jc w:val="right"/>
            </w:pPr>
            <w:r w:rsidRPr="005B2B27">
              <w:t>$10,026</w:t>
            </w:r>
          </w:p>
        </w:tc>
        <w:tc>
          <w:tcPr>
            <w:tcW w:w="443" w:type="pct"/>
            <w:tcBorders>
              <w:top w:val="nil"/>
              <w:bottom w:val="nil"/>
            </w:tcBorders>
            <w:noWrap/>
          </w:tcPr>
          <w:p w14:paraId="0252C454" w14:textId="77777777" w:rsidR="00865C25" w:rsidRPr="00024EB0" w:rsidRDefault="00865C25" w:rsidP="001A6611">
            <w:pPr>
              <w:pStyle w:val="TableText"/>
              <w:jc w:val="right"/>
            </w:pPr>
            <w:r w:rsidRPr="005B2B27">
              <w:t>34%</w:t>
            </w:r>
          </w:p>
        </w:tc>
      </w:tr>
      <w:tr w:rsidR="00865C25" w:rsidRPr="00024EB0" w14:paraId="7D203B8E" w14:textId="77777777" w:rsidTr="001A6611">
        <w:trPr>
          <w:trHeight w:val="300"/>
        </w:trPr>
        <w:tc>
          <w:tcPr>
            <w:tcW w:w="2749" w:type="pct"/>
            <w:tcBorders>
              <w:top w:val="nil"/>
              <w:bottom w:val="single" w:sz="4" w:space="0" w:color="auto"/>
            </w:tcBorders>
            <w:noWrap/>
            <w:hideMark/>
          </w:tcPr>
          <w:p w14:paraId="5DD9EB98" w14:textId="77777777" w:rsidR="00865C25" w:rsidRPr="00024EB0" w:rsidRDefault="00865C25" w:rsidP="001A6611">
            <w:pPr>
              <w:pStyle w:val="TableText"/>
            </w:pPr>
            <w:r w:rsidRPr="00917F12">
              <w:t>97.2% for panels</w:t>
            </w:r>
            <w:r>
              <w:t>, 92.0%</w:t>
            </w:r>
            <w:r>
              <w:rPr>
                <w:vertAlign w:val="superscript"/>
              </w:rPr>
              <w:t>b</w:t>
            </w:r>
            <w:r>
              <w:t xml:space="preserve"> for single-gene testing</w:t>
            </w:r>
          </w:p>
        </w:tc>
        <w:tc>
          <w:tcPr>
            <w:tcW w:w="602" w:type="pct"/>
            <w:tcBorders>
              <w:top w:val="nil"/>
              <w:bottom w:val="single" w:sz="4" w:space="0" w:color="auto"/>
            </w:tcBorders>
            <w:noWrap/>
          </w:tcPr>
          <w:p w14:paraId="0C3004DB" w14:textId="77777777" w:rsidR="00865C25" w:rsidRPr="00024EB0" w:rsidRDefault="00865C25" w:rsidP="001A6611">
            <w:pPr>
              <w:pStyle w:val="TableText"/>
              <w:jc w:val="right"/>
            </w:pPr>
            <w:r w:rsidRPr="005B2B27">
              <w:t>$64.07</w:t>
            </w:r>
          </w:p>
        </w:tc>
        <w:tc>
          <w:tcPr>
            <w:tcW w:w="603" w:type="pct"/>
            <w:tcBorders>
              <w:top w:val="nil"/>
              <w:bottom w:val="single" w:sz="4" w:space="0" w:color="auto"/>
            </w:tcBorders>
            <w:noWrap/>
          </w:tcPr>
          <w:p w14:paraId="293708D9" w14:textId="77777777" w:rsidR="00865C25" w:rsidRPr="00024EB0" w:rsidRDefault="00865C25" w:rsidP="001A6611">
            <w:pPr>
              <w:pStyle w:val="TableText"/>
              <w:jc w:val="right"/>
            </w:pPr>
            <w:r w:rsidRPr="005B2B27">
              <w:t>0.0235</w:t>
            </w:r>
          </w:p>
        </w:tc>
        <w:tc>
          <w:tcPr>
            <w:tcW w:w="603" w:type="pct"/>
            <w:tcBorders>
              <w:top w:val="nil"/>
              <w:bottom w:val="single" w:sz="4" w:space="0" w:color="auto"/>
            </w:tcBorders>
            <w:noWrap/>
          </w:tcPr>
          <w:p w14:paraId="3F5B24A7" w14:textId="77777777" w:rsidR="00865C25" w:rsidRPr="00024EB0" w:rsidRDefault="00865C25" w:rsidP="001A6611">
            <w:pPr>
              <w:pStyle w:val="TableText"/>
              <w:jc w:val="right"/>
            </w:pPr>
            <w:r w:rsidRPr="005B2B27">
              <w:t>$2,731</w:t>
            </w:r>
          </w:p>
        </w:tc>
        <w:tc>
          <w:tcPr>
            <w:tcW w:w="443" w:type="pct"/>
            <w:tcBorders>
              <w:top w:val="nil"/>
              <w:bottom w:val="single" w:sz="4" w:space="0" w:color="auto"/>
            </w:tcBorders>
            <w:noWrap/>
          </w:tcPr>
          <w:p w14:paraId="269A00DF" w14:textId="77777777" w:rsidR="00865C25" w:rsidRPr="00024EB0" w:rsidRDefault="00865C25" w:rsidP="001A6611">
            <w:pPr>
              <w:pStyle w:val="TableText"/>
              <w:jc w:val="right"/>
            </w:pPr>
            <w:r w:rsidRPr="005B2B27">
              <w:t>−64%</w:t>
            </w:r>
          </w:p>
        </w:tc>
      </w:tr>
      <w:tr w:rsidR="00865C25" w:rsidRPr="00024EB0" w14:paraId="1D8A43BF" w14:textId="77777777" w:rsidTr="001A6611">
        <w:trPr>
          <w:trHeight w:val="300"/>
        </w:trPr>
        <w:tc>
          <w:tcPr>
            <w:tcW w:w="5000" w:type="pct"/>
            <w:gridSpan w:val="5"/>
            <w:tcBorders>
              <w:top w:val="single" w:sz="4" w:space="0" w:color="auto"/>
              <w:bottom w:val="single" w:sz="4" w:space="0" w:color="auto"/>
            </w:tcBorders>
            <w:noWrap/>
          </w:tcPr>
          <w:p w14:paraId="5899C0E7" w14:textId="77777777" w:rsidR="00865C25" w:rsidRPr="00917F12" w:rsidRDefault="00865C25" w:rsidP="001A6611">
            <w:pPr>
              <w:pStyle w:val="TableText"/>
            </w:pPr>
            <w:r w:rsidRPr="00DB3E00">
              <w:rPr>
                <w:i/>
              </w:rPr>
              <w:t xml:space="preserve">ALK </w:t>
            </w:r>
            <w:r>
              <w:t xml:space="preserve">small gene panel </w:t>
            </w:r>
            <w:r w:rsidRPr="00024EB0">
              <w:t>concordan</w:t>
            </w:r>
            <w:r>
              <w:t xml:space="preserve">ce (base case: vs clinical utility standard, </w:t>
            </w:r>
            <w:r w:rsidRPr="00024EB0">
              <w:t>FISH</w:t>
            </w:r>
            <w:r>
              <w:t xml:space="preserve"> ≥15% positivity</w:t>
            </w:r>
            <w:r w:rsidRPr="00024EB0">
              <w:t>)</w:t>
            </w:r>
          </w:p>
        </w:tc>
      </w:tr>
      <w:tr w:rsidR="00865C25" w:rsidRPr="00024EB0" w14:paraId="586249E5" w14:textId="77777777" w:rsidTr="001A6611">
        <w:trPr>
          <w:trHeight w:val="300"/>
        </w:trPr>
        <w:tc>
          <w:tcPr>
            <w:tcW w:w="2749" w:type="pct"/>
            <w:tcBorders>
              <w:bottom w:val="nil"/>
            </w:tcBorders>
            <w:noWrap/>
            <w:hideMark/>
          </w:tcPr>
          <w:p w14:paraId="5C55CA74" w14:textId="77777777" w:rsidR="00865C25" w:rsidRPr="00024EB0" w:rsidRDefault="00865C25" w:rsidP="001A6611">
            <w:pPr>
              <w:pStyle w:val="TableText"/>
            </w:pPr>
            <w:r w:rsidRPr="00DB3E00">
              <w:rPr>
                <w:i/>
              </w:rPr>
              <w:t xml:space="preserve">ALK </w:t>
            </w:r>
            <w:r>
              <w:t xml:space="preserve">small gene panel </w:t>
            </w:r>
            <w:r w:rsidRPr="00024EB0">
              <w:t>concordan</w:t>
            </w:r>
            <w:r>
              <w:t xml:space="preserve">ce vs FISH ± IHC </w:t>
            </w:r>
            <w:r w:rsidRPr="002E183D">
              <w:rPr>
                <w:b/>
              </w:rPr>
              <w:t>#1</w:t>
            </w:r>
          </w:p>
        </w:tc>
        <w:tc>
          <w:tcPr>
            <w:tcW w:w="602" w:type="pct"/>
            <w:tcBorders>
              <w:bottom w:val="nil"/>
            </w:tcBorders>
            <w:noWrap/>
          </w:tcPr>
          <w:p w14:paraId="6244BCB3" w14:textId="77777777" w:rsidR="00865C25" w:rsidRPr="00024EB0" w:rsidRDefault="00865C25" w:rsidP="001A6611">
            <w:pPr>
              <w:pStyle w:val="TableText"/>
              <w:jc w:val="right"/>
            </w:pPr>
            <w:r w:rsidRPr="005B2B27">
              <w:t>$168.99</w:t>
            </w:r>
          </w:p>
        </w:tc>
        <w:tc>
          <w:tcPr>
            <w:tcW w:w="603" w:type="pct"/>
            <w:tcBorders>
              <w:bottom w:val="nil"/>
            </w:tcBorders>
            <w:noWrap/>
          </w:tcPr>
          <w:p w14:paraId="020802D6" w14:textId="77777777" w:rsidR="00865C25" w:rsidRPr="00024EB0" w:rsidRDefault="00865C25" w:rsidP="001A6611">
            <w:pPr>
              <w:pStyle w:val="TableText"/>
              <w:jc w:val="right"/>
            </w:pPr>
            <w:r w:rsidRPr="005B2B27">
              <w:t>0.0219</w:t>
            </w:r>
          </w:p>
        </w:tc>
        <w:tc>
          <w:tcPr>
            <w:tcW w:w="603" w:type="pct"/>
            <w:tcBorders>
              <w:bottom w:val="nil"/>
            </w:tcBorders>
            <w:noWrap/>
          </w:tcPr>
          <w:p w14:paraId="08617D20" w14:textId="77777777" w:rsidR="00865C25" w:rsidRPr="00024EB0" w:rsidRDefault="00865C25" w:rsidP="001A6611">
            <w:pPr>
              <w:pStyle w:val="TableText"/>
              <w:jc w:val="right"/>
            </w:pPr>
            <w:r w:rsidRPr="005B2B27">
              <w:t>$7,730</w:t>
            </w:r>
          </w:p>
        </w:tc>
        <w:tc>
          <w:tcPr>
            <w:tcW w:w="443" w:type="pct"/>
            <w:tcBorders>
              <w:bottom w:val="nil"/>
            </w:tcBorders>
            <w:noWrap/>
          </w:tcPr>
          <w:p w14:paraId="1F09DCA4" w14:textId="77777777" w:rsidR="00865C25" w:rsidRPr="00024EB0" w:rsidRDefault="00865C25" w:rsidP="001A6611">
            <w:pPr>
              <w:pStyle w:val="TableText"/>
              <w:jc w:val="right"/>
            </w:pPr>
            <w:r w:rsidRPr="005B2B27">
              <w:t>3%</w:t>
            </w:r>
          </w:p>
        </w:tc>
      </w:tr>
      <w:tr w:rsidR="00865C25" w:rsidRPr="00024EB0" w14:paraId="2D848246" w14:textId="77777777" w:rsidTr="001A6611">
        <w:trPr>
          <w:trHeight w:val="300"/>
        </w:trPr>
        <w:tc>
          <w:tcPr>
            <w:tcW w:w="2749" w:type="pct"/>
            <w:tcBorders>
              <w:top w:val="nil"/>
              <w:bottom w:val="single" w:sz="4" w:space="0" w:color="auto"/>
            </w:tcBorders>
            <w:noWrap/>
          </w:tcPr>
          <w:p w14:paraId="4DB9CE57" w14:textId="77777777" w:rsidR="00865C25" w:rsidRPr="00DB3E00" w:rsidRDefault="00865C25" w:rsidP="001A6611">
            <w:pPr>
              <w:pStyle w:val="TableText"/>
              <w:rPr>
                <w:i/>
              </w:rPr>
            </w:pPr>
            <w:r w:rsidRPr="00DB3E00">
              <w:rPr>
                <w:i/>
              </w:rPr>
              <w:t xml:space="preserve">ALK </w:t>
            </w:r>
            <w:r>
              <w:t xml:space="preserve">small gene panel </w:t>
            </w:r>
            <w:r w:rsidRPr="00024EB0">
              <w:t>concordan</w:t>
            </w:r>
            <w:r>
              <w:t>ce vs FISH</w:t>
            </w:r>
          </w:p>
        </w:tc>
        <w:tc>
          <w:tcPr>
            <w:tcW w:w="602" w:type="pct"/>
            <w:tcBorders>
              <w:top w:val="nil"/>
              <w:bottom w:val="single" w:sz="4" w:space="0" w:color="auto"/>
            </w:tcBorders>
            <w:noWrap/>
          </w:tcPr>
          <w:p w14:paraId="6C2DB03A" w14:textId="77777777" w:rsidR="00865C25" w:rsidRPr="00024EB0" w:rsidRDefault="00865C25" w:rsidP="001A6611">
            <w:pPr>
              <w:pStyle w:val="TableText"/>
              <w:jc w:val="right"/>
            </w:pPr>
            <w:r w:rsidRPr="005B2B27">
              <w:t>$169.00</w:t>
            </w:r>
          </w:p>
        </w:tc>
        <w:tc>
          <w:tcPr>
            <w:tcW w:w="603" w:type="pct"/>
            <w:tcBorders>
              <w:top w:val="nil"/>
              <w:bottom w:val="single" w:sz="4" w:space="0" w:color="auto"/>
            </w:tcBorders>
            <w:noWrap/>
          </w:tcPr>
          <w:p w14:paraId="2FCE8BFF" w14:textId="77777777" w:rsidR="00865C25" w:rsidRPr="00024EB0" w:rsidRDefault="00865C25" w:rsidP="001A6611">
            <w:pPr>
              <w:pStyle w:val="TableText"/>
              <w:jc w:val="right"/>
            </w:pPr>
            <w:r w:rsidRPr="005B2B27">
              <w:t>0.0360</w:t>
            </w:r>
          </w:p>
        </w:tc>
        <w:tc>
          <w:tcPr>
            <w:tcW w:w="603" w:type="pct"/>
            <w:tcBorders>
              <w:top w:val="nil"/>
              <w:bottom w:val="single" w:sz="4" w:space="0" w:color="auto"/>
            </w:tcBorders>
            <w:noWrap/>
          </w:tcPr>
          <w:p w14:paraId="21DD70E8" w14:textId="77777777" w:rsidR="00865C25" w:rsidRPr="00024EB0" w:rsidRDefault="00865C25" w:rsidP="001A6611">
            <w:pPr>
              <w:pStyle w:val="TableText"/>
              <w:jc w:val="right"/>
            </w:pPr>
            <w:r w:rsidRPr="005B2B27">
              <w:t>$4,697</w:t>
            </w:r>
          </w:p>
        </w:tc>
        <w:tc>
          <w:tcPr>
            <w:tcW w:w="443" w:type="pct"/>
            <w:tcBorders>
              <w:top w:val="nil"/>
              <w:bottom w:val="single" w:sz="4" w:space="0" w:color="auto"/>
            </w:tcBorders>
            <w:noWrap/>
          </w:tcPr>
          <w:p w14:paraId="474141C2" w14:textId="77777777" w:rsidR="00865C25" w:rsidRPr="00024EB0" w:rsidRDefault="00865C25" w:rsidP="001A6611">
            <w:pPr>
              <w:pStyle w:val="TableText"/>
              <w:jc w:val="right"/>
            </w:pPr>
            <w:r w:rsidRPr="005B2B27">
              <w:t>−37%</w:t>
            </w:r>
          </w:p>
        </w:tc>
      </w:tr>
      <w:tr w:rsidR="00865C25" w:rsidRPr="00024EB0" w14:paraId="5B59866B" w14:textId="77777777" w:rsidTr="001A6611">
        <w:trPr>
          <w:trHeight w:val="300"/>
        </w:trPr>
        <w:tc>
          <w:tcPr>
            <w:tcW w:w="2749" w:type="pct"/>
            <w:tcBorders>
              <w:bottom w:val="single" w:sz="4" w:space="0" w:color="auto"/>
              <w:right w:val="nil"/>
            </w:tcBorders>
            <w:noWrap/>
            <w:hideMark/>
          </w:tcPr>
          <w:p w14:paraId="4F868641" w14:textId="77777777" w:rsidR="00865C25" w:rsidRPr="00024EB0" w:rsidRDefault="00865C25" w:rsidP="001A6611">
            <w:pPr>
              <w:pStyle w:val="TableText"/>
            </w:pPr>
            <w:r w:rsidRPr="00024EB0">
              <w:t>Small panel concordance</w:t>
            </w:r>
          </w:p>
        </w:tc>
        <w:tc>
          <w:tcPr>
            <w:tcW w:w="602" w:type="pct"/>
            <w:tcBorders>
              <w:left w:val="nil"/>
              <w:bottom w:val="single" w:sz="4" w:space="0" w:color="auto"/>
              <w:right w:val="nil"/>
            </w:tcBorders>
            <w:noWrap/>
          </w:tcPr>
          <w:p w14:paraId="76D948BF" w14:textId="77777777" w:rsidR="00865C25" w:rsidRPr="00024EB0" w:rsidRDefault="00865C25" w:rsidP="001A6611">
            <w:pPr>
              <w:pStyle w:val="TableText"/>
              <w:jc w:val="right"/>
            </w:pPr>
          </w:p>
        </w:tc>
        <w:tc>
          <w:tcPr>
            <w:tcW w:w="603" w:type="pct"/>
            <w:tcBorders>
              <w:left w:val="nil"/>
              <w:bottom w:val="single" w:sz="4" w:space="0" w:color="auto"/>
              <w:right w:val="nil"/>
            </w:tcBorders>
            <w:noWrap/>
          </w:tcPr>
          <w:p w14:paraId="08C8BF20" w14:textId="77777777" w:rsidR="00865C25" w:rsidRPr="00024EB0" w:rsidRDefault="00865C25" w:rsidP="001A6611">
            <w:pPr>
              <w:pStyle w:val="TableText"/>
              <w:jc w:val="right"/>
            </w:pPr>
          </w:p>
        </w:tc>
        <w:tc>
          <w:tcPr>
            <w:tcW w:w="603" w:type="pct"/>
            <w:tcBorders>
              <w:left w:val="nil"/>
              <w:bottom w:val="single" w:sz="4" w:space="0" w:color="auto"/>
              <w:right w:val="nil"/>
            </w:tcBorders>
            <w:noWrap/>
          </w:tcPr>
          <w:p w14:paraId="1858EC4B" w14:textId="77777777" w:rsidR="00865C25" w:rsidRPr="00024EB0" w:rsidRDefault="00865C25" w:rsidP="001A6611">
            <w:pPr>
              <w:pStyle w:val="TableText"/>
              <w:jc w:val="right"/>
            </w:pPr>
          </w:p>
        </w:tc>
        <w:tc>
          <w:tcPr>
            <w:tcW w:w="443" w:type="pct"/>
            <w:tcBorders>
              <w:left w:val="nil"/>
              <w:bottom w:val="single" w:sz="4" w:space="0" w:color="auto"/>
            </w:tcBorders>
            <w:noWrap/>
          </w:tcPr>
          <w:p w14:paraId="266DBF88" w14:textId="77777777" w:rsidR="00865C25" w:rsidRPr="00024EB0" w:rsidRDefault="00865C25" w:rsidP="001A6611">
            <w:pPr>
              <w:pStyle w:val="TableText"/>
              <w:jc w:val="right"/>
            </w:pPr>
          </w:p>
        </w:tc>
      </w:tr>
      <w:tr w:rsidR="00865C25" w:rsidRPr="00024EB0" w14:paraId="6F1DDB26" w14:textId="77777777" w:rsidTr="001A6611">
        <w:trPr>
          <w:trHeight w:val="300"/>
        </w:trPr>
        <w:tc>
          <w:tcPr>
            <w:tcW w:w="2749" w:type="pct"/>
            <w:tcBorders>
              <w:bottom w:val="nil"/>
            </w:tcBorders>
            <w:noWrap/>
            <w:hideMark/>
          </w:tcPr>
          <w:p w14:paraId="148691B0" w14:textId="77777777" w:rsidR="00865C25" w:rsidRPr="00024EB0" w:rsidRDefault="00865C25" w:rsidP="001A6611">
            <w:pPr>
              <w:pStyle w:val="TableText"/>
            </w:pPr>
            <w:r w:rsidRPr="00DB3E00">
              <w:rPr>
                <w:i/>
              </w:rPr>
              <w:t xml:space="preserve">ALK </w:t>
            </w:r>
            <w:r w:rsidRPr="00024EB0">
              <w:t>NPA, 0.</w:t>
            </w:r>
            <w:r>
              <w:t>97</w:t>
            </w:r>
            <w:r w:rsidRPr="00024EB0">
              <w:t xml:space="preserve"> (base case: 0.9</w:t>
            </w:r>
            <w:r>
              <w:t>9</w:t>
            </w:r>
            <w:r w:rsidRPr="00024EB0">
              <w:t>)</w:t>
            </w:r>
          </w:p>
        </w:tc>
        <w:tc>
          <w:tcPr>
            <w:tcW w:w="602" w:type="pct"/>
            <w:tcBorders>
              <w:bottom w:val="nil"/>
            </w:tcBorders>
            <w:noWrap/>
          </w:tcPr>
          <w:p w14:paraId="098FC61D" w14:textId="77777777" w:rsidR="00865C25" w:rsidRPr="00024EB0" w:rsidRDefault="00865C25" w:rsidP="001A6611">
            <w:pPr>
              <w:pStyle w:val="TableText"/>
              <w:jc w:val="right"/>
            </w:pPr>
            <w:r w:rsidRPr="005B2B27">
              <w:t>$169.02</w:t>
            </w:r>
          </w:p>
        </w:tc>
        <w:tc>
          <w:tcPr>
            <w:tcW w:w="603" w:type="pct"/>
            <w:tcBorders>
              <w:bottom w:val="nil"/>
            </w:tcBorders>
            <w:noWrap/>
          </w:tcPr>
          <w:p w14:paraId="6BAFEA59" w14:textId="77777777" w:rsidR="00865C25" w:rsidRPr="00024EB0" w:rsidRDefault="00865C25" w:rsidP="001A6611">
            <w:pPr>
              <w:pStyle w:val="TableText"/>
              <w:jc w:val="right"/>
            </w:pPr>
            <w:r w:rsidRPr="005B2B27">
              <w:t>0.0375</w:t>
            </w:r>
          </w:p>
        </w:tc>
        <w:tc>
          <w:tcPr>
            <w:tcW w:w="603" w:type="pct"/>
            <w:tcBorders>
              <w:bottom w:val="nil"/>
            </w:tcBorders>
            <w:noWrap/>
          </w:tcPr>
          <w:p w14:paraId="56BE51CA" w14:textId="77777777" w:rsidR="00865C25" w:rsidRPr="00024EB0" w:rsidRDefault="00865C25" w:rsidP="001A6611">
            <w:pPr>
              <w:pStyle w:val="TableText"/>
              <w:jc w:val="right"/>
            </w:pPr>
            <w:r w:rsidRPr="005B2B27">
              <w:t>$4,509</w:t>
            </w:r>
          </w:p>
        </w:tc>
        <w:tc>
          <w:tcPr>
            <w:tcW w:w="443" w:type="pct"/>
            <w:tcBorders>
              <w:bottom w:val="nil"/>
            </w:tcBorders>
            <w:noWrap/>
          </w:tcPr>
          <w:p w14:paraId="5E549D27" w14:textId="77777777" w:rsidR="00865C25" w:rsidRPr="00024EB0" w:rsidRDefault="00865C25" w:rsidP="001A6611">
            <w:pPr>
              <w:pStyle w:val="TableText"/>
              <w:jc w:val="right"/>
            </w:pPr>
            <w:r w:rsidRPr="005B2B27">
              <w:t>−40%</w:t>
            </w:r>
          </w:p>
        </w:tc>
      </w:tr>
      <w:tr w:rsidR="00865C25" w:rsidRPr="00024EB0" w14:paraId="361FA4F2" w14:textId="77777777" w:rsidTr="001A6611">
        <w:trPr>
          <w:trHeight w:val="300"/>
        </w:trPr>
        <w:tc>
          <w:tcPr>
            <w:tcW w:w="2749" w:type="pct"/>
            <w:tcBorders>
              <w:top w:val="nil"/>
              <w:bottom w:val="single" w:sz="4" w:space="0" w:color="auto"/>
            </w:tcBorders>
            <w:noWrap/>
            <w:hideMark/>
          </w:tcPr>
          <w:p w14:paraId="676D35EA" w14:textId="77777777" w:rsidR="00865C25" w:rsidRPr="00024EB0" w:rsidRDefault="00865C25" w:rsidP="001A6611">
            <w:pPr>
              <w:pStyle w:val="TableText"/>
            </w:pPr>
            <w:r w:rsidRPr="00DB3E00">
              <w:rPr>
                <w:i/>
              </w:rPr>
              <w:t xml:space="preserve">ALK </w:t>
            </w:r>
            <w:r w:rsidRPr="00024EB0">
              <w:t>NPA, 1.00 (base case: 0.9</w:t>
            </w:r>
            <w:r>
              <w:t>9</w:t>
            </w:r>
            <w:r w:rsidRPr="00024EB0">
              <w:t>)</w:t>
            </w:r>
          </w:p>
        </w:tc>
        <w:tc>
          <w:tcPr>
            <w:tcW w:w="602" w:type="pct"/>
            <w:tcBorders>
              <w:top w:val="nil"/>
              <w:bottom w:val="single" w:sz="4" w:space="0" w:color="auto"/>
            </w:tcBorders>
            <w:noWrap/>
          </w:tcPr>
          <w:p w14:paraId="63BA4E9D" w14:textId="77777777" w:rsidR="00865C25" w:rsidRPr="00024EB0" w:rsidRDefault="00865C25" w:rsidP="001A6611">
            <w:pPr>
              <w:pStyle w:val="TableText"/>
              <w:jc w:val="right"/>
            </w:pPr>
            <w:r w:rsidRPr="005B2B27">
              <w:t>$169.02</w:t>
            </w:r>
          </w:p>
        </w:tc>
        <w:tc>
          <w:tcPr>
            <w:tcW w:w="603" w:type="pct"/>
            <w:tcBorders>
              <w:top w:val="nil"/>
              <w:bottom w:val="single" w:sz="4" w:space="0" w:color="auto"/>
            </w:tcBorders>
            <w:noWrap/>
          </w:tcPr>
          <w:p w14:paraId="7D66B97E" w14:textId="77777777" w:rsidR="00865C25" w:rsidRPr="00024EB0" w:rsidRDefault="00865C25" w:rsidP="001A6611">
            <w:pPr>
              <w:pStyle w:val="TableText"/>
              <w:jc w:val="right"/>
            </w:pPr>
            <w:r w:rsidRPr="005B2B27">
              <w:t>0.0166</w:t>
            </w:r>
          </w:p>
        </w:tc>
        <w:tc>
          <w:tcPr>
            <w:tcW w:w="603" w:type="pct"/>
            <w:tcBorders>
              <w:top w:val="nil"/>
              <w:bottom w:val="single" w:sz="4" w:space="0" w:color="auto"/>
            </w:tcBorders>
            <w:noWrap/>
          </w:tcPr>
          <w:p w14:paraId="68E71C85" w14:textId="77777777" w:rsidR="00865C25" w:rsidRPr="00024EB0" w:rsidRDefault="00865C25" w:rsidP="001A6611">
            <w:pPr>
              <w:pStyle w:val="TableText"/>
              <w:jc w:val="right"/>
            </w:pPr>
            <w:r w:rsidRPr="005B2B27">
              <w:t>$10,162</w:t>
            </w:r>
          </w:p>
        </w:tc>
        <w:tc>
          <w:tcPr>
            <w:tcW w:w="443" w:type="pct"/>
            <w:tcBorders>
              <w:top w:val="nil"/>
              <w:bottom w:val="single" w:sz="4" w:space="0" w:color="auto"/>
            </w:tcBorders>
            <w:noWrap/>
          </w:tcPr>
          <w:p w14:paraId="053DFD00" w14:textId="77777777" w:rsidR="00865C25" w:rsidRPr="00024EB0" w:rsidRDefault="00865C25" w:rsidP="001A6611">
            <w:pPr>
              <w:pStyle w:val="TableText"/>
              <w:jc w:val="right"/>
            </w:pPr>
            <w:r w:rsidRPr="005B2B27">
              <w:t>36%</w:t>
            </w:r>
          </w:p>
        </w:tc>
      </w:tr>
      <w:tr w:rsidR="00865C25" w:rsidRPr="00024EB0" w14:paraId="70764BE8" w14:textId="77777777" w:rsidTr="001A6611">
        <w:trPr>
          <w:trHeight w:val="300"/>
        </w:trPr>
        <w:tc>
          <w:tcPr>
            <w:tcW w:w="2749" w:type="pct"/>
            <w:tcBorders>
              <w:top w:val="nil"/>
              <w:bottom w:val="single" w:sz="4" w:space="0" w:color="auto"/>
            </w:tcBorders>
            <w:noWrap/>
          </w:tcPr>
          <w:p w14:paraId="77079760" w14:textId="77777777" w:rsidR="00865C25" w:rsidRPr="00DD0D7A" w:rsidRDefault="00865C25" w:rsidP="001A6611">
            <w:pPr>
              <w:pStyle w:val="TableText"/>
            </w:pPr>
            <w:r>
              <w:rPr>
                <w:i/>
              </w:rPr>
              <w:t xml:space="preserve">ALK </w:t>
            </w:r>
            <w:r>
              <w:t>PPA, 0.48 (base case: 1.00)</w:t>
            </w:r>
          </w:p>
        </w:tc>
        <w:tc>
          <w:tcPr>
            <w:tcW w:w="602" w:type="pct"/>
            <w:tcBorders>
              <w:top w:val="nil"/>
              <w:bottom w:val="single" w:sz="4" w:space="0" w:color="auto"/>
            </w:tcBorders>
            <w:noWrap/>
          </w:tcPr>
          <w:p w14:paraId="7947384E" w14:textId="77777777" w:rsidR="00865C25" w:rsidRPr="00024EB0" w:rsidRDefault="00865C25" w:rsidP="001A6611">
            <w:pPr>
              <w:pStyle w:val="TableText"/>
              <w:jc w:val="right"/>
            </w:pPr>
            <w:r w:rsidRPr="005B2B27">
              <w:t>$168.81</w:t>
            </w:r>
          </w:p>
        </w:tc>
        <w:tc>
          <w:tcPr>
            <w:tcW w:w="603" w:type="pct"/>
            <w:tcBorders>
              <w:top w:val="nil"/>
              <w:bottom w:val="single" w:sz="4" w:space="0" w:color="auto"/>
            </w:tcBorders>
            <w:noWrap/>
          </w:tcPr>
          <w:p w14:paraId="3C48010C" w14:textId="77777777" w:rsidR="00865C25" w:rsidRPr="00024EB0" w:rsidRDefault="00865C25" w:rsidP="001A6611">
            <w:pPr>
              <w:pStyle w:val="TableText"/>
              <w:jc w:val="right"/>
            </w:pPr>
            <w:r w:rsidRPr="005B2B27">
              <w:t>0.0114</w:t>
            </w:r>
          </w:p>
        </w:tc>
        <w:tc>
          <w:tcPr>
            <w:tcW w:w="603" w:type="pct"/>
            <w:tcBorders>
              <w:top w:val="nil"/>
              <w:bottom w:val="single" w:sz="4" w:space="0" w:color="auto"/>
            </w:tcBorders>
            <w:noWrap/>
          </w:tcPr>
          <w:p w14:paraId="315CF4D0" w14:textId="77777777" w:rsidR="00865C25" w:rsidRPr="00024EB0" w:rsidRDefault="00865C25" w:rsidP="001A6611">
            <w:pPr>
              <w:pStyle w:val="TableText"/>
              <w:jc w:val="right"/>
            </w:pPr>
            <w:r w:rsidRPr="005B2B27">
              <w:t>$14,848</w:t>
            </w:r>
          </w:p>
        </w:tc>
        <w:tc>
          <w:tcPr>
            <w:tcW w:w="443" w:type="pct"/>
            <w:tcBorders>
              <w:top w:val="nil"/>
              <w:bottom w:val="single" w:sz="4" w:space="0" w:color="auto"/>
            </w:tcBorders>
            <w:noWrap/>
          </w:tcPr>
          <w:p w14:paraId="5628A607" w14:textId="77777777" w:rsidR="00865C25" w:rsidRPr="00024EB0" w:rsidRDefault="00865C25" w:rsidP="001A6611">
            <w:pPr>
              <w:pStyle w:val="TableText"/>
              <w:jc w:val="right"/>
            </w:pPr>
            <w:r w:rsidRPr="005B2B27">
              <w:t>98%</w:t>
            </w:r>
          </w:p>
        </w:tc>
      </w:tr>
      <w:tr w:rsidR="00865C25" w:rsidRPr="00024EB0" w14:paraId="784B7650" w14:textId="77777777" w:rsidTr="001A6611">
        <w:trPr>
          <w:trHeight w:val="300"/>
        </w:trPr>
        <w:tc>
          <w:tcPr>
            <w:tcW w:w="2749" w:type="pct"/>
            <w:tcBorders>
              <w:bottom w:val="nil"/>
            </w:tcBorders>
            <w:noWrap/>
            <w:hideMark/>
          </w:tcPr>
          <w:p w14:paraId="054AFCAB" w14:textId="77777777" w:rsidR="00865C25" w:rsidRPr="00024EB0" w:rsidRDefault="00865C25" w:rsidP="001A6611">
            <w:pPr>
              <w:pStyle w:val="TableText"/>
            </w:pPr>
            <w:r w:rsidRPr="00DB3E00">
              <w:rPr>
                <w:i/>
              </w:rPr>
              <w:t xml:space="preserve">EGFR </w:t>
            </w:r>
            <w:r w:rsidRPr="00024EB0">
              <w:t>NPA, 0.95 (base case: 0.97)</w:t>
            </w:r>
          </w:p>
        </w:tc>
        <w:tc>
          <w:tcPr>
            <w:tcW w:w="602" w:type="pct"/>
            <w:tcBorders>
              <w:bottom w:val="nil"/>
            </w:tcBorders>
            <w:noWrap/>
          </w:tcPr>
          <w:p w14:paraId="28CBE97D" w14:textId="77777777" w:rsidR="00865C25" w:rsidRPr="00024EB0" w:rsidRDefault="00865C25" w:rsidP="001A6611">
            <w:pPr>
              <w:pStyle w:val="TableText"/>
              <w:jc w:val="right"/>
            </w:pPr>
            <w:r w:rsidRPr="005B2B27">
              <w:t>$161.36</w:t>
            </w:r>
          </w:p>
        </w:tc>
        <w:tc>
          <w:tcPr>
            <w:tcW w:w="603" w:type="pct"/>
            <w:tcBorders>
              <w:bottom w:val="nil"/>
            </w:tcBorders>
            <w:noWrap/>
          </w:tcPr>
          <w:p w14:paraId="31C9312F" w14:textId="77777777" w:rsidR="00865C25" w:rsidRPr="00024EB0" w:rsidRDefault="00865C25" w:rsidP="001A6611">
            <w:pPr>
              <w:pStyle w:val="TableText"/>
              <w:jc w:val="right"/>
            </w:pPr>
            <w:r w:rsidRPr="005B2B27">
              <w:t>0.0354</w:t>
            </w:r>
          </w:p>
        </w:tc>
        <w:tc>
          <w:tcPr>
            <w:tcW w:w="603" w:type="pct"/>
            <w:tcBorders>
              <w:bottom w:val="nil"/>
            </w:tcBorders>
            <w:noWrap/>
          </w:tcPr>
          <w:p w14:paraId="0E70AA93" w14:textId="77777777" w:rsidR="00865C25" w:rsidRPr="00024EB0" w:rsidRDefault="00865C25" w:rsidP="001A6611">
            <w:pPr>
              <w:pStyle w:val="TableText"/>
              <w:jc w:val="right"/>
            </w:pPr>
            <w:r w:rsidRPr="005B2B27">
              <w:t>$4,562</w:t>
            </w:r>
          </w:p>
        </w:tc>
        <w:tc>
          <w:tcPr>
            <w:tcW w:w="443" w:type="pct"/>
            <w:tcBorders>
              <w:bottom w:val="nil"/>
            </w:tcBorders>
            <w:noWrap/>
          </w:tcPr>
          <w:p w14:paraId="134C7C5B" w14:textId="77777777" w:rsidR="00865C25" w:rsidRPr="00024EB0" w:rsidRDefault="00865C25" w:rsidP="001A6611">
            <w:pPr>
              <w:pStyle w:val="TableText"/>
              <w:jc w:val="right"/>
            </w:pPr>
            <w:r w:rsidRPr="005B2B27">
              <w:t>−39%</w:t>
            </w:r>
          </w:p>
        </w:tc>
      </w:tr>
      <w:tr w:rsidR="00865C25" w:rsidRPr="00024EB0" w14:paraId="4184CB93" w14:textId="77777777" w:rsidTr="001A6611">
        <w:trPr>
          <w:trHeight w:val="300"/>
        </w:trPr>
        <w:tc>
          <w:tcPr>
            <w:tcW w:w="2749" w:type="pct"/>
            <w:tcBorders>
              <w:top w:val="nil"/>
              <w:bottom w:val="single" w:sz="4" w:space="0" w:color="auto"/>
            </w:tcBorders>
            <w:noWrap/>
            <w:hideMark/>
          </w:tcPr>
          <w:p w14:paraId="0206D14E" w14:textId="77777777" w:rsidR="00865C25" w:rsidRPr="00024EB0" w:rsidRDefault="00865C25" w:rsidP="001A6611">
            <w:pPr>
              <w:pStyle w:val="TableText"/>
            </w:pPr>
            <w:r w:rsidRPr="00DB3E00">
              <w:rPr>
                <w:i/>
              </w:rPr>
              <w:t xml:space="preserve">EGFR </w:t>
            </w:r>
            <w:r w:rsidRPr="00024EB0">
              <w:t>NPA, 0.99 (base case: 0.97)</w:t>
            </w:r>
          </w:p>
        </w:tc>
        <w:tc>
          <w:tcPr>
            <w:tcW w:w="602" w:type="pct"/>
            <w:tcBorders>
              <w:top w:val="nil"/>
              <w:bottom w:val="single" w:sz="4" w:space="0" w:color="auto"/>
            </w:tcBorders>
            <w:noWrap/>
          </w:tcPr>
          <w:p w14:paraId="5A9842B9" w14:textId="77777777" w:rsidR="00865C25" w:rsidRPr="00024EB0" w:rsidRDefault="00865C25" w:rsidP="001A6611">
            <w:pPr>
              <w:pStyle w:val="TableText"/>
              <w:jc w:val="right"/>
            </w:pPr>
            <w:r w:rsidRPr="005B2B27">
              <w:t>$176.69</w:t>
            </w:r>
          </w:p>
        </w:tc>
        <w:tc>
          <w:tcPr>
            <w:tcW w:w="603" w:type="pct"/>
            <w:tcBorders>
              <w:top w:val="nil"/>
              <w:bottom w:val="single" w:sz="4" w:space="0" w:color="auto"/>
            </w:tcBorders>
            <w:noWrap/>
          </w:tcPr>
          <w:p w14:paraId="1E44A58D" w14:textId="77777777" w:rsidR="00865C25" w:rsidRPr="00024EB0" w:rsidRDefault="00865C25" w:rsidP="001A6611">
            <w:pPr>
              <w:pStyle w:val="TableText"/>
              <w:jc w:val="right"/>
            </w:pPr>
            <w:r w:rsidRPr="005B2B27">
              <w:t>0.0097</w:t>
            </w:r>
          </w:p>
        </w:tc>
        <w:tc>
          <w:tcPr>
            <w:tcW w:w="603" w:type="pct"/>
            <w:tcBorders>
              <w:top w:val="nil"/>
              <w:bottom w:val="single" w:sz="4" w:space="0" w:color="auto"/>
            </w:tcBorders>
            <w:noWrap/>
          </w:tcPr>
          <w:p w14:paraId="4A8FE3BF" w14:textId="77777777" w:rsidR="00865C25" w:rsidRPr="00024EB0" w:rsidRDefault="00865C25" w:rsidP="001A6611">
            <w:pPr>
              <w:pStyle w:val="TableText"/>
              <w:jc w:val="right"/>
            </w:pPr>
            <w:r w:rsidRPr="005B2B27">
              <w:t>$18,168</w:t>
            </w:r>
          </w:p>
        </w:tc>
        <w:tc>
          <w:tcPr>
            <w:tcW w:w="443" w:type="pct"/>
            <w:tcBorders>
              <w:top w:val="nil"/>
              <w:bottom w:val="single" w:sz="4" w:space="0" w:color="auto"/>
            </w:tcBorders>
            <w:noWrap/>
          </w:tcPr>
          <w:p w14:paraId="0D20E1D8" w14:textId="77777777" w:rsidR="00865C25" w:rsidRPr="00024EB0" w:rsidRDefault="00865C25" w:rsidP="001A6611">
            <w:pPr>
              <w:pStyle w:val="TableText"/>
              <w:jc w:val="right"/>
            </w:pPr>
            <w:r w:rsidRPr="005B2B27">
              <w:t>142%</w:t>
            </w:r>
          </w:p>
        </w:tc>
      </w:tr>
      <w:tr w:rsidR="00865C25" w:rsidRPr="00024EB0" w14:paraId="330416EE" w14:textId="77777777" w:rsidTr="001A6611">
        <w:trPr>
          <w:trHeight w:val="300"/>
        </w:trPr>
        <w:tc>
          <w:tcPr>
            <w:tcW w:w="2749" w:type="pct"/>
            <w:tcBorders>
              <w:bottom w:val="single" w:sz="4" w:space="0" w:color="auto"/>
            </w:tcBorders>
            <w:noWrap/>
            <w:hideMark/>
          </w:tcPr>
          <w:p w14:paraId="1E829168" w14:textId="77777777" w:rsidR="00865C25" w:rsidRPr="00024EB0" w:rsidRDefault="00865C25" w:rsidP="001A6611">
            <w:pPr>
              <w:pStyle w:val="TableText"/>
            </w:pPr>
            <w:r w:rsidRPr="00DB3E00">
              <w:rPr>
                <w:i/>
              </w:rPr>
              <w:t>MET</w:t>
            </w:r>
            <w:r w:rsidRPr="00024EB0">
              <w:t>ex14sk NPA, 0.93 (base case: 1.00)</w:t>
            </w:r>
          </w:p>
        </w:tc>
        <w:tc>
          <w:tcPr>
            <w:tcW w:w="602" w:type="pct"/>
            <w:tcBorders>
              <w:bottom w:val="single" w:sz="4" w:space="0" w:color="auto"/>
            </w:tcBorders>
            <w:noWrap/>
          </w:tcPr>
          <w:p w14:paraId="121115CE" w14:textId="77777777" w:rsidR="00865C25" w:rsidRPr="00024EB0" w:rsidRDefault="00865C25" w:rsidP="001A6611">
            <w:pPr>
              <w:pStyle w:val="TableText"/>
              <w:jc w:val="right"/>
            </w:pPr>
            <w:r w:rsidRPr="005B2B27">
              <w:t>$138.59</w:t>
            </w:r>
          </w:p>
        </w:tc>
        <w:tc>
          <w:tcPr>
            <w:tcW w:w="603" w:type="pct"/>
            <w:tcBorders>
              <w:bottom w:val="single" w:sz="4" w:space="0" w:color="auto"/>
            </w:tcBorders>
            <w:noWrap/>
          </w:tcPr>
          <w:p w14:paraId="347E3D34" w14:textId="77777777" w:rsidR="00865C25" w:rsidRPr="00024EB0" w:rsidRDefault="00865C25" w:rsidP="001A6611">
            <w:pPr>
              <w:pStyle w:val="TableText"/>
              <w:jc w:val="right"/>
            </w:pPr>
            <w:r w:rsidRPr="005B2B27">
              <w:t>0.0734</w:t>
            </w:r>
          </w:p>
        </w:tc>
        <w:tc>
          <w:tcPr>
            <w:tcW w:w="603" w:type="pct"/>
            <w:tcBorders>
              <w:bottom w:val="single" w:sz="4" w:space="0" w:color="auto"/>
            </w:tcBorders>
            <w:noWrap/>
          </w:tcPr>
          <w:p w14:paraId="69FEC4A9" w14:textId="77777777" w:rsidR="00865C25" w:rsidRPr="00024EB0" w:rsidRDefault="00865C25" w:rsidP="001A6611">
            <w:pPr>
              <w:pStyle w:val="TableText"/>
              <w:jc w:val="right"/>
            </w:pPr>
            <w:r w:rsidRPr="005B2B27">
              <w:t>$1,887</w:t>
            </w:r>
          </w:p>
        </w:tc>
        <w:tc>
          <w:tcPr>
            <w:tcW w:w="443" w:type="pct"/>
            <w:tcBorders>
              <w:bottom w:val="single" w:sz="4" w:space="0" w:color="auto"/>
            </w:tcBorders>
            <w:noWrap/>
          </w:tcPr>
          <w:p w14:paraId="6DCB8040" w14:textId="77777777" w:rsidR="00865C25" w:rsidRPr="00024EB0" w:rsidRDefault="00865C25" w:rsidP="001A6611">
            <w:pPr>
              <w:pStyle w:val="TableText"/>
              <w:jc w:val="right"/>
            </w:pPr>
            <w:r w:rsidRPr="005B2B27">
              <w:t>−75%</w:t>
            </w:r>
          </w:p>
        </w:tc>
      </w:tr>
      <w:tr w:rsidR="00865C25" w:rsidRPr="00024EB0" w14:paraId="3BFA517E" w14:textId="77777777" w:rsidTr="001A6611">
        <w:trPr>
          <w:trHeight w:val="300"/>
        </w:trPr>
        <w:tc>
          <w:tcPr>
            <w:tcW w:w="2749" w:type="pct"/>
            <w:tcBorders>
              <w:bottom w:val="single" w:sz="4" w:space="0" w:color="auto"/>
              <w:right w:val="nil"/>
            </w:tcBorders>
            <w:noWrap/>
            <w:hideMark/>
          </w:tcPr>
          <w:p w14:paraId="3EF06FB8" w14:textId="77777777" w:rsidR="00865C25" w:rsidRPr="00024EB0" w:rsidRDefault="00865C25" w:rsidP="001A6611">
            <w:pPr>
              <w:pStyle w:val="TableText"/>
            </w:pPr>
            <w:r w:rsidRPr="00024EB0">
              <w:t>Rebiopsy uptake rate (base case: 100%)</w:t>
            </w:r>
          </w:p>
        </w:tc>
        <w:tc>
          <w:tcPr>
            <w:tcW w:w="602" w:type="pct"/>
            <w:tcBorders>
              <w:left w:val="nil"/>
              <w:bottom w:val="single" w:sz="4" w:space="0" w:color="auto"/>
              <w:right w:val="nil"/>
            </w:tcBorders>
            <w:noWrap/>
          </w:tcPr>
          <w:p w14:paraId="28FAB5B8" w14:textId="77777777" w:rsidR="00865C25" w:rsidRPr="00024EB0" w:rsidRDefault="00865C25" w:rsidP="001A6611">
            <w:pPr>
              <w:pStyle w:val="TableText"/>
              <w:jc w:val="right"/>
            </w:pPr>
          </w:p>
        </w:tc>
        <w:tc>
          <w:tcPr>
            <w:tcW w:w="603" w:type="pct"/>
            <w:tcBorders>
              <w:left w:val="nil"/>
              <w:bottom w:val="single" w:sz="4" w:space="0" w:color="auto"/>
              <w:right w:val="nil"/>
            </w:tcBorders>
            <w:noWrap/>
          </w:tcPr>
          <w:p w14:paraId="351A1F73" w14:textId="77777777" w:rsidR="00865C25" w:rsidRPr="00024EB0" w:rsidRDefault="00865C25" w:rsidP="001A6611">
            <w:pPr>
              <w:pStyle w:val="TableText"/>
              <w:jc w:val="right"/>
            </w:pPr>
          </w:p>
        </w:tc>
        <w:tc>
          <w:tcPr>
            <w:tcW w:w="603" w:type="pct"/>
            <w:tcBorders>
              <w:left w:val="nil"/>
              <w:bottom w:val="single" w:sz="4" w:space="0" w:color="auto"/>
              <w:right w:val="nil"/>
            </w:tcBorders>
            <w:noWrap/>
          </w:tcPr>
          <w:p w14:paraId="46353CD1" w14:textId="77777777" w:rsidR="00865C25" w:rsidRPr="00024EB0" w:rsidRDefault="00865C25" w:rsidP="001A6611">
            <w:pPr>
              <w:pStyle w:val="TableText"/>
              <w:jc w:val="right"/>
            </w:pPr>
          </w:p>
        </w:tc>
        <w:tc>
          <w:tcPr>
            <w:tcW w:w="443" w:type="pct"/>
            <w:tcBorders>
              <w:left w:val="nil"/>
              <w:bottom w:val="single" w:sz="4" w:space="0" w:color="auto"/>
            </w:tcBorders>
            <w:noWrap/>
          </w:tcPr>
          <w:p w14:paraId="036B070E" w14:textId="77777777" w:rsidR="00865C25" w:rsidRPr="00024EB0" w:rsidRDefault="00865C25" w:rsidP="001A6611">
            <w:pPr>
              <w:pStyle w:val="TableText"/>
              <w:jc w:val="right"/>
            </w:pPr>
          </w:p>
        </w:tc>
      </w:tr>
      <w:tr w:rsidR="00865C25" w:rsidRPr="00024EB0" w14:paraId="3CD1B00B" w14:textId="77777777" w:rsidTr="001A6611">
        <w:trPr>
          <w:trHeight w:val="300"/>
        </w:trPr>
        <w:tc>
          <w:tcPr>
            <w:tcW w:w="2749" w:type="pct"/>
            <w:tcBorders>
              <w:bottom w:val="nil"/>
            </w:tcBorders>
            <w:noWrap/>
            <w:hideMark/>
          </w:tcPr>
          <w:p w14:paraId="0D152B77" w14:textId="77777777" w:rsidR="00865C25" w:rsidRPr="00024EB0" w:rsidRDefault="00865C25" w:rsidP="001A6611">
            <w:pPr>
              <w:pStyle w:val="TableText"/>
            </w:pPr>
            <w:r w:rsidRPr="00024EB0">
              <w:t>30%</w:t>
            </w:r>
          </w:p>
        </w:tc>
        <w:tc>
          <w:tcPr>
            <w:tcW w:w="602" w:type="pct"/>
            <w:tcBorders>
              <w:bottom w:val="nil"/>
            </w:tcBorders>
            <w:noWrap/>
          </w:tcPr>
          <w:p w14:paraId="00311BCC" w14:textId="77777777" w:rsidR="00865C25" w:rsidRPr="00024EB0" w:rsidRDefault="00865C25" w:rsidP="001A6611">
            <w:pPr>
              <w:pStyle w:val="TableText"/>
              <w:jc w:val="right"/>
            </w:pPr>
            <w:r w:rsidRPr="005B2B27">
              <w:t>$254.94</w:t>
            </w:r>
          </w:p>
        </w:tc>
        <w:tc>
          <w:tcPr>
            <w:tcW w:w="603" w:type="pct"/>
            <w:tcBorders>
              <w:bottom w:val="nil"/>
            </w:tcBorders>
            <w:noWrap/>
          </w:tcPr>
          <w:p w14:paraId="770410FC" w14:textId="77777777" w:rsidR="00865C25" w:rsidRPr="00024EB0" w:rsidRDefault="00865C25" w:rsidP="001A6611">
            <w:pPr>
              <w:pStyle w:val="TableText"/>
              <w:jc w:val="right"/>
            </w:pPr>
            <w:r w:rsidRPr="005B2B27">
              <w:t>0.0248</w:t>
            </w:r>
          </w:p>
        </w:tc>
        <w:tc>
          <w:tcPr>
            <w:tcW w:w="603" w:type="pct"/>
            <w:tcBorders>
              <w:bottom w:val="nil"/>
            </w:tcBorders>
            <w:noWrap/>
          </w:tcPr>
          <w:p w14:paraId="720C965F" w14:textId="77777777" w:rsidR="00865C25" w:rsidRPr="00024EB0" w:rsidRDefault="00865C25" w:rsidP="001A6611">
            <w:pPr>
              <w:pStyle w:val="TableText"/>
              <w:jc w:val="right"/>
            </w:pPr>
            <w:r w:rsidRPr="005B2B27">
              <w:t>$10,298</w:t>
            </w:r>
          </w:p>
        </w:tc>
        <w:tc>
          <w:tcPr>
            <w:tcW w:w="443" w:type="pct"/>
            <w:tcBorders>
              <w:bottom w:val="nil"/>
            </w:tcBorders>
            <w:noWrap/>
          </w:tcPr>
          <w:p w14:paraId="67F1A848" w14:textId="77777777" w:rsidR="00865C25" w:rsidRPr="00024EB0" w:rsidRDefault="00865C25" w:rsidP="001A6611">
            <w:pPr>
              <w:pStyle w:val="TableText"/>
              <w:jc w:val="right"/>
            </w:pPr>
            <w:r w:rsidRPr="005B2B27">
              <w:t>37%</w:t>
            </w:r>
          </w:p>
        </w:tc>
      </w:tr>
      <w:tr w:rsidR="00865C25" w:rsidRPr="00024EB0" w14:paraId="5A74606B" w14:textId="77777777" w:rsidTr="001A6611">
        <w:trPr>
          <w:trHeight w:val="300"/>
        </w:trPr>
        <w:tc>
          <w:tcPr>
            <w:tcW w:w="2749" w:type="pct"/>
            <w:tcBorders>
              <w:top w:val="nil"/>
            </w:tcBorders>
            <w:noWrap/>
            <w:hideMark/>
          </w:tcPr>
          <w:p w14:paraId="535B6053" w14:textId="77777777" w:rsidR="00865C25" w:rsidRPr="00024EB0" w:rsidRDefault="00865C25" w:rsidP="001A6611">
            <w:pPr>
              <w:pStyle w:val="TableText"/>
            </w:pPr>
            <w:r w:rsidRPr="00024EB0">
              <w:t>60%</w:t>
            </w:r>
          </w:p>
        </w:tc>
        <w:tc>
          <w:tcPr>
            <w:tcW w:w="602" w:type="pct"/>
            <w:tcBorders>
              <w:top w:val="nil"/>
            </w:tcBorders>
            <w:noWrap/>
          </w:tcPr>
          <w:p w14:paraId="738B312F" w14:textId="77777777" w:rsidR="00865C25" w:rsidRPr="00024EB0" w:rsidRDefault="00865C25" w:rsidP="001A6611">
            <w:pPr>
              <w:pStyle w:val="TableText"/>
              <w:jc w:val="right"/>
            </w:pPr>
            <w:r w:rsidRPr="005B2B27">
              <w:t>$218.12</w:t>
            </w:r>
          </w:p>
        </w:tc>
        <w:tc>
          <w:tcPr>
            <w:tcW w:w="603" w:type="pct"/>
            <w:tcBorders>
              <w:top w:val="nil"/>
            </w:tcBorders>
            <w:noWrap/>
          </w:tcPr>
          <w:p w14:paraId="3DEABA88" w14:textId="77777777" w:rsidR="00865C25" w:rsidRPr="00024EB0" w:rsidRDefault="00865C25" w:rsidP="001A6611">
            <w:pPr>
              <w:pStyle w:val="TableText"/>
              <w:jc w:val="right"/>
            </w:pPr>
            <w:r w:rsidRPr="005B2B27">
              <w:t>0.0238</w:t>
            </w:r>
          </w:p>
        </w:tc>
        <w:tc>
          <w:tcPr>
            <w:tcW w:w="603" w:type="pct"/>
            <w:tcBorders>
              <w:top w:val="nil"/>
            </w:tcBorders>
            <w:noWrap/>
          </w:tcPr>
          <w:p w14:paraId="7102C0F4" w14:textId="77777777" w:rsidR="00865C25" w:rsidRPr="00024EB0" w:rsidRDefault="00865C25" w:rsidP="001A6611">
            <w:pPr>
              <w:pStyle w:val="TableText"/>
              <w:jc w:val="right"/>
            </w:pPr>
            <w:r w:rsidRPr="005B2B27">
              <w:t>$9,161</w:t>
            </w:r>
          </w:p>
        </w:tc>
        <w:tc>
          <w:tcPr>
            <w:tcW w:w="443" w:type="pct"/>
            <w:tcBorders>
              <w:top w:val="nil"/>
            </w:tcBorders>
            <w:noWrap/>
          </w:tcPr>
          <w:p w14:paraId="11B150C5" w14:textId="77777777" w:rsidR="00865C25" w:rsidRPr="00024EB0" w:rsidRDefault="00865C25" w:rsidP="001A6611">
            <w:pPr>
              <w:pStyle w:val="TableText"/>
              <w:jc w:val="right"/>
            </w:pPr>
            <w:r w:rsidRPr="005B2B27">
              <w:t>22%</w:t>
            </w:r>
          </w:p>
        </w:tc>
      </w:tr>
      <w:tr w:rsidR="00865C25" w:rsidRPr="00024EB0" w14:paraId="34884A83" w14:textId="77777777" w:rsidTr="001A6611">
        <w:trPr>
          <w:trHeight w:val="300"/>
        </w:trPr>
        <w:tc>
          <w:tcPr>
            <w:tcW w:w="2749" w:type="pct"/>
            <w:noWrap/>
          </w:tcPr>
          <w:p w14:paraId="3DA3D452" w14:textId="77777777" w:rsidR="00865C25" w:rsidRPr="00024EB0" w:rsidRDefault="00865C25" w:rsidP="001A6611">
            <w:pPr>
              <w:pStyle w:val="TableText"/>
            </w:pPr>
            <w:r>
              <w:t xml:space="preserve">Average fee charged for </w:t>
            </w:r>
            <w:r w:rsidRPr="00956452">
              <w:rPr>
                <w:i/>
              </w:rPr>
              <w:t>EGFR</w:t>
            </w:r>
            <w:r>
              <w:t xml:space="preserve"> and </w:t>
            </w:r>
            <w:r w:rsidRPr="00956452">
              <w:rPr>
                <w:i/>
              </w:rPr>
              <w:t>ALK</w:t>
            </w:r>
            <w:r>
              <w:t xml:space="preserve"> and </w:t>
            </w:r>
            <w:r w:rsidRPr="00956452">
              <w:rPr>
                <w:i/>
              </w:rPr>
              <w:t>ROS1</w:t>
            </w:r>
            <w:r>
              <w:t xml:space="preserve"> FISH </w:t>
            </w:r>
            <w:r>
              <w:br/>
              <w:t>(base case: MBS Schedule Fees)</w:t>
            </w:r>
          </w:p>
        </w:tc>
        <w:tc>
          <w:tcPr>
            <w:tcW w:w="602" w:type="pct"/>
            <w:noWrap/>
          </w:tcPr>
          <w:p w14:paraId="51151366" w14:textId="77777777" w:rsidR="00865C25" w:rsidRPr="005B2B27" w:rsidRDefault="00865C25" w:rsidP="001A6611">
            <w:pPr>
              <w:pStyle w:val="TableText"/>
              <w:jc w:val="right"/>
            </w:pPr>
            <w:r w:rsidRPr="009B6F33">
              <w:t>$185.26</w:t>
            </w:r>
          </w:p>
        </w:tc>
        <w:tc>
          <w:tcPr>
            <w:tcW w:w="603" w:type="pct"/>
            <w:noWrap/>
          </w:tcPr>
          <w:p w14:paraId="30960014" w14:textId="77777777" w:rsidR="00865C25" w:rsidRPr="005B2B27" w:rsidRDefault="00865C25" w:rsidP="001A6611">
            <w:pPr>
              <w:pStyle w:val="TableText"/>
              <w:jc w:val="right"/>
            </w:pPr>
            <w:r w:rsidRPr="009B6F33">
              <w:t>0.0225</w:t>
            </w:r>
          </w:p>
        </w:tc>
        <w:tc>
          <w:tcPr>
            <w:tcW w:w="603" w:type="pct"/>
            <w:noWrap/>
          </w:tcPr>
          <w:p w14:paraId="058DD8CF" w14:textId="77777777" w:rsidR="00865C25" w:rsidRPr="005B2B27" w:rsidRDefault="00865C25" w:rsidP="001A6611">
            <w:pPr>
              <w:pStyle w:val="TableText"/>
              <w:jc w:val="right"/>
            </w:pPr>
            <w:r w:rsidRPr="009B6F33">
              <w:t>$8,217</w:t>
            </w:r>
          </w:p>
        </w:tc>
        <w:tc>
          <w:tcPr>
            <w:tcW w:w="443" w:type="pct"/>
            <w:noWrap/>
          </w:tcPr>
          <w:p w14:paraId="2DC33300" w14:textId="77777777" w:rsidR="00865C25" w:rsidRPr="005B2B27" w:rsidRDefault="00865C25" w:rsidP="001A6611">
            <w:pPr>
              <w:pStyle w:val="TableText"/>
              <w:jc w:val="right"/>
            </w:pPr>
            <w:r w:rsidRPr="009B6F33">
              <w:t>10%</w:t>
            </w:r>
          </w:p>
        </w:tc>
      </w:tr>
      <w:tr w:rsidR="00865C25" w:rsidRPr="00024EB0" w14:paraId="7CB08F27" w14:textId="77777777" w:rsidTr="001A6611">
        <w:trPr>
          <w:trHeight w:val="300"/>
        </w:trPr>
        <w:tc>
          <w:tcPr>
            <w:tcW w:w="2749" w:type="pct"/>
            <w:noWrap/>
            <w:hideMark/>
          </w:tcPr>
          <w:p w14:paraId="6B9F5050" w14:textId="77777777" w:rsidR="00865C25" w:rsidRPr="00024EB0" w:rsidRDefault="00865C25" w:rsidP="001A6611">
            <w:pPr>
              <w:pStyle w:val="TableText"/>
            </w:pPr>
            <w:r w:rsidRPr="00024EB0">
              <w:t xml:space="preserve">FISH utilisation, use IHC NPA data (base case: </w:t>
            </w:r>
            <w:proofErr w:type="gramStart"/>
            <w:r w:rsidRPr="00024EB0">
              <w:t>calibrated)</w:t>
            </w:r>
            <w:r w:rsidRPr="00A20449">
              <w:rPr>
                <w:vertAlign w:val="superscript"/>
              </w:rPr>
              <w:t>c</w:t>
            </w:r>
            <w:proofErr w:type="gramEnd"/>
            <w:r>
              <w:t xml:space="preserve"> </w:t>
            </w:r>
            <w:r w:rsidRPr="002E183D">
              <w:rPr>
                <w:b/>
              </w:rPr>
              <w:t>#2</w:t>
            </w:r>
          </w:p>
        </w:tc>
        <w:tc>
          <w:tcPr>
            <w:tcW w:w="602" w:type="pct"/>
            <w:noWrap/>
          </w:tcPr>
          <w:p w14:paraId="59D90D43" w14:textId="77777777" w:rsidR="00865C25" w:rsidRPr="00024EB0" w:rsidRDefault="00865C25" w:rsidP="001A6611">
            <w:pPr>
              <w:pStyle w:val="TableText"/>
              <w:jc w:val="right"/>
            </w:pPr>
            <w:r w:rsidRPr="005B2B27">
              <w:t>$183.78</w:t>
            </w:r>
          </w:p>
        </w:tc>
        <w:tc>
          <w:tcPr>
            <w:tcW w:w="603" w:type="pct"/>
            <w:noWrap/>
          </w:tcPr>
          <w:p w14:paraId="76DEBB72" w14:textId="77777777" w:rsidR="00865C25" w:rsidRPr="00024EB0" w:rsidRDefault="00865C25" w:rsidP="001A6611">
            <w:pPr>
              <w:pStyle w:val="TableText"/>
              <w:jc w:val="right"/>
            </w:pPr>
            <w:r w:rsidRPr="005B2B27">
              <w:t>0.0225</w:t>
            </w:r>
          </w:p>
        </w:tc>
        <w:tc>
          <w:tcPr>
            <w:tcW w:w="603" w:type="pct"/>
            <w:noWrap/>
          </w:tcPr>
          <w:p w14:paraId="59CA0B22" w14:textId="77777777" w:rsidR="00865C25" w:rsidRPr="00024EB0" w:rsidRDefault="00865C25" w:rsidP="001A6611">
            <w:pPr>
              <w:pStyle w:val="TableText"/>
              <w:jc w:val="right"/>
            </w:pPr>
            <w:r w:rsidRPr="005B2B27">
              <w:t>$8,151</w:t>
            </w:r>
          </w:p>
        </w:tc>
        <w:tc>
          <w:tcPr>
            <w:tcW w:w="443" w:type="pct"/>
            <w:noWrap/>
          </w:tcPr>
          <w:p w14:paraId="371A07F8" w14:textId="77777777" w:rsidR="00865C25" w:rsidRPr="00024EB0" w:rsidRDefault="00865C25" w:rsidP="001A6611">
            <w:pPr>
              <w:pStyle w:val="TableText"/>
              <w:jc w:val="right"/>
            </w:pPr>
            <w:r w:rsidRPr="005B2B27">
              <w:t>9%</w:t>
            </w:r>
          </w:p>
        </w:tc>
      </w:tr>
      <w:tr w:rsidR="00865C25" w:rsidRPr="00024EB0" w14:paraId="7B3D456A" w14:textId="77777777" w:rsidTr="001A6611">
        <w:trPr>
          <w:trHeight w:val="300"/>
        </w:trPr>
        <w:tc>
          <w:tcPr>
            <w:tcW w:w="2749" w:type="pct"/>
            <w:tcBorders>
              <w:bottom w:val="single" w:sz="4" w:space="0" w:color="auto"/>
            </w:tcBorders>
            <w:noWrap/>
            <w:hideMark/>
          </w:tcPr>
          <w:p w14:paraId="1C70D81C" w14:textId="77777777" w:rsidR="00865C25" w:rsidRPr="00024EB0" w:rsidRDefault="00865C25" w:rsidP="001A6611">
            <w:pPr>
              <w:pStyle w:val="TableText"/>
            </w:pPr>
            <w:r w:rsidRPr="00024EB0">
              <w:t xml:space="preserve">Separate RNA small panel use, allowed </w:t>
            </w:r>
            <w:r>
              <w:t>with</w:t>
            </w:r>
            <w:r w:rsidRPr="00024EB0">
              <w:t xml:space="preserve"> </w:t>
            </w:r>
            <w:r w:rsidRPr="00DB3E00">
              <w:rPr>
                <w:i/>
              </w:rPr>
              <w:t>KRAS</w:t>
            </w:r>
            <w:r w:rsidRPr="00024EB0">
              <w:t xml:space="preserve"> </w:t>
            </w:r>
            <w:r>
              <w:t>or</w:t>
            </w:r>
            <w:r w:rsidRPr="00024EB0">
              <w:t xml:space="preserve"> </w:t>
            </w:r>
            <w:r w:rsidRPr="00DB3E00">
              <w:rPr>
                <w:i/>
              </w:rPr>
              <w:t>BRAF</w:t>
            </w:r>
            <w:r w:rsidRPr="00024EB0">
              <w:t xml:space="preserve"> </w:t>
            </w:r>
            <w:r w:rsidRPr="002E183D">
              <w:rPr>
                <w:b/>
              </w:rPr>
              <w:t>#4</w:t>
            </w:r>
            <w:r w:rsidRPr="00024EB0">
              <w:t xml:space="preserve"> (base case: not allowed)</w:t>
            </w:r>
            <w:r>
              <w:t xml:space="preserve"> </w:t>
            </w:r>
          </w:p>
        </w:tc>
        <w:tc>
          <w:tcPr>
            <w:tcW w:w="602" w:type="pct"/>
            <w:tcBorders>
              <w:bottom w:val="single" w:sz="4" w:space="0" w:color="auto"/>
            </w:tcBorders>
            <w:noWrap/>
          </w:tcPr>
          <w:p w14:paraId="301F7746" w14:textId="77777777" w:rsidR="00865C25" w:rsidRPr="00024EB0" w:rsidRDefault="00865C25" w:rsidP="001A6611">
            <w:pPr>
              <w:pStyle w:val="TableText"/>
              <w:jc w:val="right"/>
            </w:pPr>
            <w:r w:rsidRPr="005B2B27">
              <w:t>$307.24</w:t>
            </w:r>
          </w:p>
        </w:tc>
        <w:tc>
          <w:tcPr>
            <w:tcW w:w="603" w:type="pct"/>
            <w:tcBorders>
              <w:bottom w:val="single" w:sz="4" w:space="0" w:color="auto"/>
            </w:tcBorders>
            <w:noWrap/>
          </w:tcPr>
          <w:p w14:paraId="422F8EBF" w14:textId="77777777" w:rsidR="00865C25" w:rsidRPr="00024EB0" w:rsidRDefault="00865C25" w:rsidP="001A6611">
            <w:pPr>
              <w:pStyle w:val="TableText"/>
              <w:jc w:val="right"/>
            </w:pPr>
            <w:r w:rsidRPr="005B2B27">
              <w:t>0.0225</w:t>
            </w:r>
          </w:p>
        </w:tc>
        <w:tc>
          <w:tcPr>
            <w:tcW w:w="603" w:type="pct"/>
            <w:tcBorders>
              <w:bottom w:val="single" w:sz="4" w:space="0" w:color="auto"/>
            </w:tcBorders>
            <w:noWrap/>
          </w:tcPr>
          <w:p w14:paraId="358418D1" w14:textId="77777777" w:rsidR="00865C25" w:rsidRPr="00024EB0" w:rsidRDefault="00865C25" w:rsidP="001A6611">
            <w:pPr>
              <w:pStyle w:val="TableText"/>
              <w:jc w:val="right"/>
            </w:pPr>
            <w:r w:rsidRPr="005B2B27">
              <w:t>$13,627</w:t>
            </w:r>
          </w:p>
        </w:tc>
        <w:tc>
          <w:tcPr>
            <w:tcW w:w="443" w:type="pct"/>
            <w:tcBorders>
              <w:bottom w:val="single" w:sz="4" w:space="0" w:color="auto"/>
            </w:tcBorders>
            <w:noWrap/>
          </w:tcPr>
          <w:p w14:paraId="27B8E531" w14:textId="77777777" w:rsidR="00865C25" w:rsidRPr="00024EB0" w:rsidRDefault="00865C25" w:rsidP="001A6611">
            <w:pPr>
              <w:pStyle w:val="TableText"/>
              <w:jc w:val="right"/>
            </w:pPr>
            <w:r w:rsidRPr="005B2B27">
              <w:t>82%</w:t>
            </w:r>
          </w:p>
        </w:tc>
      </w:tr>
      <w:tr w:rsidR="00865C25" w:rsidRPr="00024EB0" w14:paraId="05DA7E3B" w14:textId="77777777" w:rsidTr="001A6611">
        <w:trPr>
          <w:trHeight w:val="300"/>
        </w:trPr>
        <w:tc>
          <w:tcPr>
            <w:tcW w:w="2749" w:type="pct"/>
            <w:tcBorders>
              <w:bottom w:val="single" w:sz="4" w:space="0" w:color="auto"/>
              <w:right w:val="single" w:sz="4" w:space="0" w:color="auto"/>
            </w:tcBorders>
            <w:noWrap/>
            <w:hideMark/>
          </w:tcPr>
          <w:p w14:paraId="789CF1AF" w14:textId="77777777" w:rsidR="00865C25" w:rsidRPr="00024EB0" w:rsidRDefault="00865C25" w:rsidP="001A6611">
            <w:pPr>
              <w:pStyle w:val="TableText"/>
            </w:pPr>
            <w:r w:rsidRPr="00024EB0">
              <w:t xml:space="preserve">Proportion with </w:t>
            </w:r>
            <w:r w:rsidRPr="00DB3E00">
              <w:rPr>
                <w:i/>
              </w:rPr>
              <w:t>KRAS</w:t>
            </w:r>
            <w:r w:rsidRPr="00024EB0">
              <w:t xml:space="preserve"> or </w:t>
            </w:r>
            <w:r w:rsidRPr="00DB3E00">
              <w:rPr>
                <w:i/>
              </w:rPr>
              <w:t>BRAF</w:t>
            </w:r>
            <w:r w:rsidRPr="00024EB0">
              <w:t xml:space="preserve"> activating variants</w:t>
            </w:r>
            <w:r>
              <w:t>, 52%</w:t>
            </w:r>
            <w:r w:rsidRPr="00024EB0">
              <w:t xml:space="preserve"> </w:t>
            </w:r>
            <w:r>
              <w:br/>
            </w:r>
            <w:r w:rsidRPr="00024EB0">
              <w:t>(base case: 30.8%)</w:t>
            </w:r>
          </w:p>
        </w:tc>
        <w:tc>
          <w:tcPr>
            <w:tcW w:w="602" w:type="pct"/>
            <w:tcBorders>
              <w:left w:val="single" w:sz="4" w:space="0" w:color="auto"/>
              <w:bottom w:val="single" w:sz="4" w:space="0" w:color="auto"/>
              <w:right w:val="single" w:sz="4" w:space="0" w:color="auto"/>
            </w:tcBorders>
            <w:noWrap/>
          </w:tcPr>
          <w:p w14:paraId="37F0C248" w14:textId="77777777" w:rsidR="00865C25" w:rsidRPr="00024EB0" w:rsidRDefault="00865C25" w:rsidP="001A6611">
            <w:pPr>
              <w:pStyle w:val="TableText"/>
              <w:jc w:val="right"/>
            </w:pPr>
            <w:r w:rsidRPr="005B2B27">
              <w:t>$73.89</w:t>
            </w:r>
          </w:p>
        </w:tc>
        <w:tc>
          <w:tcPr>
            <w:tcW w:w="603" w:type="pct"/>
            <w:tcBorders>
              <w:left w:val="single" w:sz="4" w:space="0" w:color="auto"/>
              <w:bottom w:val="single" w:sz="4" w:space="0" w:color="auto"/>
              <w:right w:val="single" w:sz="4" w:space="0" w:color="auto"/>
            </w:tcBorders>
            <w:noWrap/>
          </w:tcPr>
          <w:p w14:paraId="2A5A19CD" w14:textId="77777777" w:rsidR="00865C25" w:rsidRPr="00024EB0" w:rsidRDefault="00865C25" w:rsidP="001A6611">
            <w:pPr>
              <w:pStyle w:val="TableText"/>
              <w:jc w:val="right"/>
            </w:pPr>
            <w:r w:rsidRPr="005B2B27">
              <w:t>0.0225</w:t>
            </w:r>
          </w:p>
        </w:tc>
        <w:tc>
          <w:tcPr>
            <w:tcW w:w="603" w:type="pct"/>
            <w:tcBorders>
              <w:left w:val="single" w:sz="4" w:space="0" w:color="auto"/>
              <w:bottom w:val="single" w:sz="4" w:space="0" w:color="auto"/>
              <w:right w:val="single" w:sz="4" w:space="0" w:color="auto"/>
            </w:tcBorders>
            <w:noWrap/>
          </w:tcPr>
          <w:p w14:paraId="5D9C988D" w14:textId="77777777" w:rsidR="00865C25" w:rsidRPr="00024EB0" w:rsidRDefault="00865C25" w:rsidP="001A6611">
            <w:pPr>
              <w:pStyle w:val="TableText"/>
              <w:jc w:val="right"/>
            </w:pPr>
            <w:r w:rsidRPr="005B2B27">
              <w:t>$3,277</w:t>
            </w:r>
          </w:p>
        </w:tc>
        <w:tc>
          <w:tcPr>
            <w:tcW w:w="443" w:type="pct"/>
            <w:tcBorders>
              <w:left w:val="single" w:sz="4" w:space="0" w:color="auto"/>
              <w:bottom w:val="single" w:sz="4" w:space="0" w:color="auto"/>
            </w:tcBorders>
            <w:noWrap/>
          </w:tcPr>
          <w:p w14:paraId="5B953336" w14:textId="77777777" w:rsidR="00865C25" w:rsidRPr="00024EB0" w:rsidRDefault="00865C25" w:rsidP="001A6611">
            <w:pPr>
              <w:pStyle w:val="TableText"/>
              <w:jc w:val="right"/>
            </w:pPr>
            <w:r w:rsidRPr="005B2B27">
              <w:t>−56%</w:t>
            </w:r>
          </w:p>
        </w:tc>
      </w:tr>
      <w:tr w:rsidR="00865C25" w:rsidRPr="00024EB0" w14:paraId="160EA791" w14:textId="77777777" w:rsidTr="001A6611">
        <w:trPr>
          <w:trHeight w:val="300"/>
        </w:trPr>
        <w:tc>
          <w:tcPr>
            <w:tcW w:w="2749" w:type="pct"/>
            <w:tcBorders>
              <w:bottom w:val="single" w:sz="4" w:space="0" w:color="auto"/>
              <w:right w:val="single" w:sz="4" w:space="0" w:color="auto"/>
            </w:tcBorders>
            <w:noWrap/>
            <w:hideMark/>
          </w:tcPr>
          <w:p w14:paraId="2A294838" w14:textId="77777777" w:rsidR="00865C25" w:rsidRPr="00024EB0" w:rsidRDefault="00865C25" w:rsidP="001A6611">
            <w:pPr>
              <w:pStyle w:val="TableText"/>
            </w:pPr>
            <w:r>
              <w:t xml:space="preserve">Rebiopsy cost, </w:t>
            </w:r>
            <w:r w:rsidRPr="00024EB0">
              <w:t>$3,369 [all outpatient]</w:t>
            </w:r>
            <w:r>
              <w:t xml:space="preserve"> </w:t>
            </w:r>
            <w:r w:rsidRPr="002E183D">
              <w:rPr>
                <w:b/>
              </w:rPr>
              <w:t>#3</w:t>
            </w:r>
            <w:r w:rsidRPr="00024EB0">
              <w:t xml:space="preserve"> </w:t>
            </w:r>
            <w:r>
              <w:br/>
            </w:r>
            <w:r w:rsidRPr="00024EB0">
              <w:t>(base case: $5,630 [all inpatient])</w:t>
            </w:r>
          </w:p>
        </w:tc>
        <w:tc>
          <w:tcPr>
            <w:tcW w:w="602" w:type="pct"/>
            <w:tcBorders>
              <w:left w:val="single" w:sz="4" w:space="0" w:color="auto"/>
              <w:bottom w:val="single" w:sz="4" w:space="0" w:color="auto"/>
              <w:right w:val="single" w:sz="4" w:space="0" w:color="auto"/>
            </w:tcBorders>
            <w:noWrap/>
          </w:tcPr>
          <w:p w14:paraId="0CC45B52" w14:textId="77777777" w:rsidR="00865C25" w:rsidRPr="00024EB0" w:rsidRDefault="00865C25" w:rsidP="001A6611">
            <w:pPr>
              <w:pStyle w:val="TableText"/>
              <w:jc w:val="right"/>
            </w:pPr>
            <w:r w:rsidRPr="005B2B27">
              <w:t>$213.63</w:t>
            </w:r>
          </w:p>
        </w:tc>
        <w:tc>
          <w:tcPr>
            <w:tcW w:w="603" w:type="pct"/>
            <w:tcBorders>
              <w:left w:val="single" w:sz="4" w:space="0" w:color="auto"/>
              <w:bottom w:val="single" w:sz="4" w:space="0" w:color="auto"/>
              <w:right w:val="single" w:sz="4" w:space="0" w:color="auto"/>
            </w:tcBorders>
            <w:noWrap/>
          </w:tcPr>
          <w:p w14:paraId="63F01D7F" w14:textId="77777777" w:rsidR="00865C25" w:rsidRPr="00024EB0" w:rsidRDefault="00865C25" w:rsidP="001A6611">
            <w:pPr>
              <w:pStyle w:val="TableText"/>
              <w:jc w:val="right"/>
            </w:pPr>
            <w:r w:rsidRPr="005B2B27">
              <w:t>0.0225</w:t>
            </w:r>
          </w:p>
        </w:tc>
        <w:tc>
          <w:tcPr>
            <w:tcW w:w="603" w:type="pct"/>
            <w:tcBorders>
              <w:left w:val="single" w:sz="4" w:space="0" w:color="auto"/>
              <w:bottom w:val="single" w:sz="4" w:space="0" w:color="auto"/>
              <w:right w:val="single" w:sz="4" w:space="0" w:color="auto"/>
            </w:tcBorders>
            <w:noWrap/>
          </w:tcPr>
          <w:p w14:paraId="0DA880A2" w14:textId="77777777" w:rsidR="00865C25" w:rsidRPr="00024EB0" w:rsidRDefault="00865C25" w:rsidP="001A6611">
            <w:pPr>
              <w:pStyle w:val="TableText"/>
              <w:jc w:val="right"/>
            </w:pPr>
            <w:r w:rsidRPr="005B2B27">
              <w:t>$9,475</w:t>
            </w:r>
          </w:p>
        </w:tc>
        <w:tc>
          <w:tcPr>
            <w:tcW w:w="443" w:type="pct"/>
            <w:tcBorders>
              <w:left w:val="single" w:sz="4" w:space="0" w:color="auto"/>
              <w:bottom w:val="single" w:sz="4" w:space="0" w:color="auto"/>
            </w:tcBorders>
            <w:noWrap/>
          </w:tcPr>
          <w:p w14:paraId="145B851F" w14:textId="77777777" w:rsidR="00865C25" w:rsidRPr="00024EB0" w:rsidRDefault="00865C25" w:rsidP="001A6611">
            <w:pPr>
              <w:pStyle w:val="TableText"/>
              <w:jc w:val="right"/>
            </w:pPr>
            <w:r w:rsidRPr="005B2B27">
              <w:t>26%</w:t>
            </w:r>
          </w:p>
        </w:tc>
      </w:tr>
      <w:tr w:rsidR="00865C25" w:rsidRPr="002E183D" w14:paraId="1702673A" w14:textId="77777777" w:rsidTr="001A6611">
        <w:trPr>
          <w:trHeight w:val="300"/>
        </w:trPr>
        <w:tc>
          <w:tcPr>
            <w:tcW w:w="2749" w:type="pct"/>
            <w:tcBorders>
              <w:bottom w:val="single" w:sz="4" w:space="0" w:color="auto"/>
              <w:right w:val="nil"/>
            </w:tcBorders>
            <w:noWrap/>
            <w:hideMark/>
          </w:tcPr>
          <w:p w14:paraId="4B3F2D15" w14:textId="77777777" w:rsidR="00865C25" w:rsidRPr="002E183D" w:rsidRDefault="00865C25" w:rsidP="001A6611">
            <w:pPr>
              <w:pStyle w:val="TableText"/>
              <w:keepNext/>
              <w:rPr>
                <w:b/>
              </w:rPr>
            </w:pPr>
            <w:r w:rsidRPr="002E183D">
              <w:rPr>
                <w:b/>
              </w:rPr>
              <w:lastRenderedPageBreak/>
              <w:t>Multivariate analyses</w:t>
            </w:r>
          </w:p>
        </w:tc>
        <w:tc>
          <w:tcPr>
            <w:tcW w:w="602" w:type="pct"/>
            <w:tcBorders>
              <w:left w:val="nil"/>
              <w:bottom w:val="single" w:sz="4" w:space="0" w:color="auto"/>
              <w:right w:val="nil"/>
            </w:tcBorders>
            <w:noWrap/>
            <w:hideMark/>
          </w:tcPr>
          <w:p w14:paraId="51B15C70" w14:textId="77777777" w:rsidR="00865C25" w:rsidRPr="002E183D" w:rsidRDefault="00865C25" w:rsidP="001A6611">
            <w:pPr>
              <w:pStyle w:val="TableText"/>
              <w:keepNext/>
              <w:jc w:val="right"/>
              <w:rPr>
                <w:b/>
              </w:rPr>
            </w:pPr>
          </w:p>
        </w:tc>
        <w:tc>
          <w:tcPr>
            <w:tcW w:w="603" w:type="pct"/>
            <w:tcBorders>
              <w:left w:val="nil"/>
              <w:bottom w:val="single" w:sz="4" w:space="0" w:color="auto"/>
              <w:right w:val="nil"/>
            </w:tcBorders>
            <w:noWrap/>
            <w:hideMark/>
          </w:tcPr>
          <w:p w14:paraId="1C341E6A" w14:textId="77777777" w:rsidR="00865C25" w:rsidRPr="002E183D" w:rsidRDefault="00865C25" w:rsidP="001A6611">
            <w:pPr>
              <w:pStyle w:val="TableText"/>
              <w:keepNext/>
              <w:jc w:val="right"/>
              <w:rPr>
                <w:b/>
              </w:rPr>
            </w:pPr>
          </w:p>
        </w:tc>
        <w:tc>
          <w:tcPr>
            <w:tcW w:w="603" w:type="pct"/>
            <w:tcBorders>
              <w:left w:val="nil"/>
              <w:bottom w:val="single" w:sz="4" w:space="0" w:color="auto"/>
              <w:right w:val="nil"/>
            </w:tcBorders>
            <w:noWrap/>
            <w:hideMark/>
          </w:tcPr>
          <w:p w14:paraId="167F874D" w14:textId="77777777" w:rsidR="00865C25" w:rsidRPr="002E183D" w:rsidRDefault="00865C25" w:rsidP="001A6611">
            <w:pPr>
              <w:pStyle w:val="TableText"/>
              <w:keepNext/>
              <w:jc w:val="right"/>
              <w:rPr>
                <w:b/>
              </w:rPr>
            </w:pPr>
          </w:p>
        </w:tc>
        <w:tc>
          <w:tcPr>
            <w:tcW w:w="443" w:type="pct"/>
            <w:tcBorders>
              <w:left w:val="nil"/>
              <w:bottom w:val="single" w:sz="4" w:space="0" w:color="auto"/>
            </w:tcBorders>
            <w:noWrap/>
            <w:hideMark/>
          </w:tcPr>
          <w:p w14:paraId="357650B1" w14:textId="77777777" w:rsidR="00865C25" w:rsidRPr="002E183D" w:rsidRDefault="00865C25" w:rsidP="001A6611">
            <w:pPr>
              <w:pStyle w:val="TableText"/>
              <w:keepNext/>
              <w:jc w:val="right"/>
              <w:rPr>
                <w:b/>
              </w:rPr>
            </w:pPr>
          </w:p>
        </w:tc>
      </w:tr>
      <w:tr w:rsidR="00865C25" w:rsidRPr="00024EB0" w14:paraId="223BE962" w14:textId="77777777" w:rsidTr="001A6611">
        <w:trPr>
          <w:trHeight w:val="300"/>
        </w:trPr>
        <w:tc>
          <w:tcPr>
            <w:tcW w:w="2749" w:type="pct"/>
            <w:tcBorders>
              <w:bottom w:val="nil"/>
            </w:tcBorders>
            <w:noWrap/>
          </w:tcPr>
          <w:p w14:paraId="523ED624" w14:textId="77777777" w:rsidR="00865C25" w:rsidRPr="00024EB0" w:rsidRDefault="00865C25" w:rsidP="001A6611">
            <w:pPr>
              <w:pStyle w:val="TableText"/>
              <w:keepNext/>
            </w:pPr>
            <w:r>
              <w:t>#1 AND #2</w:t>
            </w:r>
          </w:p>
        </w:tc>
        <w:tc>
          <w:tcPr>
            <w:tcW w:w="602" w:type="pct"/>
            <w:tcBorders>
              <w:bottom w:val="nil"/>
            </w:tcBorders>
            <w:noWrap/>
          </w:tcPr>
          <w:p w14:paraId="4FA9F426" w14:textId="77777777" w:rsidR="00865C25" w:rsidRPr="00024EB0" w:rsidRDefault="00865C25" w:rsidP="001A6611">
            <w:pPr>
              <w:pStyle w:val="TableText"/>
              <w:keepNext/>
              <w:jc w:val="right"/>
            </w:pPr>
            <w:r w:rsidRPr="00362F21">
              <w:t>$183.74</w:t>
            </w:r>
          </w:p>
        </w:tc>
        <w:tc>
          <w:tcPr>
            <w:tcW w:w="603" w:type="pct"/>
            <w:tcBorders>
              <w:bottom w:val="nil"/>
            </w:tcBorders>
            <w:noWrap/>
          </w:tcPr>
          <w:p w14:paraId="4608442D" w14:textId="77777777" w:rsidR="00865C25" w:rsidRPr="00024EB0" w:rsidRDefault="00865C25" w:rsidP="001A6611">
            <w:pPr>
              <w:pStyle w:val="TableText"/>
              <w:keepNext/>
              <w:jc w:val="right"/>
            </w:pPr>
            <w:r w:rsidRPr="00362F21">
              <w:t>0.0219</w:t>
            </w:r>
          </w:p>
        </w:tc>
        <w:tc>
          <w:tcPr>
            <w:tcW w:w="603" w:type="pct"/>
            <w:tcBorders>
              <w:bottom w:val="nil"/>
            </w:tcBorders>
            <w:noWrap/>
          </w:tcPr>
          <w:p w14:paraId="462C3B2E" w14:textId="77777777" w:rsidR="00865C25" w:rsidRPr="00024EB0" w:rsidRDefault="00865C25" w:rsidP="001A6611">
            <w:pPr>
              <w:pStyle w:val="TableText"/>
              <w:keepNext/>
              <w:jc w:val="right"/>
            </w:pPr>
            <w:r w:rsidRPr="00362F21">
              <w:t>$8,404</w:t>
            </w:r>
          </w:p>
        </w:tc>
        <w:tc>
          <w:tcPr>
            <w:tcW w:w="443" w:type="pct"/>
            <w:tcBorders>
              <w:bottom w:val="nil"/>
            </w:tcBorders>
            <w:noWrap/>
          </w:tcPr>
          <w:p w14:paraId="29E71C78" w14:textId="77777777" w:rsidR="00865C25" w:rsidRPr="00024EB0" w:rsidRDefault="00865C25" w:rsidP="001A6611">
            <w:pPr>
              <w:pStyle w:val="TableText"/>
              <w:keepNext/>
              <w:jc w:val="right"/>
            </w:pPr>
            <w:r w:rsidRPr="003B6B47">
              <w:t>12%</w:t>
            </w:r>
          </w:p>
        </w:tc>
      </w:tr>
      <w:tr w:rsidR="00865C25" w:rsidRPr="00024EB0" w14:paraId="10C5D466" w14:textId="77777777" w:rsidTr="001A6611">
        <w:trPr>
          <w:trHeight w:val="300"/>
        </w:trPr>
        <w:tc>
          <w:tcPr>
            <w:tcW w:w="2749" w:type="pct"/>
            <w:tcBorders>
              <w:top w:val="nil"/>
              <w:bottom w:val="nil"/>
            </w:tcBorders>
            <w:noWrap/>
          </w:tcPr>
          <w:p w14:paraId="6F751A82" w14:textId="77777777" w:rsidR="00865C25" w:rsidRPr="00024EB0" w:rsidRDefault="00865C25" w:rsidP="001A6611">
            <w:pPr>
              <w:pStyle w:val="TableText"/>
              <w:keepNext/>
            </w:pPr>
            <w:r>
              <w:t>#1, #2 AND #3</w:t>
            </w:r>
          </w:p>
        </w:tc>
        <w:tc>
          <w:tcPr>
            <w:tcW w:w="602" w:type="pct"/>
            <w:tcBorders>
              <w:top w:val="nil"/>
              <w:bottom w:val="nil"/>
            </w:tcBorders>
            <w:noWrap/>
          </w:tcPr>
          <w:p w14:paraId="7A86D91F" w14:textId="77777777" w:rsidR="00865C25" w:rsidRPr="00024EB0" w:rsidRDefault="00865C25" w:rsidP="001A6611">
            <w:pPr>
              <w:pStyle w:val="TableText"/>
              <w:keepNext/>
              <w:jc w:val="right"/>
            </w:pPr>
            <w:r w:rsidRPr="00362F21">
              <w:t>$228.35</w:t>
            </w:r>
          </w:p>
        </w:tc>
        <w:tc>
          <w:tcPr>
            <w:tcW w:w="603" w:type="pct"/>
            <w:tcBorders>
              <w:top w:val="nil"/>
              <w:bottom w:val="nil"/>
            </w:tcBorders>
            <w:noWrap/>
          </w:tcPr>
          <w:p w14:paraId="224469AF" w14:textId="77777777" w:rsidR="00865C25" w:rsidRPr="00024EB0" w:rsidRDefault="00865C25" w:rsidP="001A6611">
            <w:pPr>
              <w:pStyle w:val="TableText"/>
              <w:keepNext/>
              <w:jc w:val="right"/>
            </w:pPr>
            <w:r w:rsidRPr="00362F21">
              <w:t>0.0219</w:t>
            </w:r>
          </w:p>
        </w:tc>
        <w:tc>
          <w:tcPr>
            <w:tcW w:w="603" w:type="pct"/>
            <w:tcBorders>
              <w:top w:val="nil"/>
              <w:bottom w:val="nil"/>
            </w:tcBorders>
            <w:noWrap/>
          </w:tcPr>
          <w:p w14:paraId="359715F2" w14:textId="77777777" w:rsidR="00865C25" w:rsidRPr="00024EB0" w:rsidRDefault="00865C25" w:rsidP="001A6611">
            <w:pPr>
              <w:pStyle w:val="TableText"/>
              <w:keepNext/>
              <w:jc w:val="right"/>
            </w:pPr>
            <w:r w:rsidRPr="00362F21">
              <w:t>$10,444</w:t>
            </w:r>
          </w:p>
        </w:tc>
        <w:tc>
          <w:tcPr>
            <w:tcW w:w="443" w:type="pct"/>
            <w:tcBorders>
              <w:top w:val="nil"/>
              <w:bottom w:val="nil"/>
            </w:tcBorders>
            <w:noWrap/>
          </w:tcPr>
          <w:p w14:paraId="0031C7AC" w14:textId="77777777" w:rsidR="00865C25" w:rsidRPr="00024EB0" w:rsidRDefault="00865C25" w:rsidP="001A6611">
            <w:pPr>
              <w:pStyle w:val="TableText"/>
              <w:keepNext/>
              <w:jc w:val="right"/>
            </w:pPr>
            <w:r w:rsidRPr="003B6B47">
              <w:t>39%</w:t>
            </w:r>
          </w:p>
        </w:tc>
      </w:tr>
      <w:tr w:rsidR="00865C25" w:rsidRPr="00024EB0" w14:paraId="2016D576" w14:textId="77777777" w:rsidTr="001A6611">
        <w:trPr>
          <w:trHeight w:val="300"/>
        </w:trPr>
        <w:tc>
          <w:tcPr>
            <w:tcW w:w="2749" w:type="pct"/>
            <w:tcBorders>
              <w:top w:val="nil"/>
            </w:tcBorders>
            <w:noWrap/>
          </w:tcPr>
          <w:p w14:paraId="10720867" w14:textId="77777777" w:rsidR="00865C25" w:rsidRPr="00024EB0" w:rsidRDefault="00865C25" w:rsidP="001A6611">
            <w:pPr>
              <w:pStyle w:val="TableText"/>
            </w:pPr>
            <w:r>
              <w:t>#1, #2, #3 AND #4</w:t>
            </w:r>
          </w:p>
        </w:tc>
        <w:tc>
          <w:tcPr>
            <w:tcW w:w="602" w:type="pct"/>
            <w:tcBorders>
              <w:top w:val="nil"/>
            </w:tcBorders>
            <w:noWrap/>
          </w:tcPr>
          <w:p w14:paraId="01B913DF" w14:textId="77777777" w:rsidR="00865C25" w:rsidRPr="00024EB0" w:rsidRDefault="00865C25" w:rsidP="001A6611">
            <w:pPr>
              <w:pStyle w:val="TableText"/>
              <w:jc w:val="right"/>
            </w:pPr>
            <w:r w:rsidRPr="00362F21">
              <w:t>$366.57</w:t>
            </w:r>
          </w:p>
        </w:tc>
        <w:tc>
          <w:tcPr>
            <w:tcW w:w="603" w:type="pct"/>
            <w:tcBorders>
              <w:top w:val="nil"/>
            </w:tcBorders>
            <w:noWrap/>
          </w:tcPr>
          <w:p w14:paraId="343BFD61" w14:textId="77777777" w:rsidR="00865C25" w:rsidRPr="00024EB0" w:rsidRDefault="00865C25" w:rsidP="001A6611">
            <w:pPr>
              <w:pStyle w:val="TableText"/>
              <w:jc w:val="right"/>
            </w:pPr>
            <w:r w:rsidRPr="00362F21">
              <w:t>0.0219</w:t>
            </w:r>
          </w:p>
        </w:tc>
        <w:tc>
          <w:tcPr>
            <w:tcW w:w="603" w:type="pct"/>
            <w:tcBorders>
              <w:top w:val="nil"/>
            </w:tcBorders>
            <w:noWrap/>
          </w:tcPr>
          <w:p w14:paraId="7C743415" w14:textId="77777777" w:rsidR="00865C25" w:rsidRPr="00024EB0" w:rsidRDefault="00865C25" w:rsidP="001A6611">
            <w:pPr>
              <w:pStyle w:val="TableText"/>
              <w:jc w:val="right"/>
            </w:pPr>
            <w:r w:rsidRPr="00362F21">
              <w:t>$16,767</w:t>
            </w:r>
          </w:p>
        </w:tc>
        <w:tc>
          <w:tcPr>
            <w:tcW w:w="443" w:type="pct"/>
            <w:tcBorders>
              <w:top w:val="nil"/>
            </w:tcBorders>
            <w:noWrap/>
          </w:tcPr>
          <w:p w14:paraId="10FEF557" w14:textId="77777777" w:rsidR="00865C25" w:rsidRPr="00024EB0" w:rsidRDefault="00865C25" w:rsidP="001A6611">
            <w:pPr>
              <w:pStyle w:val="TableText"/>
              <w:jc w:val="right"/>
            </w:pPr>
            <w:r w:rsidRPr="003B6B47">
              <w:t>124%</w:t>
            </w:r>
          </w:p>
        </w:tc>
      </w:tr>
    </w:tbl>
    <w:p w14:paraId="2707D4F4" w14:textId="77777777" w:rsidR="00865C25" w:rsidRDefault="00865C25" w:rsidP="00865C25">
      <w:pPr>
        <w:pStyle w:val="TableFooter"/>
      </w:pPr>
      <w:r w:rsidRPr="00916E2F">
        <w:rPr>
          <w:vertAlign w:val="superscript"/>
        </w:rPr>
        <w:t>a</w:t>
      </w:r>
      <w:r w:rsidRPr="00916E2F">
        <w:t xml:space="preserve"> </w:t>
      </w:r>
      <w:r>
        <w:t>Half the difference between test strategies</w:t>
      </w:r>
    </w:p>
    <w:p w14:paraId="72815A3F" w14:textId="77777777" w:rsidR="00865C25" w:rsidRDefault="00865C25" w:rsidP="00865C25">
      <w:pPr>
        <w:pStyle w:val="TableFooter"/>
      </w:pPr>
      <w:r w:rsidRPr="00916E2F">
        <w:rPr>
          <w:vertAlign w:val="superscript"/>
        </w:rPr>
        <w:t>b</w:t>
      </w:r>
      <w:r>
        <w:t xml:space="preserve"> Double the difference between test strategies</w:t>
      </w:r>
    </w:p>
    <w:p w14:paraId="67701945" w14:textId="77777777" w:rsidR="00865C25" w:rsidRPr="00916E2F" w:rsidRDefault="00865C25" w:rsidP="00865C25">
      <w:pPr>
        <w:pStyle w:val="TableFooter"/>
      </w:pPr>
      <w:r w:rsidRPr="00A20449">
        <w:rPr>
          <w:vertAlign w:val="superscript"/>
        </w:rPr>
        <w:t>c</w:t>
      </w:r>
      <w:r>
        <w:t xml:space="preserve"> Estimates of FISH use in the base case was calibrated to MBS utilisation data on the ratio of </w:t>
      </w:r>
      <w:r w:rsidRPr="00A20449">
        <w:rPr>
          <w:i/>
        </w:rPr>
        <w:t>EGFR</w:t>
      </w:r>
      <w:r>
        <w:t>:</w:t>
      </w:r>
      <w:r w:rsidRPr="00A20449">
        <w:rPr>
          <w:i/>
        </w:rPr>
        <w:t>ALK</w:t>
      </w:r>
      <w:r>
        <w:t xml:space="preserve"> or </w:t>
      </w:r>
      <w:r w:rsidRPr="00A20449">
        <w:rPr>
          <w:i/>
        </w:rPr>
        <w:t>ROS1</w:t>
      </w:r>
      <w:r>
        <w:t xml:space="preserve"> FISH services. The sensitivity analysis uses estimates based on biomarker prevalence and IHC specificity.</w:t>
      </w:r>
    </w:p>
    <w:p w14:paraId="52866BF8" w14:textId="273B238E" w:rsidR="00865C25" w:rsidRDefault="00865C25" w:rsidP="00865C25">
      <w:pPr>
        <w:pStyle w:val="TableFooter"/>
      </w:pPr>
      <w:r>
        <w:rPr>
          <w:i/>
        </w:rPr>
        <w:t>ALK</w:t>
      </w:r>
      <w:r>
        <w:t xml:space="preserve"> = </w:t>
      </w:r>
      <w:r w:rsidR="00C925AE">
        <w:t>ALK receptor tyrosine kinase</w:t>
      </w:r>
      <w:r>
        <w:t xml:space="preserve">; </w:t>
      </w:r>
      <w:r w:rsidRPr="00152F12">
        <w:rPr>
          <w:i/>
        </w:rPr>
        <w:t>BRAF</w:t>
      </w:r>
      <w:r>
        <w:t xml:space="preserve"> = </w:t>
      </w:r>
      <w:r w:rsidR="00420DE8" w:rsidRPr="00D61C70">
        <w:t>B-Raf proto-oncogene, serine/threonine kinase</w:t>
      </w:r>
      <w:r>
        <w:t xml:space="preserve">; DNA = deoxyribose nucleic acid; </w:t>
      </w:r>
      <w:r w:rsidRPr="00A81F01">
        <w:rPr>
          <w:i/>
        </w:rPr>
        <w:t>EGFR</w:t>
      </w:r>
      <w:r>
        <w:t xml:space="preserve"> = </w:t>
      </w:r>
      <w:r w:rsidRPr="00A81F01">
        <w:t>epidermal growth factor receptor</w:t>
      </w:r>
      <w:r>
        <w:t>; FISH = f</w:t>
      </w:r>
      <w:r w:rsidRPr="003316EF">
        <w:t xml:space="preserve">luorescence </w:t>
      </w:r>
      <w:r w:rsidRPr="00357441">
        <w:rPr>
          <w:i/>
          <w:iCs/>
        </w:rPr>
        <w:t>in situ</w:t>
      </w:r>
      <w:r w:rsidRPr="003316EF">
        <w:t xml:space="preserve"> hybridisation</w:t>
      </w:r>
      <w:r>
        <w:t xml:space="preserve">; ICER = incremental cost-effectiveness ratio; IHC = immunohistochemistry; </w:t>
      </w:r>
      <w:r w:rsidRPr="000B3989">
        <w:rPr>
          <w:i/>
          <w:iCs/>
        </w:rPr>
        <w:t>KRAS</w:t>
      </w:r>
      <w:r w:rsidRPr="00B52D8D">
        <w:t xml:space="preserve"> = </w:t>
      </w:r>
      <w:r w:rsidR="00D61C70" w:rsidRPr="00D61C70">
        <w:t>KRAS proto-oncogene, GTPase</w:t>
      </w:r>
      <w:r>
        <w:t xml:space="preserve">; </w:t>
      </w:r>
      <w:r w:rsidRPr="00336456">
        <w:rPr>
          <w:i/>
        </w:rPr>
        <w:t>MET</w:t>
      </w:r>
      <w:r>
        <w:t xml:space="preserve">ex14sk = MET proto-oncogene, receptor tyrosine kinase exon 14 skipping alterations; NPA = negative percent agreement; </w:t>
      </w:r>
      <w:r w:rsidRPr="000B3989">
        <w:rPr>
          <w:i/>
          <w:iCs/>
        </w:rPr>
        <w:t>NTRK</w:t>
      </w:r>
      <w:r w:rsidRPr="00B52D8D">
        <w:t xml:space="preserve"> = </w:t>
      </w:r>
      <w:r w:rsidR="00420DE8" w:rsidRPr="00420DE8">
        <w:t>neurotrophic receptor tyrosine kinase 1</w:t>
      </w:r>
      <w:r w:rsidRPr="00B52D8D">
        <w:t>;</w:t>
      </w:r>
      <w:r>
        <w:t xml:space="preserve"> PPA = positive percent agreement; RNA = ribonucleic acid;</w:t>
      </w:r>
      <w:r w:rsidRPr="00B52D8D">
        <w:t xml:space="preserve"> </w:t>
      </w:r>
      <w:r w:rsidRPr="00743D1B">
        <w:rPr>
          <w:i/>
        </w:rPr>
        <w:t>ROS1</w:t>
      </w:r>
      <w:r>
        <w:t xml:space="preserve"> = </w:t>
      </w:r>
      <w:r w:rsidR="00C925AE">
        <w:t>ROS proto-oncogene 1, receptor tyrosine kinase</w:t>
      </w:r>
      <w:r>
        <w:t>.</w:t>
      </w:r>
    </w:p>
    <w:p w14:paraId="09E8E542" w14:textId="77777777" w:rsidR="00865C25" w:rsidRDefault="00865C25" w:rsidP="00865C25">
      <w:pPr>
        <w:pStyle w:val="NormalBeforeBullet"/>
      </w:pPr>
      <w:r>
        <w:t xml:space="preserve">The analyses were most sensitive to the proportion of patients with advanced disease (as this affects the current costs offset), the small gene panel testing strategy used (including distribution of strategies used), differences in the test success rate, concordance of small gene panel testing (particularly NPA, which is assumed to increase incremental variants with small gene panel testing), and rebiopsy rate. The analysis was also sensitive to the assumption that patients found to have </w:t>
      </w:r>
      <w:r w:rsidRPr="0028041B">
        <w:rPr>
          <w:i/>
        </w:rPr>
        <w:t>KRAS</w:t>
      </w:r>
      <w:r>
        <w:t xml:space="preserve"> and </w:t>
      </w:r>
      <w:r w:rsidRPr="0028041B">
        <w:rPr>
          <w:i/>
        </w:rPr>
        <w:t>BRAF</w:t>
      </w:r>
      <w:r>
        <w:t xml:space="preserve"> variants on the DNA panel only would not receive RNA small gene panel testing (and expected yield of these non-actionable variants). I</w:t>
      </w:r>
      <w:r w:rsidRPr="00D03BA2">
        <w:t>nstances of concurrent variants may be more common than previously thought. A prosp</w:t>
      </w:r>
      <w:r>
        <w:t>ective case series</w:t>
      </w:r>
      <w:r>
        <w:rPr>
          <w:rStyle w:val="FootnoteReference"/>
        </w:rPr>
        <w:footnoteReference w:id="16"/>
      </w:r>
      <w:r>
        <w:t xml:space="preserve"> from Germany</w:t>
      </w:r>
      <w:r w:rsidRPr="00D03BA2">
        <w:t xml:space="preserve"> reported that of all patients with </w:t>
      </w:r>
      <w:r w:rsidRPr="0028041B">
        <w:rPr>
          <w:i/>
        </w:rPr>
        <w:t>ROS1</w:t>
      </w:r>
      <w:r w:rsidRPr="00D03BA2">
        <w:t xml:space="preserve"> and </w:t>
      </w:r>
      <w:r w:rsidRPr="0028041B">
        <w:rPr>
          <w:i/>
        </w:rPr>
        <w:t>ALK</w:t>
      </w:r>
      <w:r w:rsidRPr="00D03BA2">
        <w:t xml:space="preserve"> variants identified, respectively, 23.7% (14/59) and 16.1% (19/118) also had variants in </w:t>
      </w:r>
      <w:r w:rsidRPr="0028041B">
        <w:rPr>
          <w:i/>
        </w:rPr>
        <w:t>BRAF</w:t>
      </w:r>
      <w:r w:rsidRPr="00D03BA2">
        <w:t xml:space="preserve"> or </w:t>
      </w:r>
      <w:r w:rsidRPr="0028041B">
        <w:rPr>
          <w:i/>
        </w:rPr>
        <w:t>KRAS</w:t>
      </w:r>
      <w:r w:rsidRPr="00D03BA2">
        <w:t>.</w:t>
      </w:r>
    </w:p>
    <w:p w14:paraId="46AFD87D" w14:textId="77777777" w:rsidR="00865C25" w:rsidRDefault="00865C25" w:rsidP="00865C25">
      <w:pPr>
        <w:pStyle w:val="NormalBeforeBullet"/>
      </w:pPr>
      <w:r>
        <w:t>A few assumptions included in the base case analysis may not be the most conservative approach. Justification has been provided to support the use of the estimates in the base case, however multivariate analyses are performed using alternate approaches identified. The results do suggest that the analyses are sensitive to the combined effects of these changes.</w:t>
      </w:r>
    </w:p>
    <w:p w14:paraId="63110023" w14:textId="7A8BD0A8" w:rsidR="00865C25" w:rsidRPr="00CE28E3" w:rsidRDefault="00865C25" w:rsidP="00865C25">
      <w:pPr>
        <w:pStyle w:val="Heading2"/>
        <w:numPr>
          <w:ilvl w:val="0"/>
          <w:numId w:val="0"/>
        </w:numPr>
      </w:pPr>
      <w:bookmarkStart w:id="35" w:name="_Toc109054443"/>
      <w:bookmarkStart w:id="36" w:name="_Toc109149595"/>
      <w:r>
        <w:t>1</w:t>
      </w:r>
      <w:r w:rsidR="00813A4A">
        <w:t>4</w:t>
      </w:r>
      <w:r>
        <w:t>.</w:t>
      </w:r>
      <w:r>
        <w:tab/>
      </w:r>
      <w:r w:rsidRPr="00CE28E3">
        <w:t>Financial/budgetary impacts</w:t>
      </w:r>
      <w:bookmarkEnd w:id="35"/>
      <w:bookmarkEnd w:id="36"/>
    </w:p>
    <w:p w14:paraId="1E3F188E" w14:textId="77777777" w:rsidR="00865C25" w:rsidRDefault="00865C25" w:rsidP="00865C25">
      <w:r>
        <w:t xml:space="preserve">A market-share approach was used to estimate the extent of use of small gene panel testing in patients with non-squamous NSCLC with MBS listing. This was based on projections of current </w:t>
      </w:r>
      <w:r w:rsidRPr="0062157F">
        <w:rPr>
          <w:i/>
        </w:rPr>
        <w:t xml:space="preserve">EGFR </w:t>
      </w:r>
      <w:r>
        <w:t xml:space="preserve">service use and current use of </w:t>
      </w:r>
      <w:r w:rsidRPr="00F51CE4">
        <w:rPr>
          <w:i/>
        </w:rPr>
        <w:t>ALK</w:t>
      </w:r>
      <w:r>
        <w:t xml:space="preserve"> and </w:t>
      </w:r>
      <w:r w:rsidRPr="00F51CE4">
        <w:rPr>
          <w:i/>
        </w:rPr>
        <w:t>ROS1</w:t>
      </w:r>
      <w:r>
        <w:t xml:space="preserve"> FISH services relative to </w:t>
      </w:r>
      <w:r w:rsidRPr="0063086A">
        <w:rPr>
          <w:i/>
          <w:iCs/>
        </w:rPr>
        <w:t>EGFR</w:t>
      </w:r>
      <w:r>
        <w:t xml:space="preserve"> services. </w:t>
      </w:r>
      <w:r w:rsidRPr="0062157F">
        <w:rPr>
          <w:i/>
        </w:rPr>
        <w:t>MET</w:t>
      </w:r>
      <w:r>
        <w:t xml:space="preserve">ex14sk testing has also recently been recommended by MSAC in this patient population. Epidemiological estimates are applied to the projections of </w:t>
      </w:r>
      <w:r w:rsidRPr="0062157F">
        <w:rPr>
          <w:i/>
        </w:rPr>
        <w:t xml:space="preserve">EGFR </w:t>
      </w:r>
      <w:r>
        <w:t xml:space="preserve">use to estimate the change in use and cost related to </w:t>
      </w:r>
      <w:r w:rsidRPr="0062157F">
        <w:rPr>
          <w:i/>
        </w:rPr>
        <w:t>MET</w:t>
      </w:r>
      <w:r>
        <w:t>ex14sk testing.</w:t>
      </w:r>
    </w:p>
    <w:p w14:paraId="759DD141" w14:textId="5D9F5066" w:rsidR="00865C25" w:rsidRDefault="00865C25" w:rsidP="00865C25">
      <w:r w:rsidRPr="00CE28E3">
        <w:t xml:space="preserve">The financial implications to the </w:t>
      </w:r>
      <w:r w:rsidRPr="0028345B">
        <w:t>MBS</w:t>
      </w:r>
      <w:r w:rsidRPr="00CE28E3">
        <w:t xml:space="preserve"> resulting from the proposed listing of </w:t>
      </w:r>
      <w:r>
        <w:t>small gene panel testing</w:t>
      </w:r>
      <w:r w:rsidRPr="00CE28E3">
        <w:t xml:space="preserve"> are summarised in </w:t>
      </w:r>
      <w:r>
        <w:fldChar w:fldCharType="begin"/>
      </w:r>
      <w:r>
        <w:instrText xml:space="preserve"> REF _Ref69726382 \h </w:instrText>
      </w:r>
      <w:r>
        <w:fldChar w:fldCharType="separate"/>
      </w:r>
      <w:r w:rsidRPr="00CE28E3">
        <w:t>Table</w:t>
      </w:r>
      <w:r>
        <w:t> </w:t>
      </w:r>
      <w:r>
        <w:rPr>
          <w:noProof/>
        </w:rPr>
        <w:t>14</w:t>
      </w:r>
      <w:r>
        <w:fldChar w:fldCharType="end"/>
      </w:r>
      <w:r w:rsidRPr="00CE28E3">
        <w:t>.</w:t>
      </w:r>
      <w:r w:rsidR="00DC69FB">
        <w:t xml:space="preserve"> Note that these projections are currently by calendar year. </w:t>
      </w:r>
    </w:p>
    <w:p w14:paraId="4271AA5E" w14:textId="77777777" w:rsidR="00865C25" w:rsidRPr="00CE28E3" w:rsidRDefault="00865C25" w:rsidP="00865C25">
      <w:pPr>
        <w:pStyle w:val="Caption"/>
      </w:pPr>
      <w:bookmarkStart w:id="37" w:name="_Ref69726382"/>
      <w:r w:rsidRPr="00CE28E3">
        <w:lastRenderedPageBreak/>
        <w:t>Table</w:t>
      </w:r>
      <w:r>
        <w:t> </w:t>
      </w:r>
      <w:r w:rsidR="007F7A58">
        <w:fldChar w:fldCharType="begin"/>
      </w:r>
      <w:r w:rsidR="007F7A58">
        <w:instrText xml:space="preserve"> SEQ Table \* ARABIC </w:instrText>
      </w:r>
      <w:r w:rsidR="007F7A58">
        <w:fldChar w:fldCharType="separate"/>
      </w:r>
      <w:r>
        <w:rPr>
          <w:noProof/>
        </w:rPr>
        <w:t>14</w:t>
      </w:r>
      <w:r w:rsidR="007F7A58">
        <w:rPr>
          <w:noProof/>
        </w:rPr>
        <w:fldChar w:fldCharType="end"/>
      </w:r>
      <w:bookmarkEnd w:id="37"/>
      <w:r w:rsidRPr="00CE28E3">
        <w:tab/>
        <w:t xml:space="preserve">Net financial implications of </w:t>
      </w:r>
      <w:r>
        <w:t xml:space="preserve">small gene panel testing </w:t>
      </w:r>
      <w:r w:rsidRPr="00CE28E3">
        <w:t xml:space="preserve">to the </w:t>
      </w:r>
      <w:r>
        <w:t>MBS</w:t>
      </w:r>
    </w:p>
    <w:tbl>
      <w:tblPr>
        <w:tblStyle w:val="TableGrid1"/>
        <w:tblW w:w="0" w:type="auto"/>
        <w:tblLayout w:type="fixed"/>
        <w:tblCellMar>
          <w:left w:w="0" w:type="dxa"/>
          <w:right w:w="0" w:type="dxa"/>
        </w:tblCellMar>
        <w:tblLook w:val="04A0" w:firstRow="1" w:lastRow="0" w:firstColumn="1" w:lastColumn="0" w:noHBand="0" w:noVBand="1"/>
        <w:tblCaption w:val="Net financial implications of small gene panel testing to the MBS"/>
        <w:tblDescription w:val="Net financial implications of small gene panel testing to the MBS"/>
      </w:tblPr>
      <w:tblGrid>
        <w:gridCol w:w="2784"/>
        <w:gridCol w:w="1037"/>
        <w:gridCol w:w="1037"/>
        <w:gridCol w:w="1037"/>
        <w:gridCol w:w="1037"/>
        <w:gridCol w:w="1037"/>
        <w:gridCol w:w="1037"/>
      </w:tblGrid>
      <w:tr w:rsidR="00865C25" w:rsidRPr="00CE28E3" w14:paraId="0A32D401" w14:textId="77777777" w:rsidTr="001A6611">
        <w:trPr>
          <w:cnfStyle w:val="100000000000" w:firstRow="1" w:lastRow="0" w:firstColumn="0" w:lastColumn="0" w:oddVBand="0" w:evenVBand="0" w:oddHBand="0" w:evenHBand="0" w:firstRowFirstColumn="0" w:firstRowLastColumn="0" w:lastRowFirstColumn="0" w:lastRowLastColumn="0"/>
          <w:tblHeader/>
        </w:trPr>
        <w:tc>
          <w:tcPr>
            <w:tcW w:w="2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A1A673" w14:textId="77777777" w:rsidR="00865C25" w:rsidRPr="00CE28E3" w:rsidRDefault="00865C25" w:rsidP="001A6611">
            <w:pPr>
              <w:pStyle w:val="TableHeading"/>
            </w:pPr>
            <w:r>
              <w:t xml:space="preserve">Parameter </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B5C7F" w14:textId="77777777" w:rsidR="00865C25" w:rsidRPr="002A0A63" w:rsidRDefault="00865C25" w:rsidP="001A6611">
            <w:pPr>
              <w:pStyle w:val="TableHeading"/>
              <w:jc w:val="center"/>
            </w:pPr>
            <w:r w:rsidRPr="002A0A63">
              <w:t>2023</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98625B" w14:textId="77777777" w:rsidR="00865C25" w:rsidRPr="002A0A63" w:rsidRDefault="00865C25" w:rsidP="001A6611">
            <w:pPr>
              <w:pStyle w:val="TableHeading"/>
              <w:jc w:val="center"/>
            </w:pPr>
            <w:r w:rsidRPr="002A0A63">
              <w:t>2024</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021E51" w14:textId="77777777" w:rsidR="00865C25" w:rsidRPr="002A0A63" w:rsidRDefault="00865C25" w:rsidP="001A6611">
            <w:pPr>
              <w:pStyle w:val="TableHeading"/>
              <w:jc w:val="center"/>
            </w:pPr>
            <w:r w:rsidRPr="002A0A63">
              <w:t>2025</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1DA6C" w14:textId="77777777" w:rsidR="00865C25" w:rsidRPr="002A0A63" w:rsidRDefault="00865C25" w:rsidP="001A6611">
            <w:pPr>
              <w:pStyle w:val="TableHeading"/>
              <w:jc w:val="center"/>
            </w:pPr>
            <w:r w:rsidRPr="002A0A63">
              <w:t>2026</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3548A3" w14:textId="77777777" w:rsidR="00865C25" w:rsidRPr="002A0A63" w:rsidRDefault="00865C25" w:rsidP="001A6611">
            <w:pPr>
              <w:pStyle w:val="TableHeading"/>
              <w:jc w:val="center"/>
            </w:pPr>
            <w:r w:rsidRPr="002A0A63">
              <w:t>2027</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0622A" w14:textId="77777777" w:rsidR="00865C25" w:rsidRPr="002A0A63" w:rsidRDefault="00865C25" w:rsidP="001A6611">
            <w:pPr>
              <w:pStyle w:val="TableHeading"/>
              <w:jc w:val="center"/>
            </w:pPr>
            <w:r w:rsidRPr="002A0A63">
              <w:t>2028</w:t>
            </w:r>
          </w:p>
        </w:tc>
      </w:tr>
      <w:tr w:rsidR="00865C25" w:rsidRPr="00CE28E3" w14:paraId="0E2C33BE" w14:textId="77777777" w:rsidTr="001A6611">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BEFD2" w14:textId="77777777" w:rsidR="00865C25" w:rsidRPr="00CE28E3" w:rsidRDefault="00865C25" w:rsidP="001A6611">
            <w:pPr>
              <w:pStyle w:val="TableText"/>
              <w:keepNext/>
              <w:rPr>
                <w:b/>
                <w:bCs/>
              </w:rPr>
            </w:pPr>
            <w:r w:rsidRPr="00CE28E3">
              <w:rPr>
                <w:b/>
                <w:bCs/>
              </w:rPr>
              <w:t>Estimated use and cost of the proposed health technology</w:t>
            </w:r>
          </w:p>
        </w:tc>
      </w:tr>
      <w:tr w:rsidR="00865C25" w:rsidRPr="00CE28E3" w14:paraId="0D5E00C2" w14:textId="77777777" w:rsidTr="001A6611">
        <w:tc>
          <w:tcPr>
            <w:tcW w:w="2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9BB71" w14:textId="77777777" w:rsidR="00865C25" w:rsidRPr="00CE28E3" w:rsidRDefault="00865C25" w:rsidP="001A6611">
            <w:pPr>
              <w:pStyle w:val="TableText"/>
              <w:keepNext/>
            </w:pPr>
            <w:r>
              <w:t xml:space="preserve">Size of the </w:t>
            </w:r>
            <w:r w:rsidRPr="002A0A63">
              <w:rPr>
                <w:i/>
              </w:rPr>
              <w:t>EGFR</w:t>
            </w:r>
            <w:r>
              <w:t xml:space="preserve"> testing market</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6628B976" w14:textId="77777777" w:rsidR="00865C25" w:rsidRPr="00CE28E3" w:rsidRDefault="00865C25" w:rsidP="001A6611">
            <w:pPr>
              <w:pStyle w:val="TableText"/>
              <w:keepNext/>
              <w:jc w:val="right"/>
            </w:pPr>
            <w:r w:rsidRPr="00770A2E">
              <w:t>5,521</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435FD4C9" w14:textId="77777777" w:rsidR="00865C25" w:rsidRPr="00CE28E3" w:rsidRDefault="00865C25" w:rsidP="001A6611">
            <w:pPr>
              <w:pStyle w:val="TableText"/>
              <w:keepNext/>
              <w:jc w:val="right"/>
            </w:pPr>
            <w:r w:rsidRPr="00770A2E">
              <w:t>5,797</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4E72F298" w14:textId="77777777" w:rsidR="00865C25" w:rsidRPr="00CE28E3" w:rsidRDefault="00865C25" w:rsidP="001A6611">
            <w:pPr>
              <w:pStyle w:val="TableText"/>
              <w:keepNext/>
              <w:jc w:val="right"/>
            </w:pPr>
            <w:r w:rsidRPr="00770A2E">
              <w:t>6,074</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2AD18750" w14:textId="77777777" w:rsidR="00865C25" w:rsidRPr="00CE28E3" w:rsidRDefault="00865C25" w:rsidP="001A6611">
            <w:pPr>
              <w:pStyle w:val="TableText"/>
              <w:keepNext/>
              <w:jc w:val="right"/>
            </w:pPr>
            <w:r w:rsidRPr="00770A2E">
              <w:t>6,351</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4340D696" w14:textId="77777777" w:rsidR="00865C25" w:rsidRPr="00CE28E3" w:rsidRDefault="00865C25" w:rsidP="001A6611">
            <w:pPr>
              <w:pStyle w:val="TableText"/>
              <w:keepNext/>
              <w:jc w:val="right"/>
            </w:pPr>
            <w:r w:rsidRPr="00770A2E">
              <w:t>6,628</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2975201F" w14:textId="77777777" w:rsidR="00865C25" w:rsidRPr="00CE28E3" w:rsidRDefault="00865C25" w:rsidP="001A6611">
            <w:pPr>
              <w:pStyle w:val="TableText"/>
              <w:keepNext/>
              <w:jc w:val="right"/>
            </w:pPr>
            <w:r w:rsidRPr="00770A2E">
              <w:t>6,905</w:t>
            </w:r>
          </w:p>
        </w:tc>
      </w:tr>
      <w:tr w:rsidR="00865C25" w:rsidRPr="00CE28E3" w14:paraId="2B8CB7A8" w14:textId="77777777" w:rsidTr="001A6611">
        <w:tc>
          <w:tcPr>
            <w:tcW w:w="2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FCE7E" w14:textId="77777777" w:rsidR="00865C25" w:rsidRPr="00CE28E3" w:rsidRDefault="00865C25" w:rsidP="001A6611">
            <w:pPr>
              <w:pStyle w:val="TableText"/>
              <w:keepNext/>
            </w:pPr>
            <w:r>
              <w:t xml:space="preserve">Share of the </w:t>
            </w:r>
            <w:r w:rsidRPr="007527E6">
              <w:rPr>
                <w:i/>
              </w:rPr>
              <w:t>EGFR</w:t>
            </w:r>
            <w:r>
              <w:t xml:space="preserve"> testing market (100%)</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12B1A493" w14:textId="77777777" w:rsidR="00865C25" w:rsidRPr="00CE28E3" w:rsidRDefault="00865C25" w:rsidP="001A6611">
            <w:pPr>
              <w:pStyle w:val="TableText"/>
              <w:keepNext/>
              <w:jc w:val="right"/>
            </w:pPr>
            <w:r w:rsidRPr="00770A2E">
              <w:t>5,521</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440344FD" w14:textId="77777777" w:rsidR="00865C25" w:rsidRPr="00CE28E3" w:rsidRDefault="00865C25" w:rsidP="001A6611">
            <w:pPr>
              <w:pStyle w:val="TableText"/>
              <w:keepNext/>
              <w:jc w:val="right"/>
            </w:pPr>
            <w:r w:rsidRPr="00770A2E">
              <w:t>5,797</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4C7A707B" w14:textId="77777777" w:rsidR="00865C25" w:rsidRPr="00CE28E3" w:rsidRDefault="00865C25" w:rsidP="001A6611">
            <w:pPr>
              <w:pStyle w:val="TableText"/>
              <w:keepNext/>
              <w:jc w:val="right"/>
            </w:pPr>
            <w:r w:rsidRPr="00770A2E">
              <w:t>6,074</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1039FEF8" w14:textId="77777777" w:rsidR="00865C25" w:rsidRPr="00CE28E3" w:rsidRDefault="00865C25" w:rsidP="001A6611">
            <w:pPr>
              <w:pStyle w:val="TableText"/>
              <w:keepNext/>
              <w:jc w:val="right"/>
            </w:pPr>
            <w:r w:rsidRPr="00770A2E">
              <w:t>6,351</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1BF7333B" w14:textId="77777777" w:rsidR="00865C25" w:rsidRPr="00CE28E3" w:rsidRDefault="00865C25" w:rsidP="001A6611">
            <w:pPr>
              <w:pStyle w:val="TableText"/>
              <w:keepNext/>
              <w:jc w:val="right"/>
            </w:pPr>
            <w:r w:rsidRPr="00770A2E">
              <w:t>6,628</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75752EAE" w14:textId="77777777" w:rsidR="00865C25" w:rsidRPr="00CE28E3" w:rsidRDefault="00865C25" w:rsidP="001A6611">
            <w:pPr>
              <w:pStyle w:val="TableText"/>
              <w:keepNext/>
              <w:jc w:val="right"/>
            </w:pPr>
            <w:r w:rsidRPr="00770A2E">
              <w:t>6,905</w:t>
            </w:r>
          </w:p>
        </w:tc>
      </w:tr>
      <w:tr w:rsidR="00865C25" w:rsidRPr="00CE28E3" w14:paraId="7F7F7BD8" w14:textId="77777777" w:rsidTr="001A6611">
        <w:tc>
          <w:tcPr>
            <w:tcW w:w="2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E77FB" w14:textId="77777777" w:rsidR="00865C25" w:rsidRPr="00CE28E3" w:rsidRDefault="00865C25" w:rsidP="001A6611">
            <w:pPr>
              <w:pStyle w:val="TableText"/>
              <w:keepNext/>
            </w:pPr>
            <w:r w:rsidRPr="00CE28E3">
              <w:t xml:space="preserve">Number of services of </w:t>
            </w:r>
            <w:r>
              <w:t>small gene panel testing</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38FDAAC1" w14:textId="77777777" w:rsidR="00865C25" w:rsidRPr="00CE28E3" w:rsidRDefault="00865C25" w:rsidP="001A6611">
            <w:pPr>
              <w:pStyle w:val="TableText"/>
              <w:keepNext/>
              <w:jc w:val="right"/>
            </w:pPr>
            <w:r w:rsidRPr="00770A2E">
              <w:t>7,425</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768C8E65" w14:textId="77777777" w:rsidR="00865C25" w:rsidRPr="00CE28E3" w:rsidRDefault="00865C25" w:rsidP="001A6611">
            <w:pPr>
              <w:pStyle w:val="TableText"/>
              <w:keepNext/>
              <w:jc w:val="right"/>
            </w:pPr>
            <w:r w:rsidRPr="00770A2E">
              <w:t>7,798</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093FA232" w14:textId="77777777" w:rsidR="00865C25" w:rsidRPr="00CE28E3" w:rsidRDefault="00865C25" w:rsidP="001A6611">
            <w:pPr>
              <w:pStyle w:val="TableText"/>
              <w:keepNext/>
              <w:jc w:val="right"/>
            </w:pPr>
            <w:r w:rsidRPr="00770A2E">
              <w:t>8,030</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693E020C" w14:textId="77777777" w:rsidR="00865C25" w:rsidRPr="00CE28E3" w:rsidRDefault="00865C25" w:rsidP="001A6611">
            <w:pPr>
              <w:pStyle w:val="TableText"/>
              <w:keepNext/>
              <w:jc w:val="right"/>
            </w:pPr>
            <w:r w:rsidRPr="00770A2E">
              <w:t>8,250</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0AE174CF" w14:textId="77777777" w:rsidR="00865C25" w:rsidRPr="00CE28E3" w:rsidRDefault="00865C25" w:rsidP="001A6611">
            <w:pPr>
              <w:pStyle w:val="TableText"/>
              <w:keepNext/>
              <w:jc w:val="right"/>
            </w:pPr>
            <w:r w:rsidRPr="00770A2E">
              <w:t>8,458</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064AD2A3" w14:textId="77777777" w:rsidR="00865C25" w:rsidRPr="00CE28E3" w:rsidRDefault="00865C25" w:rsidP="001A6611">
            <w:pPr>
              <w:pStyle w:val="TableText"/>
              <w:keepNext/>
              <w:jc w:val="right"/>
            </w:pPr>
            <w:r w:rsidRPr="00770A2E">
              <w:t>8,493</w:t>
            </w:r>
          </w:p>
        </w:tc>
      </w:tr>
      <w:tr w:rsidR="00865C25" w:rsidRPr="00CE28E3" w14:paraId="6BE98598" w14:textId="77777777" w:rsidTr="001A6611">
        <w:tc>
          <w:tcPr>
            <w:tcW w:w="2784" w:type="dxa"/>
            <w:tcBorders>
              <w:top w:val="single" w:sz="8" w:space="0" w:color="auto"/>
              <w:left w:val="single" w:sz="8" w:space="0" w:color="auto"/>
              <w:right w:val="single" w:sz="8" w:space="0" w:color="auto"/>
            </w:tcBorders>
            <w:tcMar>
              <w:top w:w="0" w:type="dxa"/>
              <w:left w:w="108" w:type="dxa"/>
              <w:bottom w:w="0" w:type="dxa"/>
              <w:right w:w="108" w:type="dxa"/>
            </w:tcMar>
          </w:tcPr>
          <w:p w14:paraId="58BF1C5B" w14:textId="77777777" w:rsidR="00865C25" w:rsidRPr="00CE28E3" w:rsidRDefault="00865C25" w:rsidP="00764FCE">
            <w:pPr>
              <w:pStyle w:val="TableText"/>
              <w:keepNext/>
              <w:numPr>
                <w:ilvl w:val="0"/>
                <w:numId w:val="14"/>
              </w:numPr>
              <w:ind w:left="166" w:hanging="129"/>
            </w:pPr>
            <w:r>
              <w:t xml:space="preserve">Combined DNA/RNA </w:t>
            </w:r>
            <w:r>
              <w:br/>
              <w:t>(MBS benefit: $</w:t>
            </w:r>
            <w:proofErr w:type="gramStart"/>
            <w:r>
              <w:t>1,087.92)</w:t>
            </w:r>
            <w:r w:rsidRPr="006244EA">
              <w:rPr>
                <w:vertAlign w:val="superscript"/>
              </w:rPr>
              <w:t>a</w:t>
            </w:r>
            <w:proofErr w:type="gramEnd"/>
          </w:p>
        </w:tc>
        <w:tc>
          <w:tcPr>
            <w:tcW w:w="1037" w:type="dxa"/>
            <w:tcBorders>
              <w:top w:val="single" w:sz="8" w:space="0" w:color="auto"/>
              <w:left w:val="nil"/>
              <w:right w:val="single" w:sz="8" w:space="0" w:color="auto"/>
            </w:tcBorders>
            <w:tcMar>
              <w:top w:w="0" w:type="dxa"/>
              <w:left w:w="108" w:type="dxa"/>
              <w:bottom w:w="0" w:type="dxa"/>
              <w:right w:w="108" w:type="dxa"/>
            </w:tcMar>
          </w:tcPr>
          <w:p w14:paraId="36AFB7E2" w14:textId="77777777" w:rsidR="00865C25" w:rsidRPr="00AE0C9A" w:rsidRDefault="00865C25" w:rsidP="001A6611">
            <w:pPr>
              <w:pStyle w:val="TableText"/>
              <w:keepNext/>
              <w:jc w:val="right"/>
            </w:pPr>
            <w:r w:rsidRPr="0059251C">
              <w:t>1,380</w:t>
            </w:r>
          </w:p>
        </w:tc>
        <w:tc>
          <w:tcPr>
            <w:tcW w:w="1037" w:type="dxa"/>
            <w:tcBorders>
              <w:top w:val="single" w:sz="8" w:space="0" w:color="auto"/>
              <w:left w:val="nil"/>
              <w:right w:val="single" w:sz="8" w:space="0" w:color="auto"/>
            </w:tcBorders>
            <w:tcMar>
              <w:top w:w="0" w:type="dxa"/>
              <w:left w:w="108" w:type="dxa"/>
              <w:bottom w:w="0" w:type="dxa"/>
              <w:right w:w="108" w:type="dxa"/>
            </w:tcMar>
          </w:tcPr>
          <w:p w14:paraId="0E2E375D" w14:textId="77777777" w:rsidR="00865C25" w:rsidRPr="00AE0C9A" w:rsidRDefault="00865C25" w:rsidP="001A6611">
            <w:pPr>
              <w:pStyle w:val="TableText"/>
              <w:keepNext/>
              <w:jc w:val="right"/>
            </w:pPr>
            <w:r w:rsidRPr="0059251C">
              <w:t>1,449</w:t>
            </w:r>
          </w:p>
        </w:tc>
        <w:tc>
          <w:tcPr>
            <w:tcW w:w="1037" w:type="dxa"/>
            <w:tcBorders>
              <w:top w:val="single" w:sz="8" w:space="0" w:color="auto"/>
              <w:left w:val="nil"/>
              <w:right w:val="single" w:sz="8" w:space="0" w:color="auto"/>
            </w:tcBorders>
            <w:tcMar>
              <w:top w:w="0" w:type="dxa"/>
              <w:left w:w="108" w:type="dxa"/>
              <w:bottom w:w="0" w:type="dxa"/>
              <w:right w:w="108" w:type="dxa"/>
            </w:tcMar>
          </w:tcPr>
          <w:p w14:paraId="1E0EB198" w14:textId="77777777" w:rsidR="00865C25" w:rsidRPr="00AE0C9A" w:rsidRDefault="00865C25" w:rsidP="001A6611">
            <w:pPr>
              <w:pStyle w:val="TableText"/>
              <w:keepNext/>
              <w:jc w:val="right"/>
            </w:pPr>
            <w:r w:rsidRPr="0059251C">
              <w:t>1,822</w:t>
            </w:r>
          </w:p>
        </w:tc>
        <w:tc>
          <w:tcPr>
            <w:tcW w:w="1037" w:type="dxa"/>
            <w:tcBorders>
              <w:top w:val="single" w:sz="8" w:space="0" w:color="auto"/>
              <w:left w:val="nil"/>
              <w:right w:val="single" w:sz="8" w:space="0" w:color="auto"/>
            </w:tcBorders>
            <w:tcMar>
              <w:top w:w="0" w:type="dxa"/>
              <w:left w:w="108" w:type="dxa"/>
              <w:bottom w:w="0" w:type="dxa"/>
              <w:right w:w="108" w:type="dxa"/>
            </w:tcMar>
          </w:tcPr>
          <w:p w14:paraId="34BFE0A6" w14:textId="77777777" w:rsidR="00865C25" w:rsidRPr="00AE0C9A" w:rsidRDefault="00865C25" w:rsidP="001A6611">
            <w:pPr>
              <w:pStyle w:val="TableText"/>
              <w:keepNext/>
              <w:jc w:val="right"/>
            </w:pPr>
            <w:r w:rsidRPr="0059251C">
              <w:t>2,223</w:t>
            </w:r>
          </w:p>
        </w:tc>
        <w:tc>
          <w:tcPr>
            <w:tcW w:w="1037" w:type="dxa"/>
            <w:tcBorders>
              <w:top w:val="single" w:sz="8" w:space="0" w:color="auto"/>
              <w:left w:val="nil"/>
              <w:right w:val="single" w:sz="8" w:space="0" w:color="auto"/>
            </w:tcBorders>
            <w:tcMar>
              <w:top w:w="0" w:type="dxa"/>
              <w:left w:w="108" w:type="dxa"/>
              <w:bottom w:w="0" w:type="dxa"/>
              <w:right w:w="108" w:type="dxa"/>
            </w:tcMar>
          </w:tcPr>
          <w:p w14:paraId="4019FE45" w14:textId="77777777" w:rsidR="00865C25" w:rsidRPr="00AE0C9A" w:rsidRDefault="00865C25" w:rsidP="001A6611">
            <w:pPr>
              <w:pStyle w:val="TableText"/>
              <w:keepNext/>
              <w:jc w:val="right"/>
            </w:pPr>
            <w:r w:rsidRPr="0059251C">
              <w:t>2,651</w:t>
            </w:r>
          </w:p>
        </w:tc>
        <w:tc>
          <w:tcPr>
            <w:tcW w:w="1037" w:type="dxa"/>
            <w:tcBorders>
              <w:top w:val="single" w:sz="8" w:space="0" w:color="auto"/>
              <w:left w:val="nil"/>
              <w:right w:val="single" w:sz="8" w:space="0" w:color="auto"/>
            </w:tcBorders>
            <w:tcMar>
              <w:top w:w="0" w:type="dxa"/>
              <w:left w:w="108" w:type="dxa"/>
              <w:bottom w:w="0" w:type="dxa"/>
              <w:right w:w="108" w:type="dxa"/>
            </w:tcMar>
          </w:tcPr>
          <w:p w14:paraId="403C7F39" w14:textId="77777777" w:rsidR="00865C25" w:rsidRPr="00AE0C9A" w:rsidRDefault="00865C25" w:rsidP="001A6611">
            <w:pPr>
              <w:pStyle w:val="TableText"/>
              <w:keepNext/>
              <w:jc w:val="right"/>
            </w:pPr>
            <w:r w:rsidRPr="0059251C">
              <w:t>3,453</w:t>
            </w:r>
          </w:p>
        </w:tc>
      </w:tr>
      <w:tr w:rsidR="00865C25" w:rsidRPr="00CE28E3" w14:paraId="38EA0FB6" w14:textId="77777777" w:rsidTr="001A6611">
        <w:tc>
          <w:tcPr>
            <w:tcW w:w="2784" w:type="dxa"/>
            <w:tcBorders>
              <w:left w:val="single" w:sz="8" w:space="0" w:color="auto"/>
              <w:right w:val="single" w:sz="8" w:space="0" w:color="auto"/>
            </w:tcBorders>
            <w:tcMar>
              <w:top w:w="0" w:type="dxa"/>
              <w:left w:w="108" w:type="dxa"/>
              <w:bottom w:w="0" w:type="dxa"/>
              <w:right w:w="108" w:type="dxa"/>
            </w:tcMar>
          </w:tcPr>
          <w:p w14:paraId="78B71AE4" w14:textId="77777777" w:rsidR="00865C25" w:rsidRPr="00CE28E3" w:rsidRDefault="00865C25" w:rsidP="00764FCE">
            <w:pPr>
              <w:pStyle w:val="TableText"/>
              <w:keepNext/>
              <w:numPr>
                <w:ilvl w:val="0"/>
                <w:numId w:val="14"/>
              </w:numPr>
              <w:ind w:left="166" w:hanging="129"/>
            </w:pPr>
            <w:r>
              <w:t xml:space="preserve">DNA only </w:t>
            </w:r>
            <w:r>
              <w:br/>
              <w:t>(MBS benefit: $568.</w:t>
            </w:r>
            <w:proofErr w:type="gramStart"/>
            <w:r>
              <w:t>17)</w:t>
            </w:r>
            <w:r w:rsidRPr="00B325DD">
              <w:rPr>
                <w:vertAlign w:val="superscript"/>
              </w:rPr>
              <w:t>b</w:t>
            </w:r>
            <w:proofErr w:type="gramEnd"/>
          </w:p>
        </w:tc>
        <w:tc>
          <w:tcPr>
            <w:tcW w:w="1037" w:type="dxa"/>
            <w:tcBorders>
              <w:left w:val="nil"/>
              <w:right w:val="single" w:sz="8" w:space="0" w:color="auto"/>
            </w:tcBorders>
            <w:tcMar>
              <w:top w:w="0" w:type="dxa"/>
              <w:left w:w="108" w:type="dxa"/>
              <w:bottom w:w="0" w:type="dxa"/>
              <w:right w:w="108" w:type="dxa"/>
            </w:tcMar>
          </w:tcPr>
          <w:p w14:paraId="238F94A4" w14:textId="77777777" w:rsidR="00865C25" w:rsidRPr="00AE0C9A" w:rsidRDefault="00865C25" w:rsidP="001A6611">
            <w:pPr>
              <w:pStyle w:val="TableText"/>
              <w:keepNext/>
              <w:jc w:val="right"/>
            </w:pPr>
            <w:r w:rsidRPr="00FA3EED">
              <w:t>4,140</w:t>
            </w:r>
          </w:p>
        </w:tc>
        <w:tc>
          <w:tcPr>
            <w:tcW w:w="1037" w:type="dxa"/>
            <w:tcBorders>
              <w:left w:val="nil"/>
              <w:right w:val="single" w:sz="8" w:space="0" w:color="auto"/>
            </w:tcBorders>
            <w:tcMar>
              <w:top w:w="0" w:type="dxa"/>
              <w:left w:w="108" w:type="dxa"/>
              <w:bottom w:w="0" w:type="dxa"/>
              <w:right w:w="108" w:type="dxa"/>
            </w:tcMar>
          </w:tcPr>
          <w:p w14:paraId="56461C23" w14:textId="77777777" w:rsidR="00865C25" w:rsidRPr="00AE0C9A" w:rsidRDefault="00865C25" w:rsidP="001A6611">
            <w:pPr>
              <w:pStyle w:val="TableText"/>
              <w:keepNext/>
              <w:jc w:val="right"/>
            </w:pPr>
            <w:r w:rsidRPr="00FA3EED">
              <w:t>4,348</w:t>
            </w:r>
          </w:p>
        </w:tc>
        <w:tc>
          <w:tcPr>
            <w:tcW w:w="1037" w:type="dxa"/>
            <w:tcBorders>
              <w:left w:val="nil"/>
              <w:right w:val="single" w:sz="8" w:space="0" w:color="auto"/>
            </w:tcBorders>
            <w:tcMar>
              <w:top w:w="0" w:type="dxa"/>
              <w:left w:w="108" w:type="dxa"/>
              <w:bottom w:w="0" w:type="dxa"/>
              <w:right w:w="108" w:type="dxa"/>
            </w:tcMar>
          </w:tcPr>
          <w:p w14:paraId="5AB24C45" w14:textId="77777777" w:rsidR="00865C25" w:rsidRPr="00AE0C9A" w:rsidRDefault="00865C25" w:rsidP="001A6611">
            <w:pPr>
              <w:pStyle w:val="TableText"/>
              <w:keepNext/>
              <w:jc w:val="right"/>
            </w:pPr>
            <w:r w:rsidRPr="00FA3EED">
              <w:t>4,252</w:t>
            </w:r>
          </w:p>
        </w:tc>
        <w:tc>
          <w:tcPr>
            <w:tcW w:w="1037" w:type="dxa"/>
            <w:tcBorders>
              <w:left w:val="nil"/>
              <w:right w:val="single" w:sz="8" w:space="0" w:color="auto"/>
            </w:tcBorders>
            <w:tcMar>
              <w:top w:w="0" w:type="dxa"/>
              <w:left w:w="108" w:type="dxa"/>
              <w:bottom w:w="0" w:type="dxa"/>
              <w:right w:w="108" w:type="dxa"/>
            </w:tcMar>
          </w:tcPr>
          <w:p w14:paraId="0524DFF1" w14:textId="77777777" w:rsidR="00865C25" w:rsidRPr="00AE0C9A" w:rsidRDefault="00865C25" w:rsidP="001A6611">
            <w:pPr>
              <w:pStyle w:val="TableText"/>
              <w:keepNext/>
              <w:jc w:val="right"/>
            </w:pPr>
            <w:r w:rsidRPr="00FA3EED">
              <w:t>4,128</w:t>
            </w:r>
          </w:p>
        </w:tc>
        <w:tc>
          <w:tcPr>
            <w:tcW w:w="1037" w:type="dxa"/>
            <w:tcBorders>
              <w:left w:val="nil"/>
              <w:right w:val="single" w:sz="8" w:space="0" w:color="auto"/>
            </w:tcBorders>
            <w:tcMar>
              <w:top w:w="0" w:type="dxa"/>
              <w:left w:w="108" w:type="dxa"/>
              <w:bottom w:w="0" w:type="dxa"/>
              <w:right w:w="108" w:type="dxa"/>
            </w:tcMar>
          </w:tcPr>
          <w:p w14:paraId="72AFD11A" w14:textId="77777777" w:rsidR="00865C25" w:rsidRPr="00AE0C9A" w:rsidRDefault="00865C25" w:rsidP="001A6611">
            <w:pPr>
              <w:pStyle w:val="TableText"/>
              <w:keepNext/>
              <w:jc w:val="right"/>
            </w:pPr>
            <w:r w:rsidRPr="00FA3EED">
              <w:t>3,977</w:t>
            </w:r>
          </w:p>
        </w:tc>
        <w:tc>
          <w:tcPr>
            <w:tcW w:w="1037" w:type="dxa"/>
            <w:tcBorders>
              <w:left w:val="nil"/>
              <w:right w:val="single" w:sz="8" w:space="0" w:color="auto"/>
            </w:tcBorders>
            <w:tcMar>
              <w:top w:w="0" w:type="dxa"/>
              <w:left w:w="108" w:type="dxa"/>
              <w:bottom w:w="0" w:type="dxa"/>
              <w:right w:w="108" w:type="dxa"/>
            </w:tcMar>
          </w:tcPr>
          <w:p w14:paraId="5DF5C742" w14:textId="77777777" w:rsidR="00865C25" w:rsidRPr="00AE0C9A" w:rsidRDefault="00865C25" w:rsidP="001A6611">
            <w:pPr>
              <w:pStyle w:val="TableText"/>
              <w:keepNext/>
              <w:jc w:val="right"/>
            </w:pPr>
            <w:r w:rsidRPr="00FA3EED">
              <w:t>3,453</w:t>
            </w:r>
          </w:p>
        </w:tc>
      </w:tr>
      <w:tr w:rsidR="00865C25" w:rsidRPr="00CE28E3" w14:paraId="51B64BA7" w14:textId="77777777" w:rsidTr="001A6611">
        <w:tc>
          <w:tcPr>
            <w:tcW w:w="2784" w:type="dxa"/>
            <w:tcBorders>
              <w:left w:val="single" w:sz="8" w:space="0" w:color="auto"/>
              <w:bottom w:val="single" w:sz="8" w:space="0" w:color="auto"/>
              <w:right w:val="single" w:sz="8" w:space="0" w:color="auto"/>
            </w:tcBorders>
            <w:tcMar>
              <w:top w:w="0" w:type="dxa"/>
              <w:left w:w="108" w:type="dxa"/>
              <w:bottom w:w="0" w:type="dxa"/>
              <w:right w:w="108" w:type="dxa"/>
            </w:tcMar>
          </w:tcPr>
          <w:p w14:paraId="06697FB4" w14:textId="77777777" w:rsidR="00865C25" w:rsidRPr="00CE28E3" w:rsidRDefault="00865C25" w:rsidP="00764FCE">
            <w:pPr>
              <w:pStyle w:val="TableText"/>
              <w:keepNext/>
              <w:numPr>
                <w:ilvl w:val="0"/>
                <w:numId w:val="14"/>
              </w:numPr>
              <w:ind w:left="166" w:hanging="129"/>
            </w:pPr>
            <w:r>
              <w:t xml:space="preserve">RNA only </w:t>
            </w:r>
            <w:r>
              <w:br/>
              <w:t>(MBS benefit: $568.</w:t>
            </w:r>
            <w:proofErr w:type="gramStart"/>
            <w:r>
              <w:t>17)</w:t>
            </w:r>
            <w:r w:rsidRPr="00B325DD">
              <w:rPr>
                <w:vertAlign w:val="superscript"/>
              </w:rPr>
              <w:t>b</w:t>
            </w:r>
            <w:proofErr w:type="gramEnd"/>
          </w:p>
        </w:tc>
        <w:tc>
          <w:tcPr>
            <w:tcW w:w="1037" w:type="dxa"/>
            <w:tcBorders>
              <w:left w:val="nil"/>
              <w:bottom w:val="single" w:sz="8" w:space="0" w:color="auto"/>
              <w:right w:val="single" w:sz="8" w:space="0" w:color="auto"/>
            </w:tcBorders>
            <w:tcMar>
              <w:top w:w="0" w:type="dxa"/>
              <w:left w:w="108" w:type="dxa"/>
              <w:bottom w:w="0" w:type="dxa"/>
              <w:right w:w="108" w:type="dxa"/>
            </w:tcMar>
          </w:tcPr>
          <w:p w14:paraId="1854D3EA" w14:textId="77777777" w:rsidR="00865C25" w:rsidRPr="00AE0C9A" w:rsidRDefault="00865C25" w:rsidP="001A6611">
            <w:pPr>
              <w:pStyle w:val="TableText"/>
              <w:keepNext/>
              <w:jc w:val="right"/>
            </w:pPr>
            <w:r w:rsidRPr="0003008B">
              <w:t>1,905</w:t>
            </w:r>
          </w:p>
        </w:tc>
        <w:tc>
          <w:tcPr>
            <w:tcW w:w="1037" w:type="dxa"/>
            <w:tcBorders>
              <w:left w:val="nil"/>
              <w:bottom w:val="single" w:sz="8" w:space="0" w:color="auto"/>
              <w:right w:val="single" w:sz="8" w:space="0" w:color="auto"/>
            </w:tcBorders>
            <w:tcMar>
              <w:top w:w="0" w:type="dxa"/>
              <w:left w:w="108" w:type="dxa"/>
              <w:bottom w:w="0" w:type="dxa"/>
              <w:right w:w="108" w:type="dxa"/>
            </w:tcMar>
          </w:tcPr>
          <w:p w14:paraId="09528257" w14:textId="77777777" w:rsidR="00865C25" w:rsidRPr="00AE0C9A" w:rsidRDefault="00865C25" w:rsidP="001A6611">
            <w:pPr>
              <w:pStyle w:val="TableText"/>
              <w:keepNext/>
              <w:jc w:val="right"/>
            </w:pPr>
            <w:r w:rsidRPr="0003008B">
              <w:t>2,000</w:t>
            </w:r>
          </w:p>
        </w:tc>
        <w:tc>
          <w:tcPr>
            <w:tcW w:w="1037" w:type="dxa"/>
            <w:tcBorders>
              <w:left w:val="nil"/>
              <w:bottom w:val="single" w:sz="8" w:space="0" w:color="auto"/>
              <w:right w:val="single" w:sz="8" w:space="0" w:color="auto"/>
            </w:tcBorders>
            <w:tcMar>
              <w:top w:w="0" w:type="dxa"/>
              <w:left w:w="108" w:type="dxa"/>
              <w:bottom w:w="0" w:type="dxa"/>
              <w:right w:w="108" w:type="dxa"/>
            </w:tcMar>
          </w:tcPr>
          <w:p w14:paraId="3D5EFE46" w14:textId="77777777" w:rsidR="00865C25" w:rsidRPr="00AE0C9A" w:rsidRDefault="00865C25" w:rsidP="001A6611">
            <w:pPr>
              <w:pStyle w:val="TableText"/>
              <w:keepNext/>
              <w:jc w:val="right"/>
            </w:pPr>
            <w:r w:rsidRPr="0003008B">
              <w:t>1,956</w:t>
            </w:r>
          </w:p>
        </w:tc>
        <w:tc>
          <w:tcPr>
            <w:tcW w:w="1037" w:type="dxa"/>
            <w:tcBorders>
              <w:left w:val="nil"/>
              <w:bottom w:val="single" w:sz="8" w:space="0" w:color="auto"/>
              <w:right w:val="single" w:sz="8" w:space="0" w:color="auto"/>
            </w:tcBorders>
            <w:tcMar>
              <w:top w:w="0" w:type="dxa"/>
              <w:left w:w="108" w:type="dxa"/>
              <w:bottom w:w="0" w:type="dxa"/>
              <w:right w:w="108" w:type="dxa"/>
            </w:tcMar>
          </w:tcPr>
          <w:p w14:paraId="004DA5E4" w14:textId="77777777" w:rsidR="00865C25" w:rsidRPr="00AE0C9A" w:rsidRDefault="00865C25" w:rsidP="001A6611">
            <w:pPr>
              <w:pStyle w:val="TableText"/>
              <w:keepNext/>
              <w:jc w:val="right"/>
            </w:pPr>
            <w:r w:rsidRPr="0003008B">
              <w:t>1,899</w:t>
            </w:r>
          </w:p>
        </w:tc>
        <w:tc>
          <w:tcPr>
            <w:tcW w:w="1037" w:type="dxa"/>
            <w:tcBorders>
              <w:left w:val="nil"/>
              <w:bottom w:val="single" w:sz="8" w:space="0" w:color="auto"/>
              <w:right w:val="single" w:sz="8" w:space="0" w:color="auto"/>
            </w:tcBorders>
            <w:tcMar>
              <w:top w:w="0" w:type="dxa"/>
              <w:left w:w="108" w:type="dxa"/>
              <w:bottom w:w="0" w:type="dxa"/>
              <w:right w:w="108" w:type="dxa"/>
            </w:tcMar>
          </w:tcPr>
          <w:p w14:paraId="3DE1C2DE" w14:textId="77777777" w:rsidR="00865C25" w:rsidRPr="00AE0C9A" w:rsidRDefault="00865C25" w:rsidP="001A6611">
            <w:pPr>
              <w:pStyle w:val="TableText"/>
              <w:keepNext/>
              <w:jc w:val="right"/>
            </w:pPr>
            <w:r w:rsidRPr="0003008B">
              <w:t>1,829</w:t>
            </w:r>
          </w:p>
        </w:tc>
        <w:tc>
          <w:tcPr>
            <w:tcW w:w="1037" w:type="dxa"/>
            <w:tcBorders>
              <w:left w:val="nil"/>
              <w:bottom w:val="single" w:sz="8" w:space="0" w:color="auto"/>
              <w:right w:val="single" w:sz="8" w:space="0" w:color="auto"/>
            </w:tcBorders>
            <w:tcMar>
              <w:top w:w="0" w:type="dxa"/>
              <w:left w:w="108" w:type="dxa"/>
              <w:bottom w:w="0" w:type="dxa"/>
              <w:right w:w="108" w:type="dxa"/>
            </w:tcMar>
          </w:tcPr>
          <w:p w14:paraId="18FD8A7B" w14:textId="77777777" w:rsidR="00865C25" w:rsidRPr="00AE0C9A" w:rsidRDefault="00865C25" w:rsidP="001A6611">
            <w:pPr>
              <w:pStyle w:val="TableText"/>
              <w:keepNext/>
              <w:jc w:val="right"/>
            </w:pPr>
            <w:r w:rsidRPr="0003008B">
              <w:t>1,588</w:t>
            </w:r>
          </w:p>
        </w:tc>
      </w:tr>
      <w:tr w:rsidR="00865C25" w:rsidRPr="00CE28E3" w14:paraId="48B8FDFE" w14:textId="77777777" w:rsidTr="001A6611">
        <w:tc>
          <w:tcPr>
            <w:tcW w:w="2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1DA2" w14:textId="77777777" w:rsidR="00865C25" w:rsidRPr="00CE28E3" w:rsidRDefault="00865C25" w:rsidP="001A6611">
            <w:pPr>
              <w:pStyle w:val="TableText"/>
              <w:keepNext/>
            </w:pPr>
            <w:r w:rsidRPr="00CE28E3">
              <w:t xml:space="preserve">Cost to the </w:t>
            </w:r>
            <w:r>
              <w:t>MBS</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495AB322" w14:textId="77777777" w:rsidR="00865C25" w:rsidRPr="00CE28E3" w:rsidRDefault="00865C25" w:rsidP="001A6611">
            <w:pPr>
              <w:pStyle w:val="TableText"/>
              <w:keepNext/>
              <w:jc w:val="right"/>
            </w:pPr>
            <w:r w:rsidRPr="00AD77A7">
              <w:t>$4,936,022</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3796ECAE" w14:textId="77777777" w:rsidR="00865C25" w:rsidRPr="00CE28E3" w:rsidRDefault="00865C25" w:rsidP="001A6611">
            <w:pPr>
              <w:pStyle w:val="TableText"/>
              <w:keepNext/>
              <w:jc w:val="right"/>
            </w:pPr>
            <w:r w:rsidRPr="00AD77A7">
              <w:t>$5,183,631</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34029412" w14:textId="77777777" w:rsidR="00865C25" w:rsidRPr="00CE28E3" w:rsidRDefault="00865C25" w:rsidP="001A6611">
            <w:pPr>
              <w:pStyle w:val="TableText"/>
              <w:keepNext/>
              <w:jc w:val="right"/>
            </w:pPr>
            <w:r w:rsidRPr="00AD77A7">
              <w:t>$5,509,717</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61F74D9B" w14:textId="77777777" w:rsidR="00865C25" w:rsidRPr="00CE28E3" w:rsidRDefault="00865C25" w:rsidP="001A6611">
            <w:pPr>
              <w:pStyle w:val="TableText"/>
              <w:keepNext/>
              <w:jc w:val="right"/>
            </w:pPr>
            <w:r w:rsidRPr="00AD77A7">
              <w:t>$5,842,958</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67690FB1" w14:textId="77777777" w:rsidR="00865C25" w:rsidRPr="00CE28E3" w:rsidRDefault="00865C25" w:rsidP="001A6611">
            <w:pPr>
              <w:pStyle w:val="TableText"/>
              <w:keepNext/>
              <w:jc w:val="right"/>
            </w:pPr>
            <w:r w:rsidRPr="00AD77A7">
              <w:t>$6,183,354</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448BF814" w14:textId="77777777" w:rsidR="00865C25" w:rsidRPr="00CE28E3" w:rsidRDefault="00865C25" w:rsidP="001A6611">
            <w:pPr>
              <w:pStyle w:val="TableText"/>
              <w:keepNext/>
              <w:jc w:val="right"/>
            </w:pPr>
            <w:r w:rsidRPr="00AD77A7">
              <w:t>$6,620,116</w:t>
            </w:r>
          </w:p>
        </w:tc>
      </w:tr>
      <w:tr w:rsidR="00865C25" w:rsidRPr="00CE28E3" w14:paraId="7A7EEF44" w14:textId="77777777" w:rsidTr="001A6611">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4D43C" w14:textId="77777777" w:rsidR="00865C25" w:rsidRPr="00CE28E3" w:rsidRDefault="00865C25" w:rsidP="001A6611">
            <w:pPr>
              <w:pStyle w:val="TableText"/>
              <w:keepNext/>
              <w:rPr>
                <w:b/>
                <w:bCs/>
              </w:rPr>
            </w:pPr>
            <w:r w:rsidRPr="00CE28E3">
              <w:rPr>
                <w:b/>
                <w:bCs/>
              </w:rPr>
              <w:t>Change in use and cost of other health technologies</w:t>
            </w:r>
          </w:p>
        </w:tc>
      </w:tr>
      <w:tr w:rsidR="00865C25" w:rsidRPr="00CE28E3" w14:paraId="15469628" w14:textId="77777777" w:rsidTr="001A6611">
        <w:tc>
          <w:tcPr>
            <w:tcW w:w="9006" w:type="dxa"/>
            <w:gridSpan w:val="7"/>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2ADEC13" w14:textId="77777777" w:rsidR="00865C25" w:rsidRPr="00FF0573" w:rsidRDefault="00865C25" w:rsidP="001A6611">
            <w:pPr>
              <w:pStyle w:val="TableText"/>
              <w:keepNext/>
            </w:pPr>
            <w:r>
              <w:t>Reduction in use of comparator testing services</w:t>
            </w:r>
          </w:p>
        </w:tc>
      </w:tr>
      <w:tr w:rsidR="00865C25" w:rsidRPr="00CE28E3" w14:paraId="7BF23BA5" w14:textId="77777777" w:rsidTr="001A6611">
        <w:tc>
          <w:tcPr>
            <w:tcW w:w="2784" w:type="dxa"/>
            <w:tcBorders>
              <w:top w:val="single" w:sz="4" w:space="0" w:color="auto"/>
              <w:left w:val="single" w:sz="8" w:space="0" w:color="auto"/>
              <w:right w:val="single" w:sz="8" w:space="0" w:color="auto"/>
            </w:tcBorders>
            <w:tcMar>
              <w:top w:w="0" w:type="dxa"/>
              <w:left w:w="108" w:type="dxa"/>
              <w:bottom w:w="0" w:type="dxa"/>
              <w:right w:w="108" w:type="dxa"/>
            </w:tcMar>
            <w:hideMark/>
          </w:tcPr>
          <w:p w14:paraId="4FFB3CBF" w14:textId="77777777" w:rsidR="00865C25" w:rsidRPr="00CE28E3" w:rsidRDefault="00865C25" w:rsidP="00764FCE">
            <w:pPr>
              <w:pStyle w:val="TableText"/>
              <w:keepNext/>
              <w:numPr>
                <w:ilvl w:val="0"/>
                <w:numId w:val="14"/>
              </w:numPr>
              <w:ind w:left="166" w:hanging="129"/>
            </w:pPr>
            <w:r w:rsidRPr="002A0A63">
              <w:rPr>
                <w:i/>
              </w:rPr>
              <w:t>EGFR</w:t>
            </w:r>
            <w:r>
              <w:t xml:space="preserve"> (MBS benefit: $325.</w:t>
            </w:r>
            <w:proofErr w:type="gramStart"/>
            <w:r>
              <w:t>13)</w:t>
            </w:r>
            <w:r>
              <w:rPr>
                <w:vertAlign w:val="superscript"/>
              </w:rPr>
              <w:t>c</w:t>
            </w:r>
            <w:proofErr w:type="gramEnd"/>
          </w:p>
        </w:tc>
        <w:tc>
          <w:tcPr>
            <w:tcW w:w="1037" w:type="dxa"/>
            <w:tcBorders>
              <w:top w:val="single" w:sz="4" w:space="0" w:color="auto"/>
              <w:left w:val="nil"/>
              <w:right w:val="single" w:sz="8" w:space="0" w:color="auto"/>
            </w:tcBorders>
            <w:tcMar>
              <w:top w:w="0" w:type="dxa"/>
              <w:left w:w="108" w:type="dxa"/>
              <w:bottom w:w="0" w:type="dxa"/>
              <w:right w:w="108" w:type="dxa"/>
            </w:tcMar>
          </w:tcPr>
          <w:p w14:paraId="74563869" w14:textId="77777777" w:rsidR="00865C25" w:rsidRPr="00CE28E3" w:rsidRDefault="00865C25" w:rsidP="001A6611">
            <w:pPr>
              <w:pStyle w:val="TableText"/>
              <w:keepNext/>
              <w:jc w:val="right"/>
            </w:pPr>
            <w:r w:rsidRPr="001B44CB">
              <w:t>5,521</w:t>
            </w:r>
          </w:p>
        </w:tc>
        <w:tc>
          <w:tcPr>
            <w:tcW w:w="1037" w:type="dxa"/>
            <w:tcBorders>
              <w:top w:val="single" w:sz="4" w:space="0" w:color="auto"/>
              <w:left w:val="nil"/>
              <w:right w:val="single" w:sz="8" w:space="0" w:color="auto"/>
            </w:tcBorders>
            <w:tcMar>
              <w:top w:w="0" w:type="dxa"/>
              <w:left w:w="108" w:type="dxa"/>
              <w:bottom w:w="0" w:type="dxa"/>
              <w:right w:w="108" w:type="dxa"/>
            </w:tcMar>
          </w:tcPr>
          <w:p w14:paraId="2ABF09DC" w14:textId="77777777" w:rsidR="00865C25" w:rsidRPr="00CE28E3" w:rsidRDefault="00865C25" w:rsidP="001A6611">
            <w:pPr>
              <w:pStyle w:val="TableText"/>
              <w:keepNext/>
              <w:jc w:val="right"/>
            </w:pPr>
            <w:r w:rsidRPr="001B44CB">
              <w:t>5,797</w:t>
            </w:r>
          </w:p>
        </w:tc>
        <w:tc>
          <w:tcPr>
            <w:tcW w:w="1037" w:type="dxa"/>
            <w:tcBorders>
              <w:top w:val="single" w:sz="4" w:space="0" w:color="auto"/>
              <w:left w:val="nil"/>
              <w:right w:val="single" w:sz="8" w:space="0" w:color="auto"/>
            </w:tcBorders>
            <w:tcMar>
              <w:top w:w="0" w:type="dxa"/>
              <w:left w:w="108" w:type="dxa"/>
              <w:bottom w:w="0" w:type="dxa"/>
              <w:right w:w="108" w:type="dxa"/>
            </w:tcMar>
          </w:tcPr>
          <w:p w14:paraId="7DE9FE2E" w14:textId="77777777" w:rsidR="00865C25" w:rsidRPr="00CE28E3" w:rsidRDefault="00865C25" w:rsidP="001A6611">
            <w:pPr>
              <w:pStyle w:val="TableText"/>
              <w:keepNext/>
              <w:jc w:val="right"/>
            </w:pPr>
            <w:r w:rsidRPr="001B44CB">
              <w:t>6,074</w:t>
            </w:r>
          </w:p>
        </w:tc>
        <w:tc>
          <w:tcPr>
            <w:tcW w:w="1037" w:type="dxa"/>
            <w:tcBorders>
              <w:top w:val="single" w:sz="4" w:space="0" w:color="auto"/>
              <w:left w:val="nil"/>
              <w:right w:val="single" w:sz="8" w:space="0" w:color="auto"/>
            </w:tcBorders>
            <w:tcMar>
              <w:top w:w="0" w:type="dxa"/>
              <w:left w:w="108" w:type="dxa"/>
              <w:bottom w:w="0" w:type="dxa"/>
              <w:right w:w="108" w:type="dxa"/>
            </w:tcMar>
          </w:tcPr>
          <w:p w14:paraId="14C932EF" w14:textId="77777777" w:rsidR="00865C25" w:rsidRPr="00CE28E3" w:rsidRDefault="00865C25" w:rsidP="001A6611">
            <w:pPr>
              <w:pStyle w:val="TableText"/>
              <w:keepNext/>
              <w:jc w:val="right"/>
            </w:pPr>
            <w:r w:rsidRPr="001B44CB">
              <w:t>6,351</w:t>
            </w:r>
          </w:p>
        </w:tc>
        <w:tc>
          <w:tcPr>
            <w:tcW w:w="1037" w:type="dxa"/>
            <w:tcBorders>
              <w:top w:val="single" w:sz="4" w:space="0" w:color="auto"/>
              <w:left w:val="nil"/>
              <w:right w:val="single" w:sz="8" w:space="0" w:color="auto"/>
            </w:tcBorders>
            <w:tcMar>
              <w:top w:w="0" w:type="dxa"/>
              <w:left w:w="108" w:type="dxa"/>
              <w:bottom w:w="0" w:type="dxa"/>
              <w:right w:w="108" w:type="dxa"/>
            </w:tcMar>
          </w:tcPr>
          <w:p w14:paraId="05B3B6FF" w14:textId="77777777" w:rsidR="00865C25" w:rsidRPr="00CE28E3" w:rsidRDefault="00865C25" w:rsidP="001A6611">
            <w:pPr>
              <w:pStyle w:val="TableText"/>
              <w:keepNext/>
              <w:jc w:val="right"/>
            </w:pPr>
            <w:r w:rsidRPr="001B44CB">
              <w:t>6,628</w:t>
            </w:r>
          </w:p>
        </w:tc>
        <w:tc>
          <w:tcPr>
            <w:tcW w:w="1037" w:type="dxa"/>
            <w:tcBorders>
              <w:top w:val="single" w:sz="4" w:space="0" w:color="auto"/>
              <w:left w:val="nil"/>
              <w:right w:val="single" w:sz="8" w:space="0" w:color="auto"/>
            </w:tcBorders>
            <w:tcMar>
              <w:top w:w="0" w:type="dxa"/>
              <w:left w:w="108" w:type="dxa"/>
              <w:bottom w:w="0" w:type="dxa"/>
              <w:right w:w="108" w:type="dxa"/>
            </w:tcMar>
          </w:tcPr>
          <w:p w14:paraId="5A8002A4" w14:textId="77777777" w:rsidR="00865C25" w:rsidRPr="00CE28E3" w:rsidRDefault="00865C25" w:rsidP="001A6611">
            <w:pPr>
              <w:pStyle w:val="TableText"/>
              <w:keepNext/>
              <w:jc w:val="right"/>
            </w:pPr>
            <w:r w:rsidRPr="001B44CB">
              <w:t>6,905</w:t>
            </w:r>
          </w:p>
        </w:tc>
      </w:tr>
      <w:tr w:rsidR="00865C25" w:rsidRPr="00CE28E3" w14:paraId="11118456" w14:textId="77777777" w:rsidTr="001A6611">
        <w:tc>
          <w:tcPr>
            <w:tcW w:w="2784" w:type="dxa"/>
            <w:tcBorders>
              <w:left w:val="single" w:sz="8" w:space="0" w:color="auto"/>
              <w:right w:val="single" w:sz="8" w:space="0" w:color="auto"/>
            </w:tcBorders>
            <w:tcMar>
              <w:top w:w="0" w:type="dxa"/>
              <w:left w:w="108" w:type="dxa"/>
              <w:bottom w:w="0" w:type="dxa"/>
              <w:right w:w="108" w:type="dxa"/>
            </w:tcMar>
          </w:tcPr>
          <w:p w14:paraId="16E722A1" w14:textId="77777777" w:rsidR="00865C25" w:rsidRPr="00CE28E3" w:rsidRDefault="00865C25" w:rsidP="00764FCE">
            <w:pPr>
              <w:pStyle w:val="TableText"/>
              <w:keepNext/>
              <w:numPr>
                <w:ilvl w:val="0"/>
                <w:numId w:val="14"/>
              </w:numPr>
              <w:ind w:left="166" w:hanging="129"/>
            </w:pPr>
            <w:r w:rsidRPr="002A0A63">
              <w:rPr>
                <w:i/>
              </w:rPr>
              <w:t xml:space="preserve">ALK </w:t>
            </w:r>
            <w:r>
              <w:t xml:space="preserve">FISH </w:t>
            </w:r>
            <w:r>
              <w:br/>
              <w:t>(MBS benefit: $325.</w:t>
            </w:r>
            <w:proofErr w:type="gramStart"/>
            <w:r>
              <w:t>80)</w:t>
            </w:r>
            <w:r>
              <w:rPr>
                <w:vertAlign w:val="superscript"/>
              </w:rPr>
              <w:t>d</w:t>
            </w:r>
            <w:proofErr w:type="gramEnd"/>
          </w:p>
        </w:tc>
        <w:tc>
          <w:tcPr>
            <w:tcW w:w="1037" w:type="dxa"/>
            <w:tcBorders>
              <w:left w:val="nil"/>
              <w:right w:val="single" w:sz="8" w:space="0" w:color="auto"/>
            </w:tcBorders>
            <w:tcMar>
              <w:top w:w="0" w:type="dxa"/>
              <w:left w:w="108" w:type="dxa"/>
              <w:bottom w:w="0" w:type="dxa"/>
              <w:right w:w="108" w:type="dxa"/>
            </w:tcMar>
          </w:tcPr>
          <w:p w14:paraId="3C282D5D" w14:textId="77777777" w:rsidR="00865C25" w:rsidRPr="00CE28E3" w:rsidRDefault="00865C25" w:rsidP="001A6611">
            <w:pPr>
              <w:pStyle w:val="TableText"/>
              <w:keepNext/>
              <w:jc w:val="right"/>
            </w:pPr>
            <w:r w:rsidRPr="001B44CB">
              <w:t>245</w:t>
            </w:r>
          </w:p>
        </w:tc>
        <w:tc>
          <w:tcPr>
            <w:tcW w:w="1037" w:type="dxa"/>
            <w:tcBorders>
              <w:left w:val="nil"/>
              <w:right w:val="single" w:sz="8" w:space="0" w:color="auto"/>
            </w:tcBorders>
            <w:tcMar>
              <w:top w:w="0" w:type="dxa"/>
              <w:left w:w="108" w:type="dxa"/>
              <w:bottom w:w="0" w:type="dxa"/>
              <w:right w:w="108" w:type="dxa"/>
            </w:tcMar>
          </w:tcPr>
          <w:p w14:paraId="6C612F6F" w14:textId="77777777" w:rsidR="00865C25" w:rsidRPr="00CE28E3" w:rsidRDefault="00865C25" w:rsidP="001A6611">
            <w:pPr>
              <w:pStyle w:val="TableText"/>
              <w:keepNext/>
              <w:jc w:val="right"/>
            </w:pPr>
            <w:r w:rsidRPr="001B44CB">
              <w:t>257</w:t>
            </w:r>
          </w:p>
        </w:tc>
        <w:tc>
          <w:tcPr>
            <w:tcW w:w="1037" w:type="dxa"/>
            <w:tcBorders>
              <w:left w:val="nil"/>
              <w:right w:val="single" w:sz="8" w:space="0" w:color="auto"/>
            </w:tcBorders>
            <w:tcMar>
              <w:top w:w="0" w:type="dxa"/>
              <w:left w:w="108" w:type="dxa"/>
              <w:bottom w:w="0" w:type="dxa"/>
              <w:right w:w="108" w:type="dxa"/>
            </w:tcMar>
          </w:tcPr>
          <w:p w14:paraId="6765AFAE" w14:textId="77777777" w:rsidR="00865C25" w:rsidRPr="00CE28E3" w:rsidRDefault="00865C25" w:rsidP="001A6611">
            <w:pPr>
              <w:pStyle w:val="TableText"/>
              <w:keepNext/>
              <w:jc w:val="right"/>
            </w:pPr>
            <w:r w:rsidRPr="001B44CB">
              <w:t>270</w:t>
            </w:r>
          </w:p>
        </w:tc>
        <w:tc>
          <w:tcPr>
            <w:tcW w:w="1037" w:type="dxa"/>
            <w:tcBorders>
              <w:left w:val="nil"/>
              <w:right w:val="single" w:sz="8" w:space="0" w:color="auto"/>
            </w:tcBorders>
            <w:tcMar>
              <w:top w:w="0" w:type="dxa"/>
              <w:left w:w="108" w:type="dxa"/>
              <w:bottom w:w="0" w:type="dxa"/>
              <w:right w:w="108" w:type="dxa"/>
            </w:tcMar>
          </w:tcPr>
          <w:p w14:paraId="431197E1" w14:textId="77777777" w:rsidR="00865C25" w:rsidRPr="00CE28E3" w:rsidRDefault="00865C25" w:rsidP="001A6611">
            <w:pPr>
              <w:pStyle w:val="TableText"/>
              <w:keepNext/>
              <w:jc w:val="right"/>
            </w:pPr>
            <w:r w:rsidRPr="001B44CB">
              <w:t>282</w:t>
            </w:r>
          </w:p>
        </w:tc>
        <w:tc>
          <w:tcPr>
            <w:tcW w:w="1037" w:type="dxa"/>
            <w:tcBorders>
              <w:left w:val="nil"/>
              <w:right w:val="single" w:sz="8" w:space="0" w:color="auto"/>
            </w:tcBorders>
            <w:tcMar>
              <w:top w:w="0" w:type="dxa"/>
              <w:left w:w="108" w:type="dxa"/>
              <w:bottom w:w="0" w:type="dxa"/>
              <w:right w:w="108" w:type="dxa"/>
            </w:tcMar>
          </w:tcPr>
          <w:p w14:paraId="14FC5B46" w14:textId="77777777" w:rsidR="00865C25" w:rsidRPr="00CE28E3" w:rsidRDefault="00865C25" w:rsidP="001A6611">
            <w:pPr>
              <w:pStyle w:val="TableText"/>
              <w:keepNext/>
              <w:jc w:val="right"/>
            </w:pPr>
            <w:r w:rsidRPr="001B44CB">
              <w:t>295</w:t>
            </w:r>
          </w:p>
        </w:tc>
        <w:tc>
          <w:tcPr>
            <w:tcW w:w="1037" w:type="dxa"/>
            <w:tcBorders>
              <w:left w:val="nil"/>
              <w:right w:val="single" w:sz="8" w:space="0" w:color="auto"/>
            </w:tcBorders>
            <w:tcMar>
              <w:top w:w="0" w:type="dxa"/>
              <w:left w:w="108" w:type="dxa"/>
              <w:bottom w:w="0" w:type="dxa"/>
              <w:right w:w="108" w:type="dxa"/>
            </w:tcMar>
          </w:tcPr>
          <w:p w14:paraId="30463950" w14:textId="77777777" w:rsidR="00865C25" w:rsidRPr="00CE28E3" w:rsidRDefault="00865C25" w:rsidP="001A6611">
            <w:pPr>
              <w:pStyle w:val="TableText"/>
              <w:keepNext/>
              <w:jc w:val="right"/>
            </w:pPr>
            <w:r w:rsidRPr="001B44CB">
              <w:t>308</w:t>
            </w:r>
          </w:p>
        </w:tc>
      </w:tr>
      <w:tr w:rsidR="00865C25" w:rsidRPr="00CE28E3" w14:paraId="77C6FF1E" w14:textId="77777777" w:rsidTr="001A6611">
        <w:tc>
          <w:tcPr>
            <w:tcW w:w="2784" w:type="dxa"/>
            <w:tcBorders>
              <w:left w:val="single" w:sz="8" w:space="0" w:color="auto"/>
              <w:right w:val="single" w:sz="8" w:space="0" w:color="auto"/>
            </w:tcBorders>
            <w:tcMar>
              <w:top w:w="0" w:type="dxa"/>
              <w:left w:w="108" w:type="dxa"/>
              <w:bottom w:w="0" w:type="dxa"/>
              <w:right w:w="108" w:type="dxa"/>
            </w:tcMar>
          </w:tcPr>
          <w:p w14:paraId="680E9BA6" w14:textId="77777777" w:rsidR="00865C25" w:rsidRPr="00CE28E3" w:rsidRDefault="00865C25" w:rsidP="00764FCE">
            <w:pPr>
              <w:pStyle w:val="TableText"/>
              <w:keepNext/>
              <w:numPr>
                <w:ilvl w:val="0"/>
                <w:numId w:val="14"/>
              </w:numPr>
              <w:ind w:left="166" w:hanging="129"/>
            </w:pPr>
            <w:r w:rsidRPr="002A0A63">
              <w:rPr>
                <w:i/>
              </w:rPr>
              <w:t>ROS</w:t>
            </w:r>
            <w:r>
              <w:t xml:space="preserve">1 FISH </w:t>
            </w:r>
            <w:r>
              <w:br/>
              <w:t>(MBS benefit: $325.</w:t>
            </w:r>
            <w:proofErr w:type="gramStart"/>
            <w:r>
              <w:t>80)</w:t>
            </w:r>
            <w:r>
              <w:rPr>
                <w:vertAlign w:val="superscript"/>
              </w:rPr>
              <w:t>d</w:t>
            </w:r>
            <w:proofErr w:type="gramEnd"/>
          </w:p>
        </w:tc>
        <w:tc>
          <w:tcPr>
            <w:tcW w:w="1037" w:type="dxa"/>
            <w:tcBorders>
              <w:left w:val="nil"/>
              <w:right w:val="single" w:sz="8" w:space="0" w:color="auto"/>
            </w:tcBorders>
            <w:tcMar>
              <w:top w:w="0" w:type="dxa"/>
              <w:left w:w="108" w:type="dxa"/>
              <w:bottom w:w="0" w:type="dxa"/>
              <w:right w:w="108" w:type="dxa"/>
            </w:tcMar>
          </w:tcPr>
          <w:p w14:paraId="1376294A" w14:textId="77777777" w:rsidR="00865C25" w:rsidRPr="00CE28E3" w:rsidRDefault="00865C25" w:rsidP="001A6611">
            <w:pPr>
              <w:pStyle w:val="TableText"/>
              <w:keepNext/>
              <w:jc w:val="right"/>
            </w:pPr>
            <w:r w:rsidRPr="001B44CB">
              <w:t>408</w:t>
            </w:r>
          </w:p>
        </w:tc>
        <w:tc>
          <w:tcPr>
            <w:tcW w:w="1037" w:type="dxa"/>
            <w:tcBorders>
              <w:left w:val="nil"/>
              <w:right w:val="single" w:sz="8" w:space="0" w:color="auto"/>
            </w:tcBorders>
            <w:tcMar>
              <w:top w:w="0" w:type="dxa"/>
              <w:left w:w="108" w:type="dxa"/>
              <w:bottom w:w="0" w:type="dxa"/>
              <w:right w:w="108" w:type="dxa"/>
            </w:tcMar>
          </w:tcPr>
          <w:p w14:paraId="371ACAA2" w14:textId="77777777" w:rsidR="00865C25" w:rsidRPr="00CE28E3" w:rsidRDefault="00865C25" w:rsidP="001A6611">
            <w:pPr>
              <w:pStyle w:val="TableText"/>
              <w:keepNext/>
              <w:jc w:val="right"/>
            </w:pPr>
            <w:r w:rsidRPr="001B44CB">
              <w:t>428</w:t>
            </w:r>
          </w:p>
        </w:tc>
        <w:tc>
          <w:tcPr>
            <w:tcW w:w="1037" w:type="dxa"/>
            <w:tcBorders>
              <w:left w:val="nil"/>
              <w:right w:val="single" w:sz="8" w:space="0" w:color="auto"/>
            </w:tcBorders>
            <w:tcMar>
              <w:top w:w="0" w:type="dxa"/>
              <w:left w:w="108" w:type="dxa"/>
              <w:bottom w:w="0" w:type="dxa"/>
              <w:right w:w="108" w:type="dxa"/>
            </w:tcMar>
          </w:tcPr>
          <w:p w14:paraId="19DC7F06" w14:textId="77777777" w:rsidR="00865C25" w:rsidRPr="00CE28E3" w:rsidRDefault="00865C25" w:rsidP="001A6611">
            <w:pPr>
              <w:pStyle w:val="TableText"/>
              <w:keepNext/>
              <w:jc w:val="right"/>
            </w:pPr>
            <w:r w:rsidRPr="001B44CB">
              <w:t>449</w:t>
            </w:r>
          </w:p>
        </w:tc>
        <w:tc>
          <w:tcPr>
            <w:tcW w:w="1037" w:type="dxa"/>
            <w:tcBorders>
              <w:left w:val="nil"/>
              <w:right w:val="single" w:sz="8" w:space="0" w:color="auto"/>
            </w:tcBorders>
            <w:tcMar>
              <w:top w:w="0" w:type="dxa"/>
              <w:left w:w="108" w:type="dxa"/>
              <w:bottom w:w="0" w:type="dxa"/>
              <w:right w:w="108" w:type="dxa"/>
            </w:tcMar>
          </w:tcPr>
          <w:p w14:paraId="3B01B84F" w14:textId="77777777" w:rsidR="00865C25" w:rsidRPr="00CE28E3" w:rsidRDefault="00865C25" w:rsidP="001A6611">
            <w:pPr>
              <w:pStyle w:val="TableText"/>
              <w:keepNext/>
              <w:jc w:val="right"/>
            </w:pPr>
            <w:r w:rsidRPr="001B44CB">
              <w:t>470</w:t>
            </w:r>
          </w:p>
        </w:tc>
        <w:tc>
          <w:tcPr>
            <w:tcW w:w="1037" w:type="dxa"/>
            <w:tcBorders>
              <w:left w:val="nil"/>
              <w:right w:val="single" w:sz="8" w:space="0" w:color="auto"/>
            </w:tcBorders>
            <w:tcMar>
              <w:top w:w="0" w:type="dxa"/>
              <w:left w:w="108" w:type="dxa"/>
              <w:bottom w:w="0" w:type="dxa"/>
              <w:right w:w="108" w:type="dxa"/>
            </w:tcMar>
          </w:tcPr>
          <w:p w14:paraId="4C089234" w14:textId="77777777" w:rsidR="00865C25" w:rsidRPr="00CE28E3" w:rsidRDefault="00865C25" w:rsidP="001A6611">
            <w:pPr>
              <w:pStyle w:val="TableText"/>
              <w:keepNext/>
              <w:jc w:val="right"/>
            </w:pPr>
            <w:r w:rsidRPr="001B44CB">
              <w:t>491</w:t>
            </w:r>
          </w:p>
        </w:tc>
        <w:tc>
          <w:tcPr>
            <w:tcW w:w="1037" w:type="dxa"/>
            <w:tcBorders>
              <w:left w:val="nil"/>
              <w:right w:val="single" w:sz="8" w:space="0" w:color="auto"/>
            </w:tcBorders>
            <w:tcMar>
              <w:top w:w="0" w:type="dxa"/>
              <w:left w:w="108" w:type="dxa"/>
              <w:bottom w:w="0" w:type="dxa"/>
              <w:right w:w="108" w:type="dxa"/>
            </w:tcMar>
          </w:tcPr>
          <w:p w14:paraId="7FDDB71E" w14:textId="77777777" w:rsidR="00865C25" w:rsidRPr="00CE28E3" w:rsidRDefault="00865C25" w:rsidP="001A6611">
            <w:pPr>
              <w:pStyle w:val="TableText"/>
              <w:keepNext/>
              <w:jc w:val="right"/>
            </w:pPr>
            <w:r w:rsidRPr="001B44CB">
              <w:t>513</w:t>
            </w:r>
          </w:p>
        </w:tc>
      </w:tr>
      <w:tr w:rsidR="00865C25" w:rsidRPr="00CE28E3" w14:paraId="2FC51D2E" w14:textId="77777777" w:rsidTr="001A6611">
        <w:tc>
          <w:tcPr>
            <w:tcW w:w="2784" w:type="dxa"/>
            <w:tcBorders>
              <w:left w:val="single" w:sz="8" w:space="0" w:color="auto"/>
              <w:bottom w:val="single" w:sz="8" w:space="0" w:color="auto"/>
              <w:right w:val="single" w:sz="8" w:space="0" w:color="auto"/>
            </w:tcBorders>
            <w:tcMar>
              <w:top w:w="0" w:type="dxa"/>
              <w:left w:w="108" w:type="dxa"/>
              <w:bottom w:w="0" w:type="dxa"/>
              <w:right w:w="108" w:type="dxa"/>
            </w:tcMar>
          </w:tcPr>
          <w:p w14:paraId="2836209B" w14:textId="77777777" w:rsidR="00865C25" w:rsidRPr="00CE28E3" w:rsidRDefault="00865C25" w:rsidP="00764FCE">
            <w:pPr>
              <w:pStyle w:val="TableText"/>
              <w:keepNext/>
              <w:numPr>
                <w:ilvl w:val="0"/>
                <w:numId w:val="14"/>
              </w:numPr>
              <w:ind w:left="166" w:hanging="129"/>
            </w:pPr>
            <w:r w:rsidRPr="002A0A63">
              <w:rPr>
                <w:i/>
              </w:rPr>
              <w:t>MET</w:t>
            </w:r>
            <w:r>
              <w:t xml:space="preserve">ex14sk </w:t>
            </w:r>
            <w:r>
              <w:br/>
              <w:t>(MBS benefit: $337.</w:t>
            </w:r>
            <w:proofErr w:type="gramStart"/>
            <w:r>
              <w:t>75)</w:t>
            </w:r>
            <w:r>
              <w:rPr>
                <w:vertAlign w:val="superscript"/>
              </w:rPr>
              <w:t>e</w:t>
            </w:r>
            <w:proofErr w:type="gramEnd"/>
          </w:p>
        </w:tc>
        <w:tc>
          <w:tcPr>
            <w:tcW w:w="1037" w:type="dxa"/>
            <w:tcBorders>
              <w:left w:val="nil"/>
              <w:bottom w:val="single" w:sz="8" w:space="0" w:color="auto"/>
              <w:right w:val="single" w:sz="8" w:space="0" w:color="auto"/>
            </w:tcBorders>
            <w:tcMar>
              <w:top w:w="0" w:type="dxa"/>
              <w:left w:w="108" w:type="dxa"/>
              <w:bottom w:w="0" w:type="dxa"/>
              <w:right w:w="108" w:type="dxa"/>
            </w:tcMar>
          </w:tcPr>
          <w:p w14:paraId="3F8D93C7" w14:textId="77777777" w:rsidR="00865C25" w:rsidRPr="00CE28E3" w:rsidRDefault="00865C25" w:rsidP="001A6611">
            <w:pPr>
              <w:pStyle w:val="TableText"/>
              <w:keepNext/>
              <w:jc w:val="right"/>
            </w:pPr>
            <w:r w:rsidRPr="004B0A8E">
              <w:t>3,559</w:t>
            </w:r>
          </w:p>
        </w:tc>
        <w:tc>
          <w:tcPr>
            <w:tcW w:w="1037" w:type="dxa"/>
            <w:tcBorders>
              <w:left w:val="nil"/>
              <w:bottom w:val="single" w:sz="8" w:space="0" w:color="auto"/>
              <w:right w:val="single" w:sz="8" w:space="0" w:color="auto"/>
            </w:tcBorders>
            <w:tcMar>
              <w:top w:w="0" w:type="dxa"/>
              <w:left w:w="108" w:type="dxa"/>
              <w:bottom w:w="0" w:type="dxa"/>
              <w:right w:w="108" w:type="dxa"/>
            </w:tcMar>
          </w:tcPr>
          <w:p w14:paraId="356B1F59" w14:textId="77777777" w:rsidR="00865C25" w:rsidRPr="00CE28E3" w:rsidRDefault="00865C25" w:rsidP="001A6611">
            <w:pPr>
              <w:pStyle w:val="TableText"/>
              <w:keepNext/>
              <w:jc w:val="right"/>
            </w:pPr>
            <w:r w:rsidRPr="004B0A8E">
              <w:t>3,738</w:t>
            </w:r>
          </w:p>
        </w:tc>
        <w:tc>
          <w:tcPr>
            <w:tcW w:w="1037" w:type="dxa"/>
            <w:tcBorders>
              <w:left w:val="nil"/>
              <w:bottom w:val="single" w:sz="8" w:space="0" w:color="auto"/>
              <w:right w:val="single" w:sz="8" w:space="0" w:color="auto"/>
            </w:tcBorders>
            <w:tcMar>
              <w:top w:w="0" w:type="dxa"/>
              <w:left w:w="108" w:type="dxa"/>
              <w:bottom w:w="0" w:type="dxa"/>
              <w:right w:w="108" w:type="dxa"/>
            </w:tcMar>
          </w:tcPr>
          <w:p w14:paraId="699E5BF1" w14:textId="77777777" w:rsidR="00865C25" w:rsidRPr="00CE28E3" w:rsidRDefault="00865C25" w:rsidP="001A6611">
            <w:pPr>
              <w:pStyle w:val="TableText"/>
              <w:keepNext/>
              <w:jc w:val="right"/>
            </w:pPr>
            <w:r w:rsidRPr="004B0A8E">
              <w:t>3,916</w:t>
            </w:r>
          </w:p>
        </w:tc>
        <w:tc>
          <w:tcPr>
            <w:tcW w:w="1037" w:type="dxa"/>
            <w:tcBorders>
              <w:left w:val="nil"/>
              <w:bottom w:val="single" w:sz="8" w:space="0" w:color="auto"/>
              <w:right w:val="single" w:sz="8" w:space="0" w:color="auto"/>
            </w:tcBorders>
            <w:tcMar>
              <w:top w:w="0" w:type="dxa"/>
              <w:left w:w="108" w:type="dxa"/>
              <w:bottom w:w="0" w:type="dxa"/>
              <w:right w:w="108" w:type="dxa"/>
            </w:tcMar>
          </w:tcPr>
          <w:p w14:paraId="7B3A18BE" w14:textId="77777777" w:rsidR="00865C25" w:rsidRPr="00CE28E3" w:rsidRDefault="00865C25" w:rsidP="001A6611">
            <w:pPr>
              <w:pStyle w:val="TableText"/>
              <w:keepNext/>
              <w:jc w:val="right"/>
            </w:pPr>
            <w:r w:rsidRPr="004B0A8E">
              <w:t>4,095</w:t>
            </w:r>
          </w:p>
        </w:tc>
        <w:tc>
          <w:tcPr>
            <w:tcW w:w="1037" w:type="dxa"/>
            <w:tcBorders>
              <w:left w:val="nil"/>
              <w:bottom w:val="single" w:sz="8" w:space="0" w:color="auto"/>
              <w:right w:val="single" w:sz="8" w:space="0" w:color="auto"/>
            </w:tcBorders>
            <w:tcMar>
              <w:top w:w="0" w:type="dxa"/>
              <w:left w:w="108" w:type="dxa"/>
              <w:bottom w:w="0" w:type="dxa"/>
              <w:right w:w="108" w:type="dxa"/>
            </w:tcMar>
          </w:tcPr>
          <w:p w14:paraId="7ED43C50" w14:textId="77777777" w:rsidR="00865C25" w:rsidRPr="00CE28E3" w:rsidRDefault="00865C25" w:rsidP="001A6611">
            <w:pPr>
              <w:pStyle w:val="TableText"/>
              <w:keepNext/>
              <w:jc w:val="right"/>
            </w:pPr>
            <w:r w:rsidRPr="004B0A8E">
              <w:t>4,273</w:t>
            </w:r>
          </w:p>
        </w:tc>
        <w:tc>
          <w:tcPr>
            <w:tcW w:w="1037" w:type="dxa"/>
            <w:tcBorders>
              <w:left w:val="nil"/>
              <w:bottom w:val="single" w:sz="8" w:space="0" w:color="auto"/>
              <w:right w:val="single" w:sz="8" w:space="0" w:color="auto"/>
            </w:tcBorders>
            <w:tcMar>
              <w:top w:w="0" w:type="dxa"/>
              <w:left w:w="108" w:type="dxa"/>
              <w:bottom w:w="0" w:type="dxa"/>
              <w:right w:w="108" w:type="dxa"/>
            </w:tcMar>
          </w:tcPr>
          <w:p w14:paraId="2F1ABCAE" w14:textId="77777777" w:rsidR="00865C25" w:rsidRPr="00CE28E3" w:rsidRDefault="00865C25" w:rsidP="001A6611">
            <w:pPr>
              <w:pStyle w:val="TableText"/>
              <w:keepNext/>
              <w:jc w:val="right"/>
            </w:pPr>
            <w:r w:rsidRPr="004B0A8E">
              <w:t>4,452</w:t>
            </w:r>
          </w:p>
        </w:tc>
      </w:tr>
      <w:tr w:rsidR="00865C25" w:rsidRPr="00CE28E3" w14:paraId="62BDB0CE" w14:textId="77777777" w:rsidTr="001A6611">
        <w:tc>
          <w:tcPr>
            <w:tcW w:w="2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D2981" w14:textId="77777777" w:rsidR="00865C25" w:rsidRPr="00CE28E3" w:rsidRDefault="00865C25" w:rsidP="001A6611">
            <w:pPr>
              <w:pStyle w:val="TableText"/>
              <w:keepNext/>
            </w:pPr>
            <w:r>
              <w:t>Reduction in use of block retrieval services (MBS benefit: $72.</w:t>
            </w:r>
            <w:proofErr w:type="gramStart"/>
            <w:r>
              <w:t>25)</w:t>
            </w:r>
            <w:r w:rsidRPr="006244EA">
              <w:rPr>
                <w:vertAlign w:val="superscript"/>
              </w:rPr>
              <w:t>f</w:t>
            </w:r>
            <w:proofErr w:type="gramEnd"/>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062E11C2" w14:textId="77777777" w:rsidR="00865C25" w:rsidRPr="00CE28E3" w:rsidRDefault="00865C25" w:rsidP="001A6611">
            <w:pPr>
              <w:pStyle w:val="TableText"/>
              <w:keepNext/>
              <w:jc w:val="right"/>
            </w:pPr>
            <w:r w:rsidRPr="004B0A8E">
              <w:t>3,559</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306BF56D" w14:textId="77777777" w:rsidR="00865C25" w:rsidRPr="00CE28E3" w:rsidRDefault="00865C25" w:rsidP="001A6611">
            <w:pPr>
              <w:pStyle w:val="TableText"/>
              <w:keepNext/>
              <w:jc w:val="right"/>
            </w:pPr>
            <w:r w:rsidRPr="004B0A8E">
              <w:t>3,738</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38B3280C" w14:textId="77777777" w:rsidR="00865C25" w:rsidRPr="00CE28E3" w:rsidRDefault="00865C25" w:rsidP="001A6611">
            <w:pPr>
              <w:pStyle w:val="TableText"/>
              <w:keepNext/>
              <w:jc w:val="right"/>
            </w:pPr>
            <w:r w:rsidRPr="004B0A8E">
              <w:t>3,916</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4C1418D8" w14:textId="77777777" w:rsidR="00865C25" w:rsidRPr="00CE28E3" w:rsidRDefault="00865C25" w:rsidP="001A6611">
            <w:pPr>
              <w:pStyle w:val="TableText"/>
              <w:keepNext/>
              <w:jc w:val="right"/>
            </w:pPr>
            <w:r w:rsidRPr="004B0A8E">
              <w:t>4,095</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3A09F10F" w14:textId="77777777" w:rsidR="00865C25" w:rsidRPr="00CE28E3" w:rsidRDefault="00865C25" w:rsidP="001A6611">
            <w:pPr>
              <w:pStyle w:val="TableText"/>
              <w:keepNext/>
              <w:jc w:val="right"/>
            </w:pPr>
            <w:r w:rsidRPr="004B0A8E">
              <w:t>4,273</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2A719714" w14:textId="77777777" w:rsidR="00865C25" w:rsidRPr="00CE28E3" w:rsidRDefault="00865C25" w:rsidP="001A6611">
            <w:pPr>
              <w:pStyle w:val="TableText"/>
              <w:keepNext/>
              <w:jc w:val="right"/>
            </w:pPr>
            <w:r w:rsidRPr="004B0A8E">
              <w:t>4,452</w:t>
            </w:r>
          </w:p>
        </w:tc>
      </w:tr>
      <w:tr w:rsidR="00865C25" w:rsidRPr="00CE28E3" w14:paraId="49BE322C" w14:textId="77777777" w:rsidTr="001A6611">
        <w:tc>
          <w:tcPr>
            <w:tcW w:w="2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4C72C" w14:textId="77777777" w:rsidR="00865C25" w:rsidRPr="00CE28E3" w:rsidRDefault="00865C25" w:rsidP="001A6611">
            <w:pPr>
              <w:pStyle w:val="TableText"/>
              <w:keepNext/>
            </w:pPr>
            <w:r w:rsidRPr="00CE28E3">
              <w:t>Net change in costs to the</w:t>
            </w:r>
            <w:r>
              <w:t xml:space="preserve"> MBS</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5DC9B1E2" w14:textId="77777777" w:rsidR="00865C25" w:rsidRPr="00CE28E3" w:rsidRDefault="00865C25" w:rsidP="001A6611">
            <w:pPr>
              <w:pStyle w:val="TableText"/>
              <w:keepNext/>
              <w:jc w:val="right"/>
            </w:pPr>
            <w:r w:rsidRPr="004B0A8E">
              <w:t>$3,466,662</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1DBA0F35" w14:textId="77777777" w:rsidR="00865C25" w:rsidRPr="00CE28E3" w:rsidRDefault="00865C25" w:rsidP="001A6611">
            <w:pPr>
              <w:pStyle w:val="TableText"/>
              <w:keepNext/>
              <w:jc w:val="right"/>
            </w:pPr>
            <w:r w:rsidRPr="004B0A8E">
              <w:t>$3,640,562</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05E63182" w14:textId="77777777" w:rsidR="00865C25" w:rsidRPr="00CE28E3" w:rsidRDefault="00865C25" w:rsidP="001A6611">
            <w:pPr>
              <w:pStyle w:val="TableText"/>
              <w:keepNext/>
              <w:jc w:val="right"/>
            </w:pPr>
            <w:r w:rsidRPr="004B0A8E">
              <w:t>$3,814,751</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6B06061D" w14:textId="77777777" w:rsidR="00865C25" w:rsidRPr="00CE28E3" w:rsidRDefault="00865C25" w:rsidP="001A6611">
            <w:pPr>
              <w:pStyle w:val="TableText"/>
              <w:keepNext/>
              <w:jc w:val="right"/>
            </w:pPr>
            <w:r w:rsidRPr="004B0A8E">
              <w:t>$3,988,966</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61258816" w14:textId="77777777" w:rsidR="00865C25" w:rsidRPr="00CE28E3" w:rsidRDefault="00865C25" w:rsidP="001A6611">
            <w:pPr>
              <w:pStyle w:val="TableText"/>
              <w:keepNext/>
              <w:jc w:val="right"/>
            </w:pPr>
            <w:r w:rsidRPr="004B0A8E">
              <w:t>$4,163,208</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77E29013" w14:textId="77777777" w:rsidR="00865C25" w:rsidRPr="00CE28E3" w:rsidRDefault="00865C25" w:rsidP="001A6611">
            <w:pPr>
              <w:pStyle w:val="TableText"/>
              <w:keepNext/>
              <w:jc w:val="right"/>
            </w:pPr>
            <w:r w:rsidRPr="004B0A8E">
              <w:t>$4,337,803</w:t>
            </w:r>
          </w:p>
        </w:tc>
      </w:tr>
      <w:tr w:rsidR="00865C25" w:rsidRPr="00CE28E3" w14:paraId="5B3DDB4F" w14:textId="77777777" w:rsidTr="001A6611">
        <w:tc>
          <w:tcPr>
            <w:tcW w:w="2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792D6" w14:textId="77777777" w:rsidR="00865C25" w:rsidRPr="00CE28E3" w:rsidRDefault="00865C25" w:rsidP="001A6611">
            <w:pPr>
              <w:pStyle w:val="TableText"/>
              <w:keepNext/>
              <w:rPr>
                <w:b/>
                <w:bCs/>
              </w:rPr>
            </w:pPr>
            <w:r w:rsidRPr="00CE28E3">
              <w:rPr>
                <w:b/>
                <w:bCs/>
              </w:rPr>
              <w:t xml:space="preserve">Net financial impact to the </w:t>
            </w:r>
            <w:r>
              <w:rPr>
                <w:b/>
                <w:bCs/>
              </w:rPr>
              <w:t>MBS</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71E8CED7" w14:textId="77777777" w:rsidR="00865C25" w:rsidRPr="007B4D43" w:rsidRDefault="00865C25" w:rsidP="001A6611">
            <w:pPr>
              <w:pStyle w:val="TableText"/>
              <w:keepNext/>
              <w:jc w:val="right"/>
              <w:rPr>
                <w:b/>
                <w:bCs/>
              </w:rPr>
            </w:pPr>
            <w:r w:rsidRPr="007B4D43">
              <w:rPr>
                <w:b/>
              </w:rPr>
              <w:t>$1,469,360</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0B5409AA" w14:textId="77777777" w:rsidR="00865C25" w:rsidRPr="007B4D43" w:rsidRDefault="00865C25" w:rsidP="001A6611">
            <w:pPr>
              <w:pStyle w:val="TableText"/>
              <w:keepNext/>
              <w:jc w:val="right"/>
              <w:rPr>
                <w:b/>
                <w:bCs/>
              </w:rPr>
            </w:pPr>
            <w:r w:rsidRPr="007B4D43">
              <w:rPr>
                <w:b/>
              </w:rPr>
              <w:t>$1,543,069</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32038677" w14:textId="77777777" w:rsidR="00865C25" w:rsidRPr="007B4D43" w:rsidRDefault="00865C25" w:rsidP="001A6611">
            <w:pPr>
              <w:pStyle w:val="TableText"/>
              <w:keepNext/>
              <w:jc w:val="right"/>
              <w:rPr>
                <w:b/>
                <w:bCs/>
              </w:rPr>
            </w:pPr>
            <w:r w:rsidRPr="007B4D43">
              <w:rPr>
                <w:b/>
              </w:rPr>
              <w:t>$1,694,966</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4C4A568D" w14:textId="77777777" w:rsidR="00865C25" w:rsidRPr="007B4D43" w:rsidRDefault="00865C25" w:rsidP="001A6611">
            <w:pPr>
              <w:pStyle w:val="TableText"/>
              <w:keepNext/>
              <w:jc w:val="right"/>
              <w:rPr>
                <w:b/>
                <w:bCs/>
              </w:rPr>
            </w:pPr>
            <w:r w:rsidRPr="007B4D43">
              <w:rPr>
                <w:b/>
              </w:rPr>
              <w:t>$1,853,992</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5AE73876" w14:textId="77777777" w:rsidR="00865C25" w:rsidRPr="007B4D43" w:rsidRDefault="00865C25" w:rsidP="001A6611">
            <w:pPr>
              <w:pStyle w:val="TableText"/>
              <w:keepNext/>
              <w:jc w:val="right"/>
              <w:rPr>
                <w:b/>
                <w:bCs/>
              </w:rPr>
            </w:pPr>
            <w:r w:rsidRPr="007B4D43">
              <w:rPr>
                <w:b/>
              </w:rPr>
              <w:t>$2,020,147</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736DED84" w14:textId="77777777" w:rsidR="00865C25" w:rsidRPr="007B4D43" w:rsidRDefault="00865C25" w:rsidP="001A6611">
            <w:pPr>
              <w:pStyle w:val="TableText"/>
              <w:keepNext/>
              <w:jc w:val="right"/>
              <w:rPr>
                <w:b/>
                <w:bCs/>
              </w:rPr>
            </w:pPr>
            <w:r w:rsidRPr="007B4D43">
              <w:rPr>
                <w:b/>
              </w:rPr>
              <w:t>$2,282,313</w:t>
            </w:r>
          </w:p>
        </w:tc>
      </w:tr>
    </w:tbl>
    <w:p w14:paraId="6F13575D" w14:textId="77777777" w:rsidR="00865C25" w:rsidRDefault="00865C25" w:rsidP="00865C25">
      <w:pPr>
        <w:pStyle w:val="TableFooter"/>
      </w:pPr>
      <w:r>
        <w:t>Source: ‘Section 4.4’ worksheet of the ‘1721 financial impact.xlsx’ workbook accompanying the DCAR.</w:t>
      </w:r>
    </w:p>
    <w:p w14:paraId="540B79AE" w14:textId="162DF322" w:rsidR="00865C25" w:rsidRDefault="00865C25" w:rsidP="00865C25">
      <w:pPr>
        <w:pStyle w:val="TableFooter"/>
      </w:pPr>
      <w:r>
        <w:rPr>
          <w:i/>
        </w:rPr>
        <w:t>ALK</w:t>
      </w:r>
      <w:r>
        <w:t xml:space="preserve"> = </w:t>
      </w:r>
      <w:r w:rsidR="00C925AE">
        <w:t>ALK receptor tyrosine kinase</w:t>
      </w:r>
      <w:r>
        <w:t xml:space="preserve">; DNA = deoxyribose nucleic acid; </w:t>
      </w:r>
      <w:r w:rsidRPr="00A81F01">
        <w:rPr>
          <w:i/>
        </w:rPr>
        <w:t>EGFR</w:t>
      </w:r>
      <w:r>
        <w:t xml:space="preserve"> = </w:t>
      </w:r>
      <w:r w:rsidRPr="00A81F01">
        <w:t>epidermal growth factor receptor</w:t>
      </w:r>
      <w:r>
        <w:t>; FISH = f</w:t>
      </w:r>
      <w:r w:rsidRPr="003316EF">
        <w:t xml:space="preserve">luorescence </w:t>
      </w:r>
      <w:r w:rsidRPr="00357441">
        <w:rPr>
          <w:i/>
          <w:iCs/>
        </w:rPr>
        <w:t>in situ</w:t>
      </w:r>
      <w:r w:rsidRPr="003316EF">
        <w:t xml:space="preserve"> hybridisation</w:t>
      </w:r>
      <w:r>
        <w:t xml:space="preserve">; </w:t>
      </w:r>
      <w:r w:rsidRPr="00336456">
        <w:rPr>
          <w:i/>
        </w:rPr>
        <w:t>MET</w:t>
      </w:r>
      <w:r>
        <w:t>ex14sk = MET proto-oncogene, receptor tyrosine kinase exon 14 skipping alterations; RNA = ribonucleic acid;</w:t>
      </w:r>
      <w:r w:rsidRPr="00B52D8D">
        <w:t xml:space="preserve"> </w:t>
      </w:r>
      <w:r w:rsidRPr="00743D1B">
        <w:rPr>
          <w:i/>
        </w:rPr>
        <w:t>ROS1</w:t>
      </w:r>
      <w:r>
        <w:t xml:space="preserve"> = </w:t>
      </w:r>
      <w:r w:rsidR="00C925AE">
        <w:t>ROS proto-oncogene 1, receptor tyrosine kinase</w:t>
      </w:r>
      <w:r>
        <w:t>.</w:t>
      </w:r>
    </w:p>
    <w:p w14:paraId="5747DB75" w14:textId="77777777" w:rsidR="00865C25" w:rsidRDefault="00865C25" w:rsidP="00865C25">
      <w:pPr>
        <w:pStyle w:val="TableFooter"/>
      </w:pPr>
      <w:r w:rsidRPr="00D457EE">
        <w:rPr>
          <w:vertAlign w:val="superscript"/>
        </w:rPr>
        <w:t>a</w:t>
      </w:r>
      <w:r>
        <w:t xml:space="preserve"> 31.8% </w:t>
      </w:r>
      <w:r>
        <w:rPr>
          <w:rFonts w:cstheme="minorHAnsi"/>
        </w:rPr>
        <w:t>×</w:t>
      </w:r>
      <w:r>
        <w:t xml:space="preserve"> $935.25 [75% MBS benefit] + 68.2% </w:t>
      </w:r>
      <w:r>
        <w:rPr>
          <w:rFonts w:cstheme="minorHAnsi"/>
        </w:rPr>
        <w:t>×</w:t>
      </w:r>
      <w:r>
        <w:t xml:space="preserve"> $1,159.10 [85% MBS benefit]. Split of use based on MBS data for use of </w:t>
      </w:r>
      <w:r w:rsidRPr="006244EA">
        <w:rPr>
          <w:i/>
        </w:rPr>
        <w:t>EGFR</w:t>
      </w:r>
      <w:r>
        <w:t xml:space="preserve"> services.</w:t>
      </w:r>
    </w:p>
    <w:p w14:paraId="7ABAE9C6" w14:textId="77777777" w:rsidR="00865C25" w:rsidRDefault="00865C25" w:rsidP="00865C25">
      <w:pPr>
        <w:pStyle w:val="TableFooter"/>
      </w:pPr>
      <w:r w:rsidRPr="00D457EE">
        <w:rPr>
          <w:vertAlign w:val="superscript"/>
        </w:rPr>
        <w:t>b</w:t>
      </w:r>
      <w:r>
        <w:t xml:space="preserve"> 31.8% </w:t>
      </w:r>
      <w:r>
        <w:rPr>
          <w:rFonts w:cstheme="minorHAnsi"/>
        </w:rPr>
        <w:t>×</w:t>
      </w:r>
      <w:r>
        <w:t xml:space="preserve"> $511.80 [75% MBS benefit] + 68.2% </w:t>
      </w:r>
      <w:r>
        <w:rPr>
          <w:rFonts w:cstheme="minorHAnsi"/>
        </w:rPr>
        <w:t>×</w:t>
      </w:r>
      <w:r>
        <w:t xml:space="preserve"> $594.45 [85% MBS benefit]. Split of use based on MBS data for use of </w:t>
      </w:r>
      <w:r w:rsidRPr="006244EA">
        <w:rPr>
          <w:i/>
        </w:rPr>
        <w:t>EGFR</w:t>
      </w:r>
      <w:r>
        <w:t xml:space="preserve"> services.</w:t>
      </w:r>
    </w:p>
    <w:p w14:paraId="6FA73BB3" w14:textId="77777777" w:rsidR="00865C25" w:rsidRDefault="00865C25" w:rsidP="00865C25">
      <w:pPr>
        <w:pStyle w:val="TableFooter"/>
      </w:pPr>
      <w:r>
        <w:rPr>
          <w:vertAlign w:val="superscript"/>
        </w:rPr>
        <w:t>c</w:t>
      </w:r>
      <w:r>
        <w:t xml:space="preserve"> 31.8</w:t>
      </w:r>
      <w:r w:rsidRPr="00B47786">
        <w:t>% × $298.05 [75% MBS benefit] +</w:t>
      </w:r>
      <w:r>
        <w:t xml:space="preserve"> 68.2</w:t>
      </w:r>
      <w:r w:rsidRPr="00B47786">
        <w:t>% × $337.75 [85% MBS benefit]</w:t>
      </w:r>
      <w:r>
        <w:t xml:space="preserve">. Split of use based on MBS data for use of </w:t>
      </w:r>
      <w:r w:rsidRPr="006244EA">
        <w:rPr>
          <w:i/>
        </w:rPr>
        <w:t>EGFR</w:t>
      </w:r>
      <w:r>
        <w:t xml:space="preserve"> services.</w:t>
      </w:r>
    </w:p>
    <w:p w14:paraId="7DAA3C15" w14:textId="77777777" w:rsidR="00865C25" w:rsidRDefault="00865C25" w:rsidP="00865C25">
      <w:pPr>
        <w:pStyle w:val="TableFooter"/>
      </w:pPr>
      <w:r>
        <w:rPr>
          <w:vertAlign w:val="superscript"/>
        </w:rPr>
        <w:t>d</w:t>
      </w:r>
      <w:r>
        <w:t xml:space="preserve"> 35.5% × $300.00</w:t>
      </w:r>
      <w:r w:rsidRPr="00B47786">
        <w:t xml:space="preserve"> </w:t>
      </w:r>
      <w:r>
        <w:t>[75% MBS benefit] +64.5% × $340.00</w:t>
      </w:r>
      <w:r w:rsidRPr="00B47786">
        <w:t xml:space="preserve"> [85% MBS benefit]</w:t>
      </w:r>
      <w:r>
        <w:t xml:space="preserve">. Split of use based on MBS data for use of </w:t>
      </w:r>
      <w:r w:rsidRPr="006244EA">
        <w:rPr>
          <w:i/>
        </w:rPr>
        <w:t>ALK</w:t>
      </w:r>
      <w:r>
        <w:t xml:space="preserve"> or </w:t>
      </w:r>
      <w:r w:rsidRPr="006244EA">
        <w:rPr>
          <w:i/>
        </w:rPr>
        <w:t>ROS1</w:t>
      </w:r>
      <w:r>
        <w:t xml:space="preserve"> FISH services.</w:t>
      </w:r>
    </w:p>
    <w:p w14:paraId="06CFEDCA" w14:textId="77777777" w:rsidR="00865C25" w:rsidRDefault="00865C25" w:rsidP="00865C25">
      <w:pPr>
        <w:pStyle w:val="TableFooter"/>
      </w:pPr>
      <w:r>
        <w:rPr>
          <w:vertAlign w:val="superscript"/>
        </w:rPr>
        <w:t>e</w:t>
      </w:r>
      <w:r>
        <w:t xml:space="preserve"> 100</w:t>
      </w:r>
      <w:r w:rsidRPr="00B47786">
        <w:t>% × $337.75 [85% MBS benefit]</w:t>
      </w:r>
      <w:r>
        <w:t xml:space="preserve">. As proposed </w:t>
      </w:r>
      <w:r w:rsidRPr="006244EA">
        <w:rPr>
          <w:i/>
        </w:rPr>
        <w:t>MET</w:t>
      </w:r>
      <w:r>
        <w:t xml:space="preserve">ex14sk testing has not been proposed to be a pathologist determinable test, all services have been assumed to be requested in the outpatient </w:t>
      </w:r>
      <w:proofErr w:type="spellStart"/>
      <w:proofErr w:type="gramStart"/>
      <w:r>
        <w:t>setting.</w:t>
      </w:r>
      <w:r>
        <w:rPr>
          <w:vertAlign w:val="superscript"/>
        </w:rPr>
        <w:t>f</w:t>
      </w:r>
      <w:proofErr w:type="spellEnd"/>
      <w:proofErr w:type="gramEnd"/>
      <w:r>
        <w:t xml:space="preserve"> 100</w:t>
      </w:r>
      <w:r w:rsidRPr="00B47786">
        <w:t>% × $</w:t>
      </w:r>
      <w:r>
        <w:t>72.25</w:t>
      </w:r>
      <w:r w:rsidRPr="00B47786">
        <w:t xml:space="preserve"> [85% MBS benefit]</w:t>
      </w:r>
      <w:r>
        <w:t xml:space="preserve">. Assumed for each </w:t>
      </w:r>
      <w:r w:rsidRPr="006244EA">
        <w:rPr>
          <w:i/>
        </w:rPr>
        <w:t>MET</w:t>
      </w:r>
      <w:r>
        <w:t>ex14sk test which has been assumed to be requested in the outpatient setting.</w:t>
      </w:r>
    </w:p>
    <w:p w14:paraId="71E2111B" w14:textId="389EFC6C" w:rsidR="00865C25" w:rsidRDefault="00865C25" w:rsidP="00865C25">
      <w:pPr>
        <w:pStyle w:val="NormalBeforeBullet"/>
      </w:pPr>
      <w:r>
        <w:t xml:space="preserve">The net financial impact estimates were most sensitive to the distribution of use of combined or sequential small gene panels and whether separate RNA panel </w:t>
      </w:r>
      <w:r w:rsidR="00FC2074">
        <w:t>is</w:t>
      </w:r>
      <w:r>
        <w:t xml:space="preserve"> allowed in those found to have </w:t>
      </w:r>
      <w:r w:rsidRPr="00E64F78">
        <w:rPr>
          <w:i/>
        </w:rPr>
        <w:t>KRAS</w:t>
      </w:r>
      <w:r>
        <w:t xml:space="preserve"> or </w:t>
      </w:r>
      <w:r w:rsidRPr="00E64F78">
        <w:rPr>
          <w:i/>
        </w:rPr>
        <w:t>BRAF</w:t>
      </w:r>
      <w:r>
        <w:t xml:space="preserve"> activating variants. If there is substantial growth in the market due to the listing of small gene panels (</w:t>
      </w:r>
      <w:proofErr w:type="gramStart"/>
      <w:r>
        <w:t>e.g.</w:t>
      </w:r>
      <w:proofErr w:type="gramEnd"/>
      <w:r>
        <w:t xml:space="preserve"> if some testing currently is funded by the states, and this shifts to the MBS), then the net impact to the MBS may be higher. However, the extent of this shift is unknown.</w:t>
      </w:r>
    </w:p>
    <w:p w14:paraId="08B737E4" w14:textId="77777777" w:rsidR="00865C25" w:rsidRDefault="00865C25" w:rsidP="00865C25">
      <w:pPr>
        <w:pStyle w:val="NormalBeforeBullet"/>
      </w:pPr>
      <w:r>
        <w:t xml:space="preserve">While there may also be a change in the relative use of IHC testing items, </w:t>
      </w:r>
      <w:r w:rsidRPr="007A7150">
        <w:t xml:space="preserve">PASC considered that the expected </w:t>
      </w:r>
      <w:r>
        <w:t>reduction in</w:t>
      </w:r>
      <w:r w:rsidRPr="007A7150">
        <w:t xml:space="preserve"> </w:t>
      </w:r>
      <w:r>
        <w:t xml:space="preserve">the cost of </w:t>
      </w:r>
      <w:r w:rsidRPr="007A7150">
        <w:t xml:space="preserve">IHC testing for </w:t>
      </w:r>
      <w:r w:rsidRPr="00FE43E9">
        <w:rPr>
          <w:i/>
        </w:rPr>
        <w:t>ALK</w:t>
      </w:r>
      <w:r w:rsidRPr="007A7150">
        <w:t xml:space="preserve"> and </w:t>
      </w:r>
      <w:r w:rsidRPr="00FE43E9">
        <w:rPr>
          <w:i/>
        </w:rPr>
        <w:t>ROS1</w:t>
      </w:r>
      <w:r w:rsidRPr="007A7150">
        <w:t xml:space="preserve"> would not be straightforward to estimate</w:t>
      </w:r>
      <w:r>
        <w:t xml:space="preserve"> (p10, 1634 Ratified PICO)</w:t>
      </w:r>
      <w:r w:rsidRPr="007A7150">
        <w:t xml:space="preserve">. </w:t>
      </w:r>
      <w:r>
        <w:t xml:space="preserve">The total number of IHC services is not likely to change with proposed small gene panel testing (as this is performed on diagnosis of NSCLC), and for </w:t>
      </w:r>
      <w:r>
        <w:lastRenderedPageBreak/>
        <w:t>many patients, the item claimed will not change (where</w:t>
      </w:r>
      <w:r w:rsidRPr="00E466E6">
        <w:t xml:space="preserve"> </w:t>
      </w:r>
      <w:r>
        <w:t xml:space="preserve">the number of antibodies tested does not change the item being charged </w:t>
      </w:r>
      <w:proofErr w:type="gramStart"/>
      <w:r>
        <w:t>e.g.</w:t>
      </w:r>
      <w:proofErr w:type="gramEnd"/>
      <w:r>
        <w:t xml:space="preserve"> from use of ten to eight antibodies tested). A conservative approach has been adopted in the DCAR that assumes no reduction in cost of </w:t>
      </w:r>
      <w:r w:rsidRPr="00E466E6">
        <w:rPr>
          <w:i/>
        </w:rPr>
        <w:t>ALK</w:t>
      </w:r>
      <w:r>
        <w:t xml:space="preserve"> and </w:t>
      </w:r>
      <w:r w:rsidRPr="00E466E6">
        <w:rPr>
          <w:i/>
        </w:rPr>
        <w:t>ROS1</w:t>
      </w:r>
      <w:r>
        <w:t xml:space="preserve"> IHC testing. The budget impact was not sensitive to an assumption that all </w:t>
      </w:r>
      <w:r w:rsidRPr="003531F3">
        <w:rPr>
          <w:i/>
        </w:rPr>
        <w:t>EGFR</w:t>
      </w:r>
      <w:r>
        <w:t xml:space="preserve"> services would be associated with a change in IHC item use (from 72849 [85% benefit: $88.70] to 72847 [85% benefit: $76.00], reduction in cost to the MBS of $12.70).</w:t>
      </w:r>
    </w:p>
    <w:p w14:paraId="77E7DBB3" w14:textId="41AB078C" w:rsidR="00865C25" w:rsidRPr="00CE28E3" w:rsidRDefault="00865C25" w:rsidP="00865C25">
      <w:pPr>
        <w:pStyle w:val="Heading2"/>
        <w:numPr>
          <w:ilvl w:val="0"/>
          <w:numId w:val="0"/>
        </w:numPr>
      </w:pPr>
      <w:bookmarkStart w:id="38" w:name="_Toc109149596"/>
      <w:r>
        <w:t>1</w:t>
      </w:r>
      <w:r w:rsidR="00813A4A">
        <w:t>5</w:t>
      </w:r>
      <w:r>
        <w:t>.</w:t>
      </w:r>
      <w:r>
        <w:tab/>
      </w:r>
      <w:r w:rsidRPr="00CE28E3">
        <w:t xml:space="preserve">Other relevant </w:t>
      </w:r>
      <w:r>
        <w:t>information</w:t>
      </w:r>
      <w:bookmarkEnd w:id="38"/>
    </w:p>
    <w:p w14:paraId="32D02DB1" w14:textId="66328825" w:rsidR="001B009F" w:rsidRPr="001B009F" w:rsidRDefault="001B009F" w:rsidP="001B009F">
      <w:r w:rsidRPr="001B009F">
        <w:t>REDACTED</w:t>
      </w:r>
    </w:p>
    <w:p w14:paraId="50C9BB08" w14:textId="77777777" w:rsidR="00813A4A" w:rsidRPr="008A2C9F" w:rsidRDefault="00813A4A" w:rsidP="00813A4A">
      <w:pPr>
        <w:pStyle w:val="Heading2"/>
        <w:numPr>
          <w:ilvl w:val="0"/>
          <w:numId w:val="0"/>
        </w:numPr>
      </w:pPr>
      <w:r>
        <w:t>16.</w:t>
      </w:r>
      <w:r>
        <w:tab/>
        <w:t>Key issues from ESC to MSAC</w:t>
      </w:r>
    </w:p>
    <w:p w14:paraId="25939D60" w14:textId="77777777" w:rsidR="00813A4A" w:rsidRDefault="00813A4A" w:rsidP="00813A4A">
      <w:pPr>
        <w:pStyle w:val="BoxName0"/>
      </w:pPr>
      <w:r w:rsidRPr="00C749CB">
        <w:t>Main issues for MSAC consideration</w:t>
      </w:r>
    </w:p>
    <w:p w14:paraId="2B09281E" w14:textId="77777777" w:rsidR="00813A4A" w:rsidRDefault="00813A4A" w:rsidP="00813A4A">
      <w:pPr>
        <w:pStyle w:val="BoxName0"/>
      </w:pPr>
      <w:r>
        <w:t>Clinical issues:</w:t>
      </w:r>
    </w:p>
    <w:p w14:paraId="1954E23D" w14:textId="77777777" w:rsidR="00813A4A" w:rsidRDefault="00813A4A" w:rsidP="00813A4A">
      <w:pPr>
        <w:pStyle w:val="BoxBullet"/>
      </w:pPr>
      <w:r>
        <w:t xml:space="preserve">NGS panel testing has superior clinical effectiveness compared with sequential single gene testing. </w:t>
      </w:r>
    </w:p>
    <w:p w14:paraId="687801BE" w14:textId="77777777" w:rsidR="00813A4A" w:rsidRDefault="00813A4A" w:rsidP="00813A4A">
      <w:pPr>
        <w:pStyle w:val="BoxBullet"/>
      </w:pPr>
      <w:r>
        <w:t>Safety is likely to be superior for NGS panel testing, as less tissue is required for panel testing than for single sequential gene tests. Panel testing reduces the risk of running out of tissue when sequential tests are used, resulting in need for repeat solid tissue biopsy.</w:t>
      </w:r>
    </w:p>
    <w:p w14:paraId="5EE7D014" w14:textId="77777777" w:rsidR="00813A4A" w:rsidRDefault="00813A4A" w:rsidP="00813A4A">
      <w:pPr>
        <w:pStyle w:val="BoxBullet"/>
      </w:pPr>
      <w:r>
        <w:t xml:space="preserve">The proposed gene panel testing includes testing for </w:t>
      </w:r>
      <w:r w:rsidRPr="00121596">
        <w:rPr>
          <w:i/>
          <w:iCs/>
        </w:rPr>
        <w:t>NTRK</w:t>
      </w:r>
      <w:r>
        <w:rPr>
          <w:i/>
          <w:iCs/>
        </w:rPr>
        <w:t>1, NTRK2 and NTRK3</w:t>
      </w:r>
      <w:r>
        <w:t xml:space="preserve">, which are currently not MBS-reimbursed for patients with NSCLC. However, there are currently no PBS-listed therapies for patients with NSCLC with </w:t>
      </w:r>
      <w:r>
        <w:rPr>
          <w:i/>
          <w:iCs/>
        </w:rPr>
        <w:t>NTRK</w:t>
      </w:r>
      <w:r>
        <w:t xml:space="preserve"> variants.</w:t>
      </w:r>
    </w:p>
    <w:p w14:paraId="7E268B58" w14:textId="77777777" w:rsidR="00813A4A" w:rsidRDefault="00813A4A" w:rsidP="00813A4A">
      <w:pPr>
        <w:pStyle w:val="BoxBullet"/>
      </w:pPr>
      <w:r>
        <w:t>The use of liquid biopsy has not been assessed in this application.</w:t>
      </w:r>
    </w:p>
    <w:p w14:paraId="27BCA761" w14:textId="77777777" w:rsidR="00813A4A" w:rsidRDefault="00813A4A" w:rsidP="00813A4A">
      <w:pPr>
        <w:pStyle w:val="BoxBullet"/>
      </w:pPr>
      <w:bookmarkStart w:id="39" w:name="_Hlk118273528"/>
      <w:r>
        <w:t xml:space="preserve">It may be appropriate to </w:t>
      </w:r>
      <w:r w:rsidRPr="00816045">
        <w:t xml:space="preserve">extend eligibility </w:t>
      </w:r>
      <w:r>
        <w:t xml:space="preserve">for panel testing </w:t>
      </w:r>
      <w:r w:rsidRPr="00816045">
        <w:t>to patients with squamous cell carcinoma</w:t>
      </w:r>
      <w:r>
        <w:t xml:space="preserve"> (</w:t>
      </w:r>
      <w:proofErr w:type="spellStart"/>
      <w:r>
        <w:t>SqCC</w:t>
      </w:r>
      <w:proofErr w:type="spellEnd"/>
      <w:r>
        <w:t xml:space="preserve">) given that compared to NSCLC, it is comparatively rare for patients with </w:t>
      </w:r>
      <w:proofErr w:type="spellStart"/>
      <w:r>
        <w:t>SqCC</w:t>
      </w:r>
      <w:proofErr w:type="spellEnd"/>
      <w:r>
        <w:t xml:space="preserve"> to have EFGR mutations (noting also that </w:t>
      </w:r>
      <w:proofErr w:type="spellStart"/>
      <w:r>
        <w:t>SqCC</w:t>
      </w:r>
      <w:proofErr w:type="spellEnd"/>
      <w:r>
        <w:t xml:space="preserve"> has </w:t>
      </w:r>
      <w:proofErr w:type="gramStart"/>
      <w:r>
        <w:t>a number of</w:t>
      </w:r>
      <w:proofErr w:type="gramEnd"/>
      <w:r>
        <w:t xml:space="preserve"> potentially targetable driver mutations in addition to EGFR that have not been assessed in this application).</w:t>
      </w:r>
      <w:r w:rsidDel="001C2658">
        <w:t xml:space="preserve"> </w:t>
      </w:r>
      <w:bookmarkEnd w:id="39"/>
    </w:p>
    <w:p w14:paraId="0B6E0A2F" w14:textId="77777777" w:rsidR="00813A4A" w:rsidRDefault="00813A4A" w:rsidP="00813A4A">
      <w:pPr>
        <w:pStyle w:val="BoxHeading"/>
      </w:pPr>
      <w:r>
        <w:t>Economic issues:</w:t>
      </w:r>
    </w:p>
    <w:p w14:paraId="17896DAA" w14:textId="77777777" w:rsidR="00813A4A" w:rsidRPr="008E0191" w:rsidRDefault="00813A4A" w:rsidP="00813A4A">
      <w:pPr>
        <w:pStyle w:val="BoxBullet"/>
      </w:pPr>
      <w:r w:rsidRPr="008E0191">
        <w:t xml:space="preserve">There </w:t>
      </w:r>
      <w:r>
        <w:t>is some</w:t>
      </w:r>
      <w:r w:rsidRPr="008E0191">
        <w:t xml:space="preserve"> evidence that NGS is</w:t>
      </w:r>
      <w:r>
        <w:t xml:space="preserve"> a</w:t>
      </w:r>
      <w:r w:rsidRPr="008E0191">
        <w:t xml:space="preserve"> cost-effective alternative to </w:t>
      </w:r>
      <w:r>
        <w:t xml:space="preserve">MBS-reimbursed </w:t>
      </w:r>
      <w:r w:rsidRPr="008E0191">
        <w:t xml:space="preserve">single gene testing. </w:t>
      </w:r>
    </w:p>
    <w:p w14:paraId="0E40DC44" w14:textId="77777777" w:rsidR="00813A4A" w:rsidRPr="008E0191" w:rsidRDefault="00813A4A" w:rsidP="00813A4A">
      <w:pPr>
        <w:pStyle w:val="BoxBullet"/>
      </w:pPr>
      <w:r>
        <w:t xml:space="preserve">In the absence of current reimbursement for </w:t>
      </w:r>
      <w:r>
        <w:rPr>
          <w:i/>
          <w:iCs/>
        </w:rPr>
        <w:t>NTRK</w:t>
      </w:r>
      <w:r>
        <w:t xml:space="preserve"> testing in patients with NSCLC, all </w:t>
      </w:r>
      <w:r w:rsidRPr="00121596">
        <w:rPr>
          <w:i/>
          <w:iCs/>
        </w:rPr>
        <w:t>NTRK</w:t>
      </w:r>
      <w:r>
        <w:t xml:space="preserve"> variants detected by panel testing would be classified as incremental variants and the benefits associated with identifying incremental variants are currently uncertain. </w:t>
      </w:r>
    </w:p>
    <w:p w14:paraId="694ED772" w14:textId="77777777" w:rsidR="00813A4A" w:rsidRDefault="00813A4A" w:rsidP="00813A4A">
      <w:pPr>
        <w:pStyle w:val="BoxBullet"/>
      </w:pPr>
      <w:r w:rsidRPr="008E0191">
        <w:t>The main driver of the ICER is from the relative outcomes of targeted therapies v</w:t>
      </w:r>
      <w:r>
        <w:t>ersu</w:t>
      </w:r>
      <w:r w:rsidRPr="008E0191">
        <w:t xml:space="preserve">s </w:t>
      </w:r>
      <w:r>
        <w:t>standard of care</w:t>
      </w:r>
      <w:r w:rsidRPr="008E0191">
        <w:t xml:space="preserve"> in those with uncommon actionable variants identified through small gene panel testing only. This may overestimate </w:t>
      </w:r>
      <w:r>
        <w:t>the</w:t>
      </w:r>
      <w:r w:rsidRPr="008E0191">
        <w:t xml:space="preserve"> benefit of the panel</w:t>
      </w:r>
      <w:r>
        <w:t xml:space="preserve"> testing</w:t>
      </w:r>
      <w:r w:rsidRPr="008E0191">
        <w:t xml:space="preserve"> if these uncommon variants do not lead to patients being eligible for targeted therapy. </w:t>
      </w:r>
      <w:r>
        <w:t>ESC considered that this “overestimation” may be appropriate, as new therapies are being continually developed and this might help futureproof the application.</w:t>
      </w:r>
    </w:p>
    <w:p w14:paraId="10AC19D7" w14:textId="77777777" w:rsidR="00813A4A" w:rsidRPr="00820B2A" w:rsidRDefault="00813A4A" w:rsidP="00813A4A">
      <w:pPr>
        <w:pStyle w:val="BoxBullet"/>
      </w:pPr>
      <w:r>
        <w:t xml:space="preserve">It is unclear whether there </w:t>
      </w:r>
      <w:r w:rsidRPr="00820B2A">
        <w:t>may be additional quality</w:t>
      </w:r>
      <w:r>
        <w:t>-</w:t>
      </w:r>
      <w:r w:rsidRPr="00820B2A">
        <w:t>of</w:t>
      </w:r>
      <w:r>
        <w:t>-</w:t>
      </w:r>
      <w:r w:rsidRPr="00820B2A">
        <w:t xml:space="preserve">life benefits </w:t>
      </w:r>
      <w:r>
        <w:t>due to the</w:t>
      </w:r>
      <w:r w:rsidRPr="00820B2A">
        <w:t xml:space="preserve"> shorter turnaround time</w:t>
      </w:r>
      <w:r>
        <w:t>s</w:t>
      </w:r>
      <w:r w:rsidRPr="00820B2A">
        <w:t xml:space="preserve"> associated with </w:t>
      </w:r>
      <w:r>
        <w:t xml:space="preserve">the </w:t>
      </w:r>
      <w:r w:rsidRPr="00820B2A">
        <w:t xml:space="preserve">panel </w:t>
      </w:r>
      <w:r>
        <w:t xml:space="preserve">leading to earlier initiation of test-directed treatment </w:t>
      </w:r>
      <w:r w:rsidRPr="00820B2A">
        <w:t xml:space="preserve">that </w:t>
      </w:r>
      <w:r>
        <w:t>are</w:t>
      </w:r>
      <w:r w:rsidRPr="00820B2A">
        <w:t xml:space="preserve"> not currently captured</w:t>
      </w:r>
      <w:r>
        <w:t xml:space="preserve">. </w:t>
      </w:r>
    </w:p>
    <w:p w14:paraId="35681663" w14:textId="77777777" w:rsidR="00813A4A" w:rsidRDefault="00813A4A" w:rsidP="00813A4A">
      <w:pPr>
        <w:pStyle w:val="BoxHeading"/>
      </w:pPr>
      <w:r>
        <w:lastRenderedPageBreak/>
        <w:t>Financial issues:</w:t>
      </w:r>
    </w:p>
    <w:p w14:paraId="752FA02A" w14:textId="77777777" w:rsidR="00813A4A" w:rsidRPr="00820B2A" w:rsidRDefault="00813A4A" w:rsidP="00813A4A">
      <w:pPr>
        <w:pStyle w:val="BoxBullet"/>
        <w:rPr>
          <w:b/>
          <w:bCs/>
        </w:rPr>
      </w:pPr>
      <w:r>
        <w:t>Current financial estimates may be conservative insofar as t</w:t>
      </w:r>
      <w:r w:rsidRPr="00820B2A">
        <w:t xml:space="preserve">here may be additional cost savings to the budget from lower-than-expected MBS utilisation, the reduction of </w:t>
      </w:r>
      <w:proofErr w:type="spellStart"/>
      <w:r w:rsidRPr="00820B2A">
        <w:rPr>
          <w:i/>
          <w:iCs/>
        </w:rPr>
        <w:t>MET</w:t>
      </w:r>
      <w:r w:rsidRPr="00820B2A">
        <w:t>sk</w:t>
      </w:r>
      <w:proofErr w:type="spellEnd"/>
      <w:r w:rsidRPr="00820B2A">
        <w:t xml:space="preserve"> testing and use of core </w:t>
      </w:r>
      <w:r>
        <w:t>needle</w:t>
      </w:r>
      <w:r w:rsidRPr="00820B2A">
        <w:t xml:space="preserve"> biopsies</w:t>
      </w:r>
      <w:r>
        <w:t xml:space="preserve"> for rebiopsy which have not been </w:t>
      </w:r>
      <w:proofErr w:type="gramStart"/>
      <w:r>
        <w:t>taken into account</w:t>
      </w:r>
      <w:proofErr w:type="gramEnd"/>
      <w:r w:rsidRPr="00820B2A">
        <w:t>.</w:t>
      </w:r>
    </w:p>
    <w:p w14:paraId="5837D184" w14:textId="77777777" w:rsidR="00813A4A" w:rsidRDefault="00813A4A" w:rsidP="00F938D7">
      <w:pPr>
        <w:spacing w:before="240"/>
        <w:rPr>
          <w:rStyle w:val="Strong"/>
        </w:rPr>
      </w:pPr>
      <w:r w:rsidRPr="00194327">
        <w:rPr>
          <w:rStyle w:val="Strong"/>
        </w:rPr>
        <w:t>ESC discussion</w:t>
      </w:r>
    </w:p>
    <w:p w14:paraId="706D8BB8" w14:textId="77777777" w:rsidR="00813A4A" w:rsidRDefault="00813A4A" w:rsidP="00813A4A">
      <w:r w:rsidRPr="00EC698C">
        <w:t xml:space="preserve">ESC noted that this was a new </w:t>
      </w:r>
      <w:r w:rsidRPr="00E40BE0">
        <w:t xml:space="preserve">application for </w:t>
      </w:r>
      <w:r w:rsidRPr="00EC698C">
        <w:t>the Medicare Benefits Sche</w:t>
      </w:r>
      <w:r>
        <w:t>dule</w:t>
      </w:r>
      <w:r w:rsidRPr="00EC698C">
        <w:t xml:space="preserve"> (MBS) listing</w:t>
      </w:r>
      <w:r w:rsidRPr="00E40BE0">
        <w:t xml:space="preserve"> of </w:t>
      </w:r>
      <w:r>
        <w:t>a small gene</w:t>
      </w:r>
      <w:r w:rsidRPr="00E40BE0">
        <w:t xml:space="preserve"> panel </w:t>
      </w:r>
      <w:r>
        <w:t xml:space="preserve">test </w:t>
      </w:r>
      <w:r w:rsidRPr="00EC698C">
        <w:t xml:space="preserve">for non-squamous non-small cell lung carcinoma (NSCLC). ESC noted that </w:t>
      </w:r>
      <w:r>
        <w:t xml:space="preserve">this </w:t>
      </w:r>
      <w:r w:rsidRPr="00EC698C">
        <w:t>was an expedited application that bypassed PASC.</w:t>
      </w:r>
    </w:p>
    <w:p w14:paraId="3595F8B9" w14:textId="77777777" w:rsidR="00813A4A" w:rsidRDefault="00813A4A" w:rsidP="00813A4A">
      <w:pPr>
        <w:pStyle w:val="NormalBeforeBullet0"/>
      </w:pPr>
      <w:r>
        <w:t xml:space="preserve">ESC noted that </w:t>
      </w:r>
      <w:r w:rsidRPr="006B5DDC">
        <w:t>MSAC ha</w:t>
      </w:r>
      <w:r>
        <w:t>d</w:t>
      </w:r>
      <w:r w:rsidRPr="006B5DDC">
        <w:t xml:space="preserve"> </w:t>
      </w:r>
      <w:r>
        <w:t xml:space="preserve">previously </w:t>
      </w:r>
      <w:r w:rsidRPr="006B5DDC">
        <w:t>considered individual single gene tests for biomarker assessment in patients with NSCLC</w:t>
      </w:r>
      <w:r>
        <w:t>.</w:t>
      </w:r>
      <w:r w:rsidRPr="006B5DDC">
        <w:t xml:space="preserve"> </w:t>
      </w:r>
      <w:r>
        <w:t>I</w:t>
      </w:r>
      <w:r w:rsidRPr="006B5DDC">
        <w:t>n November 2017</w:t>
      </w:r>
      <w:r>
        <w:t xml:space="preserve"> (application 1454):</w:t>
      </w:r>
    </w:p>
    <w:p w14:paraId="557393D1" w14:textId="77777777" w:rsidR="00813A4A" w:rsidRDefault="00813A4A" w:rsidP="003B05ED">
      <w:pPr>
        <w:pStyle w:val="Quote"/>
        <w:jc w:val="left"/>
      </w:pPr>
      <w:r w:rsidRPr="007654DB">
        <w:rPr>
          <w:color w:val="auto"/>
        </w:rPr>
        <w:t>MSAC noted that the sequential testing of EGFR, ALK and ROS1 yield mutually exclusive treatment pathways and that sequential testing wastes tissue sample, time and is more expensive than a single panel of tests. MSAC recommended that the Department conduct a cost-utility review of gene panel and/or next generation sequencing (NGS) test options to inform these first-line therapy options … MSAC advised that any MBS funding should be based on a gene panel or NGS test of equivalent or better analytical performance to sequential IHC and FISH testing and assurance that the average gene panel or NGS test is no more costly than the average cost of the sequential testing that it would replace. MSAC noted that overall testing may still require more than one gene panel test due to differences in lung cancer gene aberrations as somatic mutations are tested in genomic DNA, whereas gene fusions (such as ROS1) are usually tested in cDNA [complementary DNA] prepared from RNA. (</w:t>
      </w:r>
      <w:hyperlink r:id="rId22" w:history="1">
        <w:r>
          <w:rPr>
            <w:rStyle w:val="Hyperlink"/>
          </w:rPr>
          <w:t>Public Summary Document [PSD] 1454:3</w:t>
        </w:r>
      </w:hyperlink>
      <w:r w:rsidRPr="006B5DDC">
        <w:t>)</w:t>
      </w:r>
    </w:p>
    <w:p w14:paraId="4DFAA51F" w14:textId="77777777" w:rsidR="00813A4A" w:rsidRDefault="00813A4A" w:rsidP="00813A4A">
      <w:pPr>
        <w:pStyle w:val="NormalBeforeBullet0"/>
      </w:pPr>
      <w:r>
        <w:t>ESC noted that the current application addressed the main concerns that MSAC had at the time of considering application 1454 – namely, that the current DCAR:</w:t>
      </w:r>
    </w:p>
    <w:p w14:paraId="239D7B31" w14:textId="77777777" w:rsidR="00813A4A" w:rsidRPr="005B170B" w:rsidRDefault="00813A4A" w:rsidP="00813A4A">
      <w:pPr>
        <w:pStyle w:val="Bullet"/>
        <w:numPr>
          <w:ilvl w:val="0"/>
          <w:numId w:val="20"/>
        </w:numPr>
        <w:spacing w:before="0"/>
        <w:rPr>
          <w:rFonts w:ascii="Franklin Gothic Book" w:hAnsi="Franklin Gothic Book"/>
        </w:rPr>
      </w:pPr>
      <w:r w:rsidRPr="005B170B">
        <w:rPr>
          <w:rFonts w:ascii="Franklin Gothic Book" w:hAnsi="Franklin Gothic Book"/>
        </w:rPr>
        <w:t>assesse</w:t>
      </w:r>
      <w:r>
        <w:rPr>
          <w:rFonts w:ascii="Franklin Gothic Book" w:hAnsi="Franklin Gothic Book"/>
        </w:rPr>
        <w:t>d</w:t>
      </w:r>
      <w:r w:rsidRPr="005B170B">
        <w:rPr>
          <w:rFonts w:ascii="Franklin Gothic Book" w:hAnsi="Franklin Gothic Book"/>
        </w:rPr>
        <w:t xml:space="preserve"> a small NGS panel</w:t>
      </w:r>
      <w:r>
        <w:rPr>
          <w:rFonts w:ascii="Franklin Gothic Book" w:hAnsi="Franklin Gothic Book"/>
        </w:rPr>
        <w:t xml:space="preserve"> test</w:t>
      </w:r>
    </w:p>
    <w:p w14:paraId="6B8BD3F9" w14:textId="77777777" w:rsidR="00813A4A" w:rsidRPr="005B170B" w:rsidRDefault="00813A4A" w:rsidP="00813A4A">
      <w:pPr>
        <w:pStyle w:val="Bullet"/>
        <w:numPr>
          <w:ilvl w:val="0"/>
          <w:numId w:val="20"/>
        </w:numPr>
        <w:spacing w:before="0"/>
        <w:rPr>
          <w:rFonts w:ascii="Franklin Gothic Book" w:hAnsi="Franklin Gothic Book"/>
        </w:rPr>
      </w:pPr>
      <w:r w:rsidRPr="005B170B">
        <w:rPr>
          <w:rFonts w:ascii="Franklin Gothic Book" w:hAnsi="Franklin Gothic Book"/>
        </w:rPr>
        <w:t>include</w:t>
      </w:r>
      <w:r>
        <w:rPr>
          <w:rFonts w:ascii="Franklin Gothic Book" w:hAnsi="Franklin Gothic Book"/>
        </w:rPr>
        <w:t>d</w:t>
      </w:r>
      <w:r w:rsidRPr="005B170B">
        <w:rPr>
          <w:rFonts w:ascii="Franklin Gothic Book" w:hAnsi="Franklin Gothic Book"/>
        </w:rPr>
        <w:t xml:space="preserve"> both DNA and RNA testing, or sequential DNA then RNA testing as interventions</w:t>
      </w:r>
    </w:p>
    <w:p w14:paraId="6E4FFB1B" w14:textId="77777777" w:rsidR="00813A4A" w:rsidRPr="005B170B" w:rsidRDefault="00813A4A" w:rsidP="00813A4A">
      <w:pPr>
        <w:pStyle w:val="Bullet"/>
        <w:numPr>
          <w:ilvl w:val="0"/>
          <w:numId w:val="20"/>
        </w:numPr>
        <w:spacing w:before="0"/>
        <w:rPr>
          <w:rFonts w:ascii="Franklin Gothic Book" w:hAnsi="Franklin Gothic Book"/>
        </w:rPr>
      </w:pPr>
      <w:r w:rsidRPr="005B170B">
        <w:rPr>
          <w:rFonts w:ascii="Franklin Gothic Book" w:hAnsi="Franklin Gothic Book"/>
        </w:rPr>
        <w:t>demonstrate</w:t>
      </w:r>
      <w:r>
        <w:rPr>
          <w:rFonts w:ascii="Franklin Gothic Book" w:hAnsi="Franklin Gothic Book"/>
        </w:rPr>
        <w:t>d</w:t>
      </w:r>
      <w:r w:rsidRPr="005B170B">
        <w:rPr>
          <w:rFonts w:ascii="Franklin Gothic Book" w:hAnsi="Franklin Gothic Book"/>
        </w:rPr>
        <w:t xml:space="preserve"> that NGS has superior or equivalent analytical performance compared to single-gene assays, or immunohistochemistry (IHC) and fluorescent in situ hybridisation (FISH) testing</w:t>
      </w:r>
    </w:p>
    <w:p w14:paraId="0D611A32" w14:textId="77777777" w:rsidR="00813A4A" w:rsidRDefault="00813A4A" w:rsidP="00813A4A">
      <w:pPr>
        <w:pStyle w:val="BulletLast"/>
        <w:numPr>
          <w:ilvl w:val="0"/>
          <w:numId w:val="20"/>
        </w:numPr>
      </w:pPr>
      <w:r>
        <w:t>demonstrated that a</w:t>
      </w:r>
      <w:r w:rsidRPr="00774FBF">
        <w:t>t the proposed items fees, small gene panel testing is associated with</w:t>
      </w:r>
      <w:r>
        <w:t xml:space="preserve"> superior effectiveness with some small</w:t>
      </w:r>
      <w:r w:rsidRPr="00774FBF">
        <w:t xml:space="preserve"> additional costs. </w:t>
      </w:r>
      <w:r>
        <w:t>ESC considered this to be re</w:t>
      </w:r>
      <w:r w:rsidRPr="00774FBF">
        <w:t>asonable.</w:t>
      </w:r>
    </w:p>
    <w:p w14:paraId="6136AC7B" w14:textId="77777777" w:rsidR="00813A4A" w:rsidRDefault="00813A4A" w:rsidP="00813A4A">
      <w:r>
        <w:t xml:space="preserve">ESC noted that there were nearly 12,000 new diagnoses of NSCLC in 2021. Standard of care includes sequential testing of gene variants that are mutually exclusive. </w:t>
      </w:r>
      <w:r w:rsidRPr="00CA73F8">
        <w:rPr>
          <w:i/>
          <w:iCs/>
        </w:rPr>
        <w:t>EGFR</w:t>
      </w:r>
      <w:r w:rsidRPr="00CA73F8">
        <w:t xml:space="preserve"> </w:t>
      </w:r>
      <w:r>
        <w:t xml:space="preserve">is tested first; if no variant is identified, testing then moves to </w:t>
      </w:r>
      <w:r w:rsidRPr="0015133A">
        <w:rPr>
          <w:i/>
          <w:iCs/>
        </w:rPr>
        <w:t>ALK</w:t>
      </w:r>
      <w:r>
        <w:t xml:space="preserve"> testing using immunohistochemistry and FISH, then to testing</w:t>
      </w:r>
      <w:r w:rsidRPr="00CA73F8">
        <w:t xml:space="preserve"> </w:t>
      </w:r>
      <w:r w:rsidRPr="00CA73F8">
        <w:rPr>
          <w:i/>
          <w:iCs/>
        </w:rPr>
        <w:t>ROS1</w:t>
      </w:r>
      <w:r>
        <w:rPr>
          <w:i/>
          <w:iCs/>
        </w:rPr>
        <w:t xml:space="preserve">. </w:t>
      </w:r>
      <w:r w:rsidRPr="00AF7E54">
        <w:t xml:space="preserve">The </w:t>
      </w:r>
      <w:r w:rsidRPr="00A4799C">
        <w:t>current</w:t>
      </w:r>
      <w:r>
        <w:t xml:space="preserve"> MBS items that support reimbursement of sequential testing are drafted to only support claims under this sequential approach.</w:t>
      </w:r>
      <w:r>
        <w:rPr>
          <w:i/>
          <w:iCs/>
        </w:rPr>
        <w:t xml:space="preserve"> </w:t>
      </w:r>
      <w:r>
        <w:t>This application proposed the use of a gene panel to test these variants and also ’beyond restriction’ variants (</w:t>
      </w:r>
      <w:proofErr w:type="gramStart"/>
      <w:r>
        <w:t>i.e.</w:t>
      </w:r>
      <w:proofErr w:type="gramEnd"/>
      <w:r>
        <w:t xml:space="preserve"> variants which do not currently have an associated PBS subsidised therapy) including </w:t>
      </w:r>
      <w:r w:rsidRPr="00CA73F8">
        <w:rPr>
          <w:i/>
          <w:iCs/>
        </w:rPr>
        <w:t>RET</w:t>
      </w:r>
      <w:r>
        <w:t xml:space="preserve"> and</w:t>
      </w:r>
      <w:r w:rsidRPr="00CA73F8">
        <w:t xml:space="preserve"> </w:t>
      </w:r>
      <w:r w:rsidRPr="00CA73F8">
        <w:rPr>
          <w:i/>
          <w:iCs/>
        </w:rPr>
        <w:t>NTRK</w:t>
      </w:r>
      <w:r>
        <w:rPr>
          <w:i/>
          <w:iCs/>
        </w:rPr>
        <w:t>1, NTRK2 and NTRK3</w:t>
      </w:r>
      <w:r>
        <w:t xml:space="preserve"> to expedite testing, and therefore, diagnosis and the start of appropriate targeted therapy.</w:t>
      </w:r>
    </w:p>
    <w:p w14:paraId="0983CCFE" w14:textId="77777777" w:rsidR="00813A4A" w:rsidRDefault="00813A4A" w:rsidP="00813A4A">
      <w:r>
        <w:t xml:space="preserve">ESC noted that while the application was restricted to testing for </w:t>
      </w:r>
      <w:r w:rsidRPr="00EC698C">
        <w:t>non-squamous non-small cell lung carcinoma</w:t>
      </w:r>
      <w:r>
        <w:t>, it is comparatively rare for patients with squamous cell carcinoma (</w:t>
      </w:r>
      <w:proofErr w:type="spellStart"/>
      <w:r>
        <w:t>SqCC</w:t>
      </w:r>
      <w:proofErr w:type="spellEnd"/>
      <w:r>
        <w:t xml:space="preserve">) to </w:t>
      </w:r>
      <w:r>
        <w:lastRenderedPageBreak/>
        <w:t xml:space="preserve">have EFGR mutations. ESC considered that it may be appropriate to extend eligibility to patients with squamous cell carcinoma, noting that </w:t>
      </w:r>
      <w:proofErr w:type="spellStart"/>
      <w:r>
        <w:t>SqCC</w:t>
      </w:r>
      <w:proofErr w:type="spellEnd"/>
      <w:r>
        <w:t xml:space="preserve"> has </w:t>
      </w:r>
      <w:proofErr w:type="gramStart"/>
      <w:r>
        <w:t>a number of</w:t>
      </w:r>
      <w:proofErr w:type="gramEnd"/>
      <w:r>
        <w:t xml:space="preserve"> potentially targetable driver mutations that have not been assessed in this application. </w:t>
      </w:r>
    </w:p>
    <w:p w14:paraId="205BEBBD" w14:textId="77777777" w:rsidR="00813A4A" w:rsidRDefault="00813A4A" w:rsidP="00813A4A">
      <w:r>
        <w:t xml:space="preserve">ESC noted that there were multiple therapies available on the Pharmaceutical Benefits Scheme (PBS) targeting each of these variants (although </w:t>
      </w:r>
      <w:r w:rsidRPr="00121596">
        <w:rPr>
          <w:i/>
          <w:iCs/>
        </w:rPr>
        <w:t>NTRK</w:t>
      </w:r>
      <w:r>
        <w:t xml:space="preserve"> testing in patients with NSCLC is not MBS-reimbursed). </w:t>
      </w:r>
    </w:p>
    <w:p w14:paraId="016F85BC" w14:textId="77777777" w:rsidR="00813A4A" w:rsidRDefault="00813A4A" w:rsidP="00813A4A">
      <w:r>
        <w:t>ESC noted the positive feedback from organisations supporting the proposal, but that there was no consumer feedback. Rationale for supporting the application emphasised the benefits of combined testing on one platform over sequential testing. Flexibility of testing could allow more laboratories to provide results sooner to help ensure equity of access. The feedback also noted clinician and patient preference for a single biopsy to provide the sample.</w:t>
      </w:r>
      <w:r w:rsidRPr="00DE4BA0">
        <w:t xml:space="preserve"> </w:t>
      </w:r>
      <w:r>
        <w:t xml:space="preserve">ESC considered given the importance of equity of access as a benefit of this testing whether there might be </w:t>
      </w:r>
      <w:r w:rsidRPr="00370BBF">
        <w:t>scope</w:t>
      </w:r>
      <w:r>
        <w:t xml:space="preserve"> to consider in the MBS</w:t>
      </w:r>
      <w:r w:rsidRPr="00370BBF">
        <w:t xml:space="preserve"> item </w:t>
      </w:r>
      <w:r>
        <w:t>descriptor and related specification</w:t>
      </w:r>
      <w:r w:rsidRPr="00370BBF">
        <w:t xml:space="preserve"> </w:t>
      </w:r>
      <w:r>
        <w:t xml:space="preserve">how </w:t>
      </w:r>
      <w:r w:rsidRPr="00370BBF">
        <w:t>to fund access in a way which is equitable for those living in remote and rural communities</w:t>
      </w:r>
      <w:r>
        <w:t>.</w:t>
      </w:r>
    </w:p>
    <w:p w14:paraId="2E6A2922" w14:textId="77777777" w:rsidR="00813A4A" w:rsidRPr="00395DD2" w:rsidRDefault="00813A4A" w:rsidP="00813A4A">
      <w:pPr>
        <w:pStyle w:val="NormalBeforeBullet0"/>
      </w:pPr>
      <w:r w:rsidRPr="00395DD2">
        <w:t>ESC noted that the proposal included three MBS items:</w:t>
      </w:r>
    </w:p>
    <w:p w14:paraId="39B8BACB" w14:textId="77777777" w:rsidR="00813A4A" w:rsidRPr="00121596" w:rsidRDefault="00813A4A" w:rsidP="00813A4A">
      <w:pPr>
        <w:pStyle w:val="Bullet"/>
        <w:numPr>
          <w:ilvl w:val="0"/>
          <w:numId w:val="20"/>
        </w:numPr>
        <w:spacing w:before="0"/>
        <w:rPr>
          <w:rFonts w:ascii="Franklin Gothic Book" w:hAnsi="Franklin Gothic Book"/>
        </w:rPr>
      </w:pPr>
      <w:r w:rsidRPr="00121596">
        <w:rPr>
          <w:rFonts w:ascii="Franklin Gothic Book" w:hAnsi="Franklin Gothic Book"/>
        </w:rPr>
        <w:t>AAAA – a small gene panel that include</w:t>
      </w:r>
      <w:r>
        <w:rPr>
          <w:rFonts w:ascii="Franklin Gothic Book" w:hAnsi="Franklin Gothic Book"/>
        </w:rPr>
        <w:t>d</w:t>
      </w:r>
      <w:r w:rsidRPr="00121596">
        <w:rPr>
          <w:rFonts w:ascii="Franklin Gothic Book" w:hAnsi="Franklin Gothic Book"/>
        </w:rPr>
        <w:t xml:space="preserve"> DNA and RNA analysis (fee of $1,247)</w:t>
      </w:r>
    </w:p>
    <w:p w14:paraId="7EE2E0FC" w14:textId="77777777" w:rsidR="00813A4A" w:rsidRPr="00395DD2" w:rsidRDefault="00813A4A" w:rsidP="00813A4A">
      <w:pPr>
        <w:pStyle w:val="NormalBeforeBullet0"/>
      </w:pPr>
      <w:r w:rsidRPr="00395DD2">
        <w:t>OR</w:t>
      </w:r>
    </w:p>
    <w:p w14:paraId="60DE26F8" w14:textId="77777777" w:rsidR="00813A4A" w:rsidRPr="00121596" w:rsidRDefault="00813A4A" w:rsidP="00813A4A">
      <w:pPr>
        <w:pStyle w:val="Bullet"/>
        <w:numPr>
          <w:ilvl w:val="0"/>
          <w:numId w:val="20"/>
        </w:numPr>
        <w:spacing w:before="0"/>
        <w:rPr>
          <w:rFonts w:ascii="Franklin Gothic Book" w:hAnsi="Franklin Gothic Book"/>
        </w:rPr>
      </w:pPr>
      <w:r w:rsidRPr="00121596">
        <w:rPr>
          <w:rFonts w:ascii="Franklin Gothic Book" w:hAnsi="Franklin Gothic Book"/>
        </w:rPr>
        <w:t>BBBB – a small gene panel that include</w:t>
      </w:r>
      <w:r>
        <w:rPr>
          <w:rFonts w:ascii="Franklin Gothic Book" w:hAnsi="Franklin Gothic Book"/>
        </w:rPr>
        <w:t>d</w:t>
      </w:r>
      <w:r w:rsidRPr="00121596">
        <w:rPr>
          <w:rFonts w:ascii="Franklin Gothic Book" w:hAnsi="Franklin Gothic Book"/>
        </w:rPr>
        <w:t xml:space="preserve"> DNA analysis only (fee of $682.35)</w:t>
      </w:r>
    </w:p>
    <w:p w14:paraId="4589E903" w14:textId="77777777" w:rsidR="00813A4A" w:rsidRPr="00395DD2" w:rsidRDefault="00813A4A" w:rsidP="00813A4A">
      <w:pPr>
        <w:pStyle w:val="NormalBeforeBullet0"/>
      </w:pPr>
      <w:r w:rsidRPr="00395DD2">
        <w:t>AND</w:t>
      </w:r>
    </w:p>
    <w:p w14:paraId="56BCE7AA" w14:textId="77777777" w:rsidR="00813A4A" w:rsidRPr="00395DD2" w:rsidRDefault="00813A4A" w:rsidP="00813A4A">
      <w:pPr>
        <w:pStyle w:val="BulletLast"/>
        <w:numPr>
          <w:ilvl w:val="0"/>
          <w:numId w:val="20"/>
        </w:numPr>
      </w:pPr>
      <w:r w:rsidRPr="00395DD2">
        <w:t>CCCC – a small gene panel that include</w:t>
      </w:r>
      <w:r>
        <w:t>d</w:t>
      </w:r>
      <w:r w:rsidRPr="00395DD2">
        <w:t xml:space="preserve"> RNA analysis only, and to be done only if BBBB </w:t>
      </w:r>
      <w:r>
        <w:t>was</w:t>
      </w:r>
      <w:r w:rsidRPr="00395DD2">
        <w:t xml:space="preserve"> negative (fee of $682.35).</w:t>
      </w:r>
    </w:p>
    <w:p w14:paraId="28103ADA" w14:textId="77777777" w:rsidR="00813A4A" w:rsidRDefault="00813A4A" w:rsidP="00813A4A">
      <w:r>
        <w:t xml:space="preserve">ESC discussed the benefits and disadvantages of a combined DNA and RNA panel (item AAAA) compared with sequential DNA and RNA panels (item BBBB, then CCCC). The turnaround time would be faster if running a single panel, leading to more timely diagnosis and therapy initiation, and many clinicians would consider genetic test results before making therapy recommendations. ESC also noted that running a single panel would use less biopsy tissue, which ESC considered to be an important advantage since sample availability may be limited and rebiopsy was not an option for all patients. ESC noted that it was more cost-effective to run a single panel rather than </w:t>
      </w:r>
      <w:proofErr w:type="gramStart"/>
      <w:r>
        <w:t>two, but</w:t>
      </w:r>
      <w:proofErr w:type="gramEnd"/>
      <w:r>
        <w:t xml:space="preserve"> noted that CCCC would only be used if BBBB did not identify any variants. ESC noted the disadvantages of MBS item AAAA included the additional laboratory work for some patients (it would be more challenging to run a single DNA/RNA panel than DNA panel alone which is all that would be needed for more than 50% of patients with simple EGFR or KRAS mutations), that currently not all laboratories will be able to test using the single panel, and that there will be some duplication of work. However, ESC noted that test kit manufacturers may address these challenges in future kit developments.</w:t>
      </w:r>
    </w:p>
    <w:p w14:paraId="11AE8BB9" w14:textId="77777777" w:rsidR="00813A4A" w:rsidRDefault="00813A4A" w:rsidP="00813A4A">
      <w:pPr>
        <w:pStyle w:val="NormalBeforeBullet0"/>
      </w:pPr>
      <w:r>
        <w:t>ESC considered the following amendments to the descriptor to be appropriate:</w:t>
      </w:r>
    </w:p>
    <w:p w14:paraId="7032F978" w14:textId="77777777" w:rsidR="00813A4A" w:rsidRPr="00121596" w:rsidRDefault="00813A4A" w:rsidP="00813A4A">
      <w:pPr>
        <w:pStyle w:val="Bullet"/>
        <w:numPr>
          <w:ilvl w:val="0"/>
          <w:numId w:val="20"/>
        </w:numPr>
        <w:spacing w:before="0"/>
        <w:rPr>
          <w:rFonts w:ascii="Franklin Gothic Book" w:hAnsi="Franklin Gothic Book"/>
        </w:rPr>
      </w:pPr>
      <w:r w:rsidRPr="00121596">
        <w:rPr>
          <w:rFonts w:ascii="Franklin Gothic Book" w:hAnsi="Franklin Gothic Book"/>
        </w:rPr>
        <w:t>The descriptor wording should be “variants”, not “mutations”, to be consistent with other gene testing descriptors on the MBS.</w:t>
      </w:r>
    </w:p>
    <w:p w14:paraId="6E995273" w14:textId="77777777" w:rsidR="00813A4A" w:rsidRPr="00121596" w:rsidRDefault="00813A4A" w:rsidP="00813A4A">
      <w:pPr>
        <w:pStyle w:val="Bullet"/>
        <w:numPr>
          <w:ilvl w:val="0"/>
          <w:numId w:val="20"/>
        </w:numPr>
        <w:spacing w:before="0"/>
        <w:rPr>
          <w:rFonts w:ascii="Franklin Gothic Book" w:hAnsi="Franklin Gothic Book"/>
        </w:rPr>
      </w:pPr>
      <w:r w:rsidRPr="00121596">
        <w:rPr>
          <w:rFonts w:ascii="Franklin Gothic Book" w:hAnsi="Franklin Gothic Book"/>
        </w:rPr>
        <w:t xml:space="preserve">The specific reference to pembrolizumab for </w:t>
      </w:r>
      <w:r w:rsidRPr="00121596">
        <w:rPr>
          <w:rFonts w:ascii="Franklin Gothic Book" w:hAnsi="Franklin Gothic Book"/>
          <w:i/>
          <w:iCs/>
        </w:rPr>
        <w:t>EGFR</w:t>
      </w:r>
      <w:r w:rsidRPr="00121596">
        <w:rPr>
          <w:rFonts w:ascii="Franklin Gothic Book" w:hAnsi="Franklin Gothic Book"/>
        </w:rPr>
        <w:t xml:space="preserve">, </w:t>
      </w:r>
      <w:r w:rsidRPr="00121596">
        <w:rPr>
          <w:rFonts w:ascii="Franklin Gothic Book" w:hAnsi="Franklin Gothic Book"/>
          <w:i/>
          <w:iCs/>
        </w:rPr>
        <w:t>ALK</w:t>
      </w:r>
      <w:r w:rsidRPr="00121596">
        <w:rPr>
          <w:rFonts w:ascii="Franklin Gothic Book" w:hAnsi="Franklin Gothic Book"/>
        </w:rPr>
        <w:t xml:space="preserve"> and </w:t>
      </w:r>
      <w:r w:rsidRPr="00121596">
        <w:rPr>
          <w:rFonts w:ascii="Franklin Gothic Book" w:hAnsi="Franklin Gothic Book"/>
          <w:i/>
          <w:iCs/>
        </w:rPr>
        <w:t>ROS1</w:t>
      </w:r>
      <w:r w:rsidRPr="00121596">
        <w:rPr>
          <w:rFonts w:ascii="Franklin Gothic Book" w:hAnsi="Franklin Gothic Book"/>
        </w:rPr>
        <w:t xml:space="preserve"> status should be changed to a more generic PD-(L)1 immunotherapy to help futureproof the MBS item as more therapies are approved.</w:t>
      </w:r>
    </w:p>
    <w:p w14:paraId="0AFCE850" w14:textId="77777777" w:rsidR="00813A4A" w:rsidRPr="00395DD2" w:rsidRDefault="00813A4A" w:rsidP="00813A4A">
      <w:pPr>
        <w:pStyle w:val="BulletLast"/>
        <w:numPr>
          <w:ilvl w:val="0"/>
          <w:numId w:val="20"/>
        </w:numPr>
      </w:pPr>
      <w:r w:rsidRPr="00395DD2">
        <w:t xml:space="preserve">The </w:t>
      </w:r>
      <w:r w:rsidRPr="00395DD2">
        <w:rPr>
          <w:i/>
          <w:iCs/>
        </w:rPr>
        <w:t>NTRK</w:t>
      </w:r>
      <w:r w:rsidRPr="00D04FE4">
        <w:t xml:space="preserve"> gene is </w:t>
      </w:r>
      <w:proofErr w:type="gramStart"/>
      <w:r w:rsidRPr="00D04FE4">
        <w:t>actually three</w:t>
      </w:r>
      <w:proofErr w:type="gramEnd"/>
      <w:r w:rsidRPr="00D04FE4">
        <w:t xml:space="preserve"> genes, so the descriptor should specify </w:t>
      </w:r>
      <w:r w:rsidRPr="003C4EF5">
        <w:rPr>
          <w:i/>
          <w:iCs/>
        </w:rPr>
        <w:t>NTKR1</w:t>
      </w:r>
      <w:r w:rsidRPr="003C4EF5">
        <w:t xml:space="preserve">, </w:t>
      </w:r>
      <w:r w:rsidRPr="003C4EF5">
        <w:rPr>
          <w:i/>
          <w:iCs/>
        </w:rPr>
        <w:t>NTKR2</w:t>
      </w:r>
      <w:r w:rsidRPr="003C4EF5">
        <w:t xml:space="preserve"> and </w:t>
      </w:r>
      <w:r w:rsidRPr="00395DD2">
        <w:rPr>
          <w:i/>
          <w:iCs/>
        </w:rPr>
        <w:t>NTRK3</w:t>
      </w:r>
      <w:r w:rsidRPr="00395DD2">
        <w:t xml:space="preserve"> to clarify this.</w:t>
      </w:r>
    </w:p>
    <w:p w14:paraId="2368F325" w14:textId="77777777" w:rsidR="00813A4A" w:rsidRDefault="00813A4A" w:rsidP="00813A4A">
      <w:r>
        <w:t>ESC noted the proposed fees and considered them to be appropriate for all proposed item numbers.</w:t>
      </w:r>
    </w:p>
    <w:p w14:paraId="0C44A11F" w14:textId="77777777" w:rsidR="00813A4A" w:rsidRDefault="00813A4A" w:rsidP="00813A4A">
      <w:r>
        <w:lastRenderedPageBreak/>
        <w:t>ESC noted the comparators (sequential testing of biomarkers) and considered them to be appropriate. Most of these comparators were currently available on the MBS as items 73337, 72846, 73341 and 73344. T</w:t>
      </w:r>
      <w:r w:rsidRPr="00AC2986">
        <w:t xml:space="preserve">esting of </w:t>
      </w:r>
      <w:r w:rsidRPr="00AC2986">
        <w:rPr>
          <w:i/>
          <w:iCs/>
        </w:rPr>
        <w:t>MET</w:t>
      </w:r>
      <w:r w:rsidRPr="00AC2986">
        <w:t xml:space="preserve">ex14 skipping alterations </w:t>
      </w:r>
      <w:r>
        <w:t xml:space="preserve">had been </w:t>
      </w:r>
      <w:r w:rsidRPr="00AC2986">
        <w:t xml:space="preserve">recommended </w:t>
      </w:r>
      <w:r>
        <w:t xml:space="preserve">for listing </w:t>
      </w:r>
      <w:r w:rsidRPr="00AC2986">
        <w:t>by MSAC</w:t>
      </w:r>
      <w:r>
        <w:t xml:space="preserve">. </w:t>
      </w:r>
      <w:r w:rsidRPr="009A3DD2">
        <w:t>MSAC ha</w:t>
      </w:r>
      <w:r>
        <w:t>d</w:t>
      </w:r>
      <w:r w:rsidRPr="009A3DD2">
        <w:t xml:space="preserve"> recommended that testing for </w:t>
      </w:r>
      <w:r w:rsidRPr="009A3DD2">
        <w:rPr>
          <w:i/>
          <w:iCs/>
        </w:rPr>
        <w:t>MET</w:t>
      </w:r>
      <w:r w:rsidRPr="009A3DD2">
        <w:t>ex14 skipping (</w:t>
      </w:r>
      <w:r w:rsidRPr="009A3DD2">
        <w:rPr>
          <w:i/>
          <w:iCs/>
        </w:rPr>
        <w:t>MET</w:t>
      </w:r>
      <w:r w:rsidRPr="009A3DD2">
        <w:t>ex14sk) alterations be performed without the absence of other NSCLC biomarkers being a prerequisite (</w:t>
      </w:r>
      <w:hyperlink r:id="rId23" w:history="1">
        <w:r>
          <w:rPr>
            <w:rStyle w:val="Hyperlink"/>
          </w:rPr>
          <w:t>PSD 1660</w:t>
        </w:r>
      </w:hyperlink>
      <w:r w:rsidRPr="009A3DD2">
        <w:t xml:space="preserve">). </w:t>
      </w:r>
    </w:p>
    <w:p w14:paraId="3FE5CB19" w14:textId="77777777" w:rsidR="00813A4A" w:rsidRDefault="00813A4A" w:rsidP="00813A4A">
      <w:r>
        <w:t xml:space="preserve">ESC agreed that the limit on repeat services for the proposed MBS items was appropriate. ESC agreed that it was appropriate to restrict co-claiming of these comparator item numbers with the proposed MBS item(s) if funded, including restrictions to the existing single-gene items. ESC considered that, if funded, small gene panel testing would likely supersede the comparator item numbers, except MBS item 73351 and therefore the comparator items </w:t>
      </w:r>
      <w:proofErr w:type="gramStart"/>
      <w:r>
        <w:t>with the exception of</w:t>
      </w:r>
      <w:proofErr w:type="gramEnd"/>
      <w:r>
        <w:t xml:space="preserve"> item 73351 should be delisted within a timeframe. ESC noted concerns about the restrictions on comparator item numbers if the gene panels were not available when a patient was first diagnosed. ESC also considered it to be inequitable if patients were to miss out on improved testing due to co-claiming restrictions. Thus, ESC considered that grandfathering these items would be appropriate for a certain timeframe during implementation of the proposed MBS item(s</w:t>
      </w:r>
      <w:proofErr w:type="gramStart"/>
      <w:r>
        <w:t>), if</w:t>
      </w:r>
      <w:proofErr w:type="gramEnd"/>
      <w:r>
        <w:t xml:space="preserve"> they were recommended for funding. ESC suggested that 3 years might be appropriate, as patients who have recurrence after this time would be considered a different diagnosis and would require retesting anyway.</w:t>
      </w:r>
    </w:p>
    <w:p w14:paraId="6DAD57B2" w14:textId="77777777" w:rsidR="00813A4A" w:rsidRDefault="00813A4A" w:rsidP="00813A4A">
      <w:r>
        <w:t xml:space="preserve">ESC noted that the current sequential testing of biomarkers </w:t>
      </w:r>
      <w:proofErr w:type="gramStart"/>
      <w:r>
        <w:t>were</w:t>
      </w:r>
      <w:proofErr w:type="gramEnd"/>
      <w:r>
        <w:t xml:space="preserve"> currently pathologist-determinable. ESC considered this to be appropriate for the proposed MBS items as well, to facilitate laboratory workflow.</w:t>
      </w:r>
    </w:p>
    <w:p w14:paraId="2E0A2ACC" w14:textId="77777777" w:rsidR="00813A4A" w:rsidRDefault="00813A4A" w:rsidP="00813A4A">
      <w:r>
        <w:t>ESC accepted the proposed clinical management algorithms for both options 1 (AAAA) and 2 (BBBB and CCCC).</w:t>
      </w:r>
    </w:p>
    <w:p w14:paraId="57189393" w14:textId="3D25A15B" w:rsidR="00813A4A" w:rsidRDefault="00813A4A" w:rsidP="00813A4A">
      <w:r>
        <w:t>ESC noted that n</w:t>
      </w:r>
      <w:r w:rsidRPr="004404DA">
        <w:t>o studies directly compared the safety of NGS testing with sequential single-gene testing. However, the evidence supported the claim that NGS had a higher proportion of samples being successfully tested (</w:t>
      </w:r>
      <w:proofErr w:type="gramStart"/>
      <w:r w:rsidRPr="004404DA">
        <w:t>i.e.</w:t>
      </w:r>
      <w:proofErr w:type="gramEnd"/>
      <w:r w:rsidRPr="004404DA">
        <w:t xml:space="preserve"> making more efficient use of the available tissue to get a test result) than sequential single-gene testing, which should correspond to a lower rate of </w:t>
      </w:r>
      <w:r>
        <w:t>rebiopsy</w:t>
      </w:r>
      <w:r w:rsidRPr="004404DA">
        <w:t xml:space="preserve">. </w:t>
      </w:r>
      <w:proofErr w:type="spellStart"/>
      <w:r w:rsidRPr="004404DA">
        <w:t>Steeghs</w:t>
      </w:r>
      <w:proofErr w:type="spellEnd"/>
      <w:r w:rsidRPr="004404DA">
        <w:t xml:space="preserve"> et al. (2022) reported that NGS methods were successful in 97.2% of cases, whereas non-NGS methods were successful in 94.6% of cases</w:t>
      </w:r>
      <w:r w:rsidR="00461497" w:rsidRPr="006D15D2">
        <w:rPr>
          <w:vertAlign w:val="superscript"/>
        </w:rPr>
        <w:t>1</w:t>
      </w:r>
      <w:r w:rsidRPr="004404DA">
        <w:t>.</w:t>
      </w:r>
    </w:p>
    <w:p w14:paraId="64E24278" w14:textId="77777777" w:rsidR="00813A4A" w:rsidRDefault="00813A4A" w:rsidP="00813A4A">
      <w:r>
        <w:t>ESC noted that the relationship between insufficient tissue for testing, or test failure due to insufficient DNA or RNA, and subsequent rebiopsy was uncertain, as some international guidelines now recommended the use of liquid biopsy (</w:t>
      </w:r>
      <w:proofErr w:type="gramStart"/>
      <w:r>
        <w:t>i.e.</w:t>
      </w:r>
      <w:proofErr w:type="gramEnd"/>
      <w:r>
        <w:t xml:space="preserve"> using a blood sample) when tumour tissue was insufficient, rather than performing a second biopsy of tumour tissue/cytology. </w:t>
      </w:r>
      <w:r w:rsidRPr="00D7320A">
        <w:t>Two case series</w:t>
      </w:r>
      <w:r>
        <w:t xml:space="preserve"> reported that 13% of patients with insufficient tissue for NGS</w:t>
      </w:r>
      <w:r>
        <w:rPr>
          <w:rStyle w:val="FootnoteReference"/>
        </w:rPr>
        <w:footnoteReference w:id="17"/>
      </w:r>
      <w:r>
        <w:t xml:space="preserve">, and 43% of patients with insufficient tissue for testing </w:t>
      </w:r>
      <w:r w:rsidRPr="0015133A">
        <w:rPr>
          <w:i/>
          <w:iCs/>
        </w:rPr>
        <w:t>EGFR</w:t>
      </w:r>
      <w:r>
        <w:t xml:space="preserve"> and </w:t>
      </w:r>
      <w:r w:rsidRPr="0015133A">
        <w:rPr>
          <w:i/>
          <w:iCs/>
        </w:rPr>
        <w:t>ALK</w:t>
      </w:r>
      <w:r>
        <w:t xml:space="preserve"> (by an unspecified method), had a rebiopsy performed</w:t>
      </w:r>
      <w:r>
        <w:rPr>
          <w:rStyle w:val="FootnoteReference"/>
        </w:rPr>
        <w:footnoteReference w:id="18"/>
      </w:r>
      <w:r>
        <w:t xml:space="preserve">. The remainder either had plasma NGS or did not have their tumour tested further for biomarkers. ESC noted that there were no Australian guidelines on the role of rebiopsy versus liquid biopsies in the absence of sufficient tissue from the initial biopsy. However, these case series data were unlikely to be relevant to the current Australian setting, as the PBS restrictions for targeted therapies in NSCLC required the biomarkers to be identified in tumour tissue. A higher proportion of failed tests were therefore likely to proceed to rebiopsy than reported in </w:t>
      </w:r>
      <w:r>
        <w:lastRenderedPageBreak/>
        <w:t>these case series. ESC noted that there was a risk of additional adverse events with each rebiopsy.</w:t>
      </w:r>
    </w:p>
    <w:p w14:paraId="571CEE27" w14:textId="77777777" w:rsidR="00813A4A" w:rsidRDefault="00813A4A" w:rsidP="00813A4A">
      <w:r>
        <w:t>Regarding clinical effectiveness, ESC recalled that a single between-patient study (</w:t>
      </w:r>
      <w:proofErr w:type="spellStart"/>
      <w:r>
        <w:t>Steeghs</w:t>
      </w:r>
      <w:proofErr w:type="spellEnd"/>
      <w:r>
        <w:t xml:space="preserve"> et al 2022) was identified that provided the proportion of samples successfully tested, favouring NGS over sequential single-gene testing (97.2% vs 94.6%).</w:t>
      </w:r>
    </w:p>
    <w:p w14:paraId="0BE931FA" w14:textId="77777777" w:rsidR="00813A4A" w:rsidRDefault="00813A4A" w:rsidP="00813A4A">
      <w:r>
        <w:t>ESC noted that the Department-contracted assessment report (DCAR) included turnaround time data from three papers, which showed average turnaround-time differences of 0, –1 and –3.15 days in favour of the intervention.</w:t>
      </w:r>
      <w:r w:rsidRPr="002D7F08">
        <w:t xml:space="preserve"> There may </w:t>
      </w:r>
      <w:r>
        <w:t xml:space="preserve">therefore </w:t>
      </w:r>
      <w:r w:rsidRPr="002D7F08">
        <w:t>be additional quality-of-life benefits due to the shorter turnaround time</w:t>
      </w:r>
      <w:r>
        <w:t xml:space="preserve"> to earlier therapy initiation</w:t>
      </w:r>
      <w:r w:rsidRPr="002D7F08">
        <w:t xml:space="preserve"> associated with panel</w:t>
      </w:r>
      <w:r>
        <w:t xml:space="preserve"> testing.  However, ESC noted that many Australian laboratories run these tests once per week, possibly making the DCAR’s turnaround time analysis not representative of the real-world Australian setting. </w:t>
      </w:r>
    </w:p>
    <w:p w14:paraId="0C2EF534" w14:textId="77777777" w:rsidR="00813A4A" w:rsidRPr="009A3DD2" w:rsidRDefault="00813A4A" w:rsidP="00813A4A">
      <w:r>
        <w:t xml:space="preserve">ESC noted that the economic evaluation was a cost-effectiveness analysis. The time horizon for the model was time to first-line treatment decisions. The base case was generated by a modelled </w:t>
      </w:r>
      <w:r w:rsidRPr="007C350D">
        <w:t>stepped</w:t>
      </w:r>
      <w:r>
        <w:t xml:space="preserve"> analysis</w:t>
      </w:r>
      <w:r w:rsidRPr="007C350D">
        <w:t>, incorporating different aspects of the linked evidence, translations of the clinical evidence</w:t>
      </w:r>
      <w:r>
        <w:t>,</w:t>
      </w:r>
      <w:r w:rsidRPr="007C350D">
        <w:t xml:space="preserve"> and other key model assumptions separately to distinguish the effect of each of these on the results.</w:t>
      </w:r>
      <w:r>
        <w:t xml:space="preserve"> </w:t>
      </w:r>
      <w:r w:rsidRPr="009A3DD2">
        <w:t>Patients enter</w:t>
      </w:r>
      <w:r>
        <w:t>ed</w:t>
      </w:r>
      <w:r w:rsidRPr="009A3DD2">
        <w:t xml:space="preserve"> the model at the point of receiving testing to determine their biomarker status. The model </w:t>
      </w:r>
      <w:r>
        <w:t xml:space="preserve">distinguished </w:t>
      </w:r>
      <w:r w:rsidRPr="009A3DD2">
        <w:t>between patients with advanced disease (or who progress to advanced disease) and those tested at an early disease stage who do not progress to advanced disease. This distinction ha</w:t>
      </w:r>
      <w:r>
        <w:t>d</w:t>
      </w:r>
      <w:r w:rsidRPr="009A3DD2">
        <w:t xml:space="preserve"> been incorporated into the model structure as patients tested early who d</w:t>
      </w:r>
      <w:r>
        <w:t>id</w:t>
      </w:r>
      <w:r w:rsidRPr="009A3DD2">
        <w:t xml:space="preserve"> not progress incur</w:t>
      </w:r>
      <w:r>
        <w:t>red</w:t>
      </w:r>
      <w:r w:rsidRPr="009A3DD2">
        <w:t xml:space="preserve"> the cost of testing, with no benefit in terms of being eligible for targeted therapy. </w:t>
      </w:r>
      <w:r>
        <w:t>In addition,</w:t>
      </w:r>
      <w:r w:rsidRPr="009A3DD2">
        <w:t xml:space="preserve"> the cost of current testing differ</w:t>
      </w:r>
      <w:r>
        <w:t>ed</w:t>
      </w:r>
      <w:r w:rsidRPr="009A3DD2">
        <w:t xml:space="preserve"> between these groups, as </w:t>
      </w:r>
      <w:r w:rsidRPr="008E0191">
        <w:rPr>
          <w:i/>
          <w:iCs/>
        </w:rPr>
        <w:t>ALK</w:t>
      </w:r>
      <w:r w:rsidRPr="009A3DD2">
        <w:t xml:space="preserve"> and </w:t>
      </w:r>
      <w:r w:rsidRPr="008E0191">
        <w:rPr>
          <w:i/>
          <w:iCs/>
        </w:rPr>
        <w:t>ROS1</w:t>
      </w:r>
      <w:r w:rsidRPr="009A3DD2">
        <w:t xml:space="preserve"> FISH and </w:t>
      </w:r>
      <w:r w:rsidRPr="008E0191">
        <w:rPr>
          <w:i/>
          <w:iCs/>
        </w:rPr>
        <w:t>MET</w:t>
      </w:r>
      <w:r w:rsidRPr="009A3DD2">
        <w:t xml:space="preserve">ex14sk testing </w:t>
      </w:r>
      <w:r>
        <w:t>were</w:t>
      </w:r>
      <w:r w:rsidRPr="009A3DD2">
        <w:t xml:space="preserve"> restricted to patients with advanced disease (and so would not be incurred </w:t>
      </w:r>
      <w:r>
        <w:t>by</w:t>
      </w:r>
      <w:r w:rsidRPr="009A3DD2">
        <w:t xml:space="preserve"> patients diagnosed with early disease who d</w:t>
      </w:r>
      <w:r>
        <w:t>id</w:t>
      </w:r>
      <w:r w:rsidRPr="009A3DD2">
        <w:t xml:space="preserve"> not develop advanced disease). </w:t>
      </w:r>
    </w:p>
    <w:p w14:paraId="008173E8" w14:textId="77777777" w:rsidR="00813A4A" w:rsidRPr="009A3DD2" w:rsidRDefault="00813A4A" w:rsidP="00813A4A">
      <w:pPr>
        <w:pStyle w:val="NormalBeforeBullet0"/>
      </w:pPr>
      <w:r>
        <w:t>ESC noted that u</w:t>
      </w:r>
      <w:r w:rsidRPr="009A3DD2">
        <w:t xml:space="preserve">ncommon variants that </w:t>
      </w:r>
      <w:r>
        <w:t>were</w:t>
      </w:r>
      <w:r w:rsidRPr="009A3DD2">
        <w:t xml:space="preserve"> identified through small gene panel testing methods alone </w:t>
      </w:r>
      <w:r>
        <w:t>were</w:t>
      </w:r>
      <w:r w:rsidRPr="009A3DD2">
        <w:t xml:space="preserve"> not assumed to be identified using current test methods. On identification of an actionable variant, patients </w:t>
      </w:r>
      <w:r>
        <w:t>were</w:t>
      </w:r>
      <w:r w:rsidRPr="009A3DD2">
        <w:t xml:space="preserve"> assumed to be eligible for targeted therapy. Where an actionable variant </w:t>
      </w:r>
      <w:r>
        <w:t>was</w:t>
      </w:r>
      <w:r w:rsidRPr="009A3DD2">
        <w:t xml:space="preserve"> not identified by testing, patients </w:t>
      </w:r>
      <w:r>
        <w:t>were</w:t>
      </w:r>
      <w:r w:rsidRPr="009A3DD2">
        <w:t xml:space="preserve"> not eligible for targeted therapy and would receive </w:t>
      </w:r>
      <w:r>
        <w:t>standard of care</w:t>
      </w:r>
      <w:r w:rsidRPr="009A3DD2">
        <w:t xml:space="preserve"> treatment.</w:t>
      </w:r>
      <w:r>
        <w:t xml:space="preserve"> The model assumed that the:</w:t>
      </w:r>
    </w:p>
    <w:p w14:paraId="01483E9C" w14:textId="77777777" w:rsidR="00813A4A" w:rsidRPr="00121596" w:rsidRDefault="00813A4A" w:rsidP="00813A4A">
      <w:pPr>
        <w:pStyle w:val="Bullet"/>
        <w:numPr>
          <w:ilvl w:val="0"/>
          <w:numId w:val="20"/>
        </w:numPr>
        <w:spacing w:before="0"/>
        <w:rPr>
          <w:rFonts w:ascii="Franklin Gothic Book" w:hAnsi="Franklin Gothic Book"/>
        </w:rPr>
      </w:pPr>
      <w:r w:rsidRPr="00121596">
        <w:rPr>
          <w:rFonts w:ascii="Franklin Gothic Book" w:hAnsi="Franklin Gothic Book"/>
        </w:rPr>
        <w:t xml:space="preserve">variants </w:t>
      </w:r>
      <w:r>
        <w:rPr>
          <w:rFonts w:ascii="Franklin Gothic Book" w:hAnsi="Franklin Gothic Book"/>
        </w:rPr>
        <w:t>were</w:t>
      </w:r>
      <w:r w:rsidRPr="00121596">
        <w:rPr>
          <w:rFonts w:ascii="Franklin Gothic Book" w:hAnsi="Franklin Gothic Book"/>
        </w:rPr>
        <w:t xml:space="preserve"> mutually exclusive</w:t>
      </w:r>
    </w:p>
    <w:p w14:paraId="4B96AA68" w14:textId="77777777" w:rsidR="00813A4A" w:rsidRPr="00121596" w:rsidRDefault="00813A4A" w:rsidP="00813A4A">
      <w:pPr>
        <w:pStyle w:val="Bullet"/>
        <w:numPr>
          <w:ilvl w:val="0"/>
          <w:numId w:val="20"/>
        </w:numPr>
        <w:spacing w:before="0"/>
        <w:rPr>
          <w:rFonts w:ascii="Franklin Gothic Book" w:hAnsi="Franklin Gothic Book"/>
        </w:rPr>
      </w:pPr>
      <w:r w:rsidRPr="00121596">
        <w:rPr>
          <w:rFonts w:ascii="Franklin Gothic Book" w:hAnsi="Franklin Gothic Book"/>
        </w:rPr>
        <w:t>incremental variants</w:t>
      </w:r>
      <w:r>
        <w:rPr>
          <w:rFonts w:ascii="Franklin Gothic Book" w:hAnsi="Franklin Gothic Book"/>
        </w:rPr>
        <w:t xml:space="preserve"> </w:t>
      </w:r>
      <w:r w:rsidRPr="00121596">
        <w:rPr>
          <w:rFonts w:ascii="Franklin Gothic Book" w:hAnsi="Franklin Gothic Book"/>
        </w:rPr>
        <w:t>c</w:t>
      </w:r>
      <w:r>
        <w:rPr>
          <w:rFonts w:ascii="Franklin Gothic Book" w:hAnsi="Franklin Gothic Book"/>
        </w:rPr>
        <w:t>ould not</w:t>
      </w:r>
      <w:r w:rsidRPr="00121596">
        <w:rPr>
          <w:rFonts w:ascii="Franklin Gothic Book" w:hAnsi="Franklin Gothic Book"/>
        </w:rPr>
        <w:t xml:space="preserve"> be identified by current testing</w:t>
      </w:r>
    </w:p>
    <w:p w14:paraId="6E1444E9" w14:textId="77777777" w:rsidR="00813A4A" w:rsidRPr="009A3DD2" w:rsidRDefault="00813A4A" w:rsidP="00813A4A">
      <w:pPr>
        <w:pStyle w:val="BulletLast"/>
        <w:numPr>
          <w:ilvl w:val="0"/>
          <w:numId w:val="20"/>
        </w:numPr>
      </w:pPr>
      <w:r>
        <w:t>p</w:t>
      </w:r>
      <w:r w:rsidRPr="009A3DD2">
        <w:t xml:space="preserve">atients tested at </w:t>
      </w:r>
      <w:r>
        <w:t xml:space="preserve">an </w:t>
      </w:r>
      <w:r w:rsidRPr="009A3DD2">
        <w:t>early stage of disease and who ha</w:t>
      </w:r>
      <w:r>
        <w:t>d</w:t>
      </w:r>
      <w:r w:rsidRPr="009A3DD2">
        <w:t xml:space="preserve"> insufficient tissue available for testing would only receive a </w:t>
      </w:r>
      <w:r>
        <w:t>rebiopsy</w:t>
      </w:r>
      <w:r w:rsidRPr="009A3DD2">
        <w:t xml:space="preserve"> on development of advanced disease. Therefore, </w:t>
      </w:r>
      <w:proofErr w:type="spellStart"/>
      <w:r w:rsidRPr="009A3DD2">
        <w:t>rebiopsies</w:t>
      </w:r>
      <w:proofErr w:type="spellEnd"/>
      <w:r w:rsidRPr="009A3DD2">
        <w:t xml:space="preserve"> </w:t>
      </w:r>
      <w:r>
        <w:t>were</w:t>
      </w:r>
      <w:r w:rsidRPr="009A3DD2">
        <w:t xml:space="preserve"> not assumed in those who d</w:t>
      </w:r>
      <w:r>
        <w:t>id</w:t>
      </w:r>
      <w:r w:rsidRPr="009A3DD2">
        <w:t xml:space="preserve"> not progress to advanced disease.</w:t>
      </w:r>
      <w:r w:rsidRPr="00D61C99">
        <w:t xml:space="preserve"> </w:t>
      </w:r>
      <w:r w:rsidRPr="009A3DD2">
        <w:t xml:space="preserve">ESC </w:t>
      </w:r>
      <w:r>
        <w:t xml:space="preserve">noted that the cost of rebiopsy was high and could affect the outcomes of the model. </w:t>
      </w:r>
    </w:p>
    <w:p w14:paraId="1AA48A2B" w14:textId="77777777" w:rsidR="00813A4A" w:rsidRDefault="00813A4A" w:rsidP="00813A4A">
      <w:r>
        <w:t xml:space="preserve">As noted previously, </w:t>
      </w:r>
      <w:r w:rsidRPr="00121596">
        <w:rPr>
          <w:i/>
          <w:iCs/>
        </w:rPr>
        <w:t>NTRK</w:t>
      </w:r>
      <w:r>
        <w:t xml:space="preserve"> testing is currently not MBS reimbursed, so all </w:t>
      </w:r>
      <w:r w:rsidRPr="00121596">
        <w:rPr>
          <w:i/>
          <w:iCs/>
        </w:rPr>
        <w:t xml:space="preserve">NTRK </w:t>
      </w:r>
      <w:r>
        <w:t xml:space="preserve">variants detected by panel testing would be classified as incremental variants. The benefits associated with identifying incremental variants were uncertain as Larotrectinib and </w:t>
      </w:r>
      <w:proofErr w:type="spellStart"/>
      <w:r>
        <w:t>Entrectinib</w:t>
      </w:r>
      <w:proofErr w:type="spellEnd"/>
      <w:r>
        <w:t xml:space="preserve"> were not currently PBS-listed for treatment of adults with NSCLC with </w:t>
      </w:r>
      <w:r>
        <w:rPr>
          <w:i/>
          <w:iCs/>
        </w:rPr>
        <w:t>NTRK</w:t>
      </w:r>
      <w:r>
        <w:t xml:space="preserve"> variants. </w:t>
      </w:r>
    </w:p>
    <w:p w14:paraId="35556046" w14:textId="77777777" w:rsidR="00813A4A" w:rsidRDefault="00813A4A" w:rsidP="00813A4A">
      <w:r>
        <w:t xml:space="preserve">ESC noted an incremental cost-effectiveness ratio (ICER) of </w:t>
      </w:r>
      <w:r w:rsidRPr="00D61C99">
        <w:t>$7,496 per person eligible for targeted therapy</w:t>
      </w:r>
      <w:r>
        <w:t>. The main driver of the ICER was</w:t>
      </w:r>
      <w:r w:rsidRPr="00644904">
        <w:t xml:space="preserve"> from the relative outcomes of targeted therapies v</w:t>
      </w:r>
      <w:r>
        <w:t>ersus</w:t>
      </w:r>
      <w:r w:rsidRPr="00644904">
        <w:t xml:space="preserve"> </w:t>
      </w:r>
      <w:r>
        <w:t>standard of care</w:t>
      </w:r>
      <w:r w:rsidRPr="00644904">
        <w:t xml:space="preserve"> in those with uncommon actionable variants identified through small gene panel testing only.</w:t>
      </w:r>
      <w:r>
        <w:t xml:space="preserve"> ESC considered that as some of these uncommon actionable variants might not lead to patients being eligible for a PBS targeted therapy, this might significantly overestimate the benefits of testing. ESC noted that the ICER increased to </w:t>
      </w:r>
      <w:r w:rsidRPr="00D61C99">
        <w:t>$35,862</w:t>
      </w:r>
      <w:r>
        <w:t xml:space="preserve"> if benefits from identifying uncommon variants were excluded. However, ESC accepted this </w:t>
      </w:r>
      <w:r>
        <w:lastRenderedPageBreak/>
        <w:t>“overestimation”, as new pharmaceuticals were being rapidly developed and this could help to futureproof the model. In the pre-ESC response, the applicant provided an</w:t>
      </w:r>
      <w:r w:rsidRPr="00D61C99">
        <w:t xml:space="preserve"> example of </w:t>
      </w:r>
      <w:r>
        <w:t xml:space="preserve">an </w:t>
      </w:r>
      <w:r w:rsidRPr="00D61C99">
        <w:t xml:space="preserve">additional </w:t>
      </w:r>
      <w:r w:rsidRPr="00D61C99">
        <w:rPr>
          <w:i/>
          <w:iCs/>
        </w:rPr>
        <w:t>EGFR</w:t>
      </w:r>
      <w:r w:rsidRPr="00D61C99">
        <w:t xml:space="preserve"> variant (</w:t>
      </w:r>
      <w:r w:rsidRPr="00D61C99">
        <w:rPr>
          <w:i/>
          <w:iCs/>
        </w:rPr>
        <w:t>EGFR</w:t>
      </w:r>
      <w:r w:rsidRPr="00D61C99">
        <w:t xml:space="preserve"> exon 20) for which treatments </w:t>
      </w:r>
      <w:r>
        <w:t>had recently become available</w:t>
      </w:r>
      <w:r w:rsidRPr="00D61C99">
        <w:t>.</w:t>
      </w:r>
      <w:r>
        <w:t xml:space="preserve"> </w:t>
      </w:r>
    </w:p>
    <w:p w14:paraId="275B304D" w14:textId="77777777" w:rsidR="00813A4A" w:rsidRDefault="00813A4A" w:rsidP="00813A4A">
      <w:r>
        <w:t>ESC noted that the DCAR estimated various ICER results to assess the impacts of areas of uncertainty in respect to testing success rates and concordance rates:</w:t>
      </w:r>
    </w:p>
    <w:p w14:paraId="7058CFC3" w14:textId="77777777" w:rsidR="00813A4A" w:rsidRDefault="00813A4A" w:rsidP="00813A4A">
      <w:pPr>
        <w:pStyle w:val="ListParagraph"/>
        <w:numPr>
          <w:ilvl w:val="0"/>
          <w:numId w:val="22"/>
        </w:numPr>
      </w:pPr>
      <w:r>
        <w:t xml:space="preserve">In the stepped analysis an ICER of </w:t>
      </w:r>
      <w:r w:rsidRPr="00644904">
        <w:t>$11,352</w:t>
      </w:r>
      <w:r>
        <w:t xml:space="preserve"> was reported as arising from base case assumptions of test success rates and concordance rates before the final step of incorporating rebiopsy rates was </w:t>
      </w:r>
      <w:proofErr w:type="gramStart"/>
      <w:r>
        <w:t>taken into account</w:t>
      </w:r>
      <w:proofErr w:type="gramEnd"/>
      <w:r>
        <w:t xml:space="preserve">. </w:t>
      </w:r>
    </w:p>
    <w:p w14:paraId="1A276B38" w14:textId="77777777" w:rsidR="00813A4A" w:rsidRDefault="00813A4A" w:rsidP="00813A4A">
      <w:pPr>
        <w:pStyle w:val="ListParagraph"/>
        <w:numPr>
          <w:ilvl w:val="0"/>
          <w:numId w:val="22"/>
        </w:numPr>
      </w:pPr>
      <w:r>
        <w:t xml:space="preserve">An ICER of $12,662 resulted if both the comparator and intervention arms were assumed to have an identical success rate of 97.2% (which was the success rate reported in the literature for NGS). </w:t>
      </w:r>
    </w:p>
    <w:p w14:paraId="75491516" w14:textId="77777777" w:rsidR="00813A4A" w:rsidRDefault="00813A4A" w:rsidP="00813A4A">
      <w:pPr>
        <w:pStyle w:val="ListParagraph"/>
        <w:numPr>
          <w:ilvl w:val="0"/>
          <w:numId w:val="22"/>
        </w:numPr>
      </w:pPr>
      <w:r>
        <w:t xml:space="preserve">Various assumptions on concordance rates generated an ICER as low as $4509 to as high as </w:t>
      </w:r>
      <w:r w:rsidRPr="00644904">
        <w:t>$18,168</w:t>
      </w:r>
      <w:r>
        <w:t>.</w:t>
      </w:r>
    </w:p>
    <w:p w14:paraId="0FBAF3B7" w14:textId="77777777" w:rsidR="00813A4A" w:rsidRDefault="00813A4A" w:rsidP="00813A4A">
      <w:r>
        <w:t>ESC noted that because the economic model was truncated at the point of treatment it did not model changes in treatment and therefore changes in health outcomes arising from the panel test.  This meant it omitted the following impacts which would have favoured gene panel testing (and might therefore be conservative in its approach):</w:t>
      </w:r>
    </w:p>
    <w:p w14:paraId="12247DBD" w14:textId="77777777" w:rsidR="00813A4A" w:rsidRDefault="00813A4A" w:rsidP="00813A4A">
      <w:pPr>
        <w:pStyle w:val="ListParagraph"/>
        <w:numPr>
          <w:ilvl w:val="0"/>
          <w:numId w:val="22"/>
        </w:numPr>
      </w:pPr>
      <w:r>
        <w:t>Reduced testing turnaround time which, as previously noted, might generate</w:t>
      </w:r>
      <w:r w:rsidRPr="00055FD1">
        <w:t xml:space="preserve"> </w:t>
      </w:r>
      <w:r w:rsidRPr="008E0191">
        <w:t>additional</w:t>
      </w:r>
      <w:r>
        <w:t xml:space="preserve"> </w:t>
      </w:r>
      <w:r w:rsidRPr="008E0191">
        <w:t>quality</w:t>
      </w:r>
      <w:r>
        <w:t>-</w:t>
      </w:r>
      <w:r w:rsidRPr="008E0191">
        <w:t>of</w:t>
      </w:r>
      <w:r>
        <w:t>-</w:t>
      </w:r>
      <w:r w:rsidRPr="008E0191">
        <w:t xml:space="preserve">life benefits </w:t>
      </w:r>
      <w:r>
        <w:t>due to</w:t>
      </w:r>
      <w:r w:rsidRPr="008E0191">
        <w:t xml:space="preserve"> </w:t>
      </w:r>
      <w:r>
        <w:t xml:space="preserve">earlier therapy initiation. However, as also previously noted, it was unclear how representative of </w:t>
      </w:r>
      <w:proofErr w:type="gramStart"/>
      <w:r>
        <w:t>real world</w:t>
      </w:r>
      <w:proofErr w:type="gramEnd"/>
      <w:r>
        <w:t xml:space="preserve"> settings the DCAR estimated shorter turnaround times would be.</w:t>
      </w:r>
    </w:p>
    <w:p w14:paraId="1CF86F5D" w14:textId="77777777" w:rsidR="00813A4A" w:rsidRDefault="00813A4A" w:rsidP="00813A4A">
      <w:pPr>
        <w:pStyle w:val="ListParagraph"/>
        <w:numPr>
          <w:ilvl w:val="0"/>
          <w:numId w:val="22"/>
        </w:numPr>
      </w:pPr>
      <w:r>
        <w:t>Reduced adverse events due to reduced rate of rebiopsy.</w:t>
      </w:r>
    </w:p>
    <w:p w14:paraId="63E0E406" w14:textId="40388137" w:rsidR="00813A4A" w:rsidRPr="009A3DD2" w:rsidRDefault="00813A4A" w:rsidP="00813A4A">
      <w:pPr>
        <w:pStyle w:val="ListParagraph"/>
        <w:numPr>
          <w:ilvl w:val="0"/>
          <w:numId w:val="22"/>
        </w:numPr>
      </w:pPr>
      <w:r>
        <w:t>Health benefits from not missing out on targeted treatment due to insufficient material for rebiopsy.</w:t>
      </w:r>
    </w:p>
    <w:p w14:paraId="4598AFE5" w14:textId="77777777" w:rsidR="00813A4A" w:rsidRPr="00507328" w:rsidRDefault="00813A4A" w:rsidP="00813A4A">
      <w:pPr>
        <w:pStyle w:val="NormalBeforeBullet0"/>
      </w:pPr>
      <w:r>
        <w:t>ESC noted that the financial impact was calculated using a market-share approach that assumed 100% replacement of single-gene tests. ESC noted that the assumption in the financial modelling of some expansion of laboratory capacity to facilitate small gene panels appeared reasonable. The DCAR estimated a net financial impact to the MBS of $1.47 million in calendar year 2023 (year 1) to $2.28 million in calendar year 2026 (year 6). ESC noted that the c</w:t>
      </w:r>
      <w:r w:rsidRPr="00507328">
        <w:t>ost of small panel testing varie</w:t>
      </w:r>
      <w:r>
        <w:t>d</w:t>
      </w:r>
      <w:r w:rsidRPr="00507328">
        <w:t xml:space="preserve"> depending </w:t>
      </w:r>
      <w:r>
        <w:t>on</w:t>
      </w:r>
      <w:r w:rsidRPr="00507328">
        <w:t xml:space="preserve"> the approach employed and the inpatient/outpatient split (assumed </w:t>
      </w:r>
      <w:r>
        <w:t xml:space="preserve">to be </w:t>
      </w:r>
      <w:r w:rsidRPr="00507328">
        <w:t xml:space="preserve">31.8% inpatient, 68.2% outpatient). </w:t>
      </w:r>
      <w:r>
        <w:t>In its pre-ESC response, the a</w:t>
      </w:r>
      <w:r w:rsidRPr="00507328">
        <w:t xml:space="preserve">pplicant </w:t>
      </w:r>
      <w:r>
        <w:t xml:space="preserve">stated that it did </w:t>
      </w:r>
      <w:r w:rsidRPr="00507328">
        <w:t xml:space="preserve">not anticipate any cost shifting from state </w:t>
      </w:r>
      <w:r>
        <w:t>to</w:t>
      </w:r>
      <w:r w:rsidRPr="00507328">
        <w:t xml:space="preserve"> federal</w:t>
      </w:r>
      <w:r>
        <w:t xml:space="preserve"> governments</w:t>
      </w:r>
      <w:r w:rsidRPr="00507328">
        <w:t xml:space="preserve">. </w:t>
      </w:r>
      <w:r>
        <w:t>In addition, ESC noted that the financial impact e</w:t>
      </w:r>
      <w:r w:rsidRPr="00507328">
        <w:t>stimates m</w:t>
      </w:r>
      <w:r>
        <w:t>ight</w:t>
      </w:r>
      <w:r w:rsidRPr="00507328">
        <w:t xml:space="preserve"> be conservative</w:t>
      </w:r>
      <w:r>
        <w:t xml:space="preserve"> because:</w:t>
      </w:r>
      <w:r w:rsidRPr="00507328">
        <w:t xml:space="preserve"> </w:t>
      </w:r>
    </w:p>
    <w:p w14:paraId="0DA0BC63" w14:textId="77777777" w:rsidR="00813A4A" w:rsidRPr="00121596" w:rsidRDefault="00813A4A" w:rsidP="00813A4A">
      <w:pPr>
        <w:pStyle w:val="Bullet"/>
        <w:numPr>
          <w:ilvl w:val="0"/>
          <w:numId w:val="20"/>
        </w:numPr>
        <w:spacing w:before="0"/>
        <w:rPr>
          <w:rFonts w:ascii="Franklin Gothic Book" w:hAnsi="Franklin Gothic Book"/>
        </w:rPr>
      </w:pPr>
      <w:r w:rsidRPr="00121596">
        <w:rPr>
          <w:rFonts w:ascii="Franklin Gothic Book" w:hAnsi="Franklin Gothic Book"/>
        </w:rPr>
        <w:t xml:space="preserve">evidence from applications </w:t>
      </w:r>
      <w:hyperlink r:id="rId24" w:history="1">
        <w:r w:rsidRPr="00121596">
          <w:rPr>
            <w:rStyle w:val="Hyperlink"/>
            <w:rFonts w:ascii="Franklin Gothic Book" w:hAnsi="Franklin Gothic Book"/>
          </w:rPr>
          <w:t>1161</w:t>
        </w:r>
      </w:hyperlink>
      <w:r w:rsidRPr="00121596">
        <w:rPr>
          <w:rFonts w:ascii="Franklin Gothic Book" w:hAnsi="Franklin Gothic Book"/>
        </w:rPr>
        <w:t xml:space="preserve"> and </w:t>
      </w:r>
      <w:hyperlink r:id="rId25" w:history="1">
        <w:r w:rsidRPr="00121596">
          <w:rPr>
            <w:rStyle w:val="Hyperlink"/>
            <w:rFonts w:ascii="Franklin Gothic Book" w:hAnsi="Franklin Gothic Book"/>
          </w:rPr>
          <w:t>1173</w:t>
        </w:r>
      </w:hyperlink>
      <w:r w:rsidRPr="00121596">
        <w:rPr>
          <w:rFonts w:ascii="Franklin Gothic Book" w:hAnsi="Franklin Gothic Book"/>
        </w:rPr>
        <w:t xml:space="preserve"> demonstrate</w:t>
      </w:r>
      <w:r>
        <w:rPr>
          <w:rFonts w:ascii="Franklin Gothic Book" w:hAnsi="Franklin Gothic Book"/>
        </w:rPr>
        <w:t>d</w:t>
      </w:r>
      <w:r w:rsidRPr="00121596">
        <w:rPr>
          <w:rFonts w:ascii="Franklin Gothic Book" w:hAnsi="Franklin Gothic Book"/>
        </w:rPr>
        <w:t xml:space="preserve"> lower-than-expected MBS utilisation </w:t>
      </w:r>
    </w:p>
    <w:p w14:paraId="6A67CD6C" w14:textId="77777777" w:rsidR="00813A4A" w:rsidRPr="00121596" w:rsidRDefault="00813A4A" w:rsidP="00813A4A">
      <w:pPr>
        <w:pStyle w:val="Bullet"/>
        <w:numPr>
          <w:ilvl w:val="0"/>
          <w:numId w:val="20"/>
        </w:numPr>
        <w:spacing w:before="0"/>
        <w:rPr>
          <w:rFonts w:ascii="Franklin Gothic Book" w:hAnsi="Franklin Gothic Book"/>
        </w:rPr>
      </w:pPr>
      <w:r w:rsidRPr="00121596">
        <w:rPr>
          <w:rFonts w:ascii="Franklin Gothic Book" w:hAnsi="Franklin Gothic Book"/>
        </w:rPr>
        <w:t>there m</w:t>
      </w:r>
      <w:r>
        <w:rPr>
          <w:rFonts w:ascii="Franklin Gothic Book" w:hAnsi="Franklin Gothic Book"/>
        </w:rPr>
        <w:t>ight</w:t>
      </w:r>
      <w:r w:rsidRPr="00121596">
        <w:rPr>
          <w:rFonts w:ascii="Franklin Gothic Book" w:hAnsi="Franklin Gothic Book"/>
        </w:rPr>
        <w:t xml:space="preserve"> be additional small cost savings in the reduction of </w:t>
      </w:r>
      <w:proofErr w:type="spellStart"/>
      <w:r w:rsidRPr="00121596">
        <w:rPr>
          <w:rFonts w:ascii="Franklin Gothic Book" w:hAnsi="Franklin Gothic Book"/>
          <w:i/>
          <w:iCs/>
        </w:rPr>
        <w:t>MET</w:t>
      </w:r>
      <w:r w:rsidRPr="00121596">
        <w:rPr>
          <w:rFonts w:ascii="Franklin Gothic Book" w:hAnsi="Franklin Gothic Book"/>
        </w:rPr>
        <w:t>sk</w:t>
      </w:r>
      <w:proofErr w:type="spellEnd"/>
      <w:r w:rsidRPr="00121596">
        <w:rPr>
          <w:rFonts w:ascii="Franklin Gothic Book" w:hAnsi="Franklin Gothic Book"/>
        </w:rPr>
        <w:t xml:space="preserve"> testing, as this </w:t>
      </w:r>
      <w:r>
        <w:rPr>
          <w:rFonts w:ascii="Franklin Gothic Book" w:hAnsi="Franklin Gothic Book"/>
        </w:rPr>
        <w:t>was</w:t>
      </w:r>
      <w:r w:rsidRPr="00121596">
        <w:rPr>
          <w:rFonts w:ascii="Franklin Gothic Book" w:hAnsi="Franklin Gothic Book"/>
        </w:rPr>
        <w:t xml:space="preserve"> associated with additional consultation (applicant estimate</w:t>
      </w:r>
      <w:r>
        <w:rPr>
          <w:rFonts w:ascii="Franklin Gothic Book" w:hAnsi="Franklin Gothic Book"/>
        </w:rPr>
        <w:t>d</w:t>
      </w:r>
      <w:r w:rsidRPr="00121596">
        <w:rPr>
          <w:rFonts w:ascii="Franklin Gothic Book" w:hAnsi="Franklin Gothic Book"/>
        </w:rPr>
        <w:t xml:space="preserve"> $139,691); ESC queried whether this was reasonable, as the amount of additional specialist consultation </w:t>
      </w:r>
      <w:proofErr w:type="spellStart"/>
      <w:r w:rsidRPr="00121596">
        <w:rPr>
          <w:rFonts w:ascii="Franklin Gothic Book" w:hAnsi="Franklin Gothic Book"/>
          <w:i/>
          <w:iCs/>
        </w:rPr>
        <w:t>MET</w:t>
      </w:r>
      <w:r w:rsidRPr="00121596">
        <w:rPr>
          <w:rFonts w:ascii="Franklin Gothic Book" w:hAnsi="Franklin Gothic Book"/>
        </w:rPr>
        <w:t>sk</w:t>
      </w:r>
      <w:proofErr w:type="spellEnd"/>
      <w:r w:rsidRPr="00121596">
        <w:rPr>
          <w:rFonts w:ascii="Franklin Gothic Book" w:hAnsi="Franklin Gothic Book"/>
        </w:rPr>
        <w:t xml:space="preserve"> testing required was uncertain. </w:t>
      </w:r>
    </w:p>
    <w:p w14:paraId="2B408F90" w14:textId="77777777" w:rsidR="00813A4A" w:rsidRPr="009A3DD2" w:rsidRDefault="00813A4A" w:rsidP="00813A4A">
      <w:pPr>
        <w:pStyle w:val="BulletLast"/>
        <w:numPr>
          <w:ilvl w:val="0"/>
          <w:numId w:val="20"/>
        </w:numPr>
      </w:pPr>
      <w:r>
        <w:t>i</w:t>
      </w:r>
      <w:r w:rsidRPr="00507328">
        <w:t xml:space="preserve">f core needle biopsies </w:t>
      </w:r>
      <w:r>
        <w:t>were</w:t>
      </w:r>
      <w:r w:rsidRPr="00507328">
        <w:t xml:space="preserve"> </w:t>
      </w:r>
      <w:r>
        <w:t>used</w:t>
      </w:r>
      <w:r w:rsidRPr="00507328">
        <w:t xml:space="preserve"> </w:t>
      </w:r>
      <w:r>
        <w:t>for rebiopsy</w:t>
      </w:r>
      <w:r w:rsidRPr="00507328">
        <w:t>, there would be additional cost savings (associated with hospital admission</w:t>
      </w:r>
      <w:r>
        <w:t>)</w:t>
      </w:r>
      <w:r w:rsidRPr="008E0191">
        <w:t xml:space="preserve"> </w:t>
      </w:r>
      <w:r>
        <w:t>if</w:t>
      </w:r>
      <w:r w:rsidRPr="00507328">
        <w:t xml:space="preserve"> panel </w:t>
      </w:r>
      <w:r>
        <w:t>testing was introduced.</w:t>
      </w:r>
    </w:p>
    <w:p w14:paraId="4AE24DE3" w14:textId="77777777" w:rsidR="00813A4A" w:rsidRDefault="00813A4A" w:rsidP="00813A4A">
      <w:pPr>
        <w:pStyle w:val="Heading2"/>
        <w:numPr>
          <w:ilvl w:val="0"/>
          <w:numId w:val="0"/>
        </w:numPr>
      </w:pPr>
      <w:r>
        <w:t>17.</w:t>
      </w:r>
      <w:r>
        <w:tab/>
        <w:t>Applicant comments on MSAC’s Public Summary Document</w:t>
      </w:r>
    </w:p>
    <w:p w14:paraId="62725C52" w14:textId="5A5288A1" w:rsidR="00AA36E0" w:rsidRDefault="00AA36E0" w:rsidP="00AA36E0">
      <w:r>
        <w:t>The College and Fellows have nil comments to make on the PSD for Application 1</w:t>
      </w:r>
      <w:r w:rsidR="000C6399">
        <w:t>721</w:t>
      </w:r>
      <w:r>
        <w:t xml:space="preserve">. The College’s Working Party would like to express their delight in MSAC approving public funding </w:t>
      </w:r>
      <w:r w:rsidR="00CD5AEC">
        <w:t>of</w:t>
      </w:r>
      <w:r>
        <w:t xml:space="preserve"> </w:t>
      </w:r>
      <w:r w:rsidR="00CD5AEC" w:rsidRPr="00CD5AEC">
        <w:t xml:space="preserve">biomarker testing </w:t>
      </w:r>
      <w:r w:rsidR="00CD5AEC">
        <w:t>for</w:t>
      </w:r>
      <w:r w:rsidR="00CD5AEC" w:rsidRPr="00CD5AEC">
        <w:t xml:space="preserve"> patients with </w:t>
      </w:r>
      <w:proofErr w:type="gramStart"/>
      <w:r w:rsidR="00CD5AEC" w:rsidRPr="00CD5AEC">
        <w:t>NSCLC</w:t>
      </w:r>
      <w:r>
        <w:t>, and</w:t>
      </w:r>
      <w:proofErr w:type="gramEnd"/>
      <w:r>
        <w:t xml:space="preserve"> would like to take this opportunity to thank the Department for its assistance throughout the assessment process.</w:t>
      </w:r>
    </w:p>
    <w:p w14:paraId="41E279C6" w14:textId="1F241AA2" w:rsidR="00813A4A" w:rsidRDefault="00813A4A" w:rsidP="00AA36E0">
      <w:pPr>
        <w:pStyle w:val="Heading2"/>
        <w:numPr>
          <w:ilvl w:val="0"/>
          <w:numId w:val="0"/>
        </w:numPr>
      </w:pPr>
      <w:r>
        <w:lastRenderedPageBreak/>
        <w:t>18.</w:t>
      </w:r>
      <w:r>
        <w:tab/>
        <w:t>Further information on MSAC</w:t>
      </w:r>
    </w:p>
    <w:p w14:paraId="67543C21" w14:textId="6D8B7F9A" w:rsidR="00813A4A" w:rsidRPr="00813A4A" w:rsidRDefault="00813A4A" w:rsidP="00813A4A">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26" w:tooltip="Link to the MSAC website" w:history="1">
        <w:r w:rsidRPr="00F309FA">
          <w:rPr>
            <w:rStyle w:val="Hyperlink"/>
            <w:rFonts w:ascii="Franklin Gothic Book" w:hAnsi="Franklin Gothic Book"/>
            <w:b w:val="0"/>
            <w:bCs/>
            <w:i w:val="0"/>
            <w:iCs/>
            <w:sz w:val="22"/>
          </w:rPr>
          <w:t>visit the MSAC website</w:t>
        </w:r>
      </w:hyperlink>
    </w:p>
    <w:sectPr w:rsidR="00813A4A" w:rsidRPr="00813A4A">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81D3" w14:textId="77777777" w:rsidR="00740DC9" w:rsidRDefault="00740DC9" w:rsidP="00865C25">
      <w:pPr>
        <w:spacing w:before="0" w:after="0" w:line="240" w:lineRule="auto"/>
      </w:pPr>
      <w:r>
        <w:separator/>
      </w:r>
    </w:p>
  </w:endnote>
  <w:endnote w:type="continuationSeparator" w:id="0">
    <w:p w14:paraId="2FEA66D0" w14:textId="77777777" w:rsidR="00740DC9" w:rsidRDefault="00740DC9" w:rsidP="00865C25">
      <w:pPr>
        <w:spacing w:before="0" w:after="0" w:line="240" w:lineRule="auto"/>
      </w:pPr>
      <w:r>
        <w:continuationSeparator/>
      </w:r>
    </w:p>
  </w:endnote>
  <w:endnote w:type="continuationNotice" w:id="1">
    <w:p w14:paraId="44D4DA45" w14:textId="77777777" w:rsidR="00740DC9" w:rsidRDefault="00740D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888369"/>
      <w:docPartObj>
        <w:docPartGallery w:val="Page Numbers (Bottom of Page)"/>
        <w:docPartUnique/>
      </w:docPartObj>
    </w:sdtPr>
    <w:sdtEndPr>
      <w:rPr>
        <w:noProof/>
      </w:rPr>
    </w:sdtEndPr>
    <w:sdtContent>
      <w:p w14:paraId="4CFF3D95" w14:textId="14E6BE73" w:rsidR="00B65A03" w:rsidRDefault="00B65A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63C024" w14:textId="77777777" w:rsidR="00B65A03" w:rsidRDefault="00B65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759C" w14:textId="77777777" w:rsidR="00740DC9" w:rsidRDefault="00740DC9" w:rsidP="00865C25">
      <w:pPr>
        <w:spacing w:before="0" w:after="0" w:line="240" w:lineRule="auto"/>
      </w:pPr>
      <w:r>
        <w:separator/>
      </w:r>
    </w:p>
  </w:footnote>
  <w:footnote w:type="continuationSeparator" w:id="0">
    <w:p w14:paraId="60E622FB" w14:textId="77777777" w:rsidR="00740DC9" w:rsidRDefault="00740DC9" w:rsidP="00865C25">
      <w:pPr>
        <w:spacing w:before="0" w:after="0" w:line="240" w:lineRule="auto"/>
      </w:pPr>
      <w:r>
        <w:continuationSeparator/>
      </w:r>
    </w:p>
  </w:footnote>
  <w:footnote w:type="continuationNotice" w:id="1">
    <w:p w14:paraId="54CBF9DC" w14:textId="77777777" w:rsidR="00740DC9" w:rsidRDefault="00740DC9">
      <w:pPr>
        <w:spacing w:before="0" w:after="0" w:line="240" w:lineRule="auto"/>
      </w:pPr>
    </w:p>
  </w:footnote>
  <w:footnote w:id="2">
    <w:p w14:paraId="1F7CD6DF" w14:textId="3023D367" w:rsidR="00BA0204" w:rsidRDefault="00BA0204">
      <w:pPr>
        <w:pStyle w:val="FootnoteText"/>
      </w:pPr>
      <w:r>
        <w:rPr>
          <w:rStyle w:val="FootnoteReference"/>
        </w:rPr>
        <w:footnoteRef/>
      </w:r>
      <w:r>
        <w:t xml:space="preserve"> </w:t>
      </w:r>
      <w:r w:rsidRPr="00BA0204">
        <w:t xml:space="preserve">Lin C, </w:t>
      </w:r>
      <w:r>
        <w:t xml:space="preserve">et al. </w:t>
      </w:r>
      <w:r w:rsidRPr="00BA0204">
        <w:t xml:space="preserve">2019, 'Comparison of ALK detection by FISH, IHC and NGS to predict benefit from </w:t>
      </w:r>
      <w:proofErr w:type="spellStart"/>
      <w:r w:rsidRPr="00BA0204">
        <w:t>crizotinib</w:t>
      </w:r>
      <w:proofErr w:type="spellEnd"/>
      <w:r w:rsidRPr="00BA0204">
        <w:t xml:space="preserve"> in advanced non-small-cell lung cancer', </w:t>
      </w:r>
      <w:r w:rsidRPr="00D93740">
        <w:rPr>
          <w:i/>
          <w:iCs/>
        </w:rPr>
        <w:t>Lung Cancer</w:t>
      </w:r>
      <w:r w:rsidRPr="00BA0204">
        <w:t>, vol. 131, May, pp. 62-68</w:t>
      </w:r>
    </w:p>
  </w:footnote>
  <w:footnote w:id="3">
    <w:p w14:paraId="1B751BCF" w14:textId="77777777" w:rsidR="00437C9C" w:rsidRDefault="00437C9C" w:rsidP="00437C9C">
      <w:pPr>
        <w:pStyle w:val="FootnoteText"/>
      </w:pPr>
      <w:r>
        <w:rPr>
          <w:rStyle w:val="FootnoteReference"/>
        </w:rPr>
        <w:footnoteRef/>
      </w:r>
      <w:r>
        <w:t xml:space="preserve"> </w:t>
      </w:r>
      <w:proofErr w:type="spellStart"/>
      <w:r w:rsidRPr="008E14B6">
        <w:t>Steeghs</w:t>
      </w:r>
      <w:proofErr w:type="spellEnd"/>
      <w:r>
        <w:t xml:space="preserve"> </w:t>
      </w:r>
      <w:r w:rsidRPr="008E14B6">
        <w:t xml:space="preserve">E, </w:t>
      </w:r>
      <w:r>
        <w:t>et al.</w:t>
      </w:r>
      <w:r w:rsidRPr="004C0C2D">
        <w:t xml:space="preserve"> </w:t>
      </w:r>
      <w:r>
        <w:t xml:space="preserve">(2022). </w:t>
      </w:r>
      <w:r w:rsidRPr="008E14B6">
        <w:t>Mutation-tailored treatment selection in non-small cell lung cancer patients in daily clinical practice</w:t>
      </w:r>
      <w:r>
        <w:t>.</w:t>
      </w:r>
      <w:r w:rsidRPr="008E14B6">
        <w:t xml:space="preserve"> </w:t>
      </w:r>
      <w:r w:rsidRPr="008E14B6">
        <w:rPr>
          <w:i/>
          <w:iCs/>
        </w:rPr>
        <w:t>Lung Cancer</w:t>
      </w:r>
      <w:r w:rsidRPr="008E14B6">
        <w:t xml:space="preserve">, vol. </w:t>
      </w:r>
      <w:r w:rsidRPr="007B6B34">
        <w:rPr>
          <w:b/>
          <w:bCs/>
        </w:rPr>
        <w:t>167</w:t>
      </w:r>
      <w:r w:rsidRPr="008E14B6">
        <w:t>, May, pp. 87</w:t>
      </w:r>
      <w:r>
        <w:t>-97.</w:t>
      </w:r>
    </w:p>
  </w:footnote>
  <w:footnote w:id="4">
    <w:p w14:paraId="68FA1263" w14:textId="72AD8203" w:rsidR="00865C25" w:rsidRDefault="00865C25" w:rsidP="00865C25">
      <w:pPr>
        <w:pStyle w:val="FootnoteText"/>
      </w:pPr>
      <w:r>
        <w:rPr>
          <w:rStyle w:val="FootnoteReference"/>
        </w:rPr>
        <w:footnoteRef/>
      </w:r>
      <w:r>
        <w:t xml:space="preserve"> </w:t>
      </w:r>
      <w:r w:rsidR="00460E07" w:rsidRPr="00C66FEA">
        <w:t>Gutierrez M</w:t>
      </w:r>
      <w:r w:rsidR="00460E07">
        <w:t>E</w:t>
      </w:r>
      <w:r w:rsidR="00460E07" w:rsidRPr="00C66FEA">
        <w:t xml:space="preserve">, </w:t>
      </w:r>
      <w:r w:rsidR="00460E07">
        <w:t>et al. (</w:t>
      </w:r>
      <w:r w:rsidR="00460E07" w:rsidRPr="00C66FEA">
        <w:t>2017</w:t>
      </w:r>
      <w:r w:rsidR="00460E07">
        <w:t>).</w:t>
      </w:r>
      <w:r w:rsidR="00460E07" w:rsidRPr="00C66FEA">
        <w:t xml:space="preserve"> Genomic Profiling of Advanced Non-Small Cell Lung Cancer in Community Settings: Gaps and Opportunities</w:t>
      </w:r>
      <w:r w:rsidR="00460E07">
        <w:t xml:space="preserve">. </w:t>
      </w:r>
      <w:r w:rsidR="00460E07" w:rsidRPr="00C66FEA">
        <w:rPr>
          <w:i/>
          <w:iCs/>
        </w:rPr>
        <w:t>Clin Lung Cancer</w:t>
      </w:r>
      <w:r w:rsidR="00460E07" w:rsidRPr="00C66FEA">
        <w:t xml:space="preserve">, vol. </w:t>
      </w:r>
      <w:r w:rsidR="00460E07" w:rsidRPr="007B6B34">
        <w:rPr>
          <w:b/>
          <w:bCs/>
        </w:rPr>
        <w:t>18</w:t>
      </w:r>
      <w:r w:rsidR="00460E07" w:rsidRPr="00C66FEA">
        <w:t>, no. 6, Nov, pp. 651-659.</w:t>
      </w:r>
    </w:p>
  </w:footnote>
  <w:footnote w:id="5">
    <w:p w14:paraId="53D5C191" w14:textId="1B4AC755" w:rsidR="00460E07" w:rsidRDefault="00460E07">
      <w:pPr>
        <w:pStyle w:val="FootnoteText"/>
      </w:pPr>
      <w:r>
        <w:rPr>
          <w:rStyle w:val="FootnoteReference"/>
        </w:rPr>
        <w:footnoteRef/>
      </w:r>
      <w:r>
        <w:t xml:space="preserve"> </w:t>
      </w:r>
      <w:r w:rsidRPr="00C66FEA">
        <w:t xml:space="preserve">Li, W, </w:t>
      </w:r>
      <w:r>
        <w:t>et al.</w:t>
      </w:r>
      <w:r w:rsidRPr="00C66FEA">
        <w:t xml:space="preserve"> </w:t>
      </w:r>
      <w:r>
        <w:t>(</w:t>
      </w:r>
      <w:r w:rsidRPr="00C66FEA">
        <w:t>2021</w:t>
      </w:r>
      <w:r>
        <w:t>)</w:t>
      </w:r>
      <w:r w:rsidRPr="00C66FEA">
        <w:t xml:space="preserve">, 'Metastatic NSCLCs With Limited Tissues: How to Effectively Identify Driver Alterations to Guide Targeted Therapy in Chinese Patients', </w:t>
      </w:r>
      <w:r w:rsidRPr="00C66FEA">
        <w:rPr>
          <w:i/>
          <w:iCs/>
        </w:rPr>
        <w:t>JTO Clin Res Rep</w:t>
      </w:r>
      <w:r w:rsidRPr="00C66FEA">
        <w:t>,</w:t>
      </w:r>
      <w:r>
        <w:t xml:space="preserve"> vol. </w:t>
      </w:r>
      <w:r w:rsidRPr="007B6B34">
        <w:rPr>
          <w:b/>
          <w:bCs/>
        </w:rPr>
        <w:t>2</w:t>
      </w:r>
      <w:r>
        <w:t>, no. 5, May, p. 100167.</w:t>
      </w:r>
    </w:p>
  </w:footnote>
  <w:footnote w:id="6">
    <w:p w14:paraId="07DE7915" w14:textId="77777777" w:rsidR="00772C41" w:rsidRDefault="00772C41" w:rsidP="00772C41">
      <w:pPr>
        <w:pStyle w:val="FootnoteText"/>
      </w:pPr>
      <w:r>
        <w:rPr>
          <w:rStyle w:val="FootnoteReference"/>
        </w:rPr>
        <w:footnoteRef/>
      </w:r>
      <w:r>
        <w:t xml:space="preserve"> </w:t>
      </w:r>
      <w:r w:rsidRPr="002C16CB">
        <w:t xml:space="preserve">Nam BD, </w:t>
      </w:r>
      <w:r>
        <w:t xml:space="preserve">et al. (2021). </w:t>
      </w:r>
      <w:r w:rsidRPr="002C16CB">
        <w:t>Tissue Adequacy and Safety of Percutaneous Transthoracic Needle Biopsy for Molecular Analysis in Non-Small Cell Lung Cancer: A Systematic Review and Meta-analysis</w:t>
      </w:r>
      <w:r>
        <w:t xml:space="preserve">. </w:t>
      </w:r>
      <w:r w:rsidRPr="002C16CB">
        <w:t xml:space="preserve"> </w:t>
      </w:r>
      <w:r w:rsidRPr="002C16CB">
        <w:rPr>
          <w:i/>
          <w:iCs/>
        </w:rPr>
        <w:t xml:space="preserve">Korean J </w:t>
      </w:r>
      <w:proofErr w:type="spellStart"/>
      <w:r w:rsidRPr="002C16CB">
        <w:rPr>
          <w:i/>
          <w:iCs/>
        </w:rPr>
        <w:t>Radiol</w:t>
      </w:r>
      <w:proofErr w:type="spellEnd"/>
      <w:r w:rsidRPr="002C16CB">
        <w:t xml:space="preserve">, vol. </w:t>
      </w:r>
      <w:r w:rsidRPr="007B6B34">
        <w:rPr>
          <w:b/>
          <w:bCs/>
        </w:rPr>
        <w:t>22</w:t>
      </w:r>
      <w:r>
        <w:t>, no. 12, Dec, pp. 2082-2093.</w:t>
      </w:r>
    </w:p>
    <w:p w14:paraId="0109705A" w14:textId="7CD7DF2F" w:rsidR="00772C41" w:rsidRDefault="00772C41">
      <w:pPr>
        <w:pStyle w:val="FootnoteText"/>
      </w:pPr>
    </w:p>
  </w:footnote>
  <w:footnote w:id="7">
    <w:p w14:paraId="2DDDF85A" w14:textId="7C648714" w:rsidR="00772C41" w:rsidRDefault="00772C41">
      <w:pPr>
        <w:pStyle w:val="FootnoteText"/>
      </w:pPr>
      <w:r>
        <w:rPr>
          <w:rStyle w:val="FootnoteReference"/>
        </w:rPr>
        <w:footnoteRef/>
      </w:r>
      <w:r>
        <w:t xml:space="preserve"> </w:t>
      </w:r>
      <w:r w:rsidRPr="00D9769A">
        <w:t xml:space="preserve">Tan A, </w:t>
      </w:r>
      <w:r>
        <w:t xml:space="preserve">et al. (2020). </w:t>
      </w:r>
      <w:r w:rsidRPr="00D9769A">
        <w:t>Utility of incorporating next-generation sequencing (NGS) in an Asian non-small cell lung cancer (NSCLC) population: Incremental yield of actionable alterations and cost-effectiveness analysis</w:t>
      </w:r>
      <w:r>
        <w:t>.</w:t>
      </w:r>
      <w:r w:rsidRPr="00D9769A">
        <w:t xml:space="preserve"> </w:t>
      </w:r>
      <w:r w:rsidRPr="00D9769A">
        <w:rPr>
          <w:i/>
          <w:iCs/>
        </w:rPr>
        <w:t>Lung Cancer</w:t>
      </w:r>
      <w:r w:rsidRPr="00D9769A">
        <w:t xml:space="preserve">, vol. </w:t>
      </w:r>
      <w:r w:rsidRPr="007B6B34">
        <w:rPr>
          <w:b/>
          <w:bCs/>
        </w:rPr>
        <w:t>139</w:t>
      </w:r>
      <w:r w:rsidRPr="00D9769A">
        <w:t>, January, pp. 207-215</w:t>
      </w:r>
      <w:r>
        <w:t xml:space="preserve"> </w:t>
      </w:r>
    </w:p>
  </w:footnote>
  <w:footnote w:id="8">
    <w:p w14:paraId="50C69C60" w14:textId="05EAC58C" w:rsidR="00772C41" w:rsidRDefault="00772C41">
      <w:pPr>
        <w:pStyle w:val="FootnoteText"/>
      </w:pPr>
      <w:r>
        <w:rPr>
          <w:rStyle w:val="FootnoteReference"/>
        </w:rPr>
        <w:footnoteRef/>
      </w:r>
      <w:r>
        <w:t xml:space="preserve"> These common sensitising variants align with the inclusion criteria for studies such as the EURTAC RCT of erlotinib vs chemotherapy (2012) which was part of the evidentiary basis of the test-drug co-dependency approved by MSAC/PBAC</w:t>
      </w:r>
      <w:r w:rsidR="00F56703">
        <w:t>.</w:t>
      </w:r>
    </w:p>
    <w:p w14:paraId="530D84AD" w14:textId="77777777" w:rsidR="00772C41" w:rsidRDefault="00772C41">
      <w:pPr>
        <w:pStyle w:val="FootnoteText"/>
      </w:pPr>
    </w:p>
  </w:footnote>
  <w:footnote w:id="9">
    <w:p w14:paraId="660DBF78" w14:textId="7018048C" w:rsidR="00772C41" w:rsidRDefault="00772C41">
      <w:pPr>
        <w:pStyle w:val="FootnoteText"/>
      </w:pPr>
      <w:r>
        <w:rPr>
          <w:rStyle w:val="FootnoteReference"/>
        </w:rPr>
        <w:footnoteRef/>
      </w:r>
      <w:r>
        <w:t xml:space="preserve"> </w:t>
      </w:r>
      <w:r w:rsidR="006768C4" w:rsidRPr="00CD1530">
        <w:rPr>
          <w:rFonts w:cstheme="minorHAnsi"/>
        </w:rPr>
        <w:t>John</w:t>
      </w:r>
      <w:r w:rsidR="006768C4">
        <w:rPr>
          <w:rFonts w:cstheme="minorHAnsi"/>
        </w:rPr>
        <w:t xml:space="preserve"> </w:t>
      </w:r>
      <w:r w:rsidR="006768C4" w:rsidRPr="00CD1530">
        <w:rPr>
          <w:rFonts w:cstheme="minorHAnsi"/>
        </w:rPr>
        <w:t xml:space="preserve">T, </w:t>
      </w:r>
      <w:r w:rsidR="006768C4">
        <w:rPr>
          <w:rFonts w:cstheme="minorHAnsi"/>
        </w:rPr>
        <w:t xml:space="preserve">et al. (2021). </w:t>
      </w:r>
      <w:r w:rsidR="006768C4" w:rsidRPr="00CD1530">
        <w:rPr>
          <w:rFonts w:cstheme="minorHAnsi"/>
        </w:rPr>
        <w:t>Uncommon EGFR mutations in non-small-cell lung cancer: A systematic literature review of prevalence and clinical outcomes</w:t>
      </w:r>
      <w:r w:rsidR="006768C4">
        <w:rPr>
          <w:rFonts w:cstheme="minorHAnsi"/>
        </w:rPr>
        <w:t xml:space="preserve">. </w:t>
      </w:r>
      <w:r w:rsidR="006768C4" w:rsidRPr="00CD1530">
        <w:rPr>
          <w:rFonts w:cstheme="minorHAnsi"/>
        </w:rPr>
        <w:t xml:space="preserve"> </w:t>
      </w:r>
      <w:r w:rsidR="006768C4" w:rsidRPr="00CD1530">
        <w:rPr>
          <w:rFonts w:cstheme="minorHAnsi"/>
          <w:i/>
          <w:iCs/>
        </w:rPr>
        <w:t>Cancer Epidemiol</w:t>
      </w:r>
      <w:r w:rsidR="006768C4" w:rsidRPr="00CD1530">
        <w:rPr>
          <w:rFonts w:cstheme="minorHAnsi"/>
        </w:rPr>
        <w:t xml:space="preserve">, vol. </w:t>
      </w:r>
      <w:r w:rsidR="006768C4" w:rsidRPr="007B6B34">
        <w:rPr>
          <w:rFonts w:cstheme="minorHAnsi"/>
          <w:b/>
          <w:bCs/>
        </w:rPr>
        <w:t>76</w:t>
      </w:r>
      <w:r w:rsidR="006768C4" w:rsidRPr="00CD1530">
        <w:rPr>
          <w:rFonts w:cstheme="minorHAnsi"/>
        </w:rPr>
        <w:t>, Feb, p. 102080</w:t>
      </w:r>
    </w:p>
  </w:footnote>
  <w:footnote w:id="10">
    <w:p w14:paraId="5D94CF26" w14:textId="6AFE679B" w:rsidR="00865C25" w:rsidRPr="00DE6731" w:rsidRDefault="00865C25" w:rsidP="00865C25">
      <w:pPr>
        <w:pStyle w:val="TableFooter"/>
      </w:pPr>
      <w:r w:rsidRPr="00DE6731">
        <w:rPr>
          <w:rStyle w:val="FootnoteReference"/>
        </w:rPr>
        <w:footnoteRef/>
      </w:r>
      <w:r w:rsidRPr="00DE6731">
        <w:t xml:space="preserve"> John, T, </w:t>
      </w:r>
      <w:r w:rsidR="00222511">
        <w:t>et al.</w:t>
      </w:r>
      <w:r w:rsidRPr="00DE6731">
        <w:t xml:space="preserve"> </w:t>
      </w:r>
      <w:r w:rsidR="00222511">
        <w:t>(</w:t>
      </w:r>
      <w:r w:rsidRPr="00DE6731">
        <w:t>2022</w:t>
      </w:r>
      <w:r w:rsidR="00222511">
        <w:t>)</w:t>
      </w:r>
      <w:r w:rsidRPr="00DE6731">
        <w:t xml:space="preserve">, 'Uncommon EGFR mutations in non-small-cell lung cancer: A systematic literature review of prevalence and clinical outcomes', </w:t>
      </w:r>
      <w:r w:rsidRPr="00DE6731">
        <w:rPr>
          <w:i/>
          <w:iCs/>
        </w:rPr>
        <w:t>Cancer Epidemiol</w:t>
      </w:r>
      <w:r w:rsidRPr="00DE6731">
        <w:t xml:space="preserve">, vol. </w:t>
      </w:r>
      <w:r w:rsidRPr="00121596">
        <w:rPr>
          <w:b/>
          <w:bCs/>
        </w:rPr>
        <w:t>76</w:t>
      </w:r>
      <w:r w:rsidRPr="00DE6731">
        <w:t>, Feb, p. 102080.</w:t>
      </w:r>
    </w:p>
  </w:footnote>
  <w:footnote w:id="11">
    <w:p w14:paraId="30DBC90F" w14:textId="3CD998D9" w:rsidR="00865C25" w:rsidRPr="00DE6731" w:rsidRDefault="00865C25" w:rsidP="00865C25">
      <w:pPr>
        <w:autoSpaceDE w:val="0"/>
        <w:autoSpaceDN w:val="0"/>
        <w:adjustRightInd w:val="0"/>
        <w:spacing w:before="0" w:after="0" w:line="240" w:lineRule="auto"/>
        <w:rPr>
          <w:rFonts w:ascii="Arial Narrow" w:hAnsi="Arial Narrow" w:cs="Segoe UI"/>
          <w:sz w:val="18"/>
          <w:szCs w:val="18"/>
        </w:rPr>
      </w:pPr>
      <w:r w:rsidRPr="00DE6731">
        <w:rPr>
          <w:rStyle w:val="FootnoteReference"/>
          <w:rFonts w:ascii="Arial Narrow" w:hAnsi="Arial Narrow"/>
        </w:rPr>
        <w:footnoteRef/>
      </w:r>
      <w:r w:rsidRPr="00DE6731">
        <w:rPr>
          <w:rFonts w:ascii="Arial Narrow" w:hAnsi="Arial Narrow"/>
        </w:rPr>
        <w:t xml:space="preserve"> </w:t>
      </w:r>
      <w:proofErr w:type="spellStart"/>
      <w:r w:rsidRPr="00DE6731">
        <w:rPr>
          <w:rFonts w:ascii="Arial Narrow" w:hAnsi="Arial Narrow" w:cs="Segoe UI"/>
          <w:sz w:val="18"/>
          <w:szCs w:val="18"/>
        </w:rPr>
        <w:t>Friedlaender</w:t>
      </w:r>
      <w:proofErr w:type="spellEnd"/>
      <w:r w:rsidRPr="00DE6731">
        <w:rPr>
          <w:rFonts w:ascii="Arial Narrow" w:hAnsi="Arial Narrow" w:cs="Segoe UI"/>
          <w:sz w:val="18"/>
          <w:szCs w:val="18"/>
        </w:rPr>
        <w:t xml:space="preserve">, A, </w:t>
      </w:r>
      <w:r w:rsidR="00222511">
        <w:rPr>
          <w:rFonts w:ascii="Arial Narrow" w:hAnsi="Arial Narrow" w:cs="Segoe UI"/>
          <w:sz w:val="18"/>
          <w:szCs w:val="18"/>
        </w:rPr>
        <w:t>et a.</w:t>
      </w:r>
      <w:r w:rsidRPr="00DE6731">
        <w:rPr>
          <w:rFonts w:ascii="Arial Narrow" w:hAnsi="Arial Narrow" w:cs="Segoe UI"/>
          <w:sz w:val="18"/>
          <w:szCs w:val="18"/>
        </w:rPr>
        <w:t xml:space="preserve"> </w:t>
      </w:r>
      <w:r w:rsidR="00222511">
        <w:rPr>
          <w:rFonts w:ascii="Arial Narrow" w:hAnsi="Arial Narrow" w:cs="Segoe UI"/>
          <w:sz w:val="18"/>
          <w:szCs w:val="18"/>
        </w:rPr>
        <w:t>(</w:t>
      </w:r>
      <w:r w:rsidRPr="00DE6731">
        <w:rPr>
          <w:rFonts w:ascii="Arial Narrow" w:hAnsi="Arial Narrow" w:cs="Segoe UI"/>
          <w:sz w:val="18"/>
          <w:szCs w:val="18"/>
        </w:rPr>
        <w:t>2021</w:t>
      </w:r>
      <w:r w:rsidR="00222511">
        <w:rPr>
          <w:rFonts w:ascii="Arial Narrow" w:hAnsi="Arial Narrow" w:cs="Segoe UI"/>
          <w:sz w:val="18"/>
          <w:szCs w:val="18"/>
        </w:rPr>
        <w:t>)</w:t>
      </w:r>
      <w:r w:rsidRPr="00DE6731">
        <w:rPr>
          <w:rFonts w:ascii="Arial Narrow" w:hAnsi="Arial Narrow" w:cs="Segoe UI"/>
          <w:sz w:val="18"/>
          <w:szCs w:val="18"/>
        </w:rPr>
        <w:t xml:space="preserve">, 'The Impact of Variant Allele Frequency in EGFR Mutated NSCLC Patients on Targeted Therapy', </w:t>
      </w:r>
      <w:r w:rsidRPr="00DE6731">
        <w:rPr>
          <w:rFonts w:ascii="Arial Narrow" w:hAnsi="Arial Narrow" w:cs="Segoe UI"/>
          <w:i/>
          <w:iCs/>
          <w:sz w:val="18"/>
          <w:szCs w:val="18"/>
        </w:rPr>
        <w:t>Front Oncol</w:t>
      </w:r>
      <w:r w:rsidRPr="00DE6731">
        <w:rPr>
          <w:rFonts w:ascii="Arial Narrow" w:hAnsi="Arial Narrow" w:cs="Segoe UI"/>
          <w:sz w:val="18"/>
          <w:szCs w:val="18"/>
        </w:rPr>
        <w:t xml:space="preserve">, vol. </w:t>
      </w:r>
      <w:r w:rsidRPr="00121596">
        <w:rPr>
          <w:rFonts w:ascii="Arial Narrow" w:hAnsi="Arial Narrow" w:cs="Segoe UI"/>
          <w:b/>
          <w:bCs/>
          <w:sz w:val="18"/>
          <w:szCs w:val="18"/>
        </w:rPr>
        <w:t>11</w:t>
      </w:r>
      <w:r w:rsidRPr="00DE6731">
        <w:rPr>
          <w:rFonts w:ascii="Arial Narrow" w:hAnsi="Arial Narrow" w:cs="Segoe UI"/>
          <w:sz w:val="18"/>
          <w:szCs w:val="18"/>
        </w:rPr>
        <w:t>, p. 644472.</w:t>
      </w:r>
    </w:p>
  </w:footnote>
  <w:footnote w:id="12">
    <w:p w14:paraId="7ABD1FA2" w14:textId="0B300FF4" w:rsidR="00865C25" w:rsidRPr="00DE6731" w:rsidRDefault="00865C25" w:rsidP="00865C25">
      <w:pPr>
        <w:autoSpaceDE w:val="0"/>
        <w:autoSpaceDN w:val="0"/>
        <w:adjustRightInd w:val="0"/>
        <w:spacing w:before="0" w:after="0" w:line="240" w:lineRule="auto"/>
        <w:rPr>
          <w:rFonts w:ascii="Segoe UI" w:hAnsi="Segoe UI" w:cs="Segoe UI"/>
          <w:sz w:val="18"/>
          <w:szCs w:val="18"/>
        </w:rPr>
      </w:pPr>
      <w:r w:rsidRPr="00DE6731">
        <w:rPr>
          <w:rStyle w:val="FootnoteReference"/>
          <w:rFonts w:ascii="Arial Narrow" w:hAnsi="Arial Narrow"/>
        </w:rPr>
        <w:footnoteRef/>
      </w:r>
      <w:r w:rsidRPr="00DE6731">
        <w:rPr>
          <w:rFonts w:ascii="Arial Narrow" w:hAnsi="Arial Narrow"/>
        </w:rPr>
        <w:t xml:space="preserve"> </w:t>
      </w:r>
      <w:proofErr w:type="spellStart"/>
      <w:r w:rsidRPr="00DE6731">
        <w:rPr>
          <w:rFonts w:ascii="Arial Narrow" w:hAnsi="Arial Narrow" w:cs="Segoe UI"/>
          <w:sz w:val="18"/>
          <w:szCs w:val="18"/>
        </w:rPr>
        <w:t>Gieszer</w:t>
      </w:r>
      <w:proofErr w:type="spellEnd"/>
      <w:r w:rsidRPr="00DE6731">
        <w:rPr>
          <w:rFonts w:ascii="Arial Narrow" w:hAnsi="Arial Narrow" w:cs="Segoe UI"/>
          <w:sz w:val="18"/>
          <w:szCs w:val="18"/>
        </w:rPr>
        <w:t xml:space="preserve">, B, </w:t>
      </w:r>
      <w:r w:rsidR="00222511">
        <w:rPr>
          <w:rFonts w:ascii="Arial Narrow" w:hAnsi="Arial Narrow" w:cs="Segoe UI"/>
          <w:sz w:val="18"/>
          <w:szCs w:val="18"/>
        </w:rPr>
        <w:t>et al. (</w:t>
      </w:r>
      <w:r w:rsidRPr="00DE6731">
        <w:rPr>
          <w:rFonts w:ascii="Arial Narrow" w:hAnsi="Arial Narrow" w:cs="Segoe UI"/>
          <w:sz w:val="18"/>
          <w:szCs w:val="18"/>
        </w:rPr>
        <w:t>2021</w:t>
      </w:r>
      <w:r w:rsidR="00222511">
        <w:rPr>
          <w:rFonts w:ascii="Arial Narrow" w:hAnsi="Arial Narrow" w:cs="Segoe UI"/>
          <w:sz w:val="18"/>
          <w:szCs w:val="18"/>
        </w:rPr>
        <w:t>)</w:t>
      </w:r>
      <w:r w:rsidRPr="00DE6731">
        <w:rPr>
          <w:rFonts w:ascii="Arial Narrow" w:hAnsi="Arial Narrow" w:cs="Segoe UI"/>
          <w:sz w:val="18"/>
          <w:szCs w:val="18"/>
        </w:rPr>
        <w:t xml:space="preserve">, 'EGFR variant allele frequency predicts EGFR-TKI efficacy in lung adenocarcinoma: a </w:t>
      </w:r>
      <w:proofErr w:type="spellStart"/>
      <w:r w:rsidRPr="00DE6731">
        <w:rPr>
          <w:rFonts w:ascii="Arial Narrow" w:hAnsi="Arial Narrow" w:cs="Segoe UI"/>
          <w:sz w:val="18"/>
          <w:szCs w:val="18"/>
        </w:rPr>
        <w:t>multicenter</w:t>
      </w:r>
      <w:proofErr w:type="spellEnd"/>
      <w:r w:rsidRPr="00DE6731">
        <w:rPr>
          <w:rFonts w:ascii="Arial Narrow" w:hAnsi="Arial Narrow" w:cs="Segoe UI"/>
          <w:sz w:val="18"/>
          <w:szCs w:val="18"/>
        </w:rPr>
        <w:t xml:space="preserve"> study', </w:t>
      </w:r>
      <w:proofErr w:type="spellStart"/>
      <w:r w:rsidRPr="00DE6731">
        <w:rPr>
          <w:rFonts w:ascii="Arial Narrow" w:hAnsi="Arial Narrow" w:cs="Segoe UI"/>
          <w:i/>
          <w:iCs/>
          <w:sz w:val="18"/>
          <w:szCs w:val="18"/>
        </w:rPr>
        <w:t>Transl</w:t>
      </w:r>
      <w:proofErr w:type="spellEnd"/>
      <w:r w:rsidRPr="00DE6731">
        <w:rPr>
          <w:rFonts w:ascii="Arial Narrow" w:hAnsi="Arial Narrow" w:cs="Segoe UI"/>
          <w:i/>
          <w:iCs/>
          <w:sz w:val="18"/>
          <w:szCs w:val="18"/>
        </w:rPr>
        <w:t xml:space="preserve"> Lung Cancer Res</w:t>
      </w:r>
      <w:r w:rsidRPr="00DE6731">
        <w:rPr>
          <w:rFonts w:ascii="Arial Narrow" w:hAnsi="Arial Narrow" w:cs="Segoe UI"/>
          <w:sz w:val="18"/>
          <w:szCs w:val="18"/>
        </w:rPr>
        <w:t xml:space="preserve">, vol. </w:t>
      </w:r>
      <w:r w:rsidRPr="00121596">
        <w:rPr>
          <w:rFonts w:ascii="Arial Narrow" w:hAnsi="Arial Narrow" w:cs="Segoe UI"/>
          <w:b/>
          <w:bCs/>
          <w:sz w:val="18"/>
          <w:szCs w:val="18"/>
        </w:rPr>
        <w:t>10</w:t>
      </w:r>
      <w:r w:rsidRPr="00DE6731">
        <w:rPr>
          <w:rFonts w:ascii="Arial Narrow" w:hAnsi="Arial Narrow" w:cs="Segoe UI"/>
          <w:sz w:val="18"/>
          <w:szCs w:val="18"/>
        </w:rPr>
        <w:t>, no. 2, Feb, pp. 662-674.</w:t>
      </w:r>
    </w:p>
  </w:footnote>
  <w:footnote w:id="13">
    <w:p w14:paraId="44738C3A" w14:textId="3FE6ADB0" w:rsidR="00865C25" w:rsidRPr="00DE6731" w:rsidRDefault="00865C25" w:rsidP="00865C25">
      <w:pPr>
        <w:autoSpaceDE w:val="0"/>
        <w:autoSpaceDN w:val="0"/>
        <w:adjustRightInd w:val="0"/>
        <w:spacing w:before="0" w:after="0" w:line="240" w:lineRule="auto"/>
        <w:rPr>
          <w:rFonts w:ascii="Arial Narrow" w:hAnsi="Arial Narrow" w:cs="Segoe UI"/>
          <w:sz w:val="18"/>
          <w:szCs w:val="18"/>
        </w:rPr>
      </w:pPr>
      <w:r w:rsidRPr="00DE6731">
        <w:rPr>
          <w:rStyle w:val="FootnoteReference"/>
          <w:rFonts w:ascii="Arial Narrow" w:hAnsi="Arial Narrow"/>
          <w:szCs w:val="18"/>
        </w:rPr>
        <w:footnoteRef/>
      </w:r>
      <w:r w:rsidRPr="00DE6731">
        <w:rPr>
          <w:rFonts w:ascii="Arial Narrow" w:hAnsi="Arial Narrow"/>
          <w:sz w:val="18"/>
          <w:szCs w:val="18"/>
        </w:rPr>
        <w:t xml:space="preserve"> </w:t>
      </w:r>
      <w:r w:rsidRPr="00DE6731">
        <w:rPr>
          <w:rFonts w:ascii="Arial Narrow" w:hAnsi="Arial Narrow" w:cs="Segoe UI"/>
          <w:sz w:val="18"/>
          <w:szCs w:val="18"/>
        </w:rPr>
        <w:t xml:space="preserve">Ye, L, </w:t>
      </w:r>
      <w:r w:rsidR="00094017">
        <w:rPr>
          <w:rFonts w:ascii="Arial Narrow" w:hAnsi="Arial Narrow" w:cs="Segoe UI"/>
          <w:sz w:val="18"/>
          <w:szCs w:val="18"/>
        </w:rPr>
        <w:t>et al. (</w:t>
      </w:r>
      <w:r w:rsidRPr="00DE6731">
        <w:rPr>
          <w:rFonts w:ascii="Arial Narrow" w:hAnsi="Arial Narrow" w:cs="Segoe UI"/>
          <w:sz w:val="18"/>
          <w:szCs w:val="18"/>
        </w:rPr>
        <w:t>2020</w:t>
      </w:r>
      <w:r w:rsidR="00094017">
        <w:rPr>
          <w:rFonts w:ascii="Arial Narrow" w:hAnsi="Arial Narrow" w:cs="Segoe UI"/>
          <w:sz w:val="18"/>
          <w:szCs w:val="18"/>
        </w:rPr>
        <w:t>)</w:t>
      </w:r>
      <w:r w:rsidRPr="00DE6731">
        <w:rPr>
          <w:rFonts w:ascii="Arial Narrow" w:hAnsi="Arial Narrow" w:cs="Segoe UI"/>
          <w:sz w:val="18"/>
          <w:szCs w:val="18"/>
        </w:rPr>
        <w:t xml:space="preserve">, 'Detection of Low-level EGFR c.2369 C &gt; T (p.Thr790Met) Resistance Mutation in Pre-treatment Non-small Cell Lung Carcinomas </w:t>
      </w:r>
      <w:proofErr w:type="spellStart"/>
      <w:r w:rsidRPr="00DE6731">
        <w:rPr>
          <w:rFonts w:ascii="Arial Narrow" w:hAnsi="Arial Narrow" w:cs="Segoe UI"/>
          <w:sz w:val="18"/>
          <w:szCs w:val="18"/>
        </w:rPr>
        <w:t>Harboring</w:t>
      </w:r>
      <w:proofErr w:type="spellEnd"/>
      <w:r w:rsidRPr="00DE6731">
        <w:rPr>
          <w:rFonts w:ascii="Arial Narrow" w:hAnsi="Arial Narrow" w:cs="Segoe UI"/>
          <w:sz w:val="18"/>
          <w:szCs w:val="18"/>
        </w:rPr>
        <w:t xml:space="preserve"> Activating EGFR Mutations and Correlation with Clinical Outcomes', </w:t>
      </w:r>
      <w:proofErr w:type="spellStart"/>
      <w:r w:rsidRPr="00DE6731">
        <w:rPr>
          <w:rFonts w:ascii="Arial Narrow" w:hAnsi="Arial Narrow" w:cs="Segoe UI"/>
          <w:i/>
          <w:iCs/>
          <w:sz w:val="18"/>
          <w:szCs w:val="18"/>
        </w:rPr>
        <w:t>Pathol</w:t>
      </w:r>
      <w:proofErr w:type="spellEnd"/>
      <w:r w:rsidRPr="00DE6731">
        <w:rPr>
          <w:rFonts w:ascii="Arial Narrow" w:hAnsi="Arial Narrow" w:cs="Segoe UI"/>
          <w:i/>
          <w:iCs/>
          <w:sz w:val="18"/>
          <w:szCs w:val="18"/>
        </w:rPr>
        <w:t xml:space="preserve"> Oncol Res</w:t>
      </w:r>
      <w:r w:rsidRPr="00DE6731">
        <w:rPr>
          <w:rFonts w:ascii="Arial Narrow" w:hAnsi="Arial Narrow" w:cs="Segoe UI"/>
          <w:sz w:val="18"/>
          <w:szCs w:val="18"/>
        </w:rPr>
        <w:t xml:space="preserve">, vol. </w:t>
      </w:r>
      <w:r w:rsidRPr="00121596">
        <w:rPr>
          <w:rFonts w:ascii="Arial Narrow" w:hAnsi="Arial Narrow" w:cs="Segoe UI"/>
          <w:b/>
          <w:bCs/>
          <w:sz w:val="18"/>
          <w:szCs w:val="18"/>
        </w:rPr>
        <w:t>26</w:t>
      </w:r>
      <w:r w:rsidRPr="00DE6731">
        <w:rPr>
          <w:rFonts w:ascii="Arial Narrow" w:hAnsi="Arial Narrow" w:cs="Segoe UI"/>
          <w:sz w:val="18"/>
          <w:szCs w:val="18"/>
        </w:rPr>
        <w:t>, no. 4, Oct, pp. 2371-2379.</w:t>
      </w:r>
    </w:p>
  </w:footnote>
  <w:footnote w:id="14">
    <w:p w14:paraId="1FD76902" w14:textId="555E68FE" w:rsidR="00865C25" w:rsidRPr="00DE6731" w:rsidRDefault="00865C25" w:rsidP="00865C25">
      <w:pPr>
        <w:autoSpaceDE w:val="0"/>
        <w:autoSpaceDN w:val="0"/>
        <w:adjustRightInd w:val="0"/>
        <w:spacing w:before="0" w:after="0" w:line="240" w:lineRule="auto"/>
        <w:rPr>
          <w:rFonts w:ascii="Arial Narrow" w:hAnsi="Arial Narrow" w:cs="Segoe UI"/>
          <w:sz w:val="18"/>
          <w:szCs w:val="18"/>
        </w:rPr>
      </w:pPr>
      <w:r w:rsidRPr="00DE6731">
        <w:rPr>
          <w:rStyle w:val="FootnoteReference"/>
          <w:rFonts w:ascii="Arial Narrow" w:hAnsi="Arial Narrow"/>
          <w:szCs w:val="18"/>
        </w:rPr>
        <w:footnoteRef/>
      </w:r>
      <w:proofErr w:type="spellStart"/>
      <w:r w:rsidRPr="00DE6731">
        <w:rPr>
          <w:rFonts w:ascii="Arial Narrow" w:hAnsi="Arial Narrow" w:cs="Segoe UI"/>
          <w:sz w:val="18"/>
          <w:szCs w:val="18"/>
        </w:rPr>
        <w:t>Dall'Olio</w:t>
      </w:r>
      <w:proofErr w:type="spellEnd"/>
      <w:r w:rsidRPr="00DE6731">
        <w:rPr>
          <w:rFonts w:ascii="Arial Narrow" w:hAnsi="Arial Narrow" w:cs="Segoe UI"/>
          <w:sz w:val="18"/>
          <w:szCs w:val="18"/>
        </w:rPr>
        <w:t xml:space="preserve">, </w:t>
      </w:r>
      <w:proofErr w:type="spellStart"/>
      <w:r w:rsidRPr="00DE6731">
        <w:rPr>
          <w:rFonts w:ascii="Arial Narrow" w:hAnsi="Arial Narrow" w:cs="Segoe UI"/>
          <w:sz w:val="18"/>
          <w:szCs w:val="18"/>
        </w:rPr>
        <w:t>FG,</w:t>
      </w:r>
      <w:r w:rsidR="00852757">
        <w:rPr>
          <w:rFonts w:ascii="Arial Narrow" w:hAnsi="Arial Narrow" w:cs="Segoe UI"/>
          <w:sz w:val="18"/>
          <w:szCs w:val="18"/>
        </w:rPr>
        <w:t>et</w:t>
      </w:r>
      <w:proofErr w:type="spellEnd"/>
      <w:r w:rsidR="00852757">
        <w:rPr>
          <w:rFonts w:ascii="Arial Narrow" w:hAnsi="Arial Narrow" w:cs="Segoe UI"/>
          <w:sz w:val="18"/>
          <w:szCs w:val="18"/>
        </w:rPr>
        <w:t xml:space="preserve"> al. (</w:t>
      </w:r>
      <w:r w:rsidRPr="00DE6731">
        <w:rPr>
          <w:rFonts w:ascii="Arial Narrow" w:hAnsi="Arial Narrow" w:cs="Segoe UI"/>
          <w:sz w:val="18"/>
          <w:szCs w:val="18"/>
        </w:rPr>
        <w:t>2020</w:t>
      </w:r>
      <w:r w:rsidR="00852757">
        <w:rPr>
          <w:rFonts w:ascii="Arial Narrow" w:hAnsi="Arial Narrow" w:cs="Segoe UI"/>
          <w:sz w:val="18"/>
          <w:szCs w:val="18"/>
        </w:rPr>
        <w:t>)</w:t>
      </w:r>
      <w:r w:rsidRPr="00DE6731">
        <w:rPr>
          <w:rFonts w:ascii="Arial Narrow" w:hAnsi="Arial Narrow" w:cs="Segoe UI"/>
          <w:sz w:val="18"/>
          <w:szCs w:val="18"/>
        </w:rPr>
        <w:t xml:space="preserve">, 'Comparison of Sequential Testing and Next Generation Sequencing in advanced Lung Adenocarcinoma patients - A single centre experience', </w:t>
      </w:r>
      <w:r w:rsidRPr="00DE6731">
        <w:rPr>
          <w:rFonts w:ascii="Arial Narrow" w:hAnsi="Arial Narrow" w:cs="Segoe UI"/>
          <w:i/>
          <w:iCs/>
          <w:sz w:val="18"/>
          <w:szCs w:val="18"/>
        </w:rPr>
        <w:t>Lung Cancer</w:t>
      </w:r>
      <w:r w:rsidRPr="00DE6731">
        <w:rPr>
          <w:rFonts w:ascii="Arial Narrow" w:hAnsi="Arial Narrow" w:cs="Segoe UI"/>
          <w:sz w:val="18"/>
          <w:szCs w:val="18"/>
        </w:rPr>
        <w:t xml:space="preserve">, vol. </w:t>
      </w:r>
      <w:r w:rsidRPr="00121596">
        <w:rPr>
          <w:rFonts w:ascii="Arial Narrow" w:hAnsi="Arial Narrow" w:cs="Segoe UI"/>
          <w:b/>
          <w:bCs/>
          <w:sz w:val="18"/>
          <w:szCs w:val="18"/>
        </w:rPr>
        <w:t>149</w:t>
      </w:r>
      <w:r w:rsidRPr="00DE6731">
        <w:rPr>
          <w:rFonts w:ascii="Arial Narrow" w:hAnsi="Arial Narrow" w:cs="Segoe UI"/>
          <w:sz w:val="18"/>
          <w:szCs w:val="18"/>
        </w:rPr>
        <w:t>, November, pp. 5-9.</w:t>
      </w:r>
    </w:p>
  </w:footnote>
  <w:footnote w:id="15">
    <w:p w14:paraId="2CCEA041" w14:textId="3B5AAD66" w:rsidR="00865C25" w:rsidRPr="00206217" w:rsidRDefault="00865C25" w:rsidP="00865C25">
      <w:pPr>
        <w:autoSpaceDE w:val="0"/>
        <w:autoSpaceDN w:val="0"/>
        <w:adjustRightInd w:val="0"/>
        <w:spacing w:before="0" w:after="0" w:line="240" w:lineRule="auto"/>
        <w:rPr>
          <w:rFonts w:ascii="Arial Narrow" w:hAnsi="Arial Narrow" w:cs="Segoe UI"/>
          <w:sz w:val="18"/>
          <w:szCs w:val="18"/>
        </w:rPr>
      </w:pPr>
      <w:r w:rsidRPr="00206217">
        <w:rPr>
          <w:rStyle w:val="FootnoteReference"/>
          <w:rFonts w:ascii="Arial Narrow" w:hAnsi="Arial Narrow"/>
          <w:szCs w:val="18"/>
        </w:rPr>
        <w:footnoteRef/>
      </w:r>
      <w:r w:rsidRPr="00206217">
        <w:rPr>
          <w:rFonts w:ascii="Arial Narrow" w:hAnsi="Arial Narrow"/>
          <w:sz w:val="18"/>
          <w:szCs w:val="18"/>
        </w:rPr>
        <w:t xml:space="preserve"> </w:t>
      </w:r>
      <w:r w:rsidRPr="00206217">
        <w:rPr>
          <w:rFonts w:ascii="Arial Narrow" w:hAnsi="Arial Narrow" w:cs="Segoe UI"/>
          <w:sz w:val="18"/>
          <w:szCs w:val="18"/>
        </w:rPr>
        <w:t xml:space="preserve">Hall, H, </w:t>
      </w:r>
      <w:r w:rsidR="00852757">
        <w:rPr>
          <w:rFonts w:ascii="Arial Narrow" w:hAnsi="Arial Narrow" w:cs="Segoe UI"/>
          <w:sz w:val="18"/>
          <w:szCs w:val="18"/>
        </w:rPr>
        <w:t>et al. (</w:t>
      </w:r>
      <w:r w:rsidRPr="00206217">
        <w:rPr>
          <w:rFonts w:ascii="Arial Narrow" w:hAnsi="Arial Narrow" w:cs="Segoe UI"/>
          <w:sz w:val="18"/>
          <w:szCs w:val="18"/>
        </w:rPr>
        <w:t>202</w:t>
      </w:r>
      <w:r w:rsidR="00852757">
        <w:rPr>
          <w:rFonts w:ascii="Arial Narrow" w:hAnsi="Arial Narrow" w:cs="Segoe UI"/>
          <w:sz w:val="18"/>
          <w:szCs w:val="18"/>
        </w:rPr>
        <w:t>2)</w:t>
      </w:r>
      <w:r w:rsidRPr="00206217">
        <w:rPr>
          <w:rFonts w:ascii="Arial Narrow" w:hAnsi="Arial Narrow" w:cs="Segoe UI"/>
          <w:sz w:val="18"/>
          <w:szCs w:val="18"/>
        </w:rPr>
        <w:t xml:space="preserve"> 'Association between time-to-treatment and outcomes in non-small cell lung cancer: a systematic review', </w:t>
      </w:r>
      <w:r w:rsidRPr="00206217">
        <w:rPr>
          <w:rFonts w:ascii="Arial Narrow" w:hAnsi="Arial Narrow" w:cs="Segoe UI"/>
          <w:i/>
          <w:iCs/>
          <w:sz w:val="18"/>
          <w:szCs w:val="18"/>
        </w:rPr>
        <w:t>Thorax</w:t>
      </w:r>
      <w:r w:rsidRPr="00206217">
        <w:rPr>
          <w:rFonts w:ascii="Arial Narrow" w:hAnsi="Arial Narrow" w:cs="Segoe UI"/>
          <w:sz w:val="18"/>
          <w:szCs w:val="18"/>
        </w:rPr>
        <w:t xml:space="preserve">, </w:t>
      </w:r>
      <w:r w:rsidR="00852757" w:rsidRPr="00852757">
        <w:rPr>
          <w:rFonts w:ascii="Arial Narrow" w:hAnsi="Arial Narrow" w:cs="Segoe UI"/>
          <w:sz w:val="18"/>
          <w:szCs w:val="18"/>
        </w:rPr>
        <w:t>Aug;</w:t>
      </w:r>
      <w:r w:rsidR="00852757" w:rsidRPr="00121596">
        <w:rPr>
          <w:rFonts w:ascii="Arial Narrow" w:hAnsi="Arial Narrow" w:cs="Segoe UI"/>
          <w:b/>
          <w:bCs/>
          <w:sz w:val="18"/>
          <w:szCs w:val="18"/>
        </w:rPr>
        <w:t>77</w:t>
      </w:r>
      <w:r w:rsidR="00852757" w:rsidRPr="00852757">
        <w:rPr>
          <w:rFonts w:ascii="Arial Narrow" w:hAnsi="Arial Narrow" w:cs="Segoe UI"/>
          <w:sz w:val="18"/>
          <w:szCs w:val="18"/>
        </w:rPr>
        <w:t>(8):762-768.</w:t>
      </w:r>
      <w:r w:rsidRPr="00206217">
        <w:rPr>
          <w:rFonts w:ascii="Arial Narrow" w:hAnsi="Arial Narrow" w:cs="Segoe UI"/>
          <w:sz w:val="18"/>
          <w:szCs w:val="18"/>
        </w:rPr>
        <w:t>.</w:t>
      </w:r>
    </w:p>
  </w:footnote>
  <w:footnote w:id="16">
    <w:p w14:paraId="0DE6A818" w14:textId="3F27DFD5" w:rsidR="00865C25" w:rsidRDefault="00865C25" w:rsidP="00865C25">
      <w:pPr>
        <w:pStyle w:val="FootnoteText"/>
      </w:pPr>
      <w:r>
        <w:rPr>
          <w:rStyle w:val="FootnoteReference"/>
        </w:rPr>
        <w:footnoteRef/>
      </w:r>
      <w:r>
        <w:t xml:space="preserve"> </w:t>
      </w:r>
      <w:proofErr w:type="spellStart"/>
      <w:r w:rsidRPr="008542F6">
        <w:t>Griesinger</w:t>
      </w:r>
      <w:proofErr w:type="spellEnd"/>
      <w:r w:rsidRPr="008542F6">
        <w:t xml:space="preserve">, F, </w:t>
      </w:r>
      <w:r w:rsidR="00420DE8">
        <w:t>et al. (</w:t>
      </w:r>
      <w:r w:rsidRPr="008542F6">
        <w:t>2021</w:t>
      </w:r>
      <w:r w:rsidR="00420DE8">
        <w:t>)</w:t>
      </w:r>
      <w:r w:rsidRPr="008542F6">
        <w:t xml:space="preserve">, 'Biomarker testing in non-small cell lung cancer in routine care: Analysis of the first 3,717 patients in the German prospective, observational, nation-wide CRISP Registry (AIO-TRK-0315)', </w:t>
      </w:r>
      <w:r w:rsidRPr="00121596">
        <w:rPr>
          <w:i/>
          <w:iCs/>
        </w:rPr>
        <w:t>Lung Cancer</w:t>
      </w:r>
      <w:r w:rsidRPr="008542F6">
        <w:t xml:space="preserve">, vol. </w:t>
      </w:r>
      <w:r w:rsidRPr="00121596">
        <w:rPr>
          <w:b/>
          <w:bCs/>
        </w:rPr>
        <w:t>152</w:t>
      </w:r>
      <w:r w:rsidRPr="008542F6">
        <w:t>, Feb, pp. 174-184.</w:t>
      </w:r>
    </w:p>
  </w:footnote>
  <w:footnote w:id="17">
    <w:p w14:paraId="6032291C" w14:textId="77777777" w:rsidR="00813A4A" w:rsidRDefault="00813A4A" w:rsidP="00813A4A">
      <w:pPr>
        <w:pStyle w:val="FootnoteText"/>
      </w:pPr>
      <w:r>
        <w:rPr>
          <w:rStyle w:val="FootnoteReference"/>
        </w:rPr>
        <w:footnoteRef/>
      </w:r>
      <w:r>
        <w:t xml:space="preserve"> </w:t>
      </w:r>
      <w:r w:rsidRPr="00C66FEA">
        <w:t xml:space="preserve">Li, W, </w:t>
      </w:r>
      <w:r>
        <w:t>et al.</w:t>
      </w:r>
      <w:r w:rsidRPr="00C66FEA">
        <w:t xml:space="preserve"> </w:t>
      </w:r>
      <w:r>
        <w:t>(</w:t>
      </w:r>
      <w:r w:rsidRPr="00C66FEA">
        <w:t>2021</w:t>
      </w:r>
      <w:r>
        <w:t>)</w:t>
      </w:r>
      <w:r w:rsidRPr="00C66FEA">
        <w:t xml:space="preserve">, 'Metastatic NSCLCs With Limited Tissues: How to Effectively Identify Driver Alterations to Guide Targeted Therapy in Chinese Patients', </w:t>
      </w:r>
      <w:r w:rsidRPr="00C66FEA">
        <w:rPr>
          <w:i/>
          <w:iCs/>
        </w:rPr>
        <w:t>JTO Clin Res Rep</w:t>
      </w:r>
      <w:r w:rsidRPr="00C66FEA">
        <w:t>,</w:t>
      </w:r>
      <w:r>
        <w:t xml:space="preserve"> vol. </w:t>
      </w:r>
      <w:r w:rsidRPr="007B6B34">
        <w:rPr>
          <w:b/>
          <w:bCs/>
        </w:rPr>
        <w:t>2</w:t>
      </w:r>
      <w:r>
        <w:t>, no. 5, May, p. 100167.</w:t>
      </w:r>
    </w:p>
  </w:footnote>
  <w:footnote w:id="18">
    <w:p w14:paraId="7F600277" w14:textId="77777777" w:rsidR="00813A4A" w:rsidRDefault="00813A4A" w:rsidP="00813A4A">
      <w:pPr>
        <w:pStyle w:val="FootnoteText"/>
      </w:pPr>
      <w:r>
        <w:rPr>
          <w:rStyle w:val="FootnoteReference"/>
        </w:rPr>
        <w:footnoteRef/>
      </w:r>
      <w:r>
        <w:t xml:space="preserve"> </w:t>
      </w:r>
      <w:r w:rsidRPr="00C66FEA">
        <w:t>Gutierrez M</w:t>
      </w:r>
      <w:r>
        <w:t>E</w:t>
      </w:r>
      <w:r w:rsidRPr="00C66FEA">
        <w:t xml:space="preserve">, </w:t>
      </w:r>
      <w:r>
        <w:t>et al. (</w:t>
      </w:r>
      <w:r w:rsidRPr="00C66FEA">
        <w:t>2017</w:t>
      </w:r>
      <w:r>
        <w:t>).</w:t>
      </w:r>
      <w:r w:rsidRPr="00C66FEA">
        <w:t xml:space="preserve"> Genomic Profiling of Advanced Non-Small Cell Lung Cancer in Community Settings: Gaps and Opportunities</w:t>
      </w:r>
      <w:r>
        <w:t xml:space="preserve">. </w:t>
      </w:r>
      <w:r w:rsidRPr="00C66FEA">
        <w:rPr>
          <w:i/>
          <w:iCs/>
        </w:rPr>
        <w:t>Clin Lung Cancer</w:t>
      </w:r>
      <w:r w:rsidRPr="00C66FEA">
        <w:t xml:space="preserve">, vol. </w:t>
      </w:r>
      <w:r w:rsidRPr="007B6B34">
        <w:rPr>
          <w:b/>
          <w:bCs/>
        </w:rPr>
        <w:t>18</w:t>
      </w:r>
      <w:r w:rsidRPr="00C66FEA">
        <w:t>, no. 6, Nov, pp. 651-659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653"/>
    <w:multiLevelType w:val="hybridMultilevel"/>
    <w:tmpl w:val="EA403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8513C"/>
    <w:multiLevelType w:val="hybridMultilevel"/>
    <w:tmpl w:val="6C1C0C3A"/>
    <w:lvl w:ilvl="0" w:tplc="4EDCCEB4">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E78BB"/>
    <w:multiLevelType w:val="hybridMultilevel"/>
    <w:tmpl w:val="D3200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81D80"/>
    <w:multiLevelType w:val="hybridMultilevel"/>
    <w:tmpl w:val="FFC49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46769"/>
    <w:multiLevelType w:val="hybridMultilevel"/>
    <w:tmpl w:val="FFA05D02"/>
    <w:lvl w:ilvl="0" w:tplc="3F78558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F211D"/>
    <w:multiLevelType w:val="hybridMultilevel"/>
    <w:tmpl w:val="4176B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4E53A3"/>
    <w:multiLevelType w:val="hybridMultilevel"/>
    <w:tmpl w:val="150833FE"/>
    <w:lvl w:ilvl="0" w:tplc="274CF20E">
      <w:start w:val="1"/>
      <w:numFmt w:val="lowerLetter"/>
      <w:lvlText w:val="%1)"/>
      <w:lvlJc w:val="left"/>
      <w:pPr>
        <w:ind w:left="720" w:hanging="360"/>
      </w:pPr>
      <w:rPr>
        <w:strike/>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0" w15:restartNumberingAfterBreak="0">
    <w:nsid w:val="26BD669D"/>
    <w:multiLevelType w:val="hybridMultilevel"/>
    <w:tmpl w:val="D9067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BB15FCD"/>
    <w:multiLevelType w:val="hybridMultilevel"/>
    <w:tmpl w:val="3244A43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D76CE2"/>
    <w:multiLevelType w:val="hybridMultilevel"/>
    <w:tmpl w:val="E0EC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4C4A32"/>
    <w:multiLevelType w:val="hybridMultilevel"/>
    <w:tmpl w:val="997A776E"/>
    <w:lvl w:ilvl="0" w:tplc="7DFE074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E63274"/>
    <w:multiLevelType w:val="hybridMultilevel"/>
    <w:tmpl w:val="AC245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2D3E48"/>
    <w:multiLevelType w:val="hybridMultilevel"/>
    <w:tmpl w:val="E3166AD2"/>
    <w:lvl w:ilvl="0" w:tplc="7DFE074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4B3624"/>
    <w:multiLevelType w:val="hybridMultilevel"/>
    <w:tmpl w:val="A76C5C84"/>
    <w:lvl w:ilvl="0" w:tplc="7DFE074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0C7EBC"/>
    <w:multiLevelType w:val="hybridMultilevel"/>
    <w:tmpl w:val="92D0C2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C26C51"/>
    <w:multiLevelType w:val="hybridMultilevel"/>
    <w:tmpl w:val="57B8C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D451FC"/>
    <w:multiLevelType w:val="hybridMultilevel"/>
    <w:tmpl w:val="2AFEA9F2"/>
    <w:lvl w:ilvl="0" w:tplc="163669F8">
      <w:start w:val="1"/>
      <w:numFmt w:val="lowerLetter"/>
      <w:lvlText w:val="%1)"/>
      <w:lvlJc w:val="left"/>
      <w:pPr>
        <w:ind w:left="720" w:hanging="360"/>
      </w:pPr>
      <w:rPr>
        <w:strike/>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4F6554"/>
    <w:multiLevelType w:val="hybridMultilevel"/>
    <w:tmpl w:val="283AAB5E"/>
    <w:lvl w:ilvl="0" w:tplc="3F78558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B96BDC"/>
    <w:multiLevelType w:val="hybridMultilevel"/>
    <w:tmpl w:val="96CA331A"/>
    <w:lvl w:ilvl="0" w:tplc="BBFC3B20">
      <w:start w:val="1"/>
      <w:numFmt w:val="lowerLetter"/>
      <w:lvlText w:val="%1)"/>
      <w:lvlJc w:val="left"/>
      <w:pPr>
        <w:ind w:left="720" w:hanging="360"/>
      </w:pPr>
      <w:rPr>
        <w:strike/>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E81FDC"/>
    <w:multiLevelType w:val="hybridMultilevel"/>
    <w:tmpl w:val="2FDECEBC"/>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3C104A"/>
    <w:multiLevelType w:val="hybridMultilevel"/>
    <w:tmpl w:val="10E21F88"/>
    <w:lvl w:ilvl="0" w:tplc="3F785582">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823114"/>
    <w:multiLevelType w:val="hybridMultilevel"/>
    <w:tmpl w:val="26DE8A54"/>
    <w:lvl w:ilvl="0" w:tplc="12A0CB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5"/>
  </w:num>
  <w:num w:numId="2">
    <w:abstractNumId w:val="32"/>
  </w:num>
  <w:num w:numId="3">
    <w:abstractNumId w:val="3"/>
  </w:num>
  <w:num w:numId="4">
    <w:abstractNumId w:val="9"/>
  </w:num>
  <w:num w:numId="5">
    <w:abstractNumId w:val="28"/>
  </w:num>
  <w:num w:numId="6">
    <w:abstractNumId w:val="11"/>
  </w:num>
  <w:num w:numId="7">
    <w:abstractNumId w:val="12"/>
  </w:num>
  <w:num w:numId="8">
    <w:abstractNumId w:val="14"/>
  </w:num>
  <w:num w:numId="9">
    <w:abstractNumId w:val="21"/>
  </w:num>
  <w:num w:numId="10">
    <w:abstractNumId w:val="18"/>
  </w:num>
  <w:num w:numId="11">
    <w:abstractNumId w:val="23"/>
  </w:num>
  <w:num w:numId="12">
    <w:abstractNumId w:val="0"/>
  </w:num>
  <w:num w:numId="13">
    <w:abstractNumId w:val="13"/>
  </w:num>
  <w:num w:numId="14">
    <w:abstractNumId w:val="4"/>
  </w:num>
  <w:num w:numId="15">
    <w:abstractNumId w:val="7"/>
  </w:num>
  <w:num w:numId="16">
    <w:abstractNumId w:val="10"/>
  </w:num>
  <w:num w:numId="17">
    <w:abstractNumId w:val="24"/>
  </w:num>
  <w:num w:numId="18">
    <w:abstractNumId w:val="16"/>
  </w:num>
  <w:num w:numId="19">
    <w:abstractNumId w:val="2"/>
  </w:num>
  <w:num w:numId="20">
    <w:abstractNumId w:val="29"/>
  </w:num>
  <w:num w:numId="21">
    <w:abstractNumId w:val="5"/>
  </w:num>
  <w:num w:numId="22">
    <w:abstractNumId w:val="1"/>
  </w:num>
  <w:num w:numId="23">
    <w:abstractNumId w:val="20"/>
  </w:num>
  <w:num w:numId="24">
    <w:abstractNumId w:val="6"/>
  </w:num>
  <w:num w:numId="25">
    <w:abstractNumId w:val="26"/>
  </w:num>
  <w:num w:numId="26">
    <w:abstractNumId w:val="30"/>
  </w:num>
  <w:num w:numId="27">
    <w:abstractNumId w:val="31"/>
  </w:num>
  <w:num w:numId="28">
    <w:abstractNumId w:val="25"/>
  </w:num>
  <w:num w:numId="29">
    <w:abstractNumId w:val="27"/>
  </w:num>
  <w:num w:numId="30">
    <w:abstractNumId w:val="8"/>
  </w:num>
  <w:num w:numId="31">
    <w:abstractNumId w:val="17"/>
  </w:num>
  <w:num w:numId="32">
    <w:abstractNumId w:val="19"/>
  </w:num>
  <w:num w:numId="3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5"/>
    <w:rsid w:val="00004947"/>
    <w:rsid w:val="00010378"/>
    <w:rsid w:val="000121D7"/>
    <w:rsid w:val="00013FD4"/>
    <w:rsid w:val="00030A2F"/>
    <w:rsid w:val="00031285"/>
    <w:rsid w:val="00036D7F"/>
    <w:rsid w:val="00043FE2"/>
    <w:rsid w:val="00055FD1"/>
    <w:rsid w:val="000571AB"/>
    <w:rsid w:val="00061E9C"/>
    <w:rsid w:val="00062489"/>
    <w:rsid w:val="00070748"/>
    <w:rsid w:val="00071626"/>
    <w:rsid w:val="00071875"/>
    <w:rsid w:val="00077D8A"/>
    <w:rsid w:val="00082D44"/>
    <w:rsid w:val="00083221"/>
    <w:rsid w:val="00093925"/>
    <w:rsid w:val="00094017"/>
    <w:rsid w:val="0009432D"/>
    <w:rsid w:val="000A19DD"/>
    <w:rsid w:val="000A1E4E"/>
    <w:rsid w:val="000A2EA8"/>
    <w:rsid w:val="000A6292"/>
    <w:rsid w:val="000B60EF"/>
    <w:rsid w:val="000B6FC3"/>
    <w:rsid w:val="000C5823"/>
    <w:rsid w:val="000C6399"/>
    <w:rsid w:val="000D1AA8"/>
    <w:rsid w:val="000E6ABB"/>
    <w:rsid w:val="000F0197"/>
    <w:rsid w:val="000F6705"/>
    <w:rsid w:val="0011316A"/>
    <w:rsid w:val="00121596"/>
    <w:rsid w:val="0012326F"/>
    <w:rsid w:val="00123296"/>
    <w:rsid w:val="00133AC2"/>
    <w:rsid w:val="001658E0"/>
    <w:rsid w:val="001761A7"/>
    <w:rsid w:val="00180453"/>
    <w:rsid w:val="0018409B"/>
    <w:rsid w:val="00187C1B"/>
    <w:rsid w:val="001A0ACD"/>
    <w:rsid w:val="001A3451"/>
    <w:rsid w:val="001B009F"/>
    <w:rsid w:val="001B108A"/>
    <w:rsid w:val="001C0C90"/>
    <w:rsid w:val="001C2658"/>
    <w:rsid w:val="001C6122"/>
    <w:rsid w:val="001D5BB5"/>
    <w:rsid w:val="001E1543"/>
    <w:rsid w:val="001E6F5A"/>
    <w:rsid w:val="00201115"/>
    <w:rsid w:val="0020396E"/>
    <w:rsid w:val="00210E17"/>
    <w:rsid w:val="00220BD6"/>
    <w:rsid w:val="00222511"/>
    <w:rsid w:val="00223969"/>
    <w:rsid w:val="00236F11"/>
    <w:rsid w:val="002441C9"/>
    <w:rsid w:val="00270CF2"/>
    <w:rsid w:val="0027375A"/>
    <w:rsid w:val="0028630E"/>
    <w:rsid w:val="002A559A"/>
    <w:rsid w:val="002D31AA"/>
    <w:rsid w:val="002D7F08"/>
    <w:rsid w:val="002E4721"/>
    <w:rsid w:val="002E627A"/>
    <w:rsid w:val="002E6634"/>
    <w:rsid w:val="002E6DC2"/>
    <w:rsid w:val="002F0087"/>
    <w:rsid w:val="002F2F22"/>
    <w:rsid w:val="002F422A"/>
    <w:rsid w:val="00301FC7"/>
    <w:rsid w:val="00302529"/>
    <w:rsid w:val="00310FF0"/>
    <w:rsid w:val="00312247"/>
    <w:rsid w:val="00312F73"/>
    <w:rsid w:val="00313847"/>
    <w:rsid w:val="003166F4"/>
    <w:rsid w:val="00321278"/>
    <w:rsid w:val="00327EB4"/>
    <w:rsid w:val="00332D97"/>
    <w:rsid w:val="00351699"/>
    <w:rsid w:val="003523DB"/>
    <w:rsid w:val="00361E17"/>
    <w:rsid w:val="00362F7E"/>
    <w:rsid w:val="00365536"/>
    <w:rsid w:val="00370BBF"/>
    <w:rsid w:val="0038254C"/>
    <w:rsid w:val="00395DD2"/>
    <w:rsid w:val="00396E5E"/>
    <w:rsid w:val="003A2799"/>
    <w:rsid w:val="003A7814"/>
    <w:rsid w:val="003B05ED"/>
    <w:rsid w:val="003B305A"/>
    <w:rsid w:val="003B4103"/>
    <w:rsid w:val="003C0C53"/>
    <w:rsid w:val="003C3249"/>
    <w:rsid w:val="003C4EF5"/>
    <w:rsid w:val="003D34E4"/>
    <w:rsid w:val="003D4C33"/>
    <w:rsid w:val="003E42DC"/>
    <w:rsid w:val="003F1949"/>
    <w:rsid w:val="003F35D7"/>
    <w:rsid w:val="00401E38"/>
    <w:rsid w:val="00414511"/>
    <w:rsid w:val="00420DE8"/>
    <w:rsid w:val="004303FC"/>
    <w:rsid w:val="00433D2A"/>
    <w:rsid w:val="00434F72"/>
    <w:rsid w:val="004360C0"/>
    <w:rsid w:val="00437C9C"/>
    <w:rsid w:val="00446F92"/>
    <w:rsid w:val="0044755D"/>
    <w:rsid w:val="00460E07"/>
    <w:rsid w:val="0046127B"/>
    <w:rsid w:val="00461497"/>
    <w:rsid w:val="004636DB"/>
    <w:rsid w:val="004665EC"/>
    <w:rsid w:val="00477300"/>
    <w:rsid w:val="00493812"/>
    <w:rsid w:val="00493F5F"/>
    <w:rsid w:val="004B0DB7"/>
    <w:rsid w:val="004B3DA1"/>
    <w:rsid w:val="004B6D9D"/>
    <w:rsid w:val="004C776C"/>
    <w:rsid w:val="004D211B"/>
    <w:rsid w:val="004D5E84"/>
    <w:rsid w:val="004F5129"/>
    <w:rsid w:val="004F7A56"/>
    <w:rsid w:val="00506B8C"/>
    <w:rsid w:val="005230B7"/>
    <w:rsid w:val="00536740"/>
    <w:rsid w:val="005441EC"/>
    <w:rsid w:val="0055767B"/>
    <w:rsid w:val="00564D8B"/>
    <w:rsid w:val="00567893"/>
    <w:rsid w:val="00571525"/>
    <w:rsid w:val="00574C9B"/>
    <w:rsid w:val="005B170B"/>
    <w:rsid w:val="005B26C0"/>
    <w:rsid w:val="005B71A7"/>
    <w:rsid w:val="005C05CC"/>
    <w:rsid w:val="005D7FDF"/>
    <w:rsid w:val="005F7085"/>
    <w:rsid w:val="0060502D"/>
    <w:rsid w:val="006123C8"/>
    <w:rsid w:val="00613B42"/>
    <w:rsid w:val="00626713"/>
    <w:rsid w:val="0062732A"/>
    <w:rsid w:val="00637900"/>
    <w:rsid w:val="00642F91"/>
    <w:rsid w:val="0065201D"/>
    <w:rsid w:val="00652579"/>
    <w:rsid w:val="00657F95"/>
    <w:rsid w:val="00670669"/>
    <w:rsid w:val="0067429E"/>
    <w:rsid w:val="006768C4"/>
    <w:rsid w:val="00687792"/>
    <w:rsid w:val="006B1AB7"/>
    <w:rsid w:val="006D15D2"/>
    <w:rsid w:val="006E3837"/>
    <w:rsid w:val="006E478E"/>
    <w:rsid w:val="006F61FD"/>
    <w:rsid w:val="00703862"/>
    <w:rsid w:val="007211E5"/>
    <w:rsid w:val="007323AE"/>
    <w:rsid w:val="00733107"/>
    <w:rsid w:val="00740DC9"/>
    <w:rsid w:val="00755D56"/>
    <w:rsid w:val="00764FCE"/>
    <w:rsid w:val="007654DB"/>
    <w:rsid w:val="00772C41"/>
    <w:rsid w:val="00781515"/>
    <w:rsid w:val="007868BD"/>
    <w:rsid w:val="0079467C"/>
    <w:rsid w:val="007970CB"/>
    <w:rsid w:val="007B414E"/>
    <w:rsid w:val="007B5ED0"/>
    <w:rsid w:val="007D2797"/>
    <w:rsid w:val="007D2EF4"/>
    <w:rsid w:val="007D56F2"/>
    <w:rsid w:val="007E1DFA"/>
    <w:rsid w:val="007F0814"/>
    <w:rsid w:val="007F7A58"/>
    <w:rsid w:val="00805DAD"/>
    <w:rsid w:val="00812A27"/>
    <w:rsid w:val="00813A4A"/>
    <w:rsid w:val="008147ED"/>
    <w:rsid w:val="00814C0D"/>
    <w:rsid w:val="00816045"/>
    <w:rsid w:val="00816711"/>
    <w:rsid w:val="008248EF"/>
    <w:rsid w:val="0084636B"/>
    <w:rsid w:val="00851F2D"/>
    <w:rsid w:val="00852757"/>
    <w:rsid w:val="0085329A"/>
    <w:rsid w:val="00863F05"/>
    <w:rsid w:val="008646D6"/>
    <w:rsid w:val="00865C25"/>
    <w:rsid w:val="00865E8F"/>
    <w:rsid w:val="008842AF"/>
    <w:rsid w:val="0088603F"/>
    <w:rsid w:val="008862E5"/>
    <w:rsid w:val="008A0491"/>
    <w:rsid w:val="008A0A98"/>
    <w:rsid w:val="008A5C92"/>
    <w:rsid w:val="008A71B0"/>
    <w:rsid w:val="008B176A"/>
    <w:rsid w:val="008B3FAD"/>
    <w:rsid w:val="008C1EC3"/>
    <w:rsid w:val="008C6560"/>
    <w:rsid w:val="008C6AF6"/>
    <w:rsid w:val="008D0A33"/>
    <w:rsid w:val="008D3EAF"/>
    <w:rsid w:val="008D3ED7"/>
    <w:rsid w:val="008D6AB8"/>
    <w:rsid w:val="008E342E"/>
    <w:rsid w:val="008E7144"/>
    <w:rsid w:val="00903BF3"/>
    <w:rsid w:val="009076E5"/>
    <w:rsid w:val="00910C34"/>
    <w:rsid w:val="009316C7"/>
    <w:rsid w:val="00932117"/>
    <w:rsid w:val="0094121F"/>
    <w:rsid w:val="00942ED0"/>
    <w:rsid w:val="009471B1"/>
    <w:rsid w:val="00952F3C"/>
    <w:rsid w:val="009676FD"/>
    <w:rsid w:val="0097256D"/>
    <w:rsid w:val="0097471D"/>
    <w:rsid w:val="00984FD3"/>
    <w:rsid w:val="00994439"/>
    <w:rsid w:val="009A0857"/>
    <w:rsid w:val="009A3C5F"/>
    <w:rsid w:val="009B3608"/>
    <w:rsid w:val="009E1978"/>
    <w:rsid w:val="009E337A"/>
    <w:rsid w:val="00A01A66"/>
    <w:rsid w:val="00A20EE8"/>
    <w:rsid w:val="00A2131F"/>
    <w:rsid w:val="00A3387E"/>
    <w:rsid w:val="00A33E60"/>
    <w:rsid w:val="00A35937"/>
    <w:rsid w:val="00A36EAF"/>
    <w:rsid w:val="00A4799C"/>
    <w:rsid w:val="00A5173D"/>
    <w:rsid w:val="00A53C0B"/>
    <w:rsid w:val="00A55D3E"/>
    <w:rsid w:val="00A700CD"/>
    <w:rsid w:val="00A7042E"/>
    <w:rsid w:val="00A72E3E"/>
    <w:rsid w:val="00A809F9"/>
    <w:rsid w:val="00A84548"/>
    <w:rsid w:val="00A924B0"/>
    <w:rsid w:val="00AA36E0"/>
    <w:rsid w:val="00AD4916"/>
    <w:rsid w:val="00AF2175"/>
    <w:rsid w:val="00AF2EDA"/>
    <w:rsid w:val="00AF4D93"/>
    <w:rsid w:val="00AF5371"/>
    <w:rsid w:val="00AF6D8B"/>
    <w:rsid w:val="00AF7E54"/>
    <w:rsid w:val="00B0379B"/>
    <w:rsid w:val="00B10DA2"/>
    <w:rsid w:val="00B149C6"/>
    <w:rsid w:val="00B15995"/>
    <w:rsid w:val="00B32C7E"/>
    <w:rsid w:val="00B40263"/>
    <w:rsid w:val="00B40F99"/>
    <w:rsid w:val="00B50EFC"/>
    <w:rsid w:val="00B57C45"/>
    <w:rsid w:val="00B6075F"/>
    <w:rsid w:val="00B65A03"/>
    <w:rsid w:val="00B67B28"/>
    <w:rsid w:val="00B830EC"/>
    <w:rsid w:val="00B92A13"/>
    <w:rsid w:val="00B94A49"/>
    <w:rsid w:val="00BA0204"/>
    <w:rsid w:val="00BA3508"/>
    <w:rsid w:val="00BA3F1E"/>
    <w:rsid w:val="00BB6835"/>
    <w:rsid w:val="00BC2C78"/>
    <w:rsid w:val="00BC360A"/>
    <w:rsid w:val="00BC5FA0"/>
    <w:rsid w:val="00BC7A87"/>
    <w:rsid w:val="00BD7A3F"/>
    <w:rsid w:val="00BE7CB3"/>
    <w:rsid w:val="00C0407E"/>
    <w:rsid w:val="00C114AF"/>
    <w:rsid w:val="00C11A77"/>
    <w:rsid w:val="00C251A9"/>
    <w:rsid w:val="00C26545"/>
    <w:rsid w:val="00C30F89"/>
    <w:rsid w:val="00C33B87"/>
    <w:rsid w:val="00C442FF"/>
    <w:rsid w:val="00C541FA"/>
    <w:rsid w:val="00C550DE"/>
    <w:rsid w:val="00C64B25"/>
    <w:rsid w:val="00C7797D"/>
    <w:rsid w:val="00C925AE"/>
    <w:rsid w:val="00C950FE"/>
    <w:rsid w:val="00C95E85"/>
    <w:rsid w:val="00CA0499"/>
    <w:rsid w:val="00CB279F"/>
    <w:rsid w:val="00CB760E"/>
    <w:rsid w:val="00CD5AEC"/>
    <w:rsid w:val="00CF2A26"/>
    <w:rsid w:val="00CF4E3D"/>
    <w:rsid w:val="00D04F46"/>
    <w:rsid w:val="00D04FE4"/>
    <w:rsid w:val="00D06F9D"/>
    <w:rsid w:val="00D1049E"/>
    <w:rsid w:val="00D10970"/>
    <w:rsid w:val="00D13056"/>
    <w:rsid w:val="00D15A29"/>
    <w:rsid w:val="00D26D35"/>
    <w:rsid w:val="00D534FA"/>
    <w:rsid w:val="00D61C70"/>
    <w:rsid w:val="00D62C1F"/>
    <w:rsid w:val="00D70BF0"/>
    <w:rsid w:val="00D7320A"/>
    <w:rsid w:val="00D76CDE"/>
    <w:rsid w:val="00D85F97"/>
    <w:rsid w:val="00D877AA"/>
    <w:rsid w:val="00D93740"/>
    <w:rsid w:val="00D95F17"/>
    <w:rsid w:val="00D9671D"/>
    <w:rsid w:val="00DC11FA"/>
    <w:rsid w:val="00DC381C"/>
    <w:rsid w:val="00DC69FB"/>
    <w:rsid w:val="00DD086B"/>
    <w:rsid w:val="00DE4658"/>
    <w:rsid w:val="00DE4BA0"/>
    <w:rsid w:val="00DE5B8B"/>
    <w:rsid w:val="00DF6DAC"/>
    <w:rsid w:val="00DF7C1D"/>
    <w:rsid w:val="00E010CA"/>
    <w:rsid w:val="00E02D8C"/>
    <w:rsid w:val="00E20EE4"/>
    <w:rsid w:val="00E21FEF"/>
    <w:rsid w:val="00E252D0"/>
    <w:rsid w:val="00E31657"/>
    <w:rsid w:val="00E34E9B"/>
    <w:rsid w:val="00E523D3"/>
    <w:rsid w:val="00E52862"/>
    <w:rsid w:val="00E52C40"/>
    <w:rsid w:val="00E633D9"/>
    <w:rsid w:val="00E779D0"/>
    <w:rsid w:val="00E91E6C"/>
    <w:rsid w:val="00EA65DB"/>
    <w:rsid w:val="00ED040E"/>
    <w:rsid w:val="00ED0A5F"/>
    <w:rsid w:val="00ED6222"/>
    <w:rsid w:val="00ED6741"/>
    <w:rsid w:val="00ED7C8C"/>
    <w:rsid w:val="00EE00A2"/>
    <w:rsid w:val="00EE7F16"/>
    <w:rsid w:val="00EF6F8E"/>
    <w:rsid w:val="00EF7421"/>
    <w:rsid w:val="00F11387"/>
    <w:rsid w:val="00F12398"/>
    <w:rsid w:val="00F26A1F"/>
    <w:rsid w:val="00F31027"/>
    <w:rsid w:val="00F314B6"/>
    <w:rsid w:val="00F448CA"/>
    <w:rsid w:val="00F453B9"/>
    <w:rsid w:val="00F46A3E"/>
    <w:rsid w:val="00F5521A"/>
    <w:rsid w:val="00F56703"/>
    <w:rsid w:val="00F6154D"/>
    <w:rsid w:val="00F72D14"/>
    <w:rsid w:val="00F74969"/>
    <w:rsid w:val="00F75504"/>
    <w:rsid w:val="00F81166"/>
    <w:rsid w:val="00F81896"/>
    <w:rsid w:val="00F91F40"/>
    <w:rsid w:val="00F938D7"/>
    <w:rsid w:val="00F93903"/>
    <w:rsid w:val="00F974C3"/>
    <w:rsid w:val="00F97A3F"/>
    <w:rsid w:val="00FC18A6"/>
    <w:rsid w:val="00FC2074"/>
    <w:rsid w:val="00FC3F1F"/>
    <w:rsid w:val="00FD0965"/>
    <w:rsid w:val="00FD3D93"/>
    <w:rsid w:val="00FD3F0F"/>
    <w:rsid w:val="00FE05DA"/>
    <w:rsid w:val="00FF2443"/>
    <w:rsid w:val="00FF7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5F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5C25"/>
    <w:pPr>
      <w:spacing w:before="120"/>
    </w:pPr>
    <w:rPr>
      <w:rFonts w:ascii="Franklin Gothic Book" w:hAnsi="Franklin Gothic Book"/>
    </w:rPr>
  </w:style>
  <w:style w:type="paragraph" w:styleId="Heading1">
    <w:name w:val="heading 1"/>
    <w:basedOn w:val="Normal"/>
    <w:next w:val="Normal"/>
    <w:link w:val="Heading1Char"/>
    <w:uiPriority w:val="9"/>
    <w:qFormat/>
    <w:rsid w:val="00865C25"/>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865C25"/>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865C2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865C25"/>
    <w:pPr>
      <w:outlineLvl w:val="3"/>
    </w:pPr>
    <w:rPr>
      <w:i/>
    </w:rPr>
  </w:style>
  <w:style w:type="paragraph" w:styleId="Heading5">
    <w:name w:val="heading 5"/>
    <w:basedOn w:val="Normal"/>
    <w:next w:val="Normal"/>
    <w:link w:val="Heading5Char"/>
    <w:uiPriority w:val="9"/>
    <w:unhideWhenUsed/>
    <w:qFormat/>
    <w:rsid w:val="00865C2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25"/>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865C25"/>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865C25"/>
    <w:rPr>
      <w:rFonts w:ascii="Franklin Gothic Medium" w:eastAsiaTheme="majorEastAsia" w:hAnsi="Franklin Gothic Medium" w:cstheme="majorBidi"/>
      <w:sz w:val="24"/>
      <w:szCs w:val="24"/>
    </w:rPr>
  </w:style>
  <w:style w:type="character" w:customStyle="1" w:styleId="Heading4Char">
    <w:name w:val="Heading 4 Char"/>
    <w:basedOn w:val="DefaultParagraphFont"/>
    <w:link w:val="Heading4"/>
    <w:uiPriority w:val="9"/>
    <w:rsid w:val="00865C25"/>
    <w:rPr>
      <w:rFonts w:ascii="Franklin Gothic Medium" w:eastAsiaTheme="majorEastAsia" w:hAnsi="Franklin Gothic Medium" w:cstheme="majorBidi"/>
      <w:i/>
      <w:sz w:val="24"/>
      <w:szCs w:val="24"/>
    </w:rPr>
  </w:style>
  <w:style w:type="character" w:customStyle="1" w:styleId="Heading5Char">
    <w:name w:val="Heading 5 Char"/>
    <w:basedOn w:val="DefaultParagraphFont"/>
    <w:link w:val="Heading5"/>
    <w:uiPriority w:val="9"/>
    <w:rsid w:val="00865C25"/>
    <w:rPr>
      <w:rFonts w:asciiTheme="majorHAnsi" w:eastAsiaTheme="majorEastAsia" w:hAnsiTheme="majorHAnsi" w:cstheme="majorBidi"/>
      <w:color w:val="2F5496" w:themeColor="accent1" w:themeShade="BF"/>
    </w:rPr>
  </w:style>
  <w:style w:type="paragraph" w:customStyle="1" w:styleId="TableText">
    <w:name w:val="Table Text"/>
    <w:basedOn w:val="Normal"/>
    <w:link w:val="TableTextChar"/>
    <w:qFormat/>
    <w:rsid w:val="00865C25"/>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865C25"/>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865C25"/>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865C25"/>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865C25"/>
    <w:rPr>
      <w:sz w:val="16"/>
      <w:szCs w:val="16"/>
    </w:rPr>
  </w:style>
  <w:style w:type="character" w:customStyle="1" w:styleId="TableTextChar">
    <w:name w:val="Table Text Char"/>
    <w:basedOn w:val="DefaultParagraphFont"/>
    <w:link w:val="TableText"/>
    <w:rsid w:val="00865C25"/>
    <w:rPr>
      <w:rFonts w:ascii="Arial Narrow" w:hAnsi="Arial Narrow"/>
      <w:sz w:val="20"/>
    </w:rPr>
  </w:style>
  <w:style w:type="character" w:customStyle="1" w:styleId="TableHeadingChar">
    <w:name w:val="TableHeading Char"/>
    <w:link w:val="TableHeading"/>
    <w:rsid w:val="00865C25"/>
    <w:rPr>
      <w:rFonts w:ascii="Arial Narrow" w:hAnsi="Arial Narrow"/>
      <w:b/>
      <w:sz w:val="20"/>
    </w:rPr>
  </w:style>
  <w:style w:type="paragraph" w:styleId="BalloonText">
    <w:name w:val="Balloon Text"/>
    <w:basedOn w:val="Normal"/>
    <w:link w:val="BalloonTextChar"/>
    <w:uiPriority w:val="99"/>
    <w:semiHidden/>
    <w:unhideWhenUsed/>
    <w:rsid w:val="00865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C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65C25"/>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865C25"/>
    <w:rPr>
      <w:rFonts w:ascii="Calibri" w:eastAsia="Times New Roman" w:hAnsi="Calibri" w:cs="Times New Roman"/>
      <w:b/>
      <w:bCs/>
      <w:color w:val="000000"/>
      <w:sz w:val="20"/>
      <w:szCs w:val="20"/>
      <w:lang w:eastAsia="en-AU"/>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865C25"/>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865C25"/>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865C25"/>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HTAtableplain"/>
    <w:basedOn w:val="TableNormal"/>
    <w:rsid w:val="00865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rsid w:val="00865C25"/>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865C25"/>
    <w:pPr>
      <w:ind w:left="720"/>
      <w:contextualSpacing/>
    </w:pPr>
  </w:style>
  <w:style w:type="character" w:styleId="Strong">
    <w:name w:val="Strong"/>
    <w:basedOn w:val="DefaultParagraphFont"/>
    <w:uiPriority w:val="22"/>
    <w:qFormat/>
    <w:rsid w:val="00865C25"/>
    <w:rPr>
      <w:b/>
      <w:bCs/>
    </w:rPr>
  </w:style>
  <w:style w:type="paragraph" w:customStyle="1" w:styleId="TableName">
    <w:name w:val="TableName"/>
    <w:basedOn w:val="Normal"/>
    <w:rsid w:val="00865C25"/>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rsid w:val="00865C25"/>
    <w:pPr>
      <w:ind w:left="142" w:hanging="142"/>
    </w:pPr>
  </w:style>
  <w:style w:type="paragraph" w:customStyle="1" w:styleId="TableTextCA">
    <w:name w:val="Table Text CA"/>
    <w:basedOn w:val="TableText"/>
    <w:rsid w:val="00865C25"/>
    <w:pPr>
      <w:jc w:val="center"/>
    </w:pPr>
  </w:style>
  <w:style w:type="paragraph" w:customStyle="1" w:styleId="TableHeadingCA">
    <w:name w:val="Table Heading CA"/>
    <w:basedOn w:val="TableHeading0"/>
    <w:rsid w:val="00865C25"/>
    <w:pPr>
      <w:jc w:val="center"/>
    </w:pPr>
  </w:style>
  <w:style w:type="paragraph" w:customStyle="1" w:styleId="TableHeading0">
    <w:name w:val="Table Heading"/>
    <w:basedOn w:val="Normal"/>
    <w:rsid w:val="00865C25"/>
    <w:pPr>
      <w:spacing w:after="60" w:line="240" w:lineRule="auto"/>
    </w:pPr>
    <w:rPr>
      <w:rFonts w:ascii="Arial Narrow" w:hAnsi="Arial Narrow"/>
      <w:b/>
      <w:sz w:val="20"/>
    </w:rPr>
  </w:style>
  <w:style w:type="paragraph" w:customStyle="1" w:styleId="TableFigNoteLast">
    <w:name w:val="TableFigNote Last"/>
    <w:basedOn w:val="TableFigNote"/>
    <w:rsid w:val="00865C25"/>
  </w:style>
  <w:style w:type="paragraph" w:customStyle="1" w:styleId="2ChapterText">
    <w:name w:val="2ChapterText"/>
    <w:basedOn w:val="Normal"/>
    <w:rsid w:val="00865C25"/>
    <w:rPr>
      <w:shd w:val="clear" w:color="auto" w:fill="B4C6E7" w:themeFill="accent1" w:themeFillTint="66"/>
    </w:rPr>
  </w:style>
  <w:style w:type="paragraph" w:customStyle="1" w:styleId="1ExplanatoryText">
    <w:name w:val="1ExplanatoryText"/>
    <w:basedOn w:val="Normal"/>
    <w:rsid w:val="00865C25"/>
    <w:pPr>
      <w:shd w:val="clear" w:color="auto" w:fill="C5E0B3" w:themeFill="accent6" w:themeFillTint="66"/>
    </w:pPr>
  </w:style>
  <w:style w:type="character" w:styleId="Hyperlink">
    <w:name w:val="Hyperlink"/>
    <w:basedOn w:val="DefaultParagraphFont"/>
    <w:uiPriority w:val="99"/>
    <w:unhideWhenUsed/>
    <w:rsid w:val="00865C25"/>
    <w:rPr>
      <w:color w:val="0070C0"/>
      <w:u w:val="single"/>
    </w:rPr>
  </w:style>
  <w:style w:type="paragraph" w:styleId="TOC1">
    <w:name w:val="toc 1"/>
    <w:basedOn w:val="Normal"/>
    <w:next w:val="Normal"/>
    <w:autoRedefine/>
    <w:uiPriority w:val="39"/>
    <w:unhideWhenUsed/>
    <w:rsid w:val="00865C25"/>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865C25"/>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65C25"/>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65C25"/>
    <w:rPr>
      <w:color w:val="954F72" w:themeColor="followedHyperlink"/>
      <w:u w:val="single"/>
    </w:rPr>
  </w:style>
  <w:style w:type="paragraph" w:styleId="TOC9">
    <w:name w:val="toc 9"/>
    <w:basedOn w:val="Normal"/>
    <w:next w:val="Normal"/>
    <w:autoRedefine/>
    <w:uiPriority w:val="39"/>
    <w:unhideWhenUsed/>
    <w:rsid w:val="00865C25"/>
    <w:pPr>
      <w:spacing w:after="100"/>
      <w:ind w:left="1760"/>
    </w:pPr>
  </w:style>
  <w:style w:type="paragraph" w:styleId="Date">
    <w:name w:val="Date"/>
    <w:basedOn w:val="Normal"/>
    <w:next w:val="Normal"/>
    <w:link w:val="DateChar"/>
    <w:rsid w:val="00865C25"/>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865C25"/>
    <w:rPr>
      <w:rFonts w:ascii="Arial" w:eastAsia="Times New Roman" w:hAnsi="Arial" w:cs="Tahoma"/>
      <w:b/>
      <w:sz w:val="36"/>
      <w:lang w:eastAsia="en-AU"/>
    </w:rPr>
  </w:style>
  <w:style w:type="paragraph" w:customStyle="1" w:styleId="PublicationTitle">
    <w:name w:val="PublicationTitle"/>
    <w:basedOn w:val="Normal"/>
    <w:rsid w:val="00865C25"/>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865C25"/>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865C25"/>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rsid w:val="00865C25"/>
    <w:pPr>
      <w:numPr>
        <w:numId w:val="0"/>
      </w:numPr>
      <w:pBdr>
        <w:bottom w:val="none" w:sz="0" w:space="0" w:color="auto"/>
      </w:pBdr>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unhideWhenUsed/>
    <w:rsid w:val="00865C25"/>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865C25"/>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865C25"/>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865C25"/>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865C25"/>
    <w:pPr>
      <w:spacing w:after="100"/>
      <w:ind w:left="1540"/>
    </w:pPr>
    <w:rPr>
      <w:rFonts w:asciiTheme="minorHAnsi" w:eastAsiaTheme="minorEastAsia" w:hAnsiTheme="minorHAnsi"/>
      <w:lang w:eastAsia="en-AU"/>
    </w:rPr>
  </w:style>
  <w:style w:type="paragraph" w:customStyle="1" w:styleId="In-tableHeading">
    <w:name w:val="In-table Heading"/>
    <w:qFormat/>
    <w:rsid w:val="00865C25"/>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rsid w:val="00865C25"/>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65C25"/>
    <w:rPr>
      <w:rFonts w:ascii="Arial Narrow" w:eastAsia="Times New Roman" w:hAnsi="Arial Narrow" w:cs="Arial"/>
      <w:snapToGrid w:val="0"/>
      <w:sz w:val="18"/>
      <w:lang w:eastAsia="en-AU"/>
    </w:rPr>
  </w:style>
  <w:style w:type="character" w:styleId="Emphasis">
    <w:name w:val="Emphasis"/>
    <w:uiPriority w:val="20"/>
    <w:qFormat/>
    <w:rsid w:val="00865C25"/>
    <w:rPr>
      <w:i/>
      <w:iCs/>
    </w:rPr>
  </w:style>
  <w:style w:type="paragraph" w:styleId="Header">
    <w:name w:val="header"/>
    <w:basedOn w:val="Normal"/>
    <w:link w:val="HeaderChar"/>
    <w:uiPriority w:val="99"/>
    <w:unhideWhenUsed/>
    <w:rsid w:val="00865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C25"/>
    <w:rPr>
      <w:rFonts w:ascii="Franklin Gothic Book" w:hAnsi="Franklin Gothic Book"/>
    </w:rPr>
  </w:style>
  <w:style w:type="paragraph" w:styleId="Footer">
    <w:name w:val="footer"/>
    <w:basedOn w:val="Normal"/>
    <w:link w:val="FooterChar"/>
    <w:uiPriority w:val="99"/>
    <w:unhideWhenUsed/>
    <w:rsid w:val="00865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C25"/>
    <w:rPr>
      <w:rFonts w:ascii="Franklin Gothic Book" w:hAnsi="Franklin Gothic Book"/>
    </w:rPr>
  </w:style>
  <w:style w:type="paragraph" w:customStyle="1" w:styleId="Tablenotes">
    <w:name w:val="Tablenotes"/>
    <w:basedOn w:val="Normal"/>
    <w:link w:val="TablenotesChar"/>
    <w:qFormat/>
    <w:rsid w:val="00865C25"/>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865C25"/>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865C25"/>
    <w:rPr>
      <w:rFonts w:ascii="Franklin Gothic Book" w:hAnsi="Franklin Gothic Book"/>
    </w:rPr>
  </w:style>
  <w:style w:type="table" w:customStyle="1" w:styleId="TableGridLight1">
    <w:name w:val="Table Grid Light1"/>
    <w:basedOn w:val="TableNormal"/>
    <w:uiPriority w:val="40"/>
    <w:rsid w:val="00865C2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865C25"/>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rsid w:val="00865C2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865C2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865C25"/>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865C25"/>
    <w:rPr>
      <w:rFonts w:ascii="Arial Narrow" w:eastAsia="Times New Roman" w:hAnsi="Arial Narrow" w:cs="Tahoma"/>
      <w:sz w:val="20"/>
      <w:szCs w:val="20"/>
      <w:lang w:eastAsia="en-AU"/>
    </w:rPr>
  </w:style>
  <w:style w:type="paragraph" w:customStyle="1" w:styleId="Tablenotes0">
    <w:name w:val="Table notes"/>
    <w:basedOn w:val="Normal"/>
    <w:link w:val="TablenotesChar0"/>
    <w:rsid w:val="00865C25"/>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865C25"/>
    <w:rPr>
      <w:rFonts w:ascii="Arial Narrow" w:hAnsi="Arial Narrow" w:cs="Arial"/>
      <w:sz w:val="18"/>
    </w:rPr>
  </w:style>
  <w:style w:type="numbering" w:customStyle="1" w:styleId="ESSectionheading-numbered">
    <w:name w:val="ES. Section heading - numbered"/>
    <w:uiPriority w:val="99"/>
    <w:rsid w:val="00865C25"/>
    <w:pPr>
      <w:numPr>
        <w:numId w:val="4"/>
      </w:numPr>
    </w:pPr>
  </w:style>
  <w:style w:type="paragraph" w:customStyle="1" w:styleId="2-SectionHeading">
    <w:name w:val="2-Section Heading"/>
    <w:qFormat/>
    <w:rsid w:val="00865C25"/>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rsid w:val="00865C25"/>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rsid w:val="00865C25"/>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865C25"/>
    <w:rPr>
      <w:rFonts w:ascii="Calibri" w:hAnsi="Calibri" w:cs="Calibri"/>
      <w:color w:val="0070C0"/>
      <w:sz w:val="24"/>
    </w:rPr>
  </w:style>
  <w:style w:type="paragraph" w:customStyle="1" w:styleId="InstructionBulletpoint">
    <w:name w:val="Instruction Bullet point"/>
    <w:basedOn w:val="Normal"/>
    <w:link w:val="InstructionBulletpointChar"/>
    <w:uiPriority w:val="3"/>
    <w:rsid w:val="00865C25"/>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865C25"/>
    <w:rPr>
      <w:rFonts w:ascii="Arial Narrow" w:eastAsia="Times New Roman" w:hAnsi="Arial Narrow" w:cs="Arial"/>
      <w:sz w:val="18"/>
      <w:szCs w:val="20"/>
    </w:rPr>
  </w:style>
  <w:style w:type="paragraph" w:customStyle="1" w:styleId="TableFooter">
    <w:name w:val="Table Footer"/>
    <w:basedOn w:val="Normal"/>
    <w:link w:val="TableFooterChar"/>
    <w:qFormat/>
    <w:rsid w:val="00865C25"/>
    <w:pPr>
      <w:widowControl w:val="0"/>
      <w:snapToGrid w:val="0"/>
      <w:spacing w:before="0" w:after="12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865C25"/>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Tahoma" w:hAnsi="Tahom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Tahoma" w:hAnsi="Tahom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Tahoma" w:hAnsi="Tahom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865C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865C25"/>
    <w:rPr>
      <w:rFonts w:ascii="Times New Roman" w:hAnsi="Times New Roman" w:cs="Times New Roman"/>
      <w:sz w:val="24"/>
    </w:rPr>
  </w:style>
  <w:style w:type="paragraph" w:customStyle="1" w:styleId="MSACESParagraph">
    <w:name w:val="MSAC ES Paragraph"/>
    <w:link w:val="MSACESParagraphChar"/>
    <w:uiPriority w:val="1"/>
    <w:qFormat/>
    <w:rsid w:val="00865C25"/>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65C25"/>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65C25"/>
    <w:rPr>
      <w:sz w:val="18"/>
      <w:szCs w:val="20"/>
    </w:rPr>
  </w:style>
  <w:style w:type="character" w:styleId="FootnoteReference">
    <w:name w:val="footnote reference"/>
    <w:basedOn w:val="DefaultParagraphFont"/>
    <w:unhideWhenUsed/>
    <w:rsid w:val="00865C25"/>
    <w:rPr>
      <w:vertAlign w:val="superscript"/>
    </w:rPr>
  </w:style>
  <w:style w:type="paragraph" w:customStyle="1" w:styleId="TableFigNoteHanging">
    <w:name w:val="TableFigNoteHanging"/>
    <w:basedOn w:val="TableFigNoteHangingLast"/>
    <w:rsid w:val="00865C25"/>
    <w:pPr>
      <w:spacing w:after="0"/>
      <w:contextualSpacing w:val="0"/>
    </w:pPr>
    <w:rPr>
      <w:rFonts w:asciiTheme="minorHAnsi" w:hAnsiTheme="minorHAnsi"/>
    </w:rPr>
  </w:style>
  <w:style w:type="table" w:customStyle="1" w:styleId="TableGrid2">
    <w:name w:val="Table Grid2"/>
    <w:basedOn w:val="TableNormal"/>
    <w:next w:val="TableGrid"/>
    <w:uiPriority w:val="59"/>
    <w:rsid w:val="00865C25"/>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865C25"/>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865C25"/>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865C25"/>
    <w:rPr>
      <w:rFonts w:ascii="Arial Narrow" w:eastAsia="Times New Roman" w:hAnsi="Arial Narrow" w:cs="Tahoma"/>
      <w:sz w:val="18"/>
      <w:lang w:eastAsia="en-AU"/>
    </w:rPr>
  </w:style>
  <w:style w:type="paragraph" w:customStyle="1" w:styleId="References">
    <w:name w:val="References"/>
    <w:basedOn w:val="Normal"/>
    <w:rsid w:val="00865C25"/>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865C25"/>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865C25"/>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865C25"/>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865C25"/>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865C25"/>
    <w:pPr>
      <w:numPr>
        <w:ilvl w:val="0"/>
        <w:numId w:val="7"/>
      </w:numPr>
      <w:spacing w:before="240"/>
      <w:ind w:left="2154" w:hanging="357"/>
    </w:pPr>
  </w:style>
  <w:style w:type="paragraph" w:customStyle="1" w:styleId="NormalBeforeBullet">
    <w:name w:val="Normal Before Bullet"/>
    <w:basedOn w:val="Normal"/>
    <w:qFormat/>
    <w:rsid w:val="00865C25"/>
  </w:style>
  <w:style w:type="paragraph" w:customStyle="1" w:styleId="Dash">
    <w:name w:val="Dash"/>
    <w:basedOn w:val="Bullet"/>
    <w:qFormat/>
    <w:rsid w:val="00865C25"/>
    <w:pPr>
      <w:numPr>
        <w:numId w:val="8"/>
      </w:numPr>
      <w:spacing w:after="40"/>
      <w:ind w:left="714" w:hanging="357"/>
    </w:pPr>
  </w:style>
  <w:style w:type="paragraph" w:customStyle="1" w:styleId="Instructionaltext">
    <w:name w:val="Instructional text"/>
    <w:basedOn w:val="Normal"/>
    <w:link w:val="InstructionaltextChar"/>
    <w:qFormat/>
    <w:rsid w:val="00865C25"/>
    <w:rPr>
      <w:color w:val="258221"/>
    </w:rPr>
  </w:style>
  <w:style w:type="character" w:customStyle="1" w:styleId="UnresolvedMention1">
    <w:name w:val="Unresolved Mention1"/>
    <w:basedOn w:val="DefaultParagraphFont"/>
    <w:uiPriority w:val="99"/>
    <w:semiHidden/>
    <w:unhideWhenUsed/>
    <w:rsid w:val="00865C25"/>
    <w:rPr>
      <w:color w:val="605E5C"/>
      <w:shd w:val="clear" w:color="auto" w:fill="E1DFDD"/>
    </w:rPr>
  </w:style>
  <w:style w:type="character" w:customStyle="1" w:styleId="InstructionaltextChar">
    <w:name w:val="Instructional text Char"/>
    <w:basedOn w:val="DefaultParagraphFont"/>
    <w:link w:val="Instructionaltext"/>
    <w:rsid w:val="00865C25"/>
    <w:rPr>
      <w:rFonts w:ascii="Franklin Gothic Book" w:hAnsi="Franklin Gothic Book"/>
      <w:color w:val="258221"/>
    </w:rPr>
  </w:style>
  <w:style w:type="paragraph" w:customStyle="1" w:styleId="Instructionaltext-bullet">
    <w:name w:val="Instructional text - bullet"/>
    <w:basedOn w:val="Instructionaltext"/>
    <w:qFormat/>
    <w:rsid w:val="00865C25"/>
    <w:pPr>
      <w:numPr>
        <w:numId w:val="9"/>
      </w:numPr>
      <w:spacing w:before="0" w:after="0"/>
      <w:ind w:left="714" w:hanging="357"/>
    </w:pPr>
  </w:style>
  <w:style w:type="paragraph" w:customStyle="1" w:styleId="Instructionaltext-afterfiguretable">
    <w:name w:val="Instructional text - after figure/table"/>
    <w:basedOn w:val="Instructionaltext"/>
    <w:rsid w:val="00865C25"/>
    <w:pPr>
      <w:spacing w:before="360"/>
    </w:pPr>
  </w:style>
  <w:style w:type="paragraph" w:customStyle="1" w:styleId="Guidelinescross-ref">
    <w:name w:val="Guidelines cross-ref"/>
    <w:basedOn w:val="Normal"/>
    <w:rsid w:val="00865C25"/>
    <w:pPr>
      <w:spacing w:before="240" w:after="240"/>
    </w:pPr>
    <w:rPr>
      <w:b/>
      <w:color w:val="0070C0"/>
      <w:sz w:val="24"/>
    </w:rPr>
  </w:style>
  <w:style w:type="paragraph" w:styleId="Revision">
    <w:name w:val="Revision"/>
    <w:hidden/>
    <w:uiPriority w:val="99"/>
    <w:semiHidden/>
    <w:rsid w:val="00865C25"/>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865C25"/>
    <w:rPr>
      <w:color w:val="605E5C"/>
      <w:shd w:val="clear" w:color="auto" w:fill="E1DFDD"/>
    </w:rPr>
  </w:style>
  <w:style w:type="character" w:customStyle="1" w:styleId="UnresolvedMention3">
    <w:name w:val="Unresolved Mention3"/>
    <w:basedOn w:val="DefaultParagraphFont"/>
    <w:uiPriority w:val="99"/>
    <w:semiHidden/>
    <w:unhideWhenUsed/>
    <w:rsid w:val="00865C25"/>
    <w:rPr>
      <w:color w:val="605E5C"/>
      <w:shd w:val="clear" w:color="auto" w:fill="E1DFDD"/>
    </w:rPr>
  </w:style>
  <w:style w:type="character" w:customStyle="1" w:styleId="cf01">
    <w:name w:val="cf01"/>
    <w:basedOn w:val="DefaultParagraphFont"/>
    <w:rsid w:val="00865C25"/>
    <w:rPr>
      <w:rFonts w:ascii="Segoe UI" w:hAnsi="Segoe UI" w:cs="Segoe UI" w:hint="default"/>
      <w:b/>
      <w:bCs/>
      <w:sz w:val="18"/>
      <w:szCs w:val="18"/>
    </w:rPr>
  </w:style>
  <w:style w:type="character" w:customStyle="1" w:styleId="cf11">
    <w:name w:val="cf11"/>
    <w:basedOn w:val="DefaultParagraphFont"/>
    <w:rsid w:val="00865C25"/>
    <w:rPr>
      <w:rFonts w:ascii="Segoe UI" w:hAnsi="Segoe UI" w:cs="Segoe UI" w:hint="default"/>
      <w:i/>
      <w:iCs/>
      <w:sz w:val="18"/>
      <w:szCs w:val="18"/>
    </w:rPr>
  </w:style>
  <w:style w:type="paragraph" w:styleId="Quote">
    <w:name w:val="Quote"/>
    <w:basedOn w:val="Normal"/>
    <w:next w:val="Normal"/>
    <w:link w:val="QuoteChar"/>
    <w:qFormat/>
    <w:rsid w:val="00865C2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5C25"/>
    <w:rPr>
      <w:rFonts w:ascii="Franklin Gothic Book" w:hAnsi="Franklin Gothic Book"/>
      <w:i/>
      <w:iCs/>
      <w:color w:val="404040" w:themeColor="text1" w:themeTint="BF"/>
    </w:rPr>
  </w:style>
  <w:style w:type="character" w:customStyle="1" w:styleId="normaltextrun">
    <w:name w:val="normaltextrun"/>
    <w:basedOn w:val="DefaultParagraphFont"/>
    <w:rsid w:val="00865C25"/>
  </w:style>
  <w:style w:type="character" w:customStyle="1" w:styleId="eop">
    <w:name w:val="eop"/>
    <w:basedOn w:val="DefaultParagraphFont"/>
    <w:rsid w:val="00865C25"/>
  </w:style>
  <w:style w:type="paragraph" w:customStyle="1" w:styleId="paragraph">
    <w:name w:val="paragraph"/>
    <w:basedOn w:val="Normal"/>
    <w:rsid w:val="00865C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sonormal0">
    <w:name w:val="msonormal"/>
    <w:basedOn w:val="Normal"/>
    <w:rsid w:val="00865C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865C25"/>
  </w:style>
  <w:style w:type="character" w:styleId="PlaceholderText">
    <w:name w:val="Placeholder Text"/>
    <w:basedOn w:val="DefaultParagraphFont"/>
    <w:uiPriority w:val="99"/>
    <w:semiHidden/>
    <w:rsid w:val="00865C25"/>
    <w:rPr>
      <w:color w:val="808080"/>
    </w:rPr>
  </w:style>
  <w:style w:type="character" w:customStyle="1" w:styleId="UnresolvedMention31">
    <w:name w:val="Unresolved Mention31"/>
    <w:basedOn w:val="DefaultParagraphFont"/>
    <w:uiPriority w:val="99"/>
    <w:semiHidden/>
    <w:unhideWhenUsed/>
    <w:rsid w:val="00865C25"/>
    <w:rPr>
      <w:color w:val="605E5C"/>
      <w:shd w:val="clear" w:color="auto" w:fill="E1DFDD"/>
    </w:rPr>
  </w:style>
  <w:style w:type="character" w:customStyle="1" w:styleId="Mention1">
    <w:name w:val="Mention1"/>
    <w:basedOn w:val="DefaultParagraphFont"/>
    <w:uiPriority w:val="99"/>
    <w:unhideWhenUsed/>
    <w:rsid w:val="00865C25"/>
    <w:rPr>
      <w:color w:val="2B579A"/>
      <w:shd w:val="clear" w:color="auto" w:fill="E6E6E6"/>
    </w:rPr>
  </w:style>
  <w:style w:type="character" w:customStyle="1" w:styleId="UnresolvedMention4">
    <w:name w:val="Unresolved Mention4"/>
    <w:basedOn w:val="DefaultParagraphFont"/>
    <w:uiPriority w:val="99"/>
    <w:semiHidden/>
    <w:unhideWhenUsed/>
    <w:rsid w:val="00865C25"/>
    <w:rPr>
      <w:color w:val="605E5C"/>
      <w:shd w:val="clear" w:color="auto" w:fill="E1DFDD"/>
    </w:rPr>
  </w:style>
  <w:style w:type="character" w:customStyle="1" w:styleId="Mention2">
    <w:name w:val="Mention2"/>
    <w:basedOn w:val="DefaultParagraphFont"/>
    <w:uiPriority w:val="99"/>
    <w:unhideWhenUsed/>
    <w:rsid w:val="00865C25"/>
    <w:rPr>
      <w:color w:val="2B579A"/>
      <w:shd w:val="clear" w:color="auto" w:fill="E6E6E6"/>
    </w:rPr>
  </w:style>
  <w:style w:type="paragraph" w:customStyle="1" w:styleId="EndNoteBibliographyTitle">
    <w:name w:val="EndNote Bibliography Title"/>
    <w:basedOn w:val="Normal"/>
    <w:link w:val="EndNoteBibliographyTitleChar"/>
    <w:rsid w:val="00865C25"/>
    <w:pPr>
      <w:spacing w:after="0"/>
      <w:jc w:val="center"/>
    </w:pPr>
    <w:rPr>
      <w:noProof/>
      <w:sz w:val="20"/>
      <w:lang w:val="en-US"/>
    </w:rPr>
  </w:style>
  <w:style w:type="character" w:customStyle="1" w:styleId="EndNoteBibliographyTitleChar">
    <w:name w:val="EndNote Bibliography Title Char"/>
    <w:basedOn w:val="TableTextChar"/>
    <w:link w:val="EndNoteBibliographyTitle"/>
    <w:rsid w:val="00865C25"/>
    <w:rPr>
      <w:rFonts w:ascii="Franklin Gothic Book" w:hAnsi="Franklin Gothic Book"/>
      <w:noProof/>
      <w:sz w:val="20"/>
      <w:lang w:val="en-US"/>
    </w:rPr>
  </w:style>
  <w:style w:type="paragraph" w:customStyle="1" w:styleId="EndNoteBibliography">
    <w:name w:val="EndNote Bibliography"/>
    <w:basedOn w:val="Normal"/>
    <w:link w:val="EndNoteBibliographyChar"/>
    <w:rsid w:val="00865C25"/>
    <w:pPr>
      <w:spacing w:line="240" w:lineRule="auto"/>
    </w:pPr>
    <w:rPr>
      <w:noProof/>
      <w:sz w:val="20"/>
      <w:lang w:val="en-US"/>
    </w:rPr>
  </w:style>
  <w:style w:type="character" w:customStyle="1" w:styleId="EndNoteBibliographyChar">
    <w:name w:val="EndNote Bibliography Char"/>
    <w:basedOn w:val="TableTextChar"/>
    <w:link w:val="EndNoteBibliography"/>
    <w:rsid w:val="00865C25"/>
    <w:rPr>
      <w:rFonts w:ascii="Franklin Gothic Book" w:hAnsi="Franklin Gothic Book"/>
      <w:noProof/>
      <w:sz w:val="20"/>
      <w:lang w:val="en-US"/>
    </w:rPr>
  </w:style>
  <w:style w:type="character" w:customStyle="1" w:styleId="UnresolvedMention5">
    <w:name w:val="Unresolved Mention5"/>
    <w:basedOn w:val="DefaultParagraphFont"/>
    <w:uiPriority w:val="99"/>
    <w:semiHidden/>
    <w:unhideWhenUsed/>
    <w:rsid w:val="00865C25"/>
    <w:rPr>
      <w:color w:val="605E5C"/>
      <w:shd w:val="clear" w:color="auto" w:fill="E1DFDD"/>
    </w:rPr>
  </w:style>
  <w:style w:type="paragraph" w:styleId="NormalWeb">
    <w:name w:val="Normal (Web)"/>
    <w:basedOn w:val="Normal"/>
    <w:uiPriority w:val="99"/>
    <w:unhideWhenUsed/>
    <w:rsid w:val="00865C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865C25"/>
    <w:pPr>
      <w:autoSpaceDE w:val="0"/>
      <w:autoSpaceDN w:val="0"/>
      <w:adjustRightInd w:val="0"/>
      <w:spacing w:after="0" w:line="240" w:lineRule="auto"/>
    </w:pPr>
    <w:rPr>
      <w:rFonts w:ascii="Arial" w:hAnsi="Arial" w:cs="Arial"/>
      <w:color w:val="000000"/>
      <w:sz w:val="24"/>
      <w:szCs w:val="24"/>
    </w:rPr>
  </w:style>
  <w:style w:type="paragraph" w:customStyle="1" w:styleId="BulletBeforeDash">
    <w:name w:val="BulletBeforeDash"/>
    <w:basedOn w:val="Normal"/>
    <w:rsid w:val="00764FCE"/>
    <w:pPr>
      <w:numPr>
        <w:numId w:val="20"/>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764FCE"/>
    <w:pPr>
      <w:tabs>
        <w:tab w:val="num" w:pos="360"/>
      </w:tabs>
      <w:spacing w:before="0" w:after="240"/>
      <w:ind w:left="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764FCE"/>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764FCE"/>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764FCE"/>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764FCE"/>
    <w:pPr>
      <w:numPr>
        <w:numId w:val="21"/>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character" w:customStyle="1" w:styleId="tabchar">
    <w:name w:val="tabchar"/>
    <w:basedOn w:val="DefaultParagraphFont"/>
    <w:rsid w:val="007B5ED0"/>
  </w:style>
  <w:style w:type="paragraph" w:styleId="BodyText">
    <w:name w:val="Body Text"/>
    <w:basedOn w:val="Normal"/>
    <w:link w:val="BodyTextChar"/>
    <w:rsid w:val="00813A4A"/>
    <w:pPr>
      <w:spacing w:before="0" w:after="0" w:line="312" w:lineRule="auto"/>
    </w:pPr>
    <w:rPr>
      <w:rFonts w:ascii="Helv" w:eastAsia="Times New Roman" w:hAnsi="Helv" w:cs="Tahoma"/>
      <w:b/>
      <w:i/>
      <w:snapToGrid w:val="0"/>
      <w:color w:val="000000"/>
      <w:sz w:val="28"/>
    </w:rPr>
  </w:style>
  <w:style w:type="character" w:customStyle="1" w:styleId="BodyTextChar">
    <w:name w:val="Body Text Char"/>
    <w:basedOn w:val="DefaultParagraphFont"/>
    <w:link w:val="BodyText"/>
    <w:rsid w:val="00813A4A"/>
    <w:rPr>
      <w:rFonts w:ascii="Helv" w:eastAsia="Times New Roman" w:hAnsi="Helv" w:cs="Tahoma"/>
      <w:b/>
      <w:i/>
      <w:snapToGrid w:val="0"/>
      <w:color w:val="000000"/>
      <w:sz w:val="28"/>
    </w:rPr>
  </w:style>
  <w:style w:type="character" w:styleId="UnresolvedMention">
    <w:name w:val="Unresolved Mention"/>
    <w:basedOn w:val="DefaultParagraphFont"/>
    <w:uiPriority w:val="99"/>
    <w:semiHidden/>
    <w:unhideWhenUsed/>
    <w:rsid w:val="00863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7404">
      <w:bodyDiv w:val="1"/>
      <w:marLeft w:val="0"/>
      <w:marRight w:val="0"/>
      <w:marTop w:val="0"/>
      <w:marBottom w:val="0"/>
      <w:divBdr>
        <w:top w:val="none" w:sz="0" w:space="0" w:color="auto"/>
        <w:left w:val="none" w:sz="0" w:space="0" w:color="auto"/>
        <w:bottom w:val="none" w:sz="0" w:space="0" w:color="auto"/>
        <w:right w:val="none" w:sz="0" w:space="0" w:color="auto"/>
      </w:divBdr>
    </w:div>
    <w:div w:id="1012075030">
      <w:bodyDiv w:val="1"/>
      <w:marLeft w:val="0"/>
      <w:marRight w:val="0"/>
      <w:marTop w:val="0"/>
      <w:marBottom w:val="0"/>
      <w:divBdr>
        <w:top w:val="none" w:sz="0" w:space="0" w:color="auto"/>
        <w:left w:val="none" w:sz="0" w:space="0" w:color="auto"/>
        <w:bottom w:val="none" w:sz="0" w:space="0" w:color="auto"/>
        <w:right w:val="none" w:sz="0" w:space="0" w:color="auto"/>
      </w:divBdr>
      <w:divsChild>
        <w:div w:id="435908231">
          <w:marLeft w:val="0"/>
          <w:marRight w:val="0"/>
          <w:marTop w:val="0"/>
          <w:marBottom w:val="0"/>
          <w:divBdr>
            <w:top w:val="none" w:sz="0" w:space="0" w:color="auto"/>
            <w:left w:val="none" w:sz="0" w:space="0" w:color="auto"/>
            <w:bottom w:val="none" w:sz="0" w:space="0" w:color="auto"/>
            <w:right w:val="none" w:sz="0" w:space="0" w:color="auto"/>
          </w:divBdr>
        </w:div>
        <w:div w:id="1745832859">
          <w:marLeft w:val="0"/>
          <w:marRight w:val="0"/>
          <w:marTop w:val="0"/>
          <w:marBottom w:val="0"/>
          <w:divBdr>
            <w:top w:val="none" w:sz="0" w:space="0" w:color="auto"/>
            <w:left w:val="none" w:sz="0" w:space="0" w:color="auto"/>
            <w:bottom w:val="none" w:sz="0" w:space="0" w:color="auto"/>
            <w:right w:val="none" w:sz="0" w:space="0" w:color="auto"/>
          </w:divBdr>
        </w:div>
        <w:div w:id="253629600">
          <w:marLeft w:val="0"/>
          <w:marRight w:val="0"/>
          <w:marTop w:val="0"/>
          <w:marBottom w:val="0"/>
          <w:divBdr>
            <w:top w:val="none" w:sz="0" w:space="0" w:color="auto"/>
            <w:left w:val="none" w:sz="0" w:space="0" w:color="auto"/>
            <w:bottom w:val="none" w:sz="0" w:space="0" w:color="auto"/>
            <w:right w:val="none" w:sz="0" w:space="0" w:color="auto"/>
          </w:divBdr>
        </w:div>
        <w:div w:id="967247043">
          <w:marLeft w:val="0"/>
          <w:marRight w:val="0"/>
          <w:marTop w:val="0"/>
          <w:marBottom w:val="0"/>
          <w:divBdr>
            <w:top w:val="none" w:sz="0" w:space="0" w:color="auto"/>
            <w:left w:val="none" w:sz="0" w:space="0" w:color="auto"/>
            <w:bottom w:val="none" w:sz="0" w:space="0" w:color="auto"/>
            <w:right w:val="none" w:sz="0" w:space="0" w:color="auto"/>
          </w:divBdr>
        </w:div>
      </w:divsChild>
    </w:div>
    <w:div w:id="1100761845">
      <w:bodyDiv w:val="1"/>
      <w:marLeft w:val="0"/>
      <w:marRight w:val="0"/>
      <w:marTop w:val="0"/>
      <w:marBottom w:val="0"/>
      <w:divBdr>
        <w:top w:val="none" w:sz="0" w:space="0" w:color="auto"/>
        <w:left w:val="none" w:sz="0" w:space="0" w:color="auto"/>
        <w:bottom w:val="none" w:sz="0" w:space="0" w:color="auto"/>
        <w:right w:val="none" w:sz="0" w:space="0" w:color="auto"/>
      </w:divBdr>
    </w:div>
    <w:div w:id="1225290047">
      <w:bodyDiv w:val="1"/>
      <w:marLeft w:val="0"/>
      <w:marRight w:val="0"/>
      <w:marTop w:val="0"/>
      <w:marBottom w:val="0"/>
      <w:divBdr>
        <w:top w:val="none" w:sz="0" w:space="0" w:color="auto"/>
        <w:left w:val="none" w:sz="0" w:space="0" w:color="auto"/>
        <w:bottom w:val="none" w:sz="0" w:space="0" w:color="auto"/>
        <w:right w:val="none" w:sz="0" w:space="0" w:color="auto"/>
      </w:divBdr>
      <w:divsChild>
        <w:div w:id="22559809">
          <w:marLeft w:val="0"/>
          <w:marRight w:val="0"/>
          <w:marTop w:val="0"/>
          <w:marBottom w:val="0"/>
          <w:divBdr>
            <w:top w:val="none" w:sz="0" w:space="0" w:color="auto"/>
            <w:left w:val="none" w:sz="0" w:space="0" w:color="auto"/>
            <w:bottom w:val="none" w:sz="0" w:space="0" w:color="auto"/>
            <w:right w:val="none" w:sz="0" w:space="0" w:color="auto"/>
          </w:divBdr>
        </w:div>
        <w:div w:id="580216805">
          <w:marLeft w:val="0"/>
          <w:marRight w:val="0"/>
          <w:marTop w:val="0"/>
          <w:marBottom w:val="0"/>
          <w:divBdr>
            <w:top w:val="none" w:sz="0" w:space="0" w:color="auto"/>
            <w:left w:val="none" w:sz="0" w:space="0" w:color="auto"/>
            <w:bottom w:val="none" w:sz="0" w:space="0" w:color="auto"/>
            <w:right w:val="none" w:sz="0" w:space="0" w:color="auto"/>
          </w:divBdr>
        </w:div>
        <w:div w:id="1853762070">
          <w:marLeft w:val="0"/>
          <w:marRight w:val="0"/>
          <w:marTop w:val="0"/>
          <w:marBottom w:val="0"/>
          <w:divBdr>
            <w:top w:val="none" w:sz="0" w:space="0" w:color="auto"/>
            <w:left w:val="none" w:sz="0" w:space="0" w:color="auto"/>
            <w:bottom w:val="none" w:sz="0" w:space="0" w:color="auto"/>
            <w:right w:val="none" w:sz="0" w:space="0" w:color="auto"/>
          </w:divBdr>
        </w:div>
        <w:div w:id="368383787">
          <w:marLeft w:val="0"/>
          <w:marRight w:val="0"/>
          <w:marTop w:val="0"/>
          <w:marBottom w:val="0"/>
          <w:divBdr>
            <w:top w:val="none" w:sz="0" w:space="0" w:color="auto"/>
            <w:left w:val="none" w:sz="0" w:space="0" w:color="auto"/>
            <w:bottom w:val="none" w:sz="0" w:space="0" w:color="auto"/>
            <w:right w:val="none" w:sz="0" w:space="0" w:color="auto"/>
          </w:divBdr>
        </w:div>
      </w:divsChild>
    </w:div>
    <w:div w:id="1265961835">
      <w:bodyDiv w:val="1"/>
      <w:marLeft w:val="0"/>
      <w:marRight w:val="0"/>
      <w:marTop w:val="0"/>
      <w:marBottom w:val="0"/>
      <w:divBdr>
        <w:top w:val="none" w:sz="0" w:space="0" w:color="auto"/>
        <w:left w:val="none" w:sz="0" w:space="0" w:color="auto"/>
        <w:bottom w:val="none" w:sz="0" w:space="0" w:color="auto"/>
        <w:right w:val="none" w:sz="0" w:space="0" w:color="auto"/>
      </w:divBdr>
    </w:div>
    <w:div w:id="1521164139">
      <w:bodyDiv w:val="1"/>
      <w:marLeft w:val="0"/>
      <w:marRight w:val="0"/>
      <w:marTop w:val="0"/>
      <w:marBottom w:val="0"/>
      <w:divBdr>
        <w:top w:val="none" w:sz="0" w:space="0" w:color="auto"/>
        <w:left w:val="none" w:sz="0" w:space="0" w:color="auto"/>
        <w:bottom w:val="none" w:sz="0" w:space="0" w:color="auto"/>
        <w:right w:val="none" w:sz="0" w:space="0" w:color="auto"/>
      </w:divBdr>
    </w:div>
    <w:div w:id="1704399440">
      <w:bodyDiv w:val="1"/>
      <w:marLeft w:val="0"/>
      <w:marRight w:val="0"/>
      <w:marTop w:val="0"/>
      <w:marBottom w:val="0"/>
      <w:divBdr>
        <w:top w:val="none" w:sz="0" w:space="0" w:color="auto"/>
        <w:left w:val="none" w:sz="0" w:space="0" w:color="auto"/>
        <w:bottom w:val="none" w:sz="0" w:space="0" w:color="auto"/>
        <w:right w:val="none" w:sz="0" w:space="0" w:color="auto"/>
      </w:divBdr>
    </w:div>
    <w:div w:id="2068216434">
      <w:bodyDiv w:val="1"/>
      <w:marLeft w:val="0"/>
      <w:marRight w:val="0"/>
      <w:marTop w:val="0"/>
      <w:marBottom w:val="0"/>
      <w:divBdr>
        <w:top w:val="none" w:sz="0" w:space="0" w:color="auto"/>
        <w:left w:val="none" w:sz="0" w:space="0" w:color="auto"/>
        <w:bottom w:val="none" w:sz="0" w:space="0" w:color="auto"/>
        <w:right w:val="none" w:sz="0" w:space="0" w:color="auto"/>
      </w:divBdr>
      <w:divsChild>
        <w:div w:id="1164514913">
          <w:marLeft w:val="0"/>
          <w:marRight w:val="0"/>
          <w:marTop w:val="0"/>
          <w:marBottom w:val="0"/>
          <w:divBdr>
            <w:top w:val="none" w:sz="0" w:space="0" w:color="auto"/>
            <w:left w:val="none" w:sz="0" w:space="0" w:color="auto"/>
            <w:bottom w:val="none" w:sz="0" w:space="0" w:color="auto"/>
            <w:right w:val="none" w:sz="0" w:space="0" w:color="auto"/>
          </w:divBdr>
        </w:div>
        <w:div w:id="488524385">
          <w:marLeft w:val="0"/>
          <w:marRight w:val="0"/>
          <w:marTop w:val="0"/>
          <w:marBottom w:val="0"/>
          <w:divBdr>
            <w:top w:val="none" w:sz="0" w:space="0" w:color="auto"/>
            <w:left w:val="none" w:sz="0" w:space="0" w:color="auto"/>
            <w:bottom w:val="none" w:sz="0" w:space="0" w:color="auto"/>
            <w:right w:val="none" w:sz="0" w:space="0" w:color="auto"/>
          </w:divBdr>
        </w:div>
        <w:div w:id="2128574261">
          <w:marLeft w:val="0"/>
          <w:marRight w:val="0"/>
          <w:marTop w:val="0"/>
          <w:marBottom w:val="0"/>
          <w:divBdr>
            <w:top w:val="none" w:sz="0" w:space="0" w:color="auto"/>
            <w:left w:val="none" w:sz="0" w:space="0" w:color="auto"/>
            <w:bottom w:val="none" w:sz="0" w:space="0" w:color="auto"/>
            <w:right w:val="none" w:sz="0" w:space="0" w:color="auto"/>
          </w:divBdr>
        </w:div>
        <w:div w:id="173474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AF23476B0FA941E5CA25881B0016152A/$File/1721%20Redacted%20Application%20Form.pdf" TargetMode="External"/><Relationship Id="rId18" Type="http://schemas.openxmlformats.org/officeDocument/2006/relationships/hyperlink" Target="http://www.msac.gov.au/internet/msac/publishing.nsf/Content/B4CF79359E44430ACA25801000123BFD/$File/1250.1-FinalPSD-ALKtestingforcrizotinib-Nov2014update-accessible.pdf" TargetMode="External"/><Relationship Id="rId26" Type="http://schemas.openxmlformats.org/officeDocument/2006/relationships/hyperlink" Target="http://msac.gov.au/internet/msac/publishing.nsf/Content/Home-1"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google.com/url?sa=t&amp;rct=j&amp;q=&amp;esrc=s&amp;source=web&amp;cd=&amp;cad=rja&amp;uact=8&amp;ved=2ahUKEwj8zbOihej4AhXjR2wGHZjzBbcQFnoECAcQAQ&amp;url=https%3A%2F%2Fwww1.health.gov.au%2Finternet%2Fmain%2Fpublishing.nsf%2FContent%2Fhealth-npaac-dhaivd-2018&amp;usg=AOvVaw394UsDXKc_I-5iozdQl_x4" TargetMode="External"/><Relationship Id="rId17" Type="http://schemas.openxmlformats.org/officeDocument/2006/relationships/hyperlink" Target="http://www.msac.gov.au/internet/msac/publishing.nsf/Content/06A73A3B56D88650CA25801000123B8C/$File/1161-PSD-EGFRtestinginNSCLCforGefitinib-Accessible(FINAL).pdf" TargetMode="External"/><Relationship Id="rId25" Type="http://schemas.openxmlformats.org/officeDocument/2006/relationships/hyperlink" Target="http://www.msac.gov.au/internet/msac/publishing.nsf/Content/1173-public"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pbs.gov.au/info/industry/listing/elements/pbac-meetings/psd/2021-11/tepotinib-tablet-225-mg-as-hydrochloride-monohydra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npaac-pub-mps" TargetMode="External"/><Relationship Id="rId24" Type="http://schemas.openxmlformats.org/officeDocument/2006/relationships/hyperlink" Target="http://www.msac.gov.au/internet/msac/publishing.nsf/Content/1161-public"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msac.gov.au/internet/msac/publishing.nsf/Content/00C4EBB7E4186BC0CA25866F00180FFB/$File/1660%20-%20Final%20PSD_redacted_Nov2021.pdf" TargetMode="External"/><Relationship Id="rId28" Type="http://schemas.openxmlformats.org/officeDocument/2006/relationships/fontTable" Target="fontTable.xml"/><Relationship Id="rId10" Type="http://schemas.openxmlformats.org/officeDocument/2006/relationships/hyperlink" Target="http://www.msac.gov.au/internet/msac/publishing.nsf/Content/DCCD6889E605A081CA25804E007F1DD9/$File/1454-Final%20PSD-updateJul2018.pdf" TargetMode="External"/><Relationship Id="rId19" Type="http://schemas.openxmlformats.org/officeDocument/2006/relationships/hyperlink" Target="http://www.msac.gov.au/internet/msac/publishing.nsf/Content/DCCD6889E605A081CA25804E007F1DD9/$File/1454-Final%20PSD-updateJul2018.pdf" TargetMode="External"/><Relationship Id="rId4" Type="http://schemas.openxmlformats.org/officeDocument/2006/relationships/settings" Target="settings.xml"/><Relationship Id="rId9" Type="http://schemas.openxmlformats.org/officeDocument/2006/relationships/hyperlink" Target="http://www.msac.gov.au/internet/msac/publishing.nsf/Content/DCCD6889E605A081CA25804E007F1DD9/$File/1454-Final%20PSD-updateJul2018.pdf" TargetMode="External"/><Relationship Id="rId14" Type="http://schemas.openxmlformats.org/officeDocument/2006/relationships/hyperlink" Target="https://www.google.com/url?sa=t&amp;rct=j&amp;q=&amp;esrc=s&amp;source=web&amp;cd=&amp;cad=rja&amp;uact=8&amp;ved=2ahUKEwiyv5aAl7v5AhXbTGwGHescBSoQFnoECBcQAQ&amp;url=http%3A%2F%2Fwww.msac.gov.au%2Finternet%2Fmsac%2Fpublishing.nsf%2FContent%2FC705B66DB4AE7523CA2586D1001990E5%2F%24File%2F1669%2520Ratified%2520PICO.docx&amp;usg=AOvVaw3HLrccl9IhfuRXdzFE9JRa" TargetMode="External"/><Relationship Id="rId22" Type="http://schemas.openxmlformats.org/officeDocument/2006/relationships/hyperlink" Target="http://www.msac.gov.au/internet/msac/publishing.nsf/Content/1454-Public"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92E5C-FF94-4492-9BE4-8D060E3F3257}">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40</Pages>
  <Words>18096</Words>
  <Characters>103153</Characters>
  <Application>Microsoft Office Word</Application>
  <DocSecurity>0</DocSecurity>
  <Lines>859</Lines>
  <Paragraphs>242</Paragraphs>
  <ScaleCrop>false</ScaleCrop>
  <Company/>
  <LinksUpToDate>false</LinksUpToDate>
  <CharactersWithSpaces>121007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2023-02-08T04:54:00Z</dcterms:created>
  <dcterms:modified xsi:type="dcterms:W3CDTF">2023-02-13T01:28:00Z</dcterms:modified>
</cp:coreProperties>
</file>