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30F2" w14:textId="77777777" w:rsidR="00A37C79" w:rsidRPr="00707064" w:rsidRDefault="00A37C79" w:rsidP="00A37C79">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FBC03B6" wp14:editId="6AE74C7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569830B" w14:textId="77777777" w:rsidR="00A37C79" w:rsidRPr="00F715D1" w:rsidRDefault="00A37C79" w:rsidP="00A37C79">
      <w:pPr>
        <w:pStyle w:val="Title"/>
        <w:tabs>
          <w:tab w:val="left" w:pos="1926"/>
          <w:tab w:val="center" w:pos="4513"/>
        </w:tabs>
        <w:jc w:val="left"/>
      </w:pPr>
      <w:r>
        <w:tab/>
      </w:r>
      <w:r>
        <w:tab/>
      </w:r>
      <w:r w:rsidRPr="00F715D1">
        <w:t>Public Summary Document</w:t>
      </w:r>
    </w:p>
    <w:p w14:paraId="3BD4E948" w14:textId="6459F209" w:rsidR="00A37C79" w:rsidRPr="00F715D1" w:rsidRDefault="00A37C79" w:rsidP="00A37C79">
      <w:pPr>
        <w:pStyle w:val="Subtitle"/>
      </w:pPr>
      <w:r w:rsidRPr="00F715D1">
        <w:t xml:space="preserve">Application No. </w:t>
      </w:r>
      <w:r w:rsidR="000A2160">
        <w:t>1492</w:t>
      </w:r>
      <w:r w:rsidRPr="00F715D1">
        <w:t xml:space="preserve"> – </w:t>
      </w:r>
      <w:r w:rsidR="000A2160">
        <w:t xml:space="preserve">Non-invasive prenatal testing (NIPT) for </w:t>
      </w:r>
      <w:r w:rsidR="00205353">
        <w:t>t</w:t>
      </w:r>
      <w:r w:rsidR="000A2160">
        <w:t xml:space="preserve">risomies 21, 18 and </w:t>
      </w:r>
      <w:r w:rsidR="00A31502">
        <w:t>1</w:t>
      </w:r>
      <w:r w:rsidR="000A2160">
        <w:t>3</w:t>
      </w:r>
    </w:p>
    <w:p w14:paraId="7206300B" w14:textId="6FF6EE76" w:rsidR="00A37C79" w:rsidRPr="00F715D1" w:rsidRDefault="00A37C79" w:rsidP="000A2160">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0A2160">
        <w:rPr>
          <w:rFonts w:ascii="Arial" w:hAnsi="Arial" w:cs="Arial"/>
          <w:b/>
          <w:szCs w:val="24"/>
        </w:rPr>
        <w:t xml:space="preserve">Roche </w:t>
      </w:r>
      <w:r w:rsidR="00662316">
        <w:rPr>
          <w:rFonts w:ascii="Arial" w:hAnsi="Arial" w:cs="Arial"/>
          <w:b/>
          <w:szCs w:val="24"/>
        </w:rPr>
        <w:t xml:space="preserve">Diagnostics Australia </w:t>
      </w:r>
      <w:r w:rsidR="000A2160">
        <w:rPr>
          <w:rFonts w:ascii="Arial" w:hAnsi="Arial" w:cs="Arial"/>
          <w:b/>
          <w:szCs w:val="24"/>
        </w:rPr>
        <w:t>Pty Ltd and Royal College of Pathologists of Austral</w:t>
      </w:r>
      <w:r w:rsidR="002B01F8">
        <w:rPr>
          <w:rFonts w:ascii="Arial" w:hAnsi="Arial" w:cs="Arial"/>
          <w:b/>
          <w:szCs w:val="24"/>
        </w:rPr>
        <w:t>a</w:t>
      </w:r>
      <w:r w:rsidR="000A2160">
        <w:rPr>
          <w:rFonts w:ascii="Arial" w:hAnsi="Arial" w:cs="Arial"/>
          <w:b/>
          <w:szCs w:val="24"/>
        </w:rPr>
        <w:t>sia</w:t>
      </w:r>
    </w:p>
    <w:p w14:paraId="726DFB5F" w14:textId="77777777" w:rsidR="00A37C79" w:rsidRPr="00F715D1" w:rsidRDefault="00A37C79" w:rsidP="00A37C7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00516294" w14:textId="77777777" w:rsidR="00A37C79" w:rsidRPr="00B03EAB" w:rsidRDefault="00A37C79" w:rsidP="00A37C7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4D3F6D01" w14:textId="02E7C755" w:rsidR="00A37C79" w:rsidRPr="00F715D1" w:rsidRDefault="00A96845" w:rsidP="00A37C79">
      <w:pPr>
        <w:pStyle w:val="Heading1"/>
      </w:pPr>
      <w:r>
        <w:t>Purpose of application</w:t>
      </w:r>
    </w:p>
    <w:p w14:paraId="1545A3C6" w14:textId="0C435A25" w:rsidR="00611E88" w:rsidRDefault="00611E88" w:rsidP="00611E88">
      <w:r>
        <w:t>Following consideration by MSAC</w:t>
      </w:r>
      <w:r w:rsidR="00ED3017">
        <w:t xml:space="preserve"> in July 2018</w:t>
      </w:r>
      <w:r>
        <w:t>, the Department commissioned additional work (</w:t>
      </w:r>
      <w:r w:rsidR="00ED3017">
        <w:t xml:space="preserve">second </w:t>
      </w:r>
      <w:r>
        <w:t xml:space="preserve">contracted assessment; </w:t>
      </w:r>
      <w:r w:rsidR="00ED3017">
        <w:t>2</w:t>
      </w:r>
      <w:r w:rsidR="00ED3017" w:rsidRPr="00ED3017">
        <w:rPr>
          <w:vertAlign w:val="superscript"/>
        </w:rPr>
        <w:t>nd</w:t>
      </w:r>
      <w:r w:rsidR="00ED3017">
        <w:t xml:space="preserve"> </w:t>
      </w:r>
      <w:r>
        <w:t>CA) on MSAC Application 1492 comprising:</w:t>
      </w:r>
    </w:p>
    <w:p w14:paraId="2BA88DB7" w14:textId="77777777" w:rsidR="00611E88" w:rsidRDefault="00611E88" w:rsidP="00611E88">
      <w:pPr>
        <w:pStyle w:val="ListParagraph"/>
        <w:numPr>
          <w:ilvl w:val="0"/>
          <w:numId w:val="5"/>
        </w:numPr>
      </w:pPr>
      <w:r>
        <w:t>an updated literature review – using the same search terms as the original search;</w:t>
      </w:r>
    </w:p>
    <w:p w14:paraId="7C517474" w14:textId="77777777" w:rsidR="00611E88" w:rsidRDefault="00611E88" w:rsidP="00611E88">
      <w:pPr>
        <w:pStyle w:val="ListParagraph"/>
        <w:numPr>
          <w:ilvl w:val="0"/>
          <w:numId w:val="5"/>
        </w:numPr>
      </w:pPr>
      <w:r>
        <w:t>an expansion of the rationale for moving from the previous evidence base to the new basis, particularly regarding the Norton (</w:t>
      </w:r>
      <w:r w:rsidRPr="00FD3393">
        <w:t>2015</w:t>
      </w:r>
      <w:r>
        <w:t>) paper;</w:t>
      </w:r>
    </w:p>
    <w:p w14:paraId="5BED7136" w14:textId="77777777" w:rsidR="00611E88" w:rsidRDefault="00611E88" w:rsidP="00611E88">
      <w:pPr>
        <w:pStyle w:val="ListParagraph"/>
        <w:numPr>
          <w:ilvl w:val="0"/>
          <w:numId w:val="5"/>
        </w:numPr>
      </w:pPr>
      <w:r>
        <w:t>an assessment of how discordant results may influence clinical management; and</w:t>
      </w:r>
    </w:p>
    <w:p w14:paraId="3F1D1430" w14:textId="77777777" w:rsidR="00611E88" w:rsidRPr="00B02E35" w:rsidRDefault="00611E88" w:rsidP="00611E88">
      <w:pPr>
        <w:pStyle w:val="ListParagraph"/>
        <w:numPr>
          <w:ilvl w:val="0"/>
          <w:numId w:val="5"/>
        </w:numPr>
      </w:pPr>
      <w:r>
        <w:t>provision of updated financial implications and updated/adjusted utilisation and cost estimates.</w:t>
      </w:r>
    </w:p>
    <w:p w14:paraId="599C3AAC" w14:textId="77777777" w:rsidR="00A37C79" w:rsidRPr="00F715D1" w:rsidRDefault="00A37C79" w:rsidP="00A37C79">
      <w:pPr>
        <w:pStyle w:val="Heading1"/>
      </w:pPr>
      <w:r w:rsidRPr="00F715D1">
        <w:t>MSAC’s advice to the Minister</w:t>
      </w:r>
    </w:p>
    <w:p w14:paraId="3188B155" w14:textId="486C7C53" w:rsidR="00345D74" w:rsidRPr="00695A76" w:rsidRDefault="00F9569A" w:rsidP="00695A76">
      <w:pPr>
        <w:spacing w:after="240"/>
        <w:rPr>
          <w:b/>
          <w:bCs/>
          <w:iCs/>
        </w:rPr>
      </w:pPr>
      <w:r w:rsidRPr="001342D1">
        <w:t xml:space="preserve">After considering the strength of the available evidence in relation to comparative safety, </w:t>
      </w:r>
      <w:r>
        <w:t>clinical effectiveness and cost-</w:t>
      </w:r>
      <w:r w:rsidRPr="001342D1">
        <w:t xml:space="preserve">effectiveness, </w:t>
      </w:r>
      <w:r w:rsidRPr="00E51831">
        <w:t>MSAC did not support the public funding of this proposal on cost-effectiveness grounds. MSAC concluded that, largely due to the effectiveness of the existing prenatal testing options, the desirable consequences of augmenting this with the proposed testing, including for improved decision-making by patients and their care-g</w:t>
      </w:r>
      <w:r>
        <w:t xml:space="preserve">ivers, were too small (about </w:t>
      </w:r>
      <w:r w:rsidR="000F68A6">
        <w:t>195</w:t>
      </w:r>
      <w:r>
        <w:t> </w:t>
      </w:r>
      <w:r w:rsidRPr="00E51831">
        <w:t xml:space="preserve">extra cases detected across </w:t>
      </w:r>
      <w:r w:rsidR="00807B7D">
        <w:t xml:space="preserve">approximately </w:t>
      </w:r>
      <w:r w:rsidRPr="00E51831">
        <w:t xml:space="preserve">300,000 women </w:t>
      </w:r>
      <w:r w:rsidR="00D560ED">
        <w:t xml:space="preserve">having funded access to this </w:t>
      </w:r>
      <w:r w:rsidRPr="00E51831">
        <w:t>test</w:t>
      </w:r>
      <w:r>
        <w:t>) to justify the estimated $100 </w:t>
      </w:r>
      <w:r w:rsidRPr="00E51831">
        <w:t>million increase in annual MBS expenditure required.</w:t>
      </w:r>
    </w:p>
    <w:tbl>
      <w:tblPr>
        <w:tblStyle w:val="TableGrid"/>
        <w:tblW w:w="0" w:type="auto"/>
        <w:tblLook w:val="04A0" w:firstRow="1" w:lastRow="0" w:firstColumn="1" w:lastColumn="0" w:noHBand="0" w:noVBand="1"/>
        <w:tblDescription w:val="Consumer summary of MSAC consideration"/>
      </w:tblPr>
      <w:tblGrid>
        <w:gridCol w:w="9016"/>
      </w:tblGrid>
      <w:tr w:rsidR="00345D74" w14:paraId="61888D4F" w14:textId="77777777" w:rsidTr="00057DB8">
        <w:trPr>
          <w:tblHeader/>
        </w:trPr>
        <w:tc>
          <w:tcPr>
            <w:tcW w:w="9016" w:type="dxa"/>
          </w:tcPr>
          <w:p w14:paraId="06F0DE30" w14:textId="7872D405" w:rsidR="00345D74" w:rsidRPr="00345D74" w:rsidRDefault="00345D74" w:rsidP="00345D74">
            <w:pPr>
              <w:spacing w:before="120" w:after="120"/>
              <w:rPr>
                <w:rFonts w:ascii="Times New Roman" w:hAnsi="Times New Roman" w:cs="Times New Roman"/>
                <w:b/>
              </w:rPr>
            </w:pPr>
            <w:r w:rsidRPr="00345D74">
              <w:rPr>
                <w:rFonts w:ascii="Times New Roman" w:hAnsi="Times New Roman" w:cs="Times New Roman"/>
                <w:b/>
              </w:rPr>
              <w:t>Consumer summary</w:t>
            </w:r>
          </w:p>
        </w:tc>
      </w:tr>
      <w:tr w:rsidR="00345D74" w:rsidRPr="00345D74" w14:paraId="37FB9D1A" w14:textId="77777777" w:rsidTr="00345D74">
        <w:tc>
          <w:tcPr>
            <w:tcW w:w="9016" w:type="dxa"/>
          </w:tcPr>
          <w:p w14:paraId="16DF82B7" w14:textId="606F3EA2" w:rsidR="00345D74" w:rsidRDefault="00345D74" w:rsidP="00345D74">
            <w:pPr>
              <w:rPr>
                <w:rFonts w:ascii="Times New Roman" w:hAnsi="Times New Roman" w:cs="Times New Roman"/>
                <w:sz w:val="24"/>
                <w:szCs w:val="24"/>
              </w:rPr>
            </w:pPr>
            <w:r w:rsidRPr="00345D74">
              <w:rPr>
                <w:rFonts w:ascii="Times New Roman" w:hAnsi="Times New Roman" w:cs="Times New Roman"/>
                <w:sz w:val="24"/>
                <w:szCs w:val="24"/>
              </w:rPr>
              <w:t xml:space="preserve">Roche </w:t>
            </w:r>
            <w:r w:rsidR="00D841C5">
              <w:rPr>
                <w:rFonts w:ascii="Times New Roman" w:hAnsi="Times New Roman" w:cs="Times New Roman"/>
                <w:sz w:val="24"/>
                <w:szCs w:val="24"/>
              </w:rPr>
              <w:t>Diagnostics Australia</w:t>
            </w:r>
            <w:r w:rsidR="00D841C5" w:rsidRPr="00345D74">
              <w:rPr>
                <w:rFonts w:ascii="Times New Roman" w:hAnsi="Times New Roman" w:cs="Times New Roman"/>
                <w:sz w:val="24"/>
                <w:szCs w:val="24"/>
              </w:rPr>
              <w:t xml:space="preserve"> </w:t>
            </w:r>
            <w:r w:rsidRPr="00345D74">
              <w:rPr>
                <w:rFonts w:ascii="Times New Roman" w:hAnsi="Times New Roman" w:cs="Times New Roman"/>
                <w:sz w:val="24"/>
                <w:szCs w:val="24"/>
              </w:rPr>
              <w:t>Pty Ltd and Royal College of Pathologists of Australasia applied for public funding through the Medicare Benefits Schedule (MBS) for non-invasive prenatal testing to detect whether a foetus has trisomy 21, 18 or 13. A trisomy is a genetic condition where the cells have an extra copy of a chromosome: this causes developmental abnormalities</w:t>
            </w:r>
            <w:r w:rsidR="00130508">
              <w:rPr>
                <w:rFonts w:ascii="Times New Roman" w:hAnsi="Times New Roman" w:cs="Times New Roman"/>
                <w:sz w:val="24"/>
                <w:szCs w:val="24"/>
              </w:rPr>
              <w:t xml:space="preserve"> which may </w:t>
            </w:r>
            <w:r w:rsidR="0025682E">
              <w:rPr>
                <w:rFonts w:ascii="Times New Roman" w:hAnsi="Times New Roman" w:cs="Times New Roman"/>
                <w:sz w:val="24"/>
                <w:szCs w:val="24"/>
              </w:rPr>
              <w:t xml:space="preserve">either </w:t>
            </w:r>
            <w:r w:rsidR="00130508">
              <w:rPr>
                <w:rFonts w:ascii="Times New Roman" w:hAnsi="Times New Roman" w:cs="Times New Roman"/>
                <w:sz w:val="24"/>
                <w:szCs w:val="24"/>
              </w:rPr>
              <w:t xml:space="preserve">be </w:t>
            </w:r>
            <w:r w:rsidR="0025682E">
              <w:rPr>
                <w:rFonts w:ascii="Times New Roman" w:hAnsi="Times New Roman" w:cs="Times New Roman"/>
                <w:sz w:val="24"/>
                <w:szCs w:val="24"/>
              </w:rPr>
              <w:t>detected</w:t>
            </w:r>
            <w:r w:rsidR="00130508">
              <w:rPr>
                <w:rFonts w:ascii="Times New Roman" w:hAnsi="Times New Roman" w:cs="Times New Roman"/>
                <w:sz w:val="24"/>
                <w:szCs w:val="24"/>
              </w:rPr>
              <w:t xml:space="preserve"> during pregnancy (sometimes called birth defects) or </w:t>
            </w:r>
            <w:r w:rsidR="0025682E">
              <w:rPr>
                <w:rFonts w:ascii="Times New Roman" w:hAnsi="Times New Roman" w:cs="Times New Roman"/>
                <w:sz w:val="24"/>
                <w:szCs w:val="24"/>
              </w:rPr>
              <w:t>may occur</w:t>
            </w:r>
            <w:r w:rsidR="00130508">
              <w:rPr>
                <w:rFonts w:ascii="Times New Roman" w:hAnsi="Times New Roman" w:cs="Times New Roman"/>
                <w:sz w:val="24"/>
                <w:szCs w:val="24"/>
              </w:rPr>
              <w:t xml:space="preserve"> after delivery</w:t>
            </w:r>
            <w:r w:rsidRPr="00345D74">
              <w:rPr>
                <w:rFonts w:ascii="Times New Roman" w:hAnsi="Times New Roman" w:cs="Times New Roman"/>
                <w:sz w:val="24"/>
                <w:szCs w:val="24"/>
              </w:rPr>
              <w:t>. Each of the trisomies 21, 18 and 13 can cause particular abnormalities</w:t>
            </w:r>
            <w:r w:rsidR="00820AF9">
              <w:rPr>
                <w:rFonts w:ascii="Times New Roman" w:hAnsi="Times New Roman" w:cs="Times New Roman"/>
                <w:sz w:val="24"/>
                <w:szCs w:val="24"/>
              </w:rPr>
              <w:t xml:space="preserve">, each </w:t>
            </w:r>
            <w:r w:rsidR="00961C99">
              <w:rPr>
                <w:rFonts w:ascii="Times New Roman" w:hAnsi="Times New Roman" w:cs="Times New Roman"/>
                <w:sz w:val="24"/>
                <w:szCs w:val="24"/>
              </w:rPr>
              <w:t xml:space="preserve">of which </w:t>
            </w:r>
            <w:r w:rsidR="00820AF9">
              <w:rPr>
                <w:rFonts w:ascii="Times New Roman" w:hAnsi="Times New Roman" w:cs="Times New Roman"/>
                <w:sz w:val="24"/>
                <w:szCs w:val="24"/>
              </w:rPr>
              <w:t>has</w:t>
            </w:r>
            <w:r w:rsidR="00130508">
              <w:rPr>
                <w:rFonts w:ascii="Times New Roman" w:hAnsi="Times New Roman" w:cs="Times New Roman"/>
                <w:sz w:val="24"/>
                <w:szCs w:val="24"/>
              </w:rPr>
              <w:t xml:space="preserve"> varying severity</w:t>
            </w:r>
            <w:r w:rsidRPr="00345D74">
              <w:rPr>
                <w:rFonts w:ascii="Times New Roman" w:hAnsi="Times New Roman" w:cs="Times New Roman"/>
                <w:sz w:val="24"/>
                <w:szCs w:val="24"/>
              </w:rPr>
              <w:t xml:space="preserve">. </w:t>
            </w:r>
          </w:p>
          <w:p w14:paraId="13BCA56D" w14:textId="7EEB4A5B" w:rsidR="00345D74" w:rsidRPr="00345D74" w:rsidRDefault="00345D74" w:rsidP="00345D74">
            <w:pPr>
              <w:rPr>
                <w:rFonts w:ascii="Times New Roman" w:hAnsi="Times New Roman" w:cs="Times New Roman"/>
                <w:sz w:val="24"/>
                <w:szCs w:val="24"/>
              </w:rPr>
            </w:pPr>
            <w:r w:rsidRPr="00345D74">
              <w:rPr>
                <w:rFonts w:ascii="Times New Roman" w:hAnsi="Times New Roman" w:cs="Times New Roman"/>
                <w:sz w:val="24"/>
                <w:szCs w:val="24"/>
              </w:rPr>
              <w:lastRenderedPageBreak/>
              <w:t>Non-invasive prenatal testing is a genetic test done on a sample from the pregnant woman’s blood, so it does not put the f</w:t>
            </w:r>
            <w:r w:rsidR="00437181">
              <w:rPr>
                <w:rFonts w:ascii="Times New Roman" w:hAnsi="Times New Roman" w:cs="Times New Roman"/>
                <w:sz w:val="24"/>
                <w:szCs w:val="24"/>
              </w:rPr>
              <w:t>o</w:t>
            </w:r>
            <w:r w:rsidRPr="00345D74">
              <w:rPr>
                <w:rFonts w:ascii="Times New Roman" w:hAnsi="Times New Roman" w:cs="Times New Roman"/>
                <w:sz w:val="24"/>
                <w:szCs w:val="24"/>
              </w:rPr>
              <w:t>etus at any risk. This is compared to invasive prenatal testing, such as amniocentesis (testing the fluid surrounding the foetus) or chorionic villus sampling (testing the placenta, i.e. where the mother’s blood join’s the blood of the foetus), which have some risk for the f</w:t>
            </w:r>
            <w:r w:rsidR="006F1F00">
              <w:rPr>
                <w:rFonts w:ascii="Times New Roman" w:hAnsi="Times New Roman" w:cs="Times New Roman"/>
                <w:sz w:val="24"/>
                <w:szCs w:val="24"/>
              </w:rPr>
              <w:t>o</w:t>
            </w:r>
            <w:r w:rsidRPr="00345D74">
              <w:rPr>
                <w:rFonts w:ascii="Times New Roman" w:hAnsi="Times New Roman" w:cs="Times New Roman"/>
                <w:sz w:val="24"/>
                <w:szCs w:val="24"/>
              </w:rPr>
              <w:t>etus.</w:t>
            </w:r>
          </w:p>
          <w:p w14:paraId="472301F1" w14:textId="3300C37F" w:rsidR="00345D74" w:rsidRPr="00345D74" w:rsidRDefault="00345D74" w:rsidP="00345D74">
            <w:pPr>
              <w:spacing w:before="240"/>
              <w:rPr>
                <w:rFonts w:ascii="Times New Roman" w:hAnsi="Times New Roman" w:cs="Times New Roman"/>
                <w:sz w:val="24"/>
                <w:szCs w:val="24"/>
              </w:rPr>
            </w:pPr>
            <w:r w:rsidRPr="00345D74">
              <w:rPr>
                <w:rFonts w:ascii="Times New Roman" w:hAnsi="Times New Roman" w:cs="Times New Roman"/>
                <w:sz w:val="24"/>
                <w:szCs w:val="24"/>
              </w:rPr>
              <w:t>Currently, any pregnant woman can have another type of blood test and an ultrasound test, which may indicate her baby may have a trisomy. Some women may have difficulty accessing these tests depending on where they live, and others choose not to have them.</w:t>
            </w:r>
          </w:p>
          <w:p w14:paraId="30F95B50" w14:textId="37AE0E95" w:rsidR="00345D74" w:rsidRPr="00345D74" w:rsidRDefault="00345D74" w:rsidP="00345D74">
            <w:pPr>
              <w:spacing w:before="240"/>
              <w:rPr>
                <w:rFonts w:ascii="Times New Roman" w:hAnsi="Times New Roman" w:cs="Times New Roman"/>
                <w:sz w:val="24"/>
                <w:szCs w:val="24"/>
              </w:rPr>
            </w:pPr>
            <w:r w:rsidRPr="00345D74">
              <w:rPr>
                <w:rFonts w:ascii="Times New Roman" w:hAnsi="Times New Roman" w:cs="Times New Roman"/>
                <w:sz w:val="24"/>
                <w:szCs w:val="24"/>
              </w:rPr>
              <w:t>If the current blood and ultrasound tests indicate a positive result suggestive of having a baby with a trisomy, the woman can go on to have the more invasive prenatal tests to confirm whether the foetus has a trisomy or not. With these results, and counselling support, the decision can then be made whether to continue or end the pregnancy.</w:t>
            </w:r>
          </w:p>
          <w:p w14:paraId="6930DB42" w14:textId="5DF376BD" w:rsidR="00345D74" w:rsidRPr="00345D74" w:rsidRDefault="00345D74" w:rsidP="00345D74">
            <w:pPr>
              <w:spacing w:before="240"/>
              <w:rPr>
                <w:rFonts w:ascii="Times New Roman" w:hAnsi="Times New Roman" w:cs="Times New Roman"/>
                <w:sz w:val="24"/>
                <w:szCs w:val="24"/>
              </w:rPr>
            </w:pPr>
            <w:r w:rsidRPr="00345D74">
              <w:rPr>
                <w:rFonts w:ascii="Times New Roman" w:hAnsi="Times New Roman" w:cs="Times New Roman"/>
                <w:sz w:val="24"/>
                <w:szCs w:val="24"/>
              </w:rPr>
              <w:t xml:space="preserve">Non-invasive prenatal testing is more accurate than these current blood and ultrasound tests in detecting these potential genetic </w:t>
            </w:r>
            <w:r w:rsidR="0035455D">
              <w:rPr>
                <w:rFonts w:ascii="Times New Roman" w:hAnsi="Times New Roman" w:cs="Times New Roman"/>
                <w:sz w:val="24"/>
                <w:szCs w:val="24"/>
              </w:rPr>
              <w:t>conditions</w:t>
            </w:r>
            <w:r w:rsidR="006865B2">
              <w:rPr>
                <w:rFonts w:ascii="Times New Roman" w:hAnsi="Times New Roman" w:cs="Times New Roman"/>
                <w:sz w:val="24"/>
                <w:szCs w:val="24"/>
              </w:rPr>
              <w:t xml:space="preserve"> when present, and in ruling out the conditions where they are not present</w:t>
            </w:r>
            <w:r w:rsidRPr="00345D74">
              <w:rPr>
                <w:rFonts w:ascii="Times New Roman" w:hAnsi="Times New Roman" w:cs="Times New Roman"/>
                <w:sz w:val="24"/>
                <w:szCs w:val="24"/>
              </w:rPr>
              <w:t>. Importantly, it picks up more cases of trisomy, but it is much more expensive</w:t>
            </w:r>
            <w:r w:rsidR="00E97BE1">
              <w:rPr>
                <w:rFonts w:ascii="Times New Roman" w:hAnsi="Times New Roman" w:cs="Times New Roman"/>
                <w:sz w:val="24"/>
                <w:szCs w:val="24"/>
              </w:rPr>
              <w:t xml:space="preserve"> than the current tests</w:t>
            </w:r>
            <w:r w:rsidRPr="00345D74">
              <w:rPr>
                <w:rFonts w:ascii="Times New Roman" w:hAnsi="Times New Roman" w:cs="Times New Roman"/>
                <w:sz w:val="24"/>
                <w:szCs w:val="24"/>
              </w:rPr>
              <w:t>. MSAC calculated that of the 300 000 women who could be eligible for this test, 195 additional trisomy cases would be detected at a cost of</w:t>
            </w:r>
            <w:r w:rsidR="001F2DEA">
              <w:rPr>
                <w:rFonts w:ascii="Times New Roman" w:hAnsi="Times New Roman" w:cs="Times New Roman"/>
                <w:sz w:val="24"/>
                <w:szCs w:val="24"/>
              </w:rPr>
              <w:t xml:space="preserve"> </w:t>
            </w:r>
            <w:r w:rsidRPr="00345D74">
              <w:rPr>
                <w:rFonts w:ascii="Times New Roman" w:hAnsi="Times New Roman" w:cs="Times New Roman"/>
                <w:sz w:val="24"/>
                <w:szCs w:val="24"/>
              </w:rPr>
              <w:t>$100 million per year.</w:t>
            </w:r>
          </w:p>
          <w:p w14:paraId="125872F5" w14:textId="77777777" w:rsidR="00345D74" w:rsidRPr="00345D74" w:rsidRDefault="00345D74" w:rsidP="00345D74">
            <w:pPr>
              <w:spacing w:before="240" w:after="120"/>
              <w:rPr>
                <w:rFonts w:ascii="Times New Roman" w:hAnsi="Times New Roman" w:cs="Times New Roman"/>
                <w:b/>
                <w:sz w:val="24"/>
                <w:szCs w:val="24"/>
              </w:rPr>
            </w:pPr>
            <w:r w:rsidRPr="00345D74">
              <w:rPr>
                <w:rFonts w:ascii="Times New Roman" w:hAnsi="Times New Roman" w:cs="Times New Roman"/>
                <w:b/>
                <w:sz w:val="24"/>
                <w:szCs w:val="24"/>
              </w:rPr>
              <w:t>MSAC’s advice to the Commonwealth Minister for Health</w:t>
            </w:r>
          </w:p>
          <w:p w14:paraId="4EA2008A" w14:textId="663EDDC5" w:rsidR="00345D74" w:rsidRPr="00345D74" w:rsidRDefault="00345D74" w:rsidP="00345D74">
            <w:pPr>
              <w:spacing w:after="120"/>
              <w:rPr>
                <w:rFonts w:ascii="Times New Roman" w:hAnsi="Times New Roman" w:cs="Times New Roman"/>
                <w:sz w:val="24"/>
                <w:szCs w:val="24"/>
              </w:rPr>
            </w:pPr>
            <w:r w:rsidRPr="00345D74">
              <w:rPr>
                <w:rFonts w:ascii="Times New Roman" w:hAnsi="Times New Roman" w:cs="Times New Roman"/>
                <w:sz w:val="24"/>
                <w:szCs w:val="24"/>
              </w:rPr>
              <w:t>MSAC did not support funding of this test for trisomies. MSAC advised that non-invasive prenatal testing is not cost-effective for picking up additional trisomies compared with current testing.</w:t>
            </w:r>
          </w:p>
        </w:tc>
      </w:tr>
    </w:tbl>
    <w:p w14:paraId="183DBB11" w14:textId="42E3B18A" w:rsidR="00A37C79" w:rsidRPr="00F715D1" w:rsidRDefault="00A37C79" w:rsidP="00A37C79">
      <w:pPr>
        <w:pStyle w:val="Heading1"/>
      </w:pPr>
      <w:r w:rsidRPr="00F715D1">
        <w:lastRenderedPageBreak/>
        <w:t xml:space="preserve">Summary of consideration and rationale for MSAC’s </w:t>
      </w:r>
      <w:r w:rsidR="00886D2D">
        <w:t>advice</w:t>
      </w:r>
    </w:p>
    <w:p w14:paraId="0CE297CA" w14:textId="7F294999" w:rsidR="00F9569A" w:rsidRDefault="00F9569A" w:rsidP="00695A76">
      <w:pPr>
        <w:spacing w:after="240"/>
      </w:pPr>
      <w:r>
        <w:t xml:space="preserve">MSAC noted that the purpose of this </w:t>
      </w:r>
      <w:r w:rsidR="00ED3017">
        <w:t>application</w:t>
      </w:r>
      <w:r>
        <w:t xml:space="preserve"> was to seek</w:t>
      </w:r>
      <w:r w:rsidRPr="00E51831">
        <w:t xml:space="preserve"> public funding of non-invasive prenatal testing (NIPT) for trisomies 21, 18</w:t>
      </w:r>
      <w:r>
        <w:t xml:space="preserve"> and</w:t>
      </w:r>
      <w:r w:rsidRPr="00E51831">
        <w:t xml:space="preserve"> 13 using cell</w:t>
      </w:r>
      <w:r>
        <w:t>-</w:t>
      </w:r>
      <w:r w:rsidRPr="00E51831">
        <w:t>free fetal DNA from maternal blood.</w:t>
      </w:r>
      <w:r>
        <w:t xml:space="preserve"> MSAC noted that it had</w:t>
      </w:r>
      <w:r w:rsidRPr="00E65918">
        <w:t xml:space="preserve"> already accepted the clinical efficacy and superiority of NIPT</w:t>
      </w:r>
      <w:r>
        <w:t xml:space="preserve"> compared to </w:t>
      </w:r>
      <w:r w:rsidR="00A31502">
        <w:t xml:space="preserve">ultrasound plus </w:t>
      </w:r>
      <w:r>
        <w:t xml:space="preserve">biochemical tests used in prenatal screening. MSAC noted that stakeholders at a meeting in November 2018 concluded that NIPT would be used in unselected </w:t>
      </w:r>
      <w:r w:rsidR="00092A4C">
        <w:t>pregnant women</w:t>
      </w:r>
      <w:r>
        <w:t xml:space="preserve"> – that is, as a</w:t>
      </w:r>
      <w:r w:rsidR="00807B7D">
        <w:t>n opportunistic</w:t>
      </w:r>
      <w:r>
        <w:t xml:space="preserve"> screening test. Not all stakeholders agree</w:t>
      </w:r>
      <w:r w:rsidR="00A66763">
        <w:t>d</w:t>
      </w:r>
      <w:r>
        <w:t xml:space="preserve"> on this issue. From a</w:t>
      </w:r>
      <w:r w:rsidR="00092A4C">
        <w:t>n efficiency perspective or a</w:t>
      </w:r>
      <w:r>
        <w:t xml:space="preserve"> financial perspective, it could be argued that NIPT should be restricted to</w:t>
      </w:r>
      <w:r w:rsidR="00A66763">
        <w:t xml:space="preserve"> </w:t>
      </w:r>
      <w:r w:rsidR="000E6235">
        <w:t xml:space="preserve">those </w:t>
      </w:r>
      <w:r w:rsidR="00092A4C">
        <w:t xml:space="preserve">pregnant </w:t>
      </w:r>
      <w:r w:rsidR="00A66763">
        <w:t>women at</w:t>
      </w:r>
      <w:r>
        <w:t xml:space="preserve"> high-risk</w:t>
      </w:r>
      <w:r w:rsidR="00A66763">
        <w:t xml:space="preserve"> for trisomies</w:t>
      </w:r>
      <w:r>
        <w:t xml:space="preserve">. However, from an equity </w:t>
      </w:r>
      <w:r w:rsidR="00092A4C">
        <w:t xml:space="preserve">of access </w:t>
      </w:r>
      <w:r>
        <w:t>perspective, it was thought that the test should be available to all pregnant women.</w:t>
      </w:r>
    </w:p>
    <w:p w14:paraId="7B4BEA07" w14:textId="45EFC622" w:rsidR="00F9569A" w:rsidRDefault="00F9569A" w:rsidP="00695A76">
      <w:pPr>
        <w:spacing w:after="240"/>
      </w:pPr>
      <w:r>
        <w:t xml:space="preserve">MSAC noted that there is still some uncertainty as to whether NIPT </w:t>
      </w:r>
      <w:r w:rsidR="008F074D">
        <w:t>sh</w:t>
      </w:r>
      <w:r>
        <w:t xml:space="preserve">ould replace </w:t>
      </w:r>
      <w:r w:rsidR="00092A4C">
        <w:t xml:space="preserve">the </w:t>
      </w:r>
      <w:r>
        <w:t xml:space="preserve">current biochemical screening </w:t>
      </w:r>
      <w:r w:rsidR="00A66763">
        <w:t>test</w:t>
      </w:r>
      <w:r>
        <w:t xml:space="preserve">s </w:t>
      </w:r>
      <w:r w:rsidR="00092A4C">
        <w:t xml:space="preserve">in pregnancy </w:t>
      </w:r>
      <w:r>
        <w:t xml:space="preserve">or whether it would be an additional test. </w:t>
      </w:r>
      <w:r w:rsidR="00E34626">
        <w:t xml:space="preserve">MSAC </w:t>
      </w:r>
      <w:r w:rsidR="002B668E">
        <w:t xml:space="preserve">concluded that it would largely be an additional test. MSAC considered </w:t>
      </w:r>
      <w:r w:rsidR="00E34626">
        <w:t xml:space="preserve">that </w:t>
      </w:r>
      <w:r w:rsidR="00A66763">
        <w:t xml:space="preserve">NITP is proposed to be used once per pregnancy, thus if </w:t>
      </w:r>
      <w:r w:rsidR="00E34626">
        <w:t xml:space="preserve">NIPT is </w:t>
      </w:r>
      <w:r w:rsidR="00A66763">
        <w:t xml:space="preserve">used in the first trimester, the second trimester </w:t>
      </w:r>
      <w:r w:rsidR="00B45A8C">
        <w:t>screening test</w:t>
      </w:r>
      <w:r w:rsidR="00A66763">
        <w:t xml:space="preserve"> would still be required to be available</w:t>
      </w:r>
      <w:r w:rsidR="00A30D2A">
        <w:t xml:space="preserve">, however </w:t>
      </w:r>
      <w:r w:rsidR="00E34626">
        <w:t xml:space="preserve">if NIPT is used in the second trimester, the </w:t>
      </w:r>
      <w:r w:rsidR="00637F97">
        <w:t xml:space="preserve">ultrasound component of </w:t>
      </w:r>
      <w:r w:rsidR="00E34626">
        <w:t>first trimester screening tests would still be required to be available</w:t>
      </w:r>
      <w:r w:rsidR="00A30D2A">
        <w:t>, whereas the biochemistry tests may not</w:t>
      </w:r>
      <w:r w:rsidR="00A66763">
        <w:t xml:space="preserve">. </w:t>
      </w:r>
      <w:r>
        <w:t xml:space="preserve">MSAC </w:t>
      </w:r>
      <w:r w:rsidR="00637F97">
        <w:t xml:space="preserve">also recalled </w:t>
      </w:r>
      <w:r>
        <w:t>that the stakeholder meeting in November 2018</w:t>
      </w:r>
      <w:r w:rsidR="00E34626">
        <w:t xml:space="preserve"> suggested</w:t>
      </w:r>
      <w:r>
        <w:t xml:space="preserve"> that</w:t>
      </w:r>
      <w:r w:rsidR="001C0A6F">
        <w:t>,</w:t>
      </w:r>
      <w:r>
        <w:t xml:space="preserve"> because the cost of the biochemical test</w:t>
      </w:r>
      <w:r w:rsidR="00807B7D">
        <w:t>s</w:t>
      </w:r>
      <w:r>
        <w:t xml:space="preserve"> is low ($35), </w:t>
      </w:r>
      <w:r w:rsidR="00807B7D">
        <w:t>they</w:t>
      </w:r>
      <w:r>
        <w:t xml:space="preserve"> could be left on the MBS even if NIPT was added, leaving clinicians to decide which test is most suitable on a case-by-case basis. MSAC </w:t>
      </w:r>
      <w:r w:rsidR="00E34626">
        <w:t>advised</w:t>
      </w:r>
      <w:r>
        <w:t xml:space="preserve"> that</w:t>
      </w:r>
      <w:r w:rsidR="00E34626">
        <w:t>, because</w:t>
      </w:r>
      <w:r>
        <w:t xml:space="preserve"> ultrasound can detect other abnormalities</w:t>
      </w:r>
      <w:r w:rsidR="00383A22">
        <w:t xml:space="preserve"> and the second trimester biochemistry test</w:t>
      </w:r>
      <w:r w:rsidR="00E34626">
        <w:t>s</w:t>
      </w:r>
      <w:r w:rsidR="00383A22">
        <w:t xml:space="preserve"> also assesses individual risk for abdominal wall </w:t>
      </w:r>
      <w:r w:rsidR="00BF1D88">
        <w:t>defects (AWD)</w:t>
      </w:r>
      <w:r w:rsidR="0003519A">
        <w:t xml:space="preserve"> </w:t>
      </w:r>
      <w:r w:rsidR="00383A22">
        <w:t>and neural tube defects</w:t>
      </w:r>
      <w:r w:rsidR="00BF1D88">
        <w:t xml:space="preserve"> (NTD)</w:t>
      </w:r>
      <w:r w:rsidR="00E34626">
        <w:t>, these</w:t>
      </w:r>
      <w:r>
        <w:t xml:space="preserve"> </w:t>
      </w:r>
      <w:r w:rsidR="00092A4C">
        <w:t>should not be replaced by NIPT.</w:t>
      </w:r>
      <w:r w:rsidR="00BF1D88">
        <w:t xml:space="preserve"> MSAC also noted that a proportion of women present for their first trisomy test in the second trimester – such women should still be able to determine their risk of trisomies plus AWD and NTD.</w:t>
      </w:r>
    </w:p>
    <w:p w14:paraId="3ADE6A34" w14:textId="3D9ECBDB" w:rsidR="00F9569A" w:rsidRDefault="00F9569A" w:rsidP="00695A76">
      <w:pPr>
        <w:spacing w:after="240"/>
      </w:pPr>
      <w:r>
        <w:t xml:space="preserve">MSAC noted that </w:t>
      </w:r>
      <w:r w:rsidR="00A66763">
        <w:t xml:space="preserve">first trimester </w:t>
      </w:r>
      <w:r>
        <w:t xml:space="preserve">ultrasounds are not </w:t>
      </w:r>
      <w:r w:rsidR="00E34626">
        <w:t xml:space="preserve">readily </w:t>
      </w:r>
      <w:r>
        <w:t>available in all rural/regional areas</w:t>
      </w:r>
      <w:r w:rsidRPr="00E60E64">
        <w:t xml:space="preserve"> </w:t>
      </w:r>
      <w:r>
        <w:t xml:space="preserve">meaning that there </w:t>
      </w:r>
      <w:r w:rsidR="00E34626">
        <w:t>may be</w:t>
      </w:r>
      <w:r>
        <w:t xml:space="preserve"> equity</w:t>
      </w:r>
      <w:r w:rsidR="002B668E">
        <w:t xml:space="preserve"> of </w:t>
      </w:r>
      <w:r>
        <w:t xml:space="preserve">access issues with the current screening </w:t>
      </w:r>
      <w:r w:rsidR="00E34626">
        <w:t>approach</w:t>
      </w:r>
      <w:r>
        <w:t xml:space="preserve">. </w:t>
      </w:r>
      <w:r w:rsidR="002B668E">
        <w:t xml:space="preserve">MSAC considered this to have implications for its consideration of NIPT, which may have less equity of access implications because, like other pathology tests based on a blood sample, </w:t>
      </w:r>
      <w:r w:rsidR="00971E55">
        <w:t xml:space="preserve">NIPT </w:t>
      </w:r>
      <w:r w:rsidR="002B668E">
        <w:t xml:space="preserve">is expected to have less consequences for the distances travelled to access this service than ultrasounds. </w:t>
      </w:r>
      <w:r>
        <w:t xml:space="preserve">MSAC also noted that, currently, 25–30% of pregnant women are paying for NIPT out of their own pocket because it is </w:t>
      </w:r>
      <w:r w:rsidR="002B668E">
        <w:t xml:space="preserve">acknowledged to be </w:t>
      </w:r>
      <w:r>
        <w:t xml:space="preserve">a superior test (identifying 99% of trisomies compared to 85% using current </w:t>
      </w:r>
      <w:r w:rsidR="0069704E">
        <w:t>screening approaches</w:t>
      </w:r>
      <w:r>
        <w:t xml:space="preserve">) and </w:t>
      </w:r>
      <w:r w:rsidR="002B668E">
        <w:t>possibl</w:t>
      </w:r>
      <w:r w:rsidR="00E61FA7">
        <w:t>y</w:t>
      </w:r>
      <w:r w:rsidR="002B668E">
        <w:t xml:space="preserve"> </w:t>
      </w:r>
      <w:r>
        <w:t>because they want to avoi</w:t>
      </w:r>
      <w:r w:rsidR="002B668E">
        <w:t>d unnecessary invasive testing</w:t>
      </w:r>
      <w:r w:rsidR="00847F80">
        <w:t xml:space="preserve"> (Norton, 2015)</w:t>
      </w:r>
      <w:r w:rsidR="002B668E">
        <w:t>.</w:t>
      </w:r>
    </w:p>
    <w:p w14:paraId="0AE6852D" w14:textId="1994B176" w:rsidR="00F9569A" w:rsidRDefault="00F9569A" w:rsidP="00F9569A">
      <w:pPr>
        <w:pStyle w:val="NormalBeforeBullet"/>
      </w:pPr>
      <w:r>
        <w:t xml:space="preserve">MSAC noted that a number of factors make it difficult to determine the </w:t>
      </w:r>
      <w:r w:rsidR="00637F97">
        <w:t xml:space="preserve">clinical and </w:t>
      </w:r>
      <w:r>
        <w:t xml:space="preserve">economic impact of listing NIPT on the MBS. </w:t>
      </w:r>
      <w:r w:rsidR="002B668E">
        <w:t xml:space="preserve">In seeking to better examine this impact, </w:t>
      </w:r>
      <w:r>
        <w:t xml:space="preserve">MSAC </w:t>
      </w:r>
      <w:r w:rsidR="002B668E">
        <w:t xml:space="preserve">specified </w:t>
      </w:r>
      <w:r>
        <w:t>four categories of patients:</w:t>
      </w:r>
    </w:p>
    <w:p w14:paraId="488FBA82" w14:textId="77777777" w:rsidR="00F9569A" w:rsidRDefault="00F9569A" w:rsidP="00F9569A">
      <w:pPr>
        <w:pStyle w:val="Bullet"/>
      </w:pPr>
      <w:r>
        <w:t>w</w:t>
      </w:r>
      <w:r w:rsidRPr="00926711">
        <w:t xml:space="preserve">omen who have access to screening </w:t>
      </w:r>
      <w:r>
        <w:t xml:space="preserve">and </w:t>
      </w:r>
      <w:r w:rsidRPr="00926711">
        <w:t>choose to screen</w:t>
      </w:r>
    </w:p>
    <w:p w14:paraId="4CF2D8AE" w14:textId="77777777" w:rsidR="00F9569A" w:rsidRDefault="00F9569A" w:rsidP="00F9569A">
      <w:pPr>
        <w:pStyle w:val="Bullet"/>
      </w:pPr>
      <w:r>
        <w:t>w</w:t>
      </w:r>
      <w:r w:rsidRPr="00926711">
        <w:t>omen with access to biochem</w:t>
      </w:r>
      <w:r>
        <w:t>ical testing</w:t>
      </w:r>
      <w:r w:rsidRPr="00926711">
        <w:t xml:space="preserve"> but not ultrasound</w:t>
      </w:r>
    </w:p>
    <w:p w14:paraId="1B6F61AE" w14:textId="77777777" w:rsidR="00F9569A" w:rsidRDefault="00F9569A" w:rsidP="00F9569A">
      <w:pPr>
        <w:pStyle w:val="Bullet"/>
      </w:pPr>
      <w:r>
        <w:t>w</w:t>
      </w:r>
      <w:r w:rsidRPr="00926711">
        <w:t xml:space="preserve">omen with no access to ultrasound or </w:t>
      </w:r>
      <w:r>
        <w:t>biochemistry</w:t>
      </w:r>
      <w:r w:rsidRPr="00926711">
        <w:t xml:space="preserve"> testing</w:t>
      </w:r>
    </w:p>
    <w:p w14:paraId="1B031B37" w14:textId="3DEA4F1B" w:rsidR="00F9569A" w:rsidRDefault="00F9569A" w:rsidP="00F9569A">
      <w:pPr>
        <w:pStyle w:val="BulletLast"/>
      </w:pPr>
      <w:r w:rsidRPr="00926711">
        <w:t xml:space="preserve">women </w:t>
      </w:r>
      <w:r>
        <w:t>who have</w:t>
      </w:r>
      <w:r w:rsidRPr="00926711">
        <w:t xml:space="preserve"> access to screening </w:t>
      </w:r>
      <w:r>
        <w:t>but</w:t>
      </w:r>
      <w:r w:rsidRPr="00926711">
        <w:t xml:space="preserve"> choose to not screen</w:t>
      </w:r>
      <w:r w:rsidR="0069704E">
        <w:t>.</w:t>
      </w:r>
    </w:p>
    <w:p w14:paraId="2A861CCD" w14:textId="4E056A8A" w:rsidR="00F9569A" w:rsidRPr="00926711" w:rsidRDefault="00F9569A" w:rsidP="00D768E6">
      <w:pPr>
        <w:spacing w:after="240"/>
      </w:pPr>
      <w:r>
        <w:t xml:space="preserve">MSAC considered that the </w:t>
      </w:r>
      <w:r w:rsidR="00637F97">
        <w:t xml:space="preserve">primary </w:t>
      </w:r>
      <w:r>
        <w:t xml:space="preserve">outcome of interest is the number of additional trisomies that NIPT would detect (compared to not having NIPT on the MBS). When considering the numbers of women in </w:t>
      </w:r>
      <w:r w:rsidR="007936AD">
        <w:t>all</w:t>
      </w:r>
      <w:r>
        <w:t xml:space="preserve"> of these four categories</w:t>
      </w:r>
      <w:r w:rsidR="002B668E">
        <w:t xml:space="preserve"> and the associated uptake and detection rates</w:t>
      </w:r>
      <w:r>
        <w:t xml:space="preserve">, </w:t>
      </w:r>
      <w:r w:rsidR="00A96845">
        <w:t xml:space="preserve">MSAC </w:t>
      </w:r>
      <w:r>
        <w:t xml:space="preserve">estimated that NIPT would detect an additional </w:t>
      </w:r>
      <w:r w:rsidR="00B26E61">
        <w:t>195</w:t>
      </w:r>
      <w:r>
        <w:t xml:space="preserve"> trisomies per year</w:t>
      </w:r>
      <w:r w:rsidR="00A96845">
        <w:t xml:space="preserve"> </w:t>
      </w:r>
      <w:r w:rsidR="002B668E">
        <w:t xml:space="preserve">overall </w:t>
      </w:r>
      <w:r w:rsidR="00A96845">
        <w:t xml:space="preserve">(see Table </w:t>
      </w:r>
      <w:r w:rsidR="00FF0ECF">
        <w:t>1</w:t>
      </w:r>
      <w:r w:rsidR="00A96845">
        <w:t>)</w:t>
      </w:r>
      <w:r>
        <w:t xml:space="preserve">. </w:t>
      </w:r>
      <w:r w:rsidR="007936AD">
        <w:t xml:space="preserve">However, it remains uncertain </w:t>
      </w:r>
      <w:r w:rsidR="008F074D">
        <w:t xml:space="preserve">as to </w:t>
      </w:r>
      <w:r w:rsidR="007936AD">
        <w:t xml:space="preserve">whether there is </w:t>
      </w:r>
      <w:r w:rsidR="008F074D">
        <w:t xml:space="preserve">a </w:t>
      </w:r>
      <w:r w:rsidR="000C3A0E">
        <w:t xml:space="preserve">proportionally </w:t>
      </w:r>
      <w:r w:rsidR="007936AD">
        <w:t xml:space="preserve">higher incidence of trisomies </w:t>
      </w:r>
      <w:r w:rsidR="000B45BC">
        <w:t xml:space="preserve">who are born </w:t>
      </w:r>
      <w:r w:rsidR="007936AD">
        <w:t>among those women who do not have access to first</w:t>
      </w:r>
      <w:r w:rsidR="000C3A0E">
        <w:t xml:space="preserve"> trimester ultrasound, or any screening at all, and if these </w:t>
      </w:r>
      <w:r w:rsidR="000419D7">
        <w:t>c</w:t>
      </w:r>
      <w:r w:rsidR="000C3A0E">
        <w:t xml:space="preserve">ould be appropriate populations to have </w:t>
      </w:r>
      <w:r w:rsidR="000419D7">
        <w:t xml:space="preserve">preferential public funding for </w:t>
      </w:r>
      <w:r w:rsidR="000C3A0E">
        <w:t>NIPT.</w:t>
      </w:r>
    </w:p>
    <w:p w14:paraId="549F5573" w14:textId="731E2458" w:rsidR="00F9569A" w:rsidRDefault="00F9569A" w:rsidP="00F9569A">
      <w:r>
        <w:t xml:space="preserve">MSAC then calculated that if all pregnant women had unrestricted access to NIPT, then </w:t>
      </w:r>
      <w:r w:rsidR="00807B7D">
        <w:t xml:space="preserve">approximately </w:t>
      </w:r>
      <w:r>
        <w:t xml:space="preserve">300,000 women would be able to access it. </w:t>
      </w:r>
      <w:r w:rsidR="00F13F13">
        <w:t xml:space="preserve">Based on data presented in the application from the Victorian Perinatal Linkage Study, 83.4% of women in Victoria underwent at least one form of aneuploidy screening. </w:t>
      </w:r>
      <w:r>
        <w:t xml:space="preserve">Based on </w:t>
      </w:r>
      <w:r w:rsidR="00F13F13">
        <w:t>the</w:t>
      </w:r>
      <w:r>
        <w:t xml:space="preserve"> uptake rate</w:t>
      </w:r>
      <w:r w:rsidR="005B1903">
        <w:t xml:space="preserve"> of </w:t>
      </w:r>
      <w:r w:rsidR="00F13F13">
        <w:t xml:space="preserve">current screening </w:t>
      </w:r>
      <w:r w:rsidR="00573EF0">
        <w:t xml:space="preserve">of </w:t>
      </w:r>
      <w:r w:rsidR="005B1903">
        <w:t>83%</w:t>
      </w:r>
      <w:r w:rsidR="00F13F13">
        <w:t xml:space="preserve"> </w:t>
      </w:r>
      <w:r w:rsidR="00573EF0">
        <w:t>as the</w:t>
      </w:r>
      <w:r w:rsidR="00F13F13">
        <w:t xml:space="preserve"> upper limit of </w:t>
      </w:r>
      <w:r w:rsidR="00573EF0">
        <w:t xml:space="preserve">national </w:t>
      </w:r>
      <w:r w:rsidR="00F13F13">
        <w:t>uptake if NIPT were to become available</w:t>
      </w:r>
      <w:r>
        <w:t xml:space="preserve">, </w:t>
      </w:r>
      <w:r w:rsidR="00573EF0">
        <w:t>250,200 out of 300,000 women would potentially avail themselves of testing per year. T</w:t>
      </w:r>
      <w:r>
        <w:t xml:space="preserve">he </w:t>
      </w:r>
      <w:r w:rsidR="000B45BC">
        <w:t>MBS</w:t>
      </w:r>
      <w:r>
        <w:t xml:space="preserve"> expenditure</w:t>
      </w:r>
      <w:r w:rsidR="00573EF0">
        <w:t xml:space="preserve"> for NIPT</w:t>
      </w:r>
      <w:r>
        <w:t xml:space="preserve"> </w:t>
      </w:r>
      <w:r w:rsidR="00573EF0">
        <w:t xml:space="preserve">in these women </w:t>
      </w:r>
      <w:r>
        <w:t xml:space="preserve">would be </w:t>
      </w:r>
      <w:r w:rsidR="000C3A0E">
        <w:t xml:space="preserve">in the order of </w:t>
      </w:r>
      <w:r>
        <w:t xml:space="preserve">$100 million to detect </w:t>
      </w:r>
      <w:r w:rsidR="00B26E61">
        <w:t xml:space="preserve">approximately </w:t>
      </w:r>
      <w:r>
        <w:t xml:space="preserve">an additional </w:t>
      </w:r>
      <w:r w:rsidR="00B26E61">
        <w:t>195</w:t>
      </w:r>
      <w:r>
        <w:t> cases</w:t>
      </w:r>
      <w:r w:rsidR="00A66763">
        <w:t xml:space="preserve"> of trisomies</w:t>
      </w:r>
      <w:r>
        <w:t xml:space="preserve"> per year</w:t>
      </w:r>
      <w:r w:rsidR="00573EF0">
        <w:t>, as compared to the current testing methods</w:t>
      </w:r>
      <w:r>
        <w:t>.</w:t>
      </w:r>
      <w:r w:rsidR="00FB111A">
        <w:t xml:space="preserve"> MSAC advised that this was not acceptably cost-effective, and that this conclusion </w:t>
      </w:r>
      <w:r w:rsidR="001F08BC">
        <w:t xml:space="preserve">would </w:t>
      </w:r>
      <w:r w:rsidR="00FB111A">
        <w:t xml:space="preserve">not </w:t>
      </w:r>
      <w:r w:rsidR="001F08BC">
        <w:t>be</w:t>
      </w:r>
      <w:r w:rsidR="00FB111A">
        <w:t xml:space="preserve"> affected by </w:t>
      </w:r>
      <w:r w:rsidR="001F08BC">
        <w:t>attempting to resolve</w:t>
      </w:r>
      <w:r w:rsidR="00FB111A">
        <w:t xml:space="preserve"> whether </w:t>
      </w:r>
      <w:r w:rsidR="0003519A">
        <w:t>invasive prenatal testing (</w:t>
      </w:r>
      <w:r w:rsidR="00FB111A">
        <w:t>IPT</w:t>
      </w:r>
      <w:r w:rsidR="0003519A">
        <w:t>)</w:t>
      </w:r>
      <w:r w:rsidR="00FB111A">
        <w:t xml:space="preserve"> rates would change further with the public funding of</w:t>
      </w:r>
      <w:r w:rsidR="00695A76">
        <w:t xml:space="preserve"> NIPT for these three trisomies.</w:t>
      </w:r>
    </w:p>
    <w:p w14:paraId="5F4AF2D2" w14:textId="41A7FB39" w:rsidR="00A96845" w:rsidRPr="00057DB8" w:rsidRDefault="00A96845" w:rsidP="00057DB8">
      <w:pPr>
        <w:keepNext/>
        <w:keepLines/>
        <w:rPr>
          <w:rFonts w:ascii="Arial Narrow" w:hAnsi="Arial Narrow"/>
          <w:b/>
          <w:sz w:val="20"/>
        </w:rPr>
      </w:pPr>
      <w:r w:rsidRPr="00057DB8">
        <w:rPr>
          <w:rFonts w:ascii="Arial Narrow" w:hAnsi="Arial Narrow"/>
          <w:b/>
          <w:sz w:val="20"/>
        </w:rPr>
        <w:t xml:space="preserve">Table </w:t>
      </w:r>
      <w:r w:rsidR="00FF0ECF" w:rsidRPr="00057DB8">
        <w:rPr>
          <w:rFonts w:ascii="Arial Narrow" w:hAnsi="Arial Narrow"/>
          <w:b/>
          <w:sz w:val="20"/>
        </w:rPr>
        <w:t>1</w:t>
      </w:r>
      <w:r w:rsidRPr="00057DB8">
        <w:rPr>
          <w:rFonts w:ascii="Arial Narrow" w:hAnsi="Arial Narrow"/>
          <w:b/>
          <w:sz w:val="20"/>
        </w:rPr>
        <w:t xml:space="preserve">: Estimating the </w:t>
      </w:r>
      <w:r w:rsidR="007479CB" w:rsidRPr="00057DB8">
        <w:rPr>
          <w:rFonts w:ascii="Arial Narrow" w:hAnsi="Arial Narrow"/>
          <w:b/>
          <w:sz w:val="20"/>
        </w:rPr>
        <w:t>extra</w:t>
      </w:r>
      <w:r w:rsidR="004D5ECD" w:rsidRPr="00057DB8">
        <w:rPr>
          <w:rFonts w:ascii="Arial Narrow" w:hAnsi="Arial Narrow"/>
          <w:b/>
          <w:sz w:val="20"/>
        </w:rPr>
        <w:t xml:space="preserve"> </w:t>
      </w:r>
      <w:r w:rsidRPr="00057DB8">
        <w:rPr>
          <w:rFonts w:ascii="Arial Narrow" w:hAnsi="Arial Narrow"/>
          <w:b/>
          <w:sz w:val="20"/>
        </w:rPr>
        <w:t xml:space="preserve">number of trisomies 21, 18 and 13 </w:t>
      </w:r>
      <w:r w:rsidR="004D5ECD" w:rsidRPr="00057DB8">
        <w:rPr>
          <w:rFonts w:ascii="Arial Narrow" w:hAnsi="Arial Narrow"/>
          <w:b/>
          <w:sz w:val="20"/>
        </w:rPr>
        <w:t xml:space="preserve">detected </w:t>
      </w:r>
      <w:r w:rsidRPr="00057DB8">
        <w:rPr>
          <w:rFonts w:ascii="Arial Narrow" w:hAnsi="Arial Narrow"/>
          <w:b/>
          <w:sz w:val="20"/>
        </w:rPr>
        <w:t>per year</w:t>
      </w:r>
      <w:r w:rsidR="007479CB" w:rsidRPr="00057DB8">
        <w:rPr>
          <w:rFonts w:ascii="Arial Narrow" w:hAnsi="Arial Narrow"/>
          <w:b/>
          <w:sz w:val="20"/>
        </w:rPr>
        <w:t xml:space="preserve"> and cost per extra case detected</w:t>
      </w:r>
    </w:p>
    <w:tbl>
      <w:tblPr>
        <w:tblStyle w:val="TableGrid"/>
        <w:tblW w:w="9498" w:type="dxa"/>
        <w:tblInd w:w="-147" w:type="dxa"/>
        <w:tblLook w:val="04A0" w:firstRow="1" w:lastRow="0" w:firstColumn="1" w:lastColumn="0" w:noHBand="0" w:noVBand="1"/>
        <w:tblDescription w:val="Estimating the extra number of trisomies 21, 18 and 13 detected per year and cost per extra case detected"/>
      </w:tblPr>
      <w:tblGrid>
        <w:gridCol w:w="2836"/>
        <w:gridCol w:w="1984"/>
        <w:gridCol w:w="1559"/>
        <w:gridCol w:w="1985"/>
        <w:gridCol w:w="1134"/>
      </w:tblGrid>
      <w:tr w:rsidR="00AB33BD" w:rsidRPr="00A96845" w14:paraId="266AF35C" w14:textId="77777777" w:rsidTr="00057DB8">
        <w:trPr>
          <w:tblHeader/>
        </w:trPr>
        <w:tc>
          <w:tcPr>
            <w:tcW w:w="2836" w:type="dxa"/>
            <w:vMerge w:val="restart"/>
          </w:tcPr>
          <w:p w14:paraId="7D199A33" w14:textId="2BAFBA2C" w:rsidR="00AB33BD" w:rsidRDefault="00AB33BD" w:rsidP="00057DB8">
            <w:pPr>
              <w:pStyle w:val="Caption"/>
              <w:keepLines/>
              <w:jc w:val="left"/>
              <w:rPr>
                <w:b w:val="0"/>
                <w:snapToGrid w:val="0"/>
                <w:szCs w:val="16"/>
              </w:rPr>
            </w:pPr>
          </w:p>
        </w:tc>
        <w:tc>
          <w:tcPr>
            <w:tcW w:w="5528" w:type="dxa"/>
            <w:gridSpan w:val="3"/>
          </w:tcPr>
          <w:p w14:paraId="66A859F5" w14:textId="00D0B59C" w:rsidR="00AB33BD" w:rsidRDefault="00AB33BD" w:rsidP="00057DB8">
            <w:pPr>
              <w:pStyle w:val="Caption"/>
              <w:keepLines/>
              <w:jc w:val="center"/>
              <w:rPr>
                <w:b w:val="0"/>
                <w:snapToGrid w:val="0"/>
                <w:szCs w:val="16"/>
              </w:rPr>
            </w:pPr>
            <w:r>
              <w:rPr>
                <w:b w:val="0"/>
                <w:snapToGrid w:val="0"/>
                <w:szCs w:val="16"/>
              </w:rPr>
              <w:t>Categories of pregnant women</w:t>
            </w:r>
          </w:p>
        </w:tc>
        <w:tc>
          <w:tcPr>
            <w:tcW w:w="1134" w:type="dxa"/>
            <w:vMerge w:val="restart"/>
          </w:tcPr>
          <w:p w14:paraId="6390005E" w14:textId="3742B1AF" w:rsidR="00AB33BD" w:rsidRDefault="00AB33BD" w:rsidP="00057DB8">
            <w:pPr>
              <w:pStyle w:val="Caption"/>
              <w:keepLines/>
              <w:jc w:val="center"/>
              <w:rPr>
                <w:b w:val="0"/>
                <w:snapToGrid w:val="0"/>
                <w:szCs w:val="16"/>
              </w:rPr>
            </w:pPr>
            <w:r>
              <w:rPr>
                <w:b w:val="0"/>
                <w:snapToGrid w:val="0"/>
                <w:szCs w:val="16"/>
              </w:rPr>
              <w:t>Total</w:t>
            </w:r>
          </w:p>
        </w:tc>
      </w:tr>
      <w:tr w:rsidR="00AB33BD" w:rsidRPr="00A96845" w14:paraId="6954D9A1" w14:textId="77777777" w:rsidTr="00057DB8">
        <w:trPr>
          <w:tblHeader/>
        </w:trPr>
        <w:tc>
          <w:tcPr>
            <w:tcW w:w="2836" w:type="dxa"/>
            <w:vMerge/>
          </w:tcPr>
          <w:p w14:paraId="6C179A38" w14:textId="1DE591C3" w:rsidR="00AB33BD" w:rsidRPr="00A96845" w:rsidRDefault="00AB33BD" w:rsidP="00AB33BD">
            <w:pPr>
              <w:pStyle w:val="Caption"/>
              <w:jc w:val="left"/>
              <w:rPr>
                <w:b w:val="0"/>
                <w:snapToGrid w:val="0"/>
                <w:szCs w:val="16"/>
              </w:rPr>
            </w:pPr>
          </w:p>
        </w:tc>
        <w:tc>
          <w:tcPr>
            <w:tcW w:w="1984" w:type="dxa"/>
          </w:tcPr>
          <w:p w14:paraId="608446CF" w14:textId="2A52A3ED" w:rsidR="00AB33BD" w:rsidRPr="00A96845" w:rsidRDefault="00AB33BD" w:rsidP="005B1903">
            <w:pPr>
              <w:pStyle w:val="Caption"/>
              <w:jc w:val="center"/>
              <w:rPr>
                <w:b w:val="0"/>
                <w:snapToGrid w:val="0"/>
                <w:szCs w:val="16"/>
              </w:rPr>
            </w:pPr>
            <w:r>
              <w:rPr>
                <w:b w:val="0"/>
                <w:snapToGrid w:val="0"/>
                <w:szCs w:val="16"/>
              </w:rPr>
              <w:t>Access to screening and choose to undergo screen</w:t>
            </w:r>
            <w:r w:rsidR="00FB132B">
              <w:rPr>
                <w:b w:val="0"/>
                <w:snapToGrid w:val="0"/>
                <w:szCs w:val="16"/>
              </w:rPr>
              <w:t>ing</w:t>
            </w:r>
            <w:r>
              <w:rPr>
                <w:b w:val="0"/>
                <w:snapToGrid w:val="0"/>
                <w:szCs w:val="16"/>
              </w:rPr>
              <w:t xml:space="preserve"> at least once per pregnancy</w:t>
            </w:r>
          </w:p>
        </w:tc>
        <w:tc>
          <w:tcPr>
            <w:tcW w:w="1559" w:type="dxa"/>
          </w:tcPr>
          <w:p w14:paraId="4D9D65C4" w14:textId="7DFA7B4B" w:rsidR="00AB33BD" w:rsidRPr="00A96845" w:rsidRDefault="00AB33BD" w:rsidP="00AA4890">
            <w:pPr>
              <w:pStyle w:val="Caption"/>
              <w:jc w:val="center"/>
              <w:rPr>
                <w:b w:val="0"/>
                <w:snapToGrid w:val="0"/>
                <w:szCs w:val="16"/>
              </w:rPr>
            </w:pPr>
            <w:r>
              <w:rPr>
                <w:b w:val="0"/>
                <w:snapToGrid w:val="0"/>
                <w:szCs w:val="16"/>
              </w:rPr>
              <w:t>Access to second trimester biochemistry</w:t>
            </w:r>
            <w:r w:rsidR="00FB132B">
              <w:rPr>
                <w:b w:val="0"/>
                <w:snapToGrid w:val="0"/>
                <w:szCs w:val="16"/>
              </w:rPr>
              <w:t>,</w:t>
            </w:r>
            <w:r>
              <w:rPr>
                <w:b w:val="0"/>
                <w:snapToGrid w:val="0"/>
                <w:szCs w:val="16"/>
              </w:rPr>
              <w:t xml:space="preserve"> but no ultrasound</w:t>
            </w:r>
          </w:p>
        </w:tc>
        <w:tc>
          <w:tcPr>
            <w:tcW w:w="1985" w:type="dxa"/>
          </w:tcPr>
          <w:p w14:paraId="2A55DFA1" w14:textId="4E344C61" w:rsidR="00AB33BD" w:rsidRPr="00A96845" w:rsidRDefault="00AB33BD" w:rsidP="008C2EA3">
            <w:pPr>
              <w:pStyle w:val="Caption"/>
              <w:jc w:val="center"/>
              <w:rPr>
                <w:b w:val="0"/>
                <w:snapToGrid w:val="0"/>
                <w:szCs w:val="16"/>
              </w:rPr>
            </w:pPr>
            <w:r>
              <w:rPr>
                <w:b w:val="0"/>
                <w:snapToGrid w:val="0"/>
                <w:szCs w:val="16"/>
              </w:rPr>
              <w:t>No access to ultrasound or biochemistry, or have access to screening</w:t>
            </w:r>
            <w:r w:rsidR="00FB132B">
              <w:rPr>
                <w:b w:val="0"/>
                <w:snapToGrid w:val="0"/>
                <w:szCs w:val="16"/>
              </w:rPr>
              <w:t>,</w:t>
            </w:r>
            <w:r>
              <w:rPr>
                <w:b w:val="0"/>
                <w:snapToGrid w:val="0"/>
                <w:szCs w:val="16"/>
              </w:rPr>
              <w:t xml:space="preserve"> but choose not to screen</w:t>
            </w:r>
          </w:p>
        </w:tc>
        <w:tc>
          <w:tcPr>
            <w:tcW w:w="1134" w:type="dxa"/>
            <w:vMerge/>
          </w:tcPr>
          <w:p w14:paraId="760CEFB5" w14:textId="4A263817" w:rsidR="00AB33BD" w:rsidRPr="00A96845" w:rsidRDefault="00AB33BD" w:rsidP="004D5ECD">
            <w:pPr>
              <w:pStyle w:val="Caption"/>
              <w:jc w:val="center"/>
              <w:rPr>
                <w:b w:val="0"/>
                <w:snapToGrid w:val="0"/>
                <w:szCs w:val="16"/>
              </w:rPr>
            </w:pPr>
          </w:p>
        </w:tc>
      </w:tr>
      <w:tr w:rsidR="00AA4890" w:rsidRPr="00A96845" w14:paraId="4CC426A6" w14:textId="77777777" w:rsidTr="00601A1A">
        <w:tc>
          <w:tcPr>
            <w:tcW w:w="2836" w:type="dxa"/>
          </w:tcPr>
          <w:p w14:paraId="772DDE76" w14:textId="41E8608D" w:rsidR="008C2EA3" w:rsidRPr="00A96845" w:rsidRDefault="008C2EA3" w:rsidP="00AB33BD">
            <w:pPr>
              <w:pStyle w:val="Caption"/>
              <w:jc w:val="left"/>
              <w:rPr>
                <w:b w:val="0"/>
                <w:snapToGrid w:val="0"/>
                <w:szCs w:val="16"/>
              </w:rPr>
            </w:pPr>
            <w:r>
              <w:rPr>
                <w:b w:val="0"/>
                <w:snapToGrid w:val="0"/>
                <w:szCs w:val="16"/>
              </w:rPr>
              <w:t>P</w:t>
            </w:r>
            <w:r w:rsidR="00241E85">
              <w:rPr>
                <w:b w:val="0"/>
                <w:snapToGrid w:val="0"/>
                <w:szCs w:val="16"/>
              </w:rPr>
              <w:t>roportion</w:t>
            </w:r>
            <w:r>
              <w:rPr>
                <w:b w:val="0"/>
                <w:snapToGrid w:val="0"/>
                <w:szCs w:val="16"/>
              </w:rPr>
              <w:t xml:space="preserve"> of pregnancies per year</w:t>
            </w:r>
            <w:r w:rsidRPr="00722525">
              <w:rPr>
                <w:b w:val="0"/>
                <w:snapToGrid w:val="0"/>
                <w:szCs w:val="16"/>
                <w:vertAlign w:val="superscript"/>
              </w:rPr>
              <w:t>1</w:t>
            </w:r>
          </w:p>
        </w:tc>
        <w:tc>
          <w:tcPr>
            <w:tcW w:w="1984" w:type="dxa"/>
          </w:tcPr>
          <w:p w14:paraId="35BC4111" w14:textId="0B88D668" w:rsidR="008C2EA3" w:rsidRPr="00A96845" w:rsidRDefault="008C2EA3" w:rsidP="004D5ECD">
            <w:pPr>
              <w:pStyle w:val="Caption"/>
              <w:jc w:val="center"/>
              <w:rPr>
                <w:b w:val="0"/>
                <w:snapToGrid w:val="0"/>
                <w:szCs w:val="16"/>
              </w:rPr>
            </w:pPr>
            <w:r>
              <w:rPr>
                <w:b w:val="0"/>
                <w:snapToGrid w:val="0"/>
                <w:szCs w:val="16"/>
              </w:rPr>
              <w:t>77.7%</w:t>
            </w:r>
          </w:p>
        </w:tc>
        <w:tc>
          <w:tcPr>
            <w:tcW w:w="1559" w:type="dxa"/>
          </w:tcPr>
          <w:p w14:paraId="1218E7BE" w14:textId="642FF944" w:rsidR="008C2EA3" w:rsidRPr="00A96845" w:rsidRDefault="008C2EA3" w:rsidP="00F96AC5">
            <w:pPr>
              <w:pStyle w:val="Caption"/>
              <w:jc w:val="center"/>
              <w:rPr>
                <w:b w:val="0"/>
                <w:snapToGrid w:val="0"/>
                <w:szCs w:val="16"/>
              </w:rPr>
            </w:pPr>
            <w:r>
              <w:rPr>
                <w:b w:val="0"/>
                <w:snapToGrid w:val="0"/>
                <w:szCs w:val="16"/>
              </w:rPr>
              <w:t>5.3%</w:t>
            </w:r>
          </w:p>
        </w:tc>
        <w:tc>
          <w:tcPr>
            <w:tcW w:w="1985" w:type="dxa"/>
          </w:tcPr>
          <w:p w14:paraId="607F3133" w14:textId="591A492E" w:rsidR="008C2EA3" w:rsidRPr="00A96845" w:rsidRDefault="008C2EA3" w:rsidP="004D5ECD">
            <w:pPr>
              <w:pStyle w:val="Caption"/>
              <w:jc w:val="center"/>
              <w:rPr>
                <w:b w:val="0"/>
                <w:snapToGrid w:val="0"/>
                <w:szCs w:val="16"/>
              </w:rPr>
            </w:pPr>
            <w:r>
              <w:rPr>
                <w:b w:val="0"/>
                <w:snapToGrid w:val="0"/>
                <w:szCs w:val="16"/>
              </w:rPr>
              <w:t>17%</w:t>
            </w:r>
          </w:p>
        </w:tc>
        <w:tc>
          <w:tcPr>
            <w:tcW w:w="1134" w:type="dxa"/>
          </w:tcPr>
          <w:p w14:paraId="36CF60DF" w14:textId="4C60CA61" w:rsidR="008C2EA3" w:rsidRPr="00A96845" w:rsidRDefault="008C2EA3" w:rsidP="004D5ECD">
            <w:pPr>
              <w:pStyle w:val="Caption"/>
              <w:jc w:val="center"/>
              <w:rPr>
                <w:b w:val="0"/>
                <w:snapToGrid w:val="0"/>
                <w:szCs w:val="16"/>
              </w:rPr>
            </w:pPr>
            <w:r>
              <w:rPr>
                <w:b w:val="0"/>
                <w:snapToGrid w:val="0"/>
                <w:szCs w:val="16"/>
              </w:rPr>
              <w:t>100%</w:t>
            </w:r>
          </w:p>
        </w:tc>
      </w:tr>
      <w:tr w:rsidR="00AA4890" w:rsidRPr="00A96845" w14:paraId="4C4FABE0" w14:textId="77777777" w:rsidTr="00601A1A">
        <w:tc>
          <w:tcPr>
            <w:tcW w:w="2836" w:type="dxa"/>
          </w:tcPr>
          <w:p w14:paraId="1C0B8DC4" w14:textId="41478B71" w:rsidR="008C2EA3" w:rsidRPr="00A96845" w:rsidRDefault="00E8304C" w:rsidP="00AB33BD">
            <w:pPr>
              <w:pStyle w:val="Caption"/>
              <w:jc w:val="left"/>
              <w:rPr>
                <w:b w:val="0"/>
                <w:snapToGrid w:val="0"/>
                <w:szCs w:val="16"/>
              </w:rPr>
            </w:pPr>
            <w:r>
              <w:rPr>
                <w:b w:val="0"/>
                <w:snapToGrid w:val="0"/>
                <w:szCs w:val="16"/>
              </w:rPr>
              <w:t>Representative n</w:t>
            </w:r>
            <w:r w:rsidR="008C2EA3">
              <w:rPr>
                <w:b w:val="0"/>
                <w:snapToGrid w:val="0"/>
                <w:szCs w:val="16"/>
              </w:rPr>
              <w:t>umber of pregnancies per year</w:t>
            </w:r>
          </w:p>
        </w:tc>
        <w:tc>
          <w:tcPr>
            <w:tcW w:w="1984" w:type="dxa"/>
          </w:tcPr>
          <w:p w14:paraId="024A5B6B" w14:textId="3E7D4E1C" w:rsidR="008C2EA3" w:rsidRPr="00A96845" w:rsidRDefault="008C2EA3" w:rsidP="004D5ECD">
            <w:pPr>
              <w:pStyle w:val="Caption"/>
              <w:jc w:val="center"/>
              <w:rPr>
                <w:b w:val="0"/>
                <w:snapToGrid w:val="0"/>
                <w:szCs w:val="16"/>
              </w:rPr>
            </w:pPr>
            <w:r>
              <w:rPr>
                <w:b w:val="0"/>
                <w:snapToGrid w:val="0"/>
                <w:szCs w:val="16"/>
              </w:rPr>
              <w:t>233,100</w:t>
            </w:r>
          </w:p>
        </w:tc>
        <w:tc>
          <w:tcPr>
            <w:tcW w:w="1559" w:type="dxa"/>
          </w:tcPr>
          <w:p w14:paraId="79A1C8B9" w14:textId="1E962934" w:rsidR="008C2EA3" w:rsidRPr="00A96845" w:rsidRDefault="008C2EA3" w:rsidP="004D5ECD">
            <w:pPr>
              <w:pStyle w:val="Caption"/>
              <w:jc w:val="center"/>
              <w:rPr>
                <w:b w:val="0"/>
                <w:snapToGrid w:val="0"/>
                <w:szCs w:val="16"/>
              </w:rPr>
            </w:pPr>
            <w:r>
              <w:rPr>
                <w:b w:val="0"/>
                <w:snapToGrid w:val="0"/>
                <w:szCs w:val="16"/>
              </w:rPr>
              <w:t>15,900</w:t>
            </w:r>
          </w:p>
        </w:tc>
        <w:tc>
          <w:tcPr>
            <w:tcW w:w="1985" w:type="dxa"/>
          </w:tcPr>
          <w:p w14:paraId="4E9E4B88" w14:textId="181A27BB" w:rsidR="008C2EA3" w:rsidRPr="00A96845" w:rsidRDefault="008C2EA3" w:rsidP="004D5ECD">
            <w:pPr>
              <w:pStyle w:val="Caption"/>
              <w:jc w:val="center"/>
              <w:rPr>
                <w:b w:val="0"/>
                <w:snapToGrid w:val="0"/>
                <w:szCs w:val="16"/>
              </w:rPr>
            </w:pPr>
            <w:r>
              <w:rPr>
                <w:b w:val="0"/>
                <w:snapToGrid w:val="0"/>
                <w:szCs w:val="16"/>
              </w:rPr>
              <w:t>51,000</w:t>
            </w:r>
          </w:p>
        </w:tc>
        <w:tc>
          <w:tcPr>
            <w:tcW w:w="1134" w:type="dxa"/>
          </w:tcPr>
          <w:p w14:paraId="73923D89" w14:textId="6FA64F62" w:rsidR="008C2EA3" w:rsidRPr="00A96845" w:rsidRDefault="008C2EA3" w:rsidP="004D5ECD">
            <w:pPr>
              <w:pStyle w:val="Caption"/>
              <w:jc w:val="center"/>
              <w:rPr>
                <w:b w:val="0"/>
                <w:snapToGrid w:val="0"/>
                <w:szCs w:val="16"/>
              </w:rPr>
            </w:pPr>
            <w:r>
              <w:rPr>
                <w:b w:val="0"/>
                <w:snapToGrid w:val="0"/>
                <w:szCs w:val="16"/>
              </w:rPr>
              <w:t>300,000</w:t>
            </w:r>
          </w:p>
        </w:tc>
      </w:tr>
      <w:tr w:rsidR="00AA4890" w:rsidRPr="00A96845" w14:paraId="668CECC6" w14:textId="77777777" w:rsidTr="00601A1A">
        <w:tc>
          <w:tcPr>
            <w:tcW w:w="2836" w:type="dxa"/>
          </w:tcPr>
          <w:p w14:paraId="18A4307A" w14:textId="141E9EB5" w:rsidR="008C2EA3" w:rsidRDefault="00505B31" w:rsidP="00AB33BD">
            <w:pPr>
              <w:pStyle w:val="Caption"/>
              <w:jc w:val="left"/>
              <w:rPr>
                <w:b w:val="0"/>
                <w:snapToGrid w:val="0"/>
                <w:szCs w:val="16"/>
              </w:rPr>
            </w:pPr>
            <w:r>
              <w:rPr>
                <w:b w:val="0"/>
                <w:snapToGrid w:val="0"/>
                <w:szCs w:val="16"/>
              </w:rPr>
              <w:t>Combined a</w:t>
            </w:r>
            <w:r w:rsidR="008C2EA3">
              <w:rPr>
                <w:b w:val="0"/>
                <w:snapToGrid w:val="0"/>
                <w:szCs w:val="16"/>
              </w:rPr>
              <w:t>nnual incidence of trisomies</w:t>
            </w:r>
            <w:r>
              <w:rPr>
                <w:b w:val="0"/>
                <w:snapToGrid w:val="0"/>
                <w:szCs w:val="16"/>
              </w:rPr>
              <w:t xml:space="preserve"> 21, 18 and 13</w:t>
            </w:r>
            <w:r w:rsidR="008C2EA3" w:rsidRPr="00411697">
              <w:rPr>
                <w:b w:val="0"/>
                <w:snapToGrid w:val="0"/>
                <w:szCs w:val="16"/>
                <w:vertAlign w:val="superscript"/>
              </w:rPr>
              <w:t>2</w:t>
            </w:r>
          </w:p>
        </w:tc>
        <w:tc>
          <w:tcPr>
            <w:tcW w:w="1984" w:type="dxa"/>
          </w:tcPr>
          <w:p w14:paraId="6DE4674C" w14:textId="5FB1D93F" w:rsidR="008C2EA3" w:rsidRPr="00A96845" w:rsidRDefault="00D35963" w:rsidP="000F4913">
            <w:pPr>
              <w:pStyle w:val="Caption"/>
              <w:jc w:val="center"/>
              <w:rPr>
                <w:b w:val="0"/>
                <w:snapToGrid w:val="0"/>
                <w:szCs w:val="16"/>
              </w:rPr>
            </w:pPr>
            <w:r>
              <w:rPr>
                <w:b w:val="0"/>
                <w:snapToGrid w:val="0"/>
                <w:szCs w:val="16"/>
              </w:rPr>
              <w:t>36</w:t>
            </w:r>
            <w:r w:rsidR="008C2EA3">
              <w:rPr>
                <w:b w:val="0"/>
                <w:snapToGrid w:val="0"/>
                <w:szCs w:val="16"/>
              </w:rPr>
              <w:t>/10,000</w:t>
            </w:r>
          </w:p>
        </w:tc>
        <w:tc>
          <w:tcPr>
            <w:tcW w:w="1559" w:type="dxa"/>
          </w:tcPr>
          <w:p w14:paraId="6E5BCA8A" w14:textId="13322919" w:rsidR="008C2EA3" w:rsidRPr="00A96845" w:rsidRDefault="00D35963" w:rsidP="004D5ECD">
            <w:pPr>
              <w:pStyle w:val="Caption"/>
              <w:jc w:val="center"/>
              <w:rPr>
                <w:b w:val="0"/>
                <w:snapToGrid w:val="0"/>
                <w:szCs w:val="16"/>
              </w:rPr>
            </w:pPr>
            <w:r>
              <w:rPr>
                <w:b w:val="0"/>
                <w:snapToGrid w:val="0"/>
                <w:szCs w:val="16"/>
              </w:rPr>
              <w:t>36</w:t>
            </w:r>
            <w:r w:rsidR="008C2EA3">
              <w:rPr>
                <w:b w:val="0"/>
                <w:snapToGrid w:val="0"/>
                <w:szCs w:val="16"/>
              </w:rPr>
              <w:t>/10,000</w:t>
            </w:r>
          </w:p>
        </w:tc>
        <w:tc>
          <w:tcPr>
            <w:tcW w:w="1985" w:type="dxa"/>
          </w:tcPr>
          <w:p w14:paraId="5275FAC1" w14:textId="11AA0934" w:rsidR="008C2EA3" w:rsidRPr="00A96845" w:rsidRDefault="00D35963" w:rsidP="004D5ECD">
            <w:pPr>
              <w:pStyle w:val="Caption"/>
              <w:jc w:val="center"/>
              <w:rPr>
                <w:b w:val="0"/>
                <w:snapToGrid w:val="0"/>
                <w:szCs w:val="16"/>
              </w:rPr>
            </w:pPr>
            <w:r>
              <w:rPr>
                <w:b w:val="0"/>
                <w:snapToGrid w:val="0"/>
                <w:szCs w:val="16"/>
              </w:rPr>
              <w:t>36</w:t>
            </w:r>
            <w:r w:rsidR="008C2EA3">
              <w:rPr>
                <w:b w:val="0"/>
                <w:snapToGrid w:val="0"/>
                <w:szCs w:val="16"/>
              </w:rPr>
              <w:t>/10,000</w:t>
            </w:r>
          </w:p>
        </w:tc>
        <w:tc>
          <w:tcPr>
            <w:tcW w:w="1134" w:type="dxa"/>
          </w:tcPr>
          <w:p w14:paraId="0D8C9DC3" w14:textId="70E51005" w:rsidR="008C2EA3" w:rsidRDefault="00D35963" w:rsidP="004D5ECD">
            <w:pPr>
              <w:pStyle w:val="Caption"/>
              <w:jc w:val="center"/>
              <w:rPr>
                <w:b w:val="0"/>
                <w:snapToGrid w:val="0"/>
                <w:szCs w:val="16"/>
              </w:rPr>
            </w:pPr>
            <w:r>
              <w:rPr>
                <w:b w:val="0"/>
                <w:snapToGrid w:val="0"/>
                <w:szCs w:val="16"/>
              </w:rPr>
              <w:t>36</w:t>
            </w:r>
            <w:r w:rsidR="007479CB">
              <w:rPr>
                <w:b w:val="0"/>
                <w:snapToGrid w:val="0"/>
                <w:szCs w:val="16"/>
              </w:rPr>
              <w:t>/10,000</w:t>
            </w:r>
          </w:p>
        </w:tc>
      </w:tr>
      <w:tr w:rsidR="00AA4890" w:rsidRPr="00A96845" w14:paraId="7826168A" w14:textId="77777777" w:rsidTr="00601A1A">
        <w:tc>
          <w:tcPr>
            <w:tcW w:w="2836" w:type="dxa"/>
          </w:tcPr>
          <w:p w14:paraId="03B29BA6" w14:textId="4801DC9F" w:rsidR="008C2EA3" w:rsidRDefault="00E8304C" w:rsidP="00AB33BD">
            <w:pPr>
              <w:pStyle w:val="Caption"/>
              <w:jc w:val="left"/>
              <w:rPr>
                <w:b w:val="0"/>
                <w:snapToGrid w:val="0"/>
                <w:szCs w:val="16"/>
              </w:rPr>
            </w:pPr>
            <w:r>
              <w:rPr>
                <w:b w:val="0"/>
                <w:snapToGrid w:val="0"/>
                <w:szCs w:val="16"/>
              </w:rPr>
              <w:t>Expected n</w:t>
            </w:r>
            <w:r w:rsidR="008C2EA3">
              <w:rPr>
                <w:b w:val="0"/>
                <w:snapToGrid w:val="0"/>
                <w:szCs w:val="16"/>
              </w:rPr>
              <w:t xml:space="preserve">umber of </w:t>
            </w:r>
            <w:r w:rsidR="004F19F2">
              <w:rPr>
                <w:b w:val="0"/>
                <w:snapToGrid w:val="0"/>
                <w:szCs w:val="16"/>
              </w:rPr>
              <w:t xml:space="preserve">pregnancies with </w:t>
            </w:r>
            <w:r w:rsidR="008C2EA3">
              <w:rPr>
                <w:b w:val="0"/>
                <w:snapToGrid w:val="0"/>
                <w:szCs w:val="16"/>
              </w:rPr>
              <w:t>trisomies</w:t>
            </w:r>
            <w:r w:rsidR="00505B31">
              <w:rPr>
                <w:b w:val="0"/>
                <w:snapToGrid w:val="0"/>
                <w:szCs w:val="16"/>
              </w:rPr>
              <w:t xml:space="preserve"> 21, 18 and 13</w:t>
            </w:r>
            <w:r w:rsidR="008C2EA3">
              <w:rPr>
                <w:b w:val="0"/>
                <w:snapToGrid w:val="0"/>
                <w:szCs w:val="16"/>
              </w:rPr>
              <w:t xml:space="preserve"> per year</w:t>
            </w:r>
          </w:p>
        </w:tc>
        <w:tc>
          <w:tcPr>
            <w:tcW w:w="1984" w:type="dxa"/>
          </w:tcPr>
          <w:p w14:paraId="7609E4F3" w14:textId="5600ED12" w:rsidR="008C2EA3" w:rsidRDefault="00D35963" w:rsidP="004D5ECD">
            <w:pPr>
              <w:pStyle w:val="Caption"/>
              <w:jc w:val="center"/>
              <w:rPr>
                <w:b w:val="0"/>
                <w:snapToGrid w:val="0"/>
                <w:szCs w:val="16"/>
              </w:rPr>
            </w:pPr>
            <w:r>
              <w:rPr>
                <w:b w:val="0"/>
                <w:snapToGrid w:val="0"/>
                <w:szCs w:val="16"/>
              </w:rPr>
              <w:t>839</w:t>
            </w:r>
          </w:p>
        </w:tc>
        <w:tc>
          <w:tcPr>
            <w:tcW w:w="1559" w:type="dxa"/>
          </w:tcPr>
          <w:p w14:paraId="74A14093" w14:textId="443DC881" w:rsidR="008C2EA3" w:rsidRPr="00A96845" w:rsidRDefault="00D35963" w:rsidP="004D5ECD">
            <w:pPr>
              <w:pStyle w:val="Caption"/>
              <w:jc w:val="center"/>
              <w:rPr>
                <w:b w:val="0"/>
                <w:snapToGrid w:val="0"/>
                <w:szCs w:val="16"/>
              </w:rPr>
            </w:pPr>
            <w:r>
              <w:rPr>
                <w:b w:val="0"/>
                <w:snapToGrid w:val="0"/>
                <w:szCs w:val="16"/>
              </w:rPr>
              <w:t>57</w:t>
            </w:r>
          </w:p>
        </w:tc>
        <w:tc>
          <w:tcPr>
            <w:tcW w:w="1985" w:type="dxa"/>
          </w:tcPr>
          <w:p w14:paraId="693742CF" w14:textId="29A395B2" w:rsidR="008C2EA3" w:rsidRPr="00A96845" w:rsidRDefault="00D35963" w:rsidP="004D5ECD">
            <w:pPr>
              <w:pStyle w:val="Caption"/>
              <w:jc w:val="center"/>
              <w:rPr>
                <w:b w:val="0"/>
                <w:snapToGrid w:val="0"/>
                <w:szCs w:val="16"/>
              </w:rPr>
            </w:pPr>
            <w:r>
              <w:rPr>
                <w:b w:val="0"/>
                <w:snapToGrid w:val="0"/>
                <w:szCs w:val="16"/>
              </w:rPr>
              <w:t>184</w:t>
            </w:r>
          </w:p>
        </w:tc>
        <w:tc>
          <w:tcPr>
            <w:tcW w:w="1134" w:type="dxa"/>
          </w:tcPr>
          <w:p w14:paraId="24269B71" w14:textId="59C651E5" w:rsidR="008C2EA3" w:rsidRDefault="00D35963" w:rsidP="004D5ECD">
            <w:pPr>
              <w:pStyle w:val="Caption"/>
              <w:jc w:val="center"/>
              <w:rPr>
                <w:b w:val="0"/>
                <w:snapToGrid w:val="0"/>
                <w:szCs w:val="16"/>
              </w:rPr>
            </w:pPr>
            <w:r>
              <w:rPr>
                <w:b w:val="0"/>
                <w:snapToGrid w:val="0"/>
                <w:szCs w:val="16"/>
              </w:rPr>
              <w:t>1080</w:t>
            </w:r>
          </w:p>
        </w:tc>
      </w:tr>
      <w:tr w:rsidR="00AA4890" w:rsidRPr="00A96845" w14:paraId="30CEBCD8" w14:textId="77777777" w:rsidTr="00601A1A">
        <w:tc>
          <w:tcPr>
            <w:tcW w:w="2836" w:type="dxa"/>
          </w:tcPr>
          <w:p w14:paraId="1B5CDA44" w14:textId="420EB30F" w:rsidR="008C2EA3" w:rsidRDefault="008C2EA3" w:rsidP="00AB33BD">
            <w:pPr>
              <w:pStyle w:val="Caption"/>
              <w:jc w:val="left"/>
              <w:rPr>
                <w:b w:val="0"/>
                <w:snapToGrid w:val="0"/>
                <w:szCs w:val="16"/>
              </w:rPr>
            </w:pPr>
            <w:r>
              <w:rPr>
                <w:b w:val="0"/>
                <w:snapToGrid w:val="0"/>
                <w:szCs w:val="16"/>
              </w:rPr>
              <w:t>Current uptake of screening</w:t>
            </w:r>
          </w:p>
        </w:tc>
        <w:tc>
          <w:tcPr>
            <w:tcW w:w="1984" w:type="dxa"/>
          </w:tcPr>
          <w:p w14:paraId="542E1248" w14:textId="00A269E6" w:rsidR="008C2EA3" w:rsidRPr="00A96845" w:rsidRDefault="008C2EA3" w:rsidP="004D5ECD">
            <w:pPr>
              <w:pStyle w:val="Caption"/>
              <w:jc w:val="center"/>
              <w:rPr>
                <w:b w:val="0"/>
                <w:snapToGrid w:val="0"/>
                <w:szCs w:val="16"/>
              </w:rPr>
            </w:pPr>
            <w:r>
              <w:rPr>
                <w:b w:val="0"/>
                <w:snapToGrid w:val="0"/>
                <w:szCs w:val="16"/>
              </w:rPr>
              <w:t>100%</w:t>
            </w:r>
          </w:p>
        </w:tc>
        <w:tc>
          <w:tcPr>
            <w:tcW w:w="1559" w:type="dxa"/>
          </w:tcPr>
          <w:p w14:paraId="06803B1D" w14:textId="04948130" w:rsidR="008C2EA3" w:rsidRPr="00A96845" w:rsidRDefault="008C2EA3" w:rsidP="004D5ECD">
            <w:pPr>
              <w:pStyle w:val="Caption"/>
              <w:jc w:val="center"/>
              <w:rPr>
                <w:b w:val="0"/>
                <w:snapToGrid w:val="0"/>
                <w:szCs w:val="16"/>
              </w:rPr>
            </w:pPr>
            <w:r>
              <w:rPr>
                <w:b w:val="0"/>
                <w:snapToGrid w:val="0"/>
                <w:szCs w:val="16"/>
              </w:rPr>
              <w:t>100%</w:t>
            </w:r>
          </w:p>
        </w:tc>
        <w:tc>
          <w:tcPr>
            <w:tcW w:w="1985" w:type="dxa"/>
          </w:tcPr>
          <w:p w14:paraId="00686AAE" w14:textId="5765BA4D" w:rsidR="008C2EA3" w:rsidRPr="00A96845" w:rsidRDefault="008C2EA3" w:rsidP="004D5ECD">
            <w:pPr>
              <w:pStyle w:val="Caption"/>
              <w:jc w:val="center"/>
              <w:rPr>
                <w:b w:val="0"/>
                <w:snapToGrid w:val="0"/>
                <w:szCs w:val="16"/>
              </w:rPr>
            </w:pPr>
            <w:r>
              <w:rPr>
                <w:b w:val="0"/>
                <w:snapToGrid w:val="0"/>
                <w:szCs w:val="16"/>
              </w:rPr>
              <w:t>0%</w:t>
            </w:r>
          </w:p>
        </w:tc>
        <w:tc>
          <w:tcPr>
            <w:tcW w:w="1134" w:type="dxa"/>
          </w:tcPr>
          <w:p w14:paraId="38F52D11" w14:textId="7A166916" w:rsidR="008C2EA3" w:rsidRDefault="008C2EA3" w:rsidP="004D5ECD">
            <w:pPr>
              <w:pStyle w:val="Caption"/>
              <w:jc w:val="center"/>
              <w:rPr>
                <w:b w:val="0"/>
                <w:snapToGrid w:val="0"/>
                <w:szCs w:val="16"/>
              </w:rPr>
            </w:pPr>
            <w:r>
              <w:rPr>
                <w:b w:val="0"/>
                <w:snapToGrid w:val="0"/>
                <w:szCs w:val="16"/>
              </w:rPr>
              <w:t>83%</w:t>
            </w:r>
          </w:p>
        </w:tc>
      </w:tr>
      <w:tr w:rsidR="00AA4890" w:rsidRPr="00A96845" w14:paraId="1C815A38" w14:textId="77777777" w:rsidTr="00601A1A">
        <w:tc>
          <w:tcPr>
            <w:tcW w:w="2836" w:type="dxa"/>
          </w:tcPr>
          <w:p w14:paraId="27819B00" w14:textId="00FABE71" w:rsidR="008C2EA3" w:rsidRPr="00A96845" w:rsidRDefault="008C2EA3" w:rsidP="00AB33BD">
            <w:pPr>
              <w:pStyle w:val="Caption"/>
              <w:jc w:val="left"/>
              <w:rPr>
                <w:b w:val="0"/>
                <w:snapToGrid w:val="0"/>
                <w:szCs w:val="16"/>
              </w:rPr>
            </w:pPr>
            <w:r>
              <w:rPr>
                <w:b w:val="0"/>
                <w:snapToGrid w:val="0"/>
                <w:szCs w:val="16"/>
              </w:rPr>
              <w:t xml:space="preserve">Current </w:t>
            </w:r>
            <w:r w:rsidR="00847F80">
              <w:rPr>
                <w:b w:val="0"/>
                <w:snapToGrid w:val="0"/>
                <w:szCs w:val="16"/>
              </w:rPr>
              <w:t>screening</w:t>
            </w:r>
            <w:r w:rsidR="00F16E77">
              <w:rPr>
                <w:b w:val="0"/>
                <w:snapToGrid w:val="0"/>
                <w:szCs w:val="16"/>
              </w:rPr>
              <w:t xml:space="preserve"> </w:t>
            </w:r>
            <w:r>
              <w:rPr>
                <w:b w:val="0"/>
                <w:snapToGrid w:val="0"/>
                <w:szCs w:val="16"/>
              </w:rPr>
              <w:t>diagnostic yield</w:t>
            </w:r>
          </w:p>
        </w:tc>
        <w:tc>
          <w:tcPr>
            <w:tcW w:w="1984" w:type="dxa"/>
          </w:tcPr>
          <w:p w14:paraId="322414AF" w14:textId="75E16616" w:rsidR="008C2EA3" w:rsidRPr="00A74945" w:rsidRDefault="00A74945" w:rsidP="004D5ECD">
            <w:pPr>
              <w:pStyle w:val="Caption"/>
              <w:jc w:val="center"/>
              <w:rPr>
                <w:b w:val="0"/>
                <w:snapToGrid w:val="0"/>
                <w:szCs w:val="16"/>
                <w:vertAlign w:val="superscript"/>
              </w:rPr>
            </w:pPr>
            <w:r>
              <w:rPr>
                <w:b w:val="0"/>
                <w:snapToGrid w:val="0"/>
                <w:szCs w:val="16"/>
              </w:rPr>
              <w:t>CFTS = 78</w:t>
            </w:r>
            <w:r w:rsidR="008C2EA3">
              <w:rPr>
                <w:b w:val="0"/>
                <w:snapToGrid w:val="0"/>
                <w:szCs w:val="16"/>
              </w:rPr>
              <w:t>%</w:t>
            </w:r>
            <w:r>
              <w:rPr>
                <w:b w:val="0"/>
                <w:snapToGrid w:val="0"/>
                <w:szCs w:val="16"/>
                <w:vertAlign w:val="superscript"/>
              </w:rPr>
              <w:t>3a</w:t>
            </w:r>
          </w:p>
        </w:tc>
        <w:tc>
          <w:tcPr>
            <w:tcW w:w="1559" w:type="dxa"/>
          </w:tcPr>
          <w:p w14:paraId="2D3A5491" w14:textId="2C28AC85" w:rsidR="008C2EA3" w:rsidRPr="00A74945" w:rsidRDefault="00A74945" w:rsidP="008C2EA3">
            <w:pPr>
              <w:pStyle w:val="Caption"/>
              <w:jc w:val="center"/>
              <w:rPr>
                <w:b w:val="0"/>
                <w:snapToGrid w:val="0"/>
                <w:szCs w:val="16"/>
                <w:vertAlign w:val="superscript"/>
              </w:rPr>
            </w:pPr>
            <w:r>
              <w:rPr>
                <w:b w:val="0"/>
                <w:snapToGrid w:val="0"/>
                <w:szCs w:val="16"/>
              </w:rPr>
              <w:t>2TMSS = 54.4</w:t>
            </w:r>
            <w:r w:rsidR="008C2EA3">
              <w:rPr>
                <w:b w:val="0"/>
                <w:snapToGrid w:val="0"/>
                <w:szCs w:val="16"/>
              </w:rPr>
              <w:t>%</w:t>
            </w:r>
            <w:r>
              <w:rPr>
                <w:b w:val="0"/>
                <w:snapToGrid w:val="0"/>
                <w:szCs w:val="16"/>
                <w:vertAlign w:val="superscript"/>
              </w:rPr>
              <w:t>3b</w:t>
            </w:r>
          </w:p>
        </w:tc>
        <w:tc>
          <w:tcPr>
            <w:tcW w:w="1985" w:type="dxa"/>
          </w:tcPr>
          <w:p w14:paraId="31CB1418" w14:textId="7698DB49" w:rsidR="008C2EA3" w:rsidRPr="00A96845" w:rsidRDefault="008C2EA3" w:rsidP="00722525">
            <w:pPr>
              <w:pStyle w:val="Caption"/>
              <w:jc w:val="center"/>
              <w:rPr>
                <w:b w:val="0"/>
                <w:snapToGrid w:val="0"/>
                <w:szCs w:val="16"/>
              </w:rPr>
            </w:pPr>
            <w:r>
              <w:rPr>
                <w:b w:val="0"/>
                <w:snapToGrid w:val="0"/>
                <w:szCs w:val="16"/>
              </w:rPr>
              <w:t>0%</w:t>
            </w:r>
          </w:p>
        </w:tc>
        <w:tc>
          <w:tcPr>
            <w:tcW w:w="1134" w:type="dxa"/>
          </w:tcPr>
          <w:p w14:paraId="53A5D8F7" w14:textId="3BA21922" w:rsidR="008C2EA3" w:rsidRPr="00A96845" w:rsidRDefault="008C2EA3" w:rsidP="004D5ECD">
            <w:pPr>
              <w:pStyle w:val="Caption"/>
              <w:jc w:val="center"/>
              <w:rPr>
                <w:b w:val="0"/>
                <w:snapToGrid w:val="0"/>
                <w:szCs w:val="16"/>
              </w:rPr>
            </w:pPr>
            <w:r>
              <w:rPr>
                <w:b w:val="0"/>
                <w:snapToGrid w:val="0"/>
                <w:szCs w:val="16"/>
              </w:rPr>
              <w:t>-</w:t>
            </w:r>
          </w:p>
        </w:tc>
      </w:tr>
      <w:tr w:rsidR="00AA4890" w:rsidRPr="00A96845" w14:paraId="72C021B0" w14:textId="77777777" w:rsidTr="00601A1A">
        <w:tc>
          <w:tcPr>
            <w:tcW w:w="2836" w:type="dxa"/>
          </w:tcPr>
          <w:p w14:paraId="296ECBB2" w14:textId="258B1A98" w:rsidR="008C2EA3" w:rsidRPr="00A96845" w:rsidRDefault="00505B31" w:rsidP="00AB33BD">
            <w:pPr>
              <w:pStyle w:val="Caption"/>
              <w:jc w:val="left"/>
              <w:rPr>
                <w:b w:val="0"/>
                <w:snapToGrid w:val="0"/>
                <w:szCs w:val="16"/>
              </w:rPr>
            </w:pPr>
            <w:r>
              <w:rPr>
                <w:b w:val="0"/>
                <w:snapToGrid w:val="0"/>
                <w:szCs w:val="16"/>
              </w:rPr>
              <w:t xml:space="preserve">Number of </w:t>
            </w:r>
            <w:r w:rsidR="005D0FB4">
              <w:rPr>
                <w:b w:val="0"/>
                <w:snapToGrid w:val="0"/>
                <w:szCs w:val="16"/>
              </w:rPr>
              <w:t>pregnancies with</w:t>
            </w:r>
            <w:r>
              <w:rPr>
                <w:b w:val="0"/>
                <w:snapToGrid w:val="0"/>
                <w:szCs w:val="16"/>
              </w:rPr>
              <w:t xml:space="preserve"> t</w:t>
            </w:r>
            <w:r w:rsidR="008C2EA3">
              <w:rPr>
                <w:b w:val="0"/>
                <w:snapToGrid w:val="0"/>
                <w:szCs w:val="16"/>
              </w:rPr>
              <w:t xml:space="preserve">risomies detected </w:t>
            </w:r>
            <w:r w:rsidR="00CD21E3">
              <w:rPr>
                <w:b w:val="0"/>
                <w:snapToGrid w:val="0"/>
                <w:szCs w:val="16"/>
              </w:rPr>
              <w:t xml:space="preserve">by </w:t>
            </w:r>
            <w:r w:rsidR="008C2EA3">
              <w:rPr>
                <w:b w:val="0"/>
                <w:snapToGrid w:val="0"/>
                <w:szCs w:val="16"/>
              </w:rPr>
              <w:t>current</w:t>
            </w:r>
            <w:r w:rsidR="00CD21E3">
              <w:rPr>
                <w:b w:val="0"/>
                <w:snapToGrid w:val="0"/>
                <w:szCs w:val="16"/>
              </w:rPr>
              <w:t xml:space="preserve"> testing</w:t>
            </w:r>
          </w:p>
        </w:tc>
        <w:tc>
          <w:tcPr>
            <w:tcW w:w="1984" w:type="dxa"/>
          </w:tcPr>
          <w:p w14:paraId="531918C7" w14:textId="7652A6F4" w:rsidR="00CD21E3" w:rsidRDefault="00A74945" w:rsidP="00F8775A">
            <w:pPr>
              <w:pStyle w:val="Caption"/>
              <w:jc w:val="center"/>
              <w:rPr>
                <w:b w:val="0"/>
                <w:snapToGrid w:val="0"/>
                <w:szCs w:val="16"/>
              </w:rPr>
            </w:pPr>
            <w:r>
              <w:rPr>
                <w:b w:val="0"/>
                <w:snapToGrid w:val="0"/>
                <w:szCs w:val="16"/>
              </w:rPr>
              <w:t>654</w:t>
            </w:r>
          </w:p>
          <w:p w14:paraId="1A892BBB" w14:textId="49C1E813" w:rsidR="008C2EA3" w:rsidRPr="00A96845" w:rsidRDefault="00CD21E3" w:rsidP="00F8775A">
            <w:pPr>
              <w:pStyle w:val="Caption"/>
              <w:jc w:val="center"/>
              <w:rPr>
                <w:b w:val="0"/>
                <w:snapToGrid w:val="0"/>
                <w:szCs w:val="16"/>
              </w:rPr>
            </w:pPr>
            <w:r>
              <w:rPr>
                <w:b w:val="0"/>
                <w:snapToGrid w:val="0"/>
                <w:szCs w:val="16"/>
              </w:rPr>
              <w:t>(</w:t>
            </w:r>
            <w:r w:rsidR="00DF5B25">
              <w:rPr>
                <w:b w:val="0"/>
                <w:snapToGrid w:val="0"/>
                <w:szCs w:val="16"/>
              </w:rPr>
              <w:t xml:space="preserve">by </w:t>
            </w:r>
            <w:r>
              <w:rPr>
                <w:b w:val="0"/>
                <w:snapToGrid w:val="0"/>
                <w:szCs w:val="16"/>
              </w:rPr>
              <w:t>C</w:t>
            </w:r>
            <w:r w:rsidR="00DF5B25">
              <w:rPr>
                <w:b w:val="0"/>
                <w:snapToGrid w:val="0"/>
                <w:szCs w:val="16"/>
              </w:rPr>
              <w:t>FTS</w:t>
            </w:r>
            <w:r>
              <w:rPr>
                <w:b w:val="0"/>
                <w:snapToGrid w:val="0"/>
                <w:szCs w:val="16"/>
              </w:rPr>
              <w:t>)</w:t>
            </w:r>
          </w:p>
        </w:tc>
        <w:tc>
          <w:tcPr>
            <w:tcW w:w="1559" w:type="dxa"/>
          </w:tcPr>
          <w:p w14:paraId="7EC5B554" w14:textId="69316237" w:rsidR="00CD21E3" w:rsidRDefault="00A74945" w:rsidP="004D5ECD">
            <w:pPr>
              <w:pStyle w:val="Caption"/>
              <w:jc w:val="center"/>
              <w:rPr>
                <w:b w:val="0"/>
                <w:snapToGrid w:val="0"/>
                <w:szCs w:val="16"/>
              </w:rPr>
            </w:pPr>
            <w:r>
              <w:rPr>
                <w:b w:val="0"/>
                <w:snapToGrid w:val="0"/>
                <w:szCs w:val="16"/>
              </w:rPr>
              <w:t>31</w:t>
            </w:r>
          </w:p>
          <w:p w14:paraId="1B5F6407" w14:textId="2509C988" w:rsidR="008C2EA3" w:rsidRPr="00A96845" w:rsidRDefault="00CD21E3" w:rsidP="004D5ECD">
            <w:pPr>
              <w:pStyle w:val="Caption"/>
              <w:jc w:val="center"/>
              <w:rPr>
                <w:b w:val="0"/>
                <w:snapToGrid w:val="0"/>
                <w:szCs w:val="16"/>
              </w:rPr>
            </w:pPr>
            <w:r>
              <w:rPr>
                <w:b w:val="0"/>
                <w:snapToGrid w:val="0"/>
                <w:szCs w:val="16"/>
              </w:rPr>
              <w:t>(</w:t>
            </w:r>
            <w:r w:rsidR="00DF5B25">
              <w:rPr>
                <w:b w:val="0"/>
                <w:snapToGrid w:val="0"/>
                <w:szCs w:val="16"/>
              </w:rPr>
              <w:t>by 2TMSS</w:t>
            </w:r>
            <w:r>
              <w:rPr>
                <w:b w:val="0"/>
                <w:snapToGrid w:val="0"/>
                <w:szCs w:val="16"/>
              </w:rPr>
              <w:t>)</w:t>
            </w:r>
          </w:p>
        </w:tc>
        <w:tc>
          <w:tcPr>
            <w:tcW w:w="1985" w:type="dxa"/>
          </w:tcPr>
          <w:p w14:paraId="358D11C6" w14:textId="64B82A57" w:rsidR="008C2EA3" w:rsidRPr="00A96845" w:rsidRDefault="007479CB" w:rsidP="004D5ECD">
            <w:pPr>
              <w:pStyle w:val="Caption"/>
              <w:jc w:val="center"/>
              <w:rPr>
                <w:b w:val="0"/>
                <w:snapToGrid w:val="0"/>
                <w:szCs w:val="16"/>
              </w:rPr>
            </w:pPr>
            <w:r>
              <w:rPr>
                <w:b w:val="0"/>
                <w:snapToGrid w:val="0"/>
                <w:szCs w:val="16"/>
              </w:rPr>
              <w:t>0</w:t>
            </w:r>
          </w:p>
        </w:tc>
        <w:tc>
          <w:tcPr>
            <w:tcW w:w="1134" w:type="dxa"/>
          </w:tcPr>
          <w:p w14:paraId="25DB8D15" w14:textId="3E7F618D" w:rsidR="008C2EA3" w:rsidRPr="00A96845" w:rsidRDefault="00AB33BD" w:rsidP="004D5ECD">
            <w:pPr>
              <w:pStyle w:val="Caption"/>
              <w:jc w:val="center"/>
              <w:rPr>
                <w:b w:val="0"/>
                <w:snapToGrid w:val="0"/>
                <w:szCs w:val="16"/>
              </w:rPr>
            </w:pPr>
            <w:r>
              <w:rPr>
                <w:b w:val="0"/>
                <w:snapToGrid w:val="0"/>
                <w:szCs w:val="16"/>
              </w:rPr>
              <w:t>685</w:t>
            </w:r>
          </w:p>
        </w:tc>
      </w:tr>
      <w:tr w:rsidR="00AA4890" w:rsidRPr="00A96845" w14:paraId="6C57D0D4" w14:textId="77777777" w:rsidTr="00601A1A">
        <w:tc>
          <w:tcPr>
            <w:tcW w:w="2836" w:type="dxa"/>
          </w:tcPr>
          <w:p w14:paraId="69B1E43A" w14:textId="039A29B6" w:rsidR="008C2EA3" w:rsidRDefault="008C2EA3" w:rsidP="00AB33BD">
            <w:pPr>
              <w:pStyle w:val="Caption"/>
              <w:jc w:val="left"/>
              <w:rPr>
                <w:b w:val="0"/>
                <w:snapToGrid w:val="0"/>
                <w:szCs w:val="16"/>
              </w:rPr>
            </w:pPr>
            <w:r>
              <w:rPr>
                <w:b w:val="0"/>
                <w:snapToGrid w:val="0"/>
                <w:szCs w:val="16"/>
              </w:rPr>
              <w:t>Estimated uptake of NIPT</w:t>
            </w:r>
          </w:p>
        </w:tc>
        <w:tc>
          <w:tcPr>
            <w:tcW w:w="1984" w:type="dxa"/>
          </w:tcPr>
          <w:p w14:paraId="688D753C" w14:textId="08DA58EE" w:rsidR="008C2EA3" w:rsidRPr="00A96845" w:rsidRDefault="008C2EA3" w:rsidP="004D5ECD">
            <w:pPr>
              <w:pStyle w:val="Caption"/>
              <w:jc w:val="center"/>
              <w:rPr>
                <w:b w:val="0"/>
                <w:snapToGrid w:val="0"/>
                <w:szCs w:val="16"/>
              </w:rPr>
            </w:pPr>
            <w:r>
              <w:rPr>
                <w:b w:val="0"/>
                <w:snapToGrid w:val="0"/>
                <w:szCs w:val="16"/>
              </w:rPr>
              <w:t>100%</w:t>
            </w:r>
          </w:p>
        </w:tc>
        <w:tc>
          <w:tcPr>
            <w:tcW w:w="1559" w:type="dxa"/>
          </w:tcPr>
          <w:p w14:paraId="15D77BC8" w14:textId="14F9A8C1" w:rsidR="008C2EA3" w:rsidRPr="00A96845" w:rsidRDefault="008C2EA3" w:rsidP="004D5ECD">
            <w:pPr>
              <w:pStyle w:val="Caption"/>
              <w:jc w:val="center"/>
              <w:rPr>
                <w:b w:val="0"/>
                <w:snapToGrid w:val="0"/>
                <w:szCs w:val="16"/>
              </w:rPr>
            </w:pPr>
            <w:r>
              <w:rPr>
                <w:b w:val="0"/>
                <w:snapToGrid w:val="0"/>
                <w:szCs w:val="16"/>
              </w:rPr>
              <w:t>100%</w:t>
            </w:r>
          </w:p>
        </w:tc>
        <w:tc>
          <w:tcPr>
            <w:tcW w:w="1985" w:type="dxa"/>
          </w:tcPr>
          <w:p w14:paraId="06B45A3D" w14:textId="124D659D" w:rsidR="008C2EA3" w:rsidRPr="00A96845" w:rsidRDefault="007479CB" w:rsidP="004D5ECD">
            <w:pPr>
              <w:pStyle w:val="Caption"/>
              <w:jc w:val="center"/>
              <w:rPr>
                <w:b w:val="0"/>
                <w:snapToGrid w:val="0"/>
                <w:szCs w:val="16"/>
              </w:rPr>
            </w:pPr>
            <w:r>
              <w:rPr>
                <w:b w:val="0"/>
                <w:snapToGrid w:val="0"/>
                <w:szCs w:val="16"/>
              </w:rPr>
              <w:t>0%</w:t>
            </w:r>
          </w:p>
        </w:tc>
        <w:tc>
          <w:tcPr>
            <w:tcW w:w="1134" w:type="dxa"/>
          </w:tcPr>
          <w:p w14:paraId="3DC93DE2" w14:textId="66C7A13D" w:rsidR="008C2EA3" w:rsidRPr="00A96845" w:rsidRDefault="008C2EA3" w:rsidP="004D5ECD">
            <w:pPr>
              <w:pStyle w:val="Caption"/>
              <w:jc w:val="center"/>
              <w:rPr>
                <w:b w:val="0"/>
                <w:snapToGrid w:val="0"/>
                <w:szCs w:val="16"/>
              </w:rPr>
            </w:pPr>
            <w:r>
              <w:rPr>
                <w:b w:val="0"/>
                <w:snapToGrid w:val="0"/>
                <w:szCs w:val="16"/>
              </w:rPr>
              <w:t>83%</w:t>
            </w:r>
          </w:p>
        </w:tc>
      </w:tr>
      <w:tr w:rsidR="00AA4890" w:rsidRPr="00A96845" w14:paraId="3B08901B" w14:textId="77777777" w:rsidTr="00601A1A">
        <w:tc>
          <w:tcPr>
            <w:tcW w:w="2836" w:type="dxa"/>
          </w:tcPr>
          <w:p w14:paraId="430B188A" w14:textId="678CF7D8" w:rsidR="008C2EA3" w:rsidRPr="00A96845" w:rsidRDefault="00847F80" w:rsidP="00AB33BD">
            <w:pPr>
              <w:pStyle w:val="Caption"/>
              <w:jc w:val="left"/>
              <w:rPr>
                <w:b w:val="0"/>
                <w:snapToGrid w:val="0"/>
                <w:szCs w:val="16"/>
              </w:rPr>
            </w:pPr>
            <w:r>
              <w:rPr>
                <w:b w:val="0"/>
                <w:snapToGrid w:val="0"/>
                <w:szCs w:val="16"/>
              </w:rPr>
              <w:t>Screening</w:t>
            </w:r>
            <w:r w:rsidR="00F16E77">
              <w:rPr>
                <w:b w:val="0"/>
                <w:snapToGrid w:val="0"/>
                <w:szCs w:val="16"/>
              </w:rPr>
              <w:t xml:space="preserve"> d</w:t>
            </w:r>
            <w:r w:rsidR="008C2EA3">
              <w:rPr>
                <w:b w:val="0"/>
                <w:snapToGrid w:val="0"/>
                <w:szCs w:val="16"/>
              </w:rPr>
              <w:t>iagnostic yield with NIPT</w:t>
            </w:r>
            <w:r w:rsidR="008C2EA3">
              <w:rPr>
                <w:b w:val="0"/>
                <w:snapToGrid w:val="0"/>
                <w:szCs w:val="16"/>
                <w:vertAlign w:val="superscript"/>
              </w:rPr>
              <w:t>4</w:t>
            </w:r>
          </w:p>
        </w:tc>
        <w:tc>
          <w:tcPr>
            <w:tcW w:w="1984" w:type="dxa"/>
          </w:tcPr>
          <w:p w14:paraId="1BB946B8" w14:textId="579E0AAD" w:rsidR="008C2EA3" w:rsidRPr="00A96845" w:rsidRDefault="008C2EA3" w:rsidP="004D5ECD">
            <w:pPr>
              <w:pStyle w:val="Caption"/>
              <w:jc w:val="center"/>
              <w:rPr>
                <w:b w:val="0"/>
                <w:snapToGrid w:val="0"/>
                <w:szCs w:val="16"/>
              </w:rPr>
            </w:pPr>
            <w:r>
              <w:rPr>
                <w:b w:val="0"/>
                <w:snapToGrid w:val="0"/>
                <w:szCs w:val="16"/>
              </w:rPr>
              <w:t>9</w:t>
            </w:r>
            <w:r w:rsidR="00E76525">
              <w:rPr>
                <w:b w:val="0"/>
                <w:snapToGrid w:val="0"/>
                <w:szCs w:val="16"/>
              </w:rPr>
              <w:t>8.2</w:t>
            </w:r>
            <w:r>
              <w:rPr>
                <w:b w:val="0"/>
                <w:snapToGrid w:val="0"/>
                <w:szCs w:val="16"/>
              </w:rPr>
              <w:t>%</w:t>
            </w:r>
          </w:p>
        </w:tc>
        <w:tc>
          <w:tcPr>
            <w:tcW w:w="1559" w:type="dxa"/>
          </w:tcPr>
          <w:p w14:paraId="2DDAB97E" w14:textId="7645A01D" w:rsidR="008C2EA3" w:rsidRPr="00A96845" w:rsidRDefault="008C2EA3" w:rsidP="004D5ECD">
            <w:pPr>
              <w:pStyle w:val="Caption"/>
              <w:jc w:val="center"/>
              <w:rPr>
                <w:b w:val="0"/>
                <w:snapToGrid w:val="0"/>
                <w:szCs w:val="16"/>
              </w:rPr>
            </w:pPr>
            <w:r>
              <w:rPr>
                <w:b w:val="0"/>
                <w:snapToGrid w:val="0"/>
                <w:szCs w:val="16"/>
              </w:rPr>
              <w:t>9</w:t>
            </w:r>
            <w:r w:rsidR="00E76525">
              <w:rPr>
                <w:b w:val="0"/>
                <w:snapToGrid w:val="0"/>
                <w:szCs w:val="16"/>
              </w:rPr>
              <w:t>8.2</w:t>
            </w:r>
            <w:r>
              <w:rPr>
                <w:b w:val="0"/>
                <w:snapToGrid w:val="0"/>
                <w:szCs w:val="16"/>
              </w:rPr>
              <w:t>%</w:t>
            </w:r>
          </w:p>
        </w:tc>
        <w:tc>
          <w:tcPr>
            <w:tcW w:w="1985" w:type="dxa"/>
          </w:tcPr>
          <w:p w14:paraId="3B0AD68A" w14:textId="5BD64D0D" w:rsidR="008C2EA3" w:rsidRPr="00A96845" w:rsidRDefault="007479CB" w:rsidP="004D5ECD">
            <w:pPr>
              <w:pStyle w:val="Caption"/>
              <w:jc w:val="center"/>
              <w:rPr>
                <w:b w:val="0"/>
                <w:snapToGrid w:val="0"/>
                <w:szCs w:val="16"/>
              </w:rPr>
            </w:pPr>
            <w:r>
              <w:rPr>
                <w:b w:val="0"/>
                <w:snapToGrid w:val="0"/>
                <w:szCs w:val="16"/>
              </w:rPr>
              <w:t>0</w:t>
            </w:r>
            <w:r w:rsidR="008C2EA3">
              <w:rPr>
                <w:b w:val="0"/>
                <w:snapToGrid w:val="0"/>
                <w:szCs w:val="16"/>
              </w:rPr>
              <w:t>%</w:t>
            </w:r>
          </w:p>
        </w:tc>
        <w:tc>
          <w:tcPr>
            <w:tcW w:w="1134" w:type="dxa"/>
          </w:tcPr>
          <w:p w14:paraId="737A6F31" w14:textId="7258C4EF" w:rsidR="008C2EA3" w:rsidRPr="00A96845" w:rsidRDefault="008C2EA3" w:rsidP="004D5ECD">
            <w:pPr>
              <w:pStyle w:val="Caption"/>
              <w:jc w:val="center"/>
              <w:rPr>
                <w:b w:val="0"/>
                <w:snapToGrid w:val="0"/>
                <w:szCs w:val="16"/>
              </w:rPr>
            </w:pPr>
            <w:r>
              <w:rPr>
                <w:b w:val="0"/>
                <w:snapToGrid w:val="0"/>
                <w:szCs w:val="16"/>
              </w:rPr>
              <w:t>-</w:t>
            </w:r>
          </w:p>
        </w:tc>
      </w:tr>
      <w:tr w:rsidR="00AA4890" w:rsidRPr="00A96845" w14:paraId="58936E39" w14:textId="77777777" w:rsidTr="00601A1A">
        <w:tc>
          <w:tcPr>
            <w:tcW w:w="2836" w:type="dxa"/>
          </w:tcPr>
          <w:p w14:paraId="53C42F33" w14:textId="2385619B" w:rsidR="008C2EA3" w:rsidRPr="00A96845" w:rsidRDefault="007812DC" w:rsidP="00AB33BD">
            <w:pPr>
              <w:pStyle w:val="Caption"/>
              <w:jc w:val="left"/>
              <w:rPr>
                <w:b w:val="0"/>
                <w:snapToGrid w:val="0"/>
                <w:szCs w:val="16"/>
              </w:rPr>
            </w:pPr>
            <w:r>
              <w:rPr>
                <w:b w:val="0"/>
                <w:snapToGrid w:val="0"/>
                <w:szCs w:val="16"/>
              </w:rPr>
              <w:t>Expected n</w:t>
            </w:r>
            <w:r w:rsidR="005D0FB4">
              <w:rPr>
                <w:b w:val="0"/>
                <w:snapToGrid w:val="0"/>
                <w:szCs w:val="16"/>
              </w:rPr>
              <w:t>umber of pregnancies with t</w:t>
            </w:r>
            <w:r w:rsidR="008C2EA3">
              <w:rPr>
                <w:b w:val="0"/>
                <w:snapToGrid w:val="0"/>
                <w:szCs w:val="16"/>
              </w:rPr>
              <w:t xml:space="preserve">risomies detected </w:t>
            </w:r>
            <w:r>
              <w:rPr>
                <w:b w:val="0"/>
                <w:snapToGrid w:val="0"/>
                <w:szCs w:val="16"/>
              </w:rPr>
              <w:t>by</w:t>
            </w:r>
            <w:r w:rsidR="008C2EA3">
              <w:rPr>
                <w:b w:val="0"/>
                <w:snapToGrid w:val="0"/>
                <w:szCs w:val="16"/>
              </w:rPr>
              <w:t xml:space="preserve"> NIPT</w:t>
            </w:r>
            <w:r w:rsidR="00CD21E3">
              <w:rPr>
                <w:b w:val="0"/>
                <w:snapToGrid w:val="0"/>
                <w:szCs w:val="16"/>
              </w:rPr>
              <w:t xml:space="preserve"> in first trimester</w:t>
            </w:r>
          </w:p>
        </w:tc>
        <w:tc>
          <w:tcPr>
            <w:tcW w:w="1984" w:type="dxa"/>
          </w:tcPr>
          <w:p w14:paraId="28539078" w14:textId="1732E763" w:rsidR="008C2EA3" w:rsidRPr="00A96845" w:rsidRDefault="00E76525" w:rsidP="00AB33BD">
            <w:pPr>
              <w:pStyle w:val="Caption"/>
              <w:jc w:val="center"/>
              <w:rPr>
                <w:b w:val="0"/>
                <w:snapToGrid w:val="0"/>
                <w:szCs w:val="16"/>
              </w:rPr>
            </w:pPr>
            <w:r>
              <w:rPr>
                <w:b w:val="0"/>
                <w:snapToGrid w:val="0"/>
                <w:szCs w:val="16"/>
              </w:rPr>
              <w:t>824</w:t>
            </w:r>
          </w:p>
        </w:tc>
        <w:tc>
          <w:tcPr>
            <w:tcW w:w="1559" w:type="dxa"/>
          </w:tcPr>
          <w:p w14:paraId="28DA1660" w14:textId="1203D64B" w:rsidR="008C2EA3" w:rsidRPr="00A96845" w:rsidRDefault="00E76525" w:rsidP="00AB33BD">
            <w:pPr>
              <w:pStyle w:val="Caption"/>
              <w:jc w:val="center"/>
              <w:rPr>
                <w:b w:val="0"/>
                <w:snapToGrid w:val="0"/>
                <w:szCs w:val="16"/>
              </w:rPr>
            </w:pPr>
            <w:r>
              <w:rPr>
                <w:b w:val="0"/>
                <w:snapToGrid w:val="0"/>
                <w:szCs w:val="16"/>
              </w:rPr>
              <w:t>56</w:t>
            </w:r>
          </w:p>
        </w:tc>
        <w:tc>
          <w:tcPr>
            <w:tcW w:w="1985" w:type="dxa"/>
          </w:tcPr>
          <w:p w14:paraId="51991EFD" w14:textId="69F66FEE" w:rsidR="008C2EA3" w:rsidRPr="00A96845" w:rsidRDefault="007479CB" w:rsidP="004D5ECD">
            <w:pPr>
              <w:pStyle w:val="Caption"/>
              <w:jc w:val="center"/>
              <w:rPr>
                <w:b w:val="0"/>
                <w:snapToGrid w:val="0"/>
                <w:szCs w:val="16"/>
              </w:rPr>
            </w:pPr>
            <w:r>
              <w:rPr>
                <w:b w:val="0"/>
                <w:snapToGrid w:val="0"/>
                <w:szCs w:val="16"/>
              </w:rPr>
              <w:t>0</w:t>
            </w:r>
          </w:p>
        </w:tc>
        <w:tc>
          <w:tcPr>
            <w:tcW w:w="1134" w:type="dxa"/>
          </w:tcPr>
          <w:p w14:paraId="0740B604" w14:textId="57222011" w:rsidR="008C2EA3" w:rsidRPr="00A96845" w:rsidRDefault="00AB33BD" w:rsidP="004D5ECD">
            <w:pPr>
              <w:pStyle w:val="Caption"/>
              <w:jc w:val="center"/>
              <w:rPr>
                <w:b w:val="0"/>
                <w:snapToGrid w:val="0"/>
                <w:szCs w:val="16"/>
              </w:rPr>
            </w:pPr>
            <w:r>
              <w:rPr>
                <w:b w:val="0"/>
                <w:snapToGrid w:val="0"/>
                <w:szCs w:val="16"/>
              </w:rPr>
              <w:t>880</w:t>
            </w:r>
          </w:p>
        </w:tc>
      </w:tr>
      <w:tr w:rsidR="00AA4890" w:rsidRPr="00A96845" w14:paraId="73CB14F0" w14:textId="77777777" w:rsidTr="00601A1A">
        <w:tc>
          <w:tcPr>
            <w:tcW w:w="2836" w:type="dxa"/>
          </w:tcPr>
          <w:p w14:paraId="3AFB8BDD" w14:textId="549B66A3" w:rsidR="008C2EA3" w:rsidRDefault="007479CB" w:rsidP="00AB33BD">
            <w:pPr>
              <w:pStyle w:val="Caption"/>
              <w:jc w:val="left"/>
              <w:rPr>
                <w:b w:val="0"/>
                <w:snapToGrid w:val="0"/>
                <w:szCs w:val="16"/>
              </w:rPr>
            </w:pPr>
            <w:r>
              <w:rPr>
                <w:b w:val="0"/>
                <w:snapToGrid w:val="0"/>
                <w:szCs w:val="16"/>
              </w:rPr>
              <w:t>Extra</w:t>
            </w:r>
            <w:r w:rsidR="007812DC">
              <w:rPr>
                <w:b w:val="0"/>
                <w:snapToGrid w:val="0"/>
                <w:szCs w:val="16"/>
              </w:rPr>
              <w:t xml:space="preserve"> pregnancies with</w:t>
            </w:r>
            <w:r w:rsidR="008C2EA3">
              <w:rPr>
                <w:b w:val="0"/>
                <w:snapToGrid w:val="0"/>
                <w:szCs w:val="16"/>
              </w:rPr>
              <w:t xml:space="preserve"> trisomies detected</w:t>
            </w:r>
            <w:r w:rsidR="00AA4890">
              <w:rPr>
                <w:b w:val="0"/>
                <w:snapToGrid w:val="0"/>
                <w:szCs w:val="16"/>
              </w:rPr>
              <w:t xml:space="preserve"> </w:t>
            </w:r>
            <w:r w:rsidR="00CD21E3">
              <w:rPr>
                <w:b w:val="0"/>
                <w:snapToGrid w:val="0"/>
                <w:szCs w:val="16"/>
              </w:rPr>
              <w:t>by NIPT</w:t>
            </w:r>
          </w:p>
        </w:tc>
        <w:tc>
          <w:tcPr>
            <w:tcW w:w="1984" w:type="dxa"/>
          </w:tcPr>
          <w:p w14:paraId="5F317613" w14:textId="7AC8323C" w:rsidR="008C2EA3" w:rsidRPr="00A96845" w:rsidRDefault="00E76525" w:rsidP="004D5ECD">
            <w:pPr>
              <w:pStyle w:val="Caption"/>
              <w:jc w:val="center"/>
              <w:rPr>
                <w:b w:val="0"/>
                <w:snapToGrid w:val="0"/>
                <w:szCs w:val="16"/>
              </w:rPr>
            </w:pPr>
            <w:r>
              <w:rPr>
                <w:b w:val="0"/>
                <w:snapToGrid w:val="0"/>
                <w:szCs w:val="16"/>
              </w:rPr>
              <w:t>170</w:t>
            </w:r>
          </w:p>
        </w:tc>
        <w:tc>
          <w:tcPr>
            <w:tcW w:w="1559" w:type="dxa"/>
          </w:tcPr>
          <w:p w14:paraId="078B9A1C" w14:textId="646C976B" w:rsidR="008C2EA3" w:rsidRPr="00A96845" w:rsidRDefault="00A74945" w:rsidP="004D5ECD">
            <w:pPr>
              <w:pStyle w:val="Caption"/>
              <w:jc w:val="center"/>
              <w:rPr>
                <w:b w:val="0"/>
                <w:snapToGrid w:val="0"/>
                <w:szCs w:val="16"/>
              </w:rPr>
            </w:pPr>
            <w:r>
              <w:rPr>
                <w:b w:val="0"/>
                <w:snapToGrid w:val="0"/>
                <w:szCs w:val="16"/>
              </w:rPr>
              <w:t>25</w:t>
            </w:r>
          </w:p>
        </w:tc>
        <w:tc>
          <w:tcPr>
            <w:tcW w:w="1985" w:type="dxa"/>
          </w:tcPr>
          <w:p w14:paraId="11A3EA88" w14:textId="7C5A2B1E" w:rsidR="008C2EA3" w:rsidRPr="00A96845" w:rsidRDefault="007479CB" w:rsidP="004D5ECD">
            <w:pPr>
              <w:pStyle w:val="Caption"/>
              <w:jc w:val="center"/>
              <w:rPr>
                <w:b w:val="0"/>
                <w:snapToGrid w:val="0"/>
                <w:szCs w:val="16"/>
              </w:rPr>
            </w:pPr>
            <w:r>
              <w:rPr>
                <w:b w:val="0"/>
                <w:snapToGrid w:val="0"/>
                <w:szCs w:val="16"/>
              </w:rPr>
              <w:t>0</w:t>
            </w:r>
          </w:p>
        </w:tc>
        <w:tc>
          <w:tcPr>
            <w:tcW w:w="1134" w:type="dxa"/>
          </w:tcPr>
          <w:p w14:paraId="55D8A8A8" w14:textId="641D5009" w:rsidR="008C2EA3" w:rsidRPr="00A96845" w:rsidRDefault="00B26E61" w:rsidP="004D5ECD">
            <w:pPr>
              <w:pStyle w:val="Caption"/>
              <w:jc w:val="center"/>
              <w:rPr>
                <w:b w:val="0"/>
                <w:snapToGrid w:val="0"/>
                <w:szCs w:val="16"/>
              </w:rPr>
            </w:pPr>
            <w:r>
              <w:rPr>
                <w:b w:val="0"/>
                <w:snapToGrid w:val="0"/>
                <w:szCs w:val="16"/>
              </w:rPr>
              <w:t>195</w:t>
            </w:r>
          </w:p>
        </w:tc>
      </w:tr>
      <w:tr w:rsidR="00AA4890" w:rsidRPr="00A96845" w14:paraId="691BBB8D" w14:textId="77777777" w:rsidTr="00601A1A">
        <w:tc>
          <w:tcPr>
            <w:tcW w:w="2836" w:type="dxa"/>
          </w:tcPr>
          <w:p w14:paraId="101CF03E" w14:textId="375511FF" w:rsidR="007479CB" w:rsidRDefault="007479CB" w:rsidP="00AB33BD">
            <w:pPr>
              <w:pStyle w:val="Caption"/>
              <w:jc w:val="left"/>
              <w:rPr>
                <w:b w:val="0"/>
                <w:snapToGrid w:val="0"/>
                <w:szCs w:val="16"/>
              </w:rPr>
            </w:pPr>
            <w:r>
              <w:rPr>
                <w:b w:val="0"/>
                <w:snapToGrid w:val="0"/>
                <w:szCs w:val="16"/>
              </w:rPr>
              <w:t>Cost of NIPT per service</w:t>
            </w:r>
          </w:p>
        </w:tc>
        <w:tc>
          <w:tcPr>
            <w:tcW w:w="1984" w:type="dxa"/>
          </w:tcPr>
          <w:p w14:paraId="413921C9" w14:textId="4C7A11F9" w:rsidR="007479CB" w:rsidRDefault="007479CB" w:rsidP="004D5ECD">
            <w:pPr>
              <w:pStyle w:val="Caption"/>
              <w:jc w:val="center"/>
              <w:rPr>
                <w:b w:val="0"/>
                <w:snapToGrid w:val="0"/>
                <w:szCs w:val="16"/>
              </w:rPr>
            </w:pPr>
            <w:r>
              <w:rPr>
                <w:b w:val="0"/>
                <w:snapToGrid w:val="0"/>
                <w:szCs w:val="16"/>
              </w:rPr>
              <w:t>$400</w:t>
            </w:r>
          </w:p>
        </w:tc>
        <w:tc>
          <w:tcPr>
            <w:tcW w:w="1559" w:type="dxa"/>
          </w:tcPr>
          <w:p w14:paraId="47D1FCC0" w14:textId="46C41D1F" w:rsidR="007479CB" w:rsidRDefault="007479CB" w:rsidP="004D5ECD">
            <w:pPr>
              <w:pStyle w:val="Caption"/>
              <w:jc w:val="center"/>
              <w:rPr>
                <w:b w:val="0"/>
                <w:snapToGrid w:val="0"/>
                <w:szCs w:val="16"/>
              </w:rPr>
            </w:pPr>
            <w:r>
              <w:rPr>
                <w:b w:val="0"/>
                <w:snapToGrid w:val="0"/>
                <w:szCs w:val="16"/>
              </w:rPr>
              <w:t>$400</w:t>
            </w:r>
          </w:p>
        </w:tc>
        <w:tc>
          <w:tcPr>
            <w:tcW w:w="1985" w:type="dxa"/>
          </w:tcPr>
          <w:p w14:paraId="5DDA3EB2" w14:textId="01B719CD" w:rsidR="007479CB" w:rsidRDefault="007479CB" w:rsidP="004D5ECD">
            <w:pPr>
              <w:pStyle w:val="Caption"/>
              <w:jc w:val="center"/>
              <w:rPr>
                <w:b w:val="0"/>
                <w:snapToGrid w:val="0"/>
                <w:szCs w:val="16"/>
              </w:rPr>
            </w:pPr>
            <w:r>
              <w:rPr>
                <w:b w:val="0"/>
                <w:snapToGrid w:val="0"/>
                <w:szCs w:val="16"/>
              </w:rPr>
              <w:t>-</w:t>
            </w:r>
          </w:p>
        </w:tc>
        <w:tc>
          <w:tcPr>
            <w:tcW w:w="1134" w:type="dxa"/>
          </w:tcPr>
          <w:p w14:paraId="18A4108D" w14:textId="5D91B762" w:rsidR="007479CB" w:rsidRDefault="007479CB" w:rsidP="004D5ECD">
            <w:pPr>
              <w:pStyle w:val="Caption"/>
              <w:jc w:val="center"/>
              <w:rPr>
                <w:b w:val="0"/>
                <w:snapToGrid w:val="0"/>
                <w:szCs w:val="16"/>
              </w:rPr>
            </w:pPr>
            <w:r>
              <w:rPr>
                <w:b w:val="0"/>
                <w:snapToGrid w:val="0"/>
                <w:szCs w:val="16"/>
              </w:rPr>
              <w:t>-</w:t>
            </w:r>
          </w:p>
        </w:tc>
      </w:tr>
      <w:tr w:rsidR="00AA4890" w:rsidRPr="00A96845" w14:paraId="42AC8842" w14:textId="77777777" w:rsidTr="00601A1A">
        <w:tc>
          <w:tcPr>
            <w:tcW w:w="2836" w:type="dxa"/>
          </w:tcPr>
          <w:p w14:paraId="0AF18B9F" w14:textId="308ED80F" w:rsidR="007479CB" w:rsidRDefault="007479CB" w:rsidP="00AB33BD">
            <w:pPr>
              <w:pStyle w:val="Caption"/>
              <w:jc w:val="left"/>
              <w:rPr>
                <w:b w:val="0"/>
                <w:snapToGrid w:val="0"/>
                <w:szCs w:val="16"/>
              </w:rPr>
            </w:pPr>
            <w:r>
              <w:rPr>
                <w:b w:val="0"/>
                <w:snapToGrid w:val="0"/>
                <w:szCs w:val="16"/>
              </w:rPr>
              <w:t>Cost of NIPT for population</w:t>
            </w:r>
          </w:p>
        </w:tc>
        <w:tc>
          <w:tcPr>
            <w:tcW w:w="1984" w:type="dxa"/>
          </w:tcPr>
          <w:p w14:paraId="6F860975" w14:textId="3ECA0CCE" w:rsidR="007479CB" w:rsidRDefault="007479CB" w:rsidP="004D5ECD">
            <w:pPr>
              <w:pStyle w:val="Caption"/>
              <w:jc w:val="center"/>
              <w:rPr>
                <w:b w:val="0"/>
                <w:snapToGrid w:val="0"/>
                <w:szCs w:val="16"/>
              </w:rPr>
            </w:pPr>
            <w:r>
              <w:rPr>
                <w:b w:val="0"/>
                <w:snapToGrid w:val="0"/>
                <w:szCs w:val="16"/>
              </w:rPr>
              <w:t>$93,240,000</w:t>
            </w:r>
          </w:p>
        </w:tc>
        <w:tc>
          <w:tcPr>
            <w:tcW w:w="1559" w:type="dxa"/>
          </w:tcPr>
          <w:p w14:paraId="0425BE46" w14:textId="71267FBF" w:rsidR="007479CB" w:rsidRDefault="007479CB" w:rsidP="004D5ECD">
            <w:pPr>
              <w:pStyle w:val="Caption"/>
              <w:jc w:val="center"/>
              <w:rPr>
                <w:b w:val="0"/>
                <w:snapToGrid w:val="0"/>
                <w:szCs w:val="16"/>
              </w:rPr>
            </w:pPr>
            <w:r>
              <w:rPr>
                <w:b w:val="0"/>
                <w:snapToGrid w:val="0"/>
                <w:szCs w:val="16"/>
              </w:rPr>
              <w:t>$6,360,000</w:t>
            </w:r>
          </w:p>
        </w:tc>
        <w:tc>
          <w:tcPr>
            <w:tcW w:w="1985" w:type="dxa"/>
          </w:tcPr>
          <w:p w14:paraId="37014525" w14:textId="3CD92180" w:rsidR="007479CB" w:rsidRDefault="007479CB" w:rsidP="004D5ECD">
            <w:pPr>
              <w:pStyle w:val="Caption"/>
              <w:jc w:val="center"/>
              <w:rPr>
                <w:b w:val="0"/>
                <w:snapToGrid w:val="0"/>
                <w:szCs w:val="16"/>
              </w:rPr>
            </w:pPr>
            <w:r>
              <w:rPr>
                <w:b w:val="0"/>
                <w:snapToGrid w:val="0"/>
                <w:szCs w:val="16"/>
              </w:rPr>
              <w:t>-</w:t>
            </w:r>
          </w:p>
        </w:tc>
        <w:tc>
          <w:tcPr>
            <w:tcW w:w="1134" w:type="dxa"/>
          </w:tcPr>
          <w:p w14:paraId="46C65B62" w14:textId="4FE59EEA" w:rsidR="007479CB" w:rsidRDefault="007479CB" w:rsidP="004D5ECD">
            <w:pPr>
              <w:pStyle w:val="Caption"/>
              <w:jc w:val="center"/>
              <w:rPr>
                <w:b w:val="0"/>
                <w:snapToGrid w:val="0"/>
                <w:szCs w:val="16"/>
              </w:rPr>
            </w:pPr>
            <w:r>
              <w:rPr>
                <w:b w:val="0"/>
                <w:snapToGrid w:val="0"/>
                <w:szCs w:val="16"/>
              </w:rPr>
              <w:t>$99,600,000</w:t>
            </w:r>
          </w:p>
        </w:tc>
      </w:tr>
      <w:tr w:rsidR="00AA4890" w:rsidRPr="00A96845" w14:paraId="2C012D19" w14:textId="77777777" w:rsidTr="00601A1A">
        <w:tc>
          <w:tcPr>
            <w:tcW w:w="2836" w:type="dxa"/>
          </w:tcPr>
          <w:p w14:paraId="24735B7A" w14:textId="7F006631" w:rsidR="007479CB" w:rsidRDefault="007479CB" w:rsidP="00AB33BD">
            <w:pPr>
              <w:pStyle w:val="Caption"/>
              <w:jc w:val="left"/>
              <w:rPr>
                <w:b w:val="0"/>
                <w:snapToGrid w:val="0"/>
                <w:szCs w:val="16"/>
              </w:rPr>
            </w:pPr>
            <w:r>
              <w:rPr>
                <w:b w:val="0"/>
                <w:snapToGrid w:val="0"/>
                <w:szCs w:val="16"/>
              </w:rPr>
              <w:t>Cost per extra trisomy detected</w:t>
            </w:r>
          </w:p>
        </w:tc>
        <w:tc>
          <w:tcPr>
            <w:tcW w:w="1984" w:type="dxa"/>
          </w:tcPr>
          <w:p w14:paraId="78890E64" w14:textId="58E56C8B" w:rsidR="007479CB" w:rsidRDefault="0081712F" w:rsidP="004D5ECD">
            <w:pPr>
              <w:pStyle w:val="Caption"/>
              <w:jc w:val="center"/>
              <w:rPr>
                <w:b w:val="0"/>
                <w:snapToGrid w:val="0"/>
                <w:szCs w:val="16"/>
              </w:rPr>
            </w:pPr>
            <w:r>
              <w:rPr>
                <w:b w:val="0"/>
                <w:snapToGrid w:val="0"/>
                <w:szCs w:val="16"/>
              </w:rPr>
              <w:t>$</w:t>
            </w:r>
            <w:r w:rsidR="00B26E61">
              <w:rPr>
                <w:b w:val="0"/>
                <w:snapToGrid w:val="0"/>
                <w:szCs w:val="16"/>
              </w:rPr>
              <w:t>548,471</w:t>
            </w:r>
          </w:p>
        </w:tc>
        <w:tc>
          <w:tcPr>
            <w:tcW w:w="1559" w:type="dxa"/>
          </w:tcPr>
          <w:p w14:paraId="3CFA1694" w14:textId="3072CC3B" w:rsidR="007479CB" w:rsidRDefault="0081712F" w:rsidP="004D5ECD">
            <w:pPr>
              <w:pStyle w:val="Caption"/>
              <w:jc w:val="center"/>
              <w:rPr>
                <w:b w:val="0"/>
                <w:snapToGrid w:val="0"/>
                <w:szCs w:val="16"/>
              </w:rPr>
            </w:pPr>
            <w:r>
              <w:rPr>
                <w:b w:val="0"/>
                <w:snapToGrid w:val="0"/>
                <w:szCs w:val="16"/>
              </w:rPr>
              <w:t>$</w:t>
            </w:r>
            <w:r w:rsidR="00B26E61">
              <w:rPr>
                <w:b w:val="0"/>
                <w:snapToGrid w:val="0"/>
                <w:szCs w:val="16"/>
              </w:rPr>
              <w:t>254,400</w:t>
            </w:r>
          </w:p>
        </w:tc>
        <w:tc>
          <w:tcPr>
            <w:tcW w:w="1985" w:type="dxa"/>
          </w:tcPr>
          <w:p w14:paraId="6140F62B" w14:textId="18E7D8B4" w:rsidR="007479CB" w:rsidRDefault="0081712F" w:rsidP="004D5ECD">
            <w:pPr>
              <w:pStyle w:val="Caption"/>
              <w:jc w:val="center"/>
              <w:rPr>
                <w:b w:val="0"/>
                <w:snapToGrid w:val="0"/>
                <w:szCs w:val="16"/>
              </w:rPr>
            </w:pPr>
            <w:r>
              <w:rPr>
                <w:b w:val="0"/>
                <w:snapToGrid w:val="0"/>
                <w:szCs w:val="16"/>
              </w:rPr>
              <w:t>-</w:t>
            </w:r>
          </w:p>
        </w:tc>
        <w:tc>
          <w:tcPr>
            <w:tcW w:w="1134" w:type="dxa"/>
          </w:tcPr>
          <w:p w14:paraId="1430B7A0" w14:textId="53377235" w:rsidR="007479CB" w:rsidRDefault="0081712F" w:rsidP="004D5ECD">
            <w:pPr>
              <w:pStyle w:val="Caption"/>
              <w:jc w:val="center"/>
              <w:rPr>
                <w:b w:val="0"/>
                <w:snapToGrid w:val="0"/>
                <w:szCs w:val="16"/>
              </w:rPr>
            </w:pPr>
            <w:r>
              <w:rPr>
                <w:b w:val="0"/>
                <w:snapToGrid w:val="0"/>
                <w:szCs w:val="16"/>
              </w:rPr>
              <w:t>$</w:t>
            </w:r>
            <w:r w:rsidR="00B26E61">
              <w:rPr>
                <w:b w:val="0"/>
                <w:snapToGrid w:val="0"/>
                <w:szCs w:val="16"/>
              </w:rPr>
              <w:t>510,769</w:t>
            </w:r>
          </w:p>
        </w:tc>
      </w:tr>
    </w:tbl>
    <w:p w14:paraId="3818C2F9" w14:textId="7909B4FD" w:rsidR="00A96845" w:rsidRDefault="00722525" w:rsidP="00F9569A">
      <w:pPr>
        <w:rPr>
          <w:rFonts w:ascii="Arial Narrow" w:hAnsi="Arial Narrow"/>
          <w:sz w:val="18"/>
          <w:szCs w:val="18"/>
        </w:rPr>
      </w:pPr>
      <w:r>
        <w:rPr>
          <w:rFonts w:ascii="Arial Narrow" w:hAnsi="Arial Narrow"/>
          <w:sz w:val="18"/>
          <w:szCs w:val="18"/>
        </w:rPr>
        <w:t xml:space="preserve">1: Source = </w:t>
      </w:r>
      <w:r w:rsidR="007812DC" w:rsidRPr="007812DC">
        <w:rPr>
          <w:rFonts w:ascii="Arial Narrow" w:hAnsi="Arial Narrow"/>
          <w:sz w:val="18"/>
          <w:szCs w:val="18"/>
        </w:rPr>
        <w:t>L. Hui,, A. Lindquist , A. Poulton et al. State</w:t>
      </w:r>
      <w:r w:rsidR="007812DC" w:rsidRPr="007812DC">
        <w:rPr>
          <w:rFonts w:ascii="Cambria Math" w:hAnsi="Cambria Math" w:cs="Cambria Math"/>
          <w:sz w:val="18"/>
          <w:szCs w:val="18"/>
        </w:rPr>
        <w:t>‐</w:t>
      </w:r>
      <w:r w:rsidR="007812DC" w:rsidRPr="007812DC">
        <w:rPr>
          <w:rFonts w:ascii="Arial Narrow" w:hAnsi="Arial Narrow"/>
          <w:sz w:val="18"/>
          <w:szCs w:val="18"/>
        </w:rPr>
        <w:t>wide performance of traditional and cell</w:t>
      </w:r>
      <w:r w:rsidR="007812DC" w:rsidRPr="007812DC">
        <w:rPr>
          <w:rFonts w:ascii="Cambria Math" w:hAnsi="Cambria Math" w:cs="Cambria Math"/>
          <w:sz w:val="18"/>
          <w:szCs w:val="18"/>
        </w:rPr>
        <w:t>‐</w:t>
      </w:r>
      <w:r w:rsidR="007812DC" w:rsidRPr="007812DC">
        <w:rPr>
          <w:rFonts w:ascii="Arial Narrow" w:hAnsi="Arial Narrow"/>
          <w:sz w:val="18"/>
          <w:szCs w:val="18"/>
        </w:rPr>
        <w:t>free DNA</w:t>
      </w:r>
      <w:r w:rsidR="007812DC" w:rsidRPr="007812DC">
        <w:rPr>
          <w:rFonts w:ascii="Cambria Math" w:hAnsi="Cambria Math" w:cs="Cambria Math"/>
          <w:sz w:val="18"/>
          <w:szCs w:val="18"/>
        </w:rPr>
        <w:t>‐</w:t>
      </w:r>
      <w:r w:rsidR="007812DC" w:rsidRPr="007812DC">
        <w:rPr>
          <w:rFonts w:ascii="Arial Narrow" w:hAnsi="Arial Narrow"/>
          <w:sz w:val="18"/>
          <w:szCs w:val="18"/>
        </w:rPr>
        <w:t>based prenatal testing pathways: the Victorian Perinatal Record Linkage (PeRL) study.</w:t>
      </w:r>
      <w:r w:rsidR="00AB33BD">
        <w:rPr>
          <w:rFonts w:ascii="Arial Narrow" w:hAnsi="Arial Narrow"/>
          <w:sz w:val="18"/>
          <w:szCs w:val="18"/>
        </w:rPr>
        <w:t xml:space="preserve"> </w:t>
      </w:r>
      <w:r w:rsidR="007812DC" w:rsidRPr="007812DC">
        <w:rPr>
          <w:rFonts w:ascii="Arial Narrow" w:hAnsi="Arial Narrow"/>
          <w:sz w:val="18"/>
          <w:szCs w:val="18"/>
        </w:rPr>
        <w:t>Sep 2019.</w:t>
      </w:r>
    </w:p>
    <w:p w14:paraId="0B21BFEE" w14:textId="2EA12EDB" w:rsidR="00722525" w:rsidRDefault="00411697" w:rsidP="005D0FB4">
      <w:pPr>
        <w:rPr>
          <w:rFonts w:ascii="Arial Narrow" w:hAnsi="Arial Narrow"/>
          <w:sz w:val="18"/>
          <w:szCs w:val="18"/>
        </w:rPr>
      </w:pPr>
      <w:r>
        <w:rPr>
          <w:rFonts w:ascii="Arial Narrow" w:hAnsi="Arial Narrow"/>
          <w:sz w:val="18"/>
          <w:szCs w:val="18"/>
        </w:rPr>
        <w:t>2: Source =</w:t>
      </w:r>
      <w:r w:rsidR="005D0FB4" w:rsidRPr="005D0FB4">
        <w:t xml:space="preserve"> </w:t>
      </w:r>
      <w:r w:rsidR="005D0FB4" w:rsidRPr="005D0FB4">
        <w:rPr>
          <w:rFonts w:ascii="Arial Narrow" w:hAnsi="Arial Narrow"/>
          <w:sz w:val="18"/>
          <w:szCs w:val="18"/>
        </w:rPr>
        <w:t>Abeywardana S &amp; Sullivan EA 2008. Congenital anomalies in Austr</w:t>
      </w:r>
      <w:r w:rsidR="005D0FB4">
        <w:rPr>
          <w:rFonts w:ascii="Arial Narrow" w:hAnsi="Arial Narrow"/>
          <w:sz w:val="18"/>
          <w:szCs w:val="18"/>
        </w:rPr>
        <w:t xml:space="preserve">alia 2002–2003. Birth anomalies </w:t>
      </w:r>
      <w:r w:rsidR="005D0FB4" w:rsidRPr="005D0FB4">
        <w:rPr>
          <w:rFonts w:ascii="Arial Narrow" w:hAnsi="Arial Narrow"/>
          <w:sz w:val="18"/>
          <w:szCs w:val="18"/>
        </w:rPr>
        <w:t>series no. 3 Cat. no. PER 41. Sydney: A</w:t>
      </w:r>
      <w:r w:rsidR="00343522">
        <w:rPr>
          <w:rFonts w:ascii="Arial Narrow" w:hAnsi="Arial Narrow"/>
          <w:sz w:val="18"/>
          <w:szCs w:val="18"/>
        </w:rPr>
        <w:t xml:space="preserve">ustralian </w:t>
      </w:r>
      <w:r w:rsidR="005D0FB4" w:rsidRPr="005D0FB4">
        <w:rPr>
          <w:rFonts w:ascii="Arial Narrow" w:hAnsi="Arial Narrow"/>
          <w:sz w:val="18"/>
          <w:szCs w:val="18"/>
        </w:rPr>
        <w:t>I</w:t>
      </w:r>
      <w:r w:rsidR="00343522">
        <w:rPr>
          <w:rFonts w:ascii="Arial Narrow" w:hAnsi="Arial Narrow"/>
          <w:sz w:val="18"/>
          <w:szCs w:val="18"/>
        </w:rPr>
        <w:t xml:space="preserve">nstitute of </w:t>
      </w:r>
      <w:r w:rsidR="005D0FB4" w:rsidRPr="005D0FB4">
        <w:rPr>
          <w:rFonts w:ascii="Arial Narrow" w:hAnsi="Arial Narrow"/>
          <w:sz w:val="18"/>
          <w:szCs w:val="18"/>
        </w:rPr>
        <w:t>H</w:t>
      </w:r>
      <w:r w:rsidR="00343522">
        <w:rPr>
          <w:rFonts w:ascii="Arial Narrow" w:hAnsi="Arial Narrow"/>
          <w:sz w:val="18"/>
          <w:szCs w:val="18"/>
        </w:rPr>
        <w:t xml:space="preserve">ealth and </w:t>
      </w:r>
      <w:r w:rsidR="005D0FB4" w:rsidRPr="005D0FB4">
        <w:rPr>
          <w:rFonts w:ascii="Arial Narrow" w:hAnsi="Arial Narrow"/>
          <w:sz w:val="18"/>
          <w:szCs w:val="18"/>
        </w:rPr>
        <w:t>W</w:t>
      </w:r>
      <w:r w:rsidR="00343522">
        <w:rPr>
          <w:rFonts w:ascii="Arial Narrow" w:hAnsi="Arial Narrow"/>
          <w:sz w:val="18"/>
          <w:szCs w:val="18"/>
        </w:rPr>
        <w:t>elfare</w:t>
      </w:r>
      <w:r w:rsidR="005D0FB4" w:rsidRPr="005D0FB4">
        <w:rPr>
          <w:rFonts w:ascii="Arial Narrow" w:hAnsi="Arial Narrow"/>
          <w:sz w:val="18"/>
          <w:szCs w:val="18"/>
        </w:rPr>
        <w:t xml:space="preserve"> National Perinatal Statistics Unit.</w:t>
      </w:r>
    </w:p>
    <w:p w14:paraId="720F3CDD" w14:textId="59D03E54" w:rsidR="00411697" w:rsidRDefault="00411697" w:rsidP="00411697">
      <w:pPr>
        <w:rPr>
          <w:rFonts w:ascii="Arial Narrow" w:hAnsi="Arial Narrow"/>
          <w:sz w:val="18"/>
          <w:szCs w:val="18"/>
        </w:rPr>
      </w:pPr>
      <w:r>
        <w:rPr>
          <w:rFonts w:ascii="Arial Narrow" w:hAnsi="Arial Narrow"/>
          <w:sz w:val="18"/>
          <w:szCs w:val="18"/>
        </w:rPr>
        <w:t>3</w:t>
      </w:r>
      <w:r w:rsidR="00A74945">
        <w:rPr>
          <w:rFonts w:ascii="Arial Narrow" w:hAnsi="Arial Narrow"/>
          <w:sz w:val="18"/>
          <w:szCs w:val="18"/>
        </w:rPr>
        <w:t>a</w:t>
      </w:r>
      <w:r>
        <w:rPr>
          <w:rFonts w:ascii="Arial Narrow" w:hAnsi="Arial Narrow"/>
          <w:sz w:val="18"/>
          <w:szCs w:val="18"/>
        </w:rPr>
        <w:t xml:space="preserve">: Source = </w:t>
      </w:r>
      <w:r w:rsidR="0025049E">
        <w:rPr>
          <w:rFonts w:ascii="Arial Narrow" w:hAnsi="Arial Narrow"/>
          <w:sz w:val="18"/>
          <w:szCs w:val="18"/>
        </w:rPr>
        <w:t xml:space="preserve">CFTS = </w:t>
      </w:r>
      <w:r w:rsidR="00F8775A">
        <w:rPr>
          <w:rFonts w:ascii="Arial Narrow" w:hAnsi="Arial Narrow"/>
          <w:sz w:val="18"/>
          <w:szCs w:val="18"/>
        </w:rPr>
        <w:t>85%</w:t>
      </w:r>
      <w:r w:rsidR="0025049E">
        <w:rPr>
          <w:rFonts w:ascii="Arial Narrow" w:hAnsi="Arial Narrow"/>
          <w:sz w:val="18"/>
          <w:szCs w:val="18"/>
        </w:rPr>
        <w:t xml:space="preserve"> (</w:t>
      </w:r>
      <w:r>
        <w:rPr>
          <w:rFonts w:ascii="Arial Narrow" w:hAnsi="Arial Narrow"/>
          <w:sz w:val="18"/>
          <w:szCs w:val="18"/>
        </w:rPr>
        <w:t>Norton 2015</w:t>
      </w:r>
      <w:r w:rsidR="0025049E">
        <w:rPr>
          <w:rFonts w:ascii="Arial Narrow" w:hAnsi="Arial Narrow"/>
          <w:sz w:val="18"/>
          <w:szCs w:val="18"/>
        </w:rPr>
        <w:t>)</w:t>
      </w:r>
    </w:p>
    <w:p w14:paraId="0D610AA9" w14:textId="5E8CFA02" w:rsidR="00A74945" w:rsidRDefault="00A74945" w:rsidP="00411697">
      <w:pPr>
        <w:rPr>
          <w:rFonts w:ascii="Arial Narrow" w:hAnsi="Arial Narrow"/>
          <w:sz w:val="18"/>
          <w:szCs w:val="18"/>
        </w:rPr>
      </w:pPr>
      <w:r>
        <w:rPr>
          <w:rFonts w:ascii="Arial Narrow" w:hAnsi="Arial Narrow"/>
          <w:sz w:val="18"/>
          <w:szCs w:val="18"/>
        </w:rPr>
        <w:t>3b: Source = 2TMSS = 54.5% (Song 2013)</w:t>
      </w:r>
    </w:p>
    <w:p w14:paraId="5380F21E" w14:textId="77D023FF" w:rsidR="00411697" w:rsidRDefault="00411697" w:rsidP="00411697">
      <w:pPr>
        <w:rPr>
          <w:rFonts w:ascii="Arial Narrow" w:hAnsi="Arial Narrow"/>
          <w:sz w:val="18"/>
          <w:szCs w:val="18"/>
        </w:rPr>
      </w:pPr>
      <w:r>
        <w:rPr>
          <w:rFonts w:ascii="Arial Narrow" w:hAnsi="Arial Narrow"/>
          <w:sz w:val="18"/>
          <w:szCs w:val="18"/>
        </w:rPr>
        <w:t xml:space="preserve">4: Source = </w:t>
      </w:r>
      <w:r w:rsidR="0025049E">
        <w:rPr>
          <w:rFonts w:ascii="Arial Narrow" w:hAnsi="Arial Narrow"/>
          <w:sz w:val="18"/>
          <w:szCs w:val="18"/>
        </w:rPr>
        <w:t xml:space="preserve">NIPT = </w:t>
      </w:r>
      <w:r w:rsidR="00F8775A">
        <w:rPr>
          <w:rFonts w:ascii="Arial Narrow" w:hAnsi="Arial Narrow"/>
          <w:sz w:val="18"/>
          <w:szCs w:val="18"/>
        </w:rPr>
        <w:t>9</w:t>
      </w:r>
      <w:r w:rsidR="00B26E61">
        <w:rPr>
          <w:rFonts w:ascii="Arial Narrow" w:hAnsi="Arial Narrow"/>
          <w:sz w:val="18"/>
          <w:szCs w:val="18"/>
        </w:rPr>
        <w:t>8.2</w:t>
      </w:r>
      <w:r w:rsidR="00F8775A">
        <w:rPr>
          <w:rFonts w:ascii="Arial Narrow" w:hAnsi="Arial Narrow"/>
          <w:sz w:val="18"/>
          <w:szCs w:val="18"/>
        </w:rPr>
        <w:t xml:space="preserve">% </w:t>
      </w:r>
      <w:r w:rsidR="0025049E">
        <w:rPr>
          <w:rFonts w:ascii="Arial Narrow" w:hAnsi="Arial Narrow"/>
          <w:sz w:val="18"/>
          <w:szCs w:val="18"/>
        </w:rPr>
        <w:t>(</w:t>
      </w:r>
      <w:r>
        <w:rPr>
          <w:rFonts w:ascii="Arial Narrow" w:hAnsi="Arial Narrow"/>
          <w:sz w:val="18"/>
          <w:szCs w:val="18"/>
        </w:rPr>
        <w:t>Norton 2015</w:t>
      </w:r>
      <w:r w:rsidR="0025049E">
        <w:rPr>
          <w:rFonts w:ascii="Arial Narrow" w:hAnsi="Arial Narrow"/>
          <w:sz w:val="18"/>
          <w:szCs w:val="18"/>
        </w:rPr>
        <w:t>)</w:t>
      </w:r>
    </w:p>
    <w:p w14:paraId="5F3882D3" w14:textId="3BA4A364" w:rsidR="00722525" w:rsidRPr="00695A76" w:rsidRDefault="0081712F" w:rsidP="00F9569A">
      <w:pPr>
        <w:rPr>
          <w:rFonts w:ascii="Arial Narrow" w:hAnsi="Arial Narrow"/>
          <w:sz w:val="18"/>
          <w:szCs w:val="18"/>
        </w:rPr>
      </w:pPr>
      <w:r w:rsidRPr="008E289A">
        <w:rPr>
          <w:rFonts w:ascii="Arial Narrow" w:hAnsi="Arial Narrow"/>
          <w:sz w:val="18"/>
          <w:szCs w:val="18"/>
        </w:rPr>
        <w:t>CFTS = combined first trimester screening; 2TMSS = second trimester maternal serum testing; NIPT = non-invasive prenatal testing</w:t>
      </w:r>
    </w:p>
    <w:p w14:paraId="11B37169" w14:textId="4133CF95" w:rsidR="00F9569A" w:rsidRDefault="00505B31" w:rsidP="00695A76">
      <w:pPr>
        <w:spacing w:before="240" w:after="240"/>
      </w:pPr>
      <w:r>
        <w:t xml:space="preserve">MSAC considered that the proportion of women who choose to undergo testing for trisomies would be unlikely to change if NIPT became more widely available. </w:t>
      </w:r>
      <w:r w:rsidR="00F9569A">
        <w:t>MSAC discussed the difficulty of</w:t>
      </w:r>
      <w:r w:rsidR="00A66763">
        <w:t xml:space="preserve"> categorically</w:t>
      </w:r>
      <w:r w:rsidR="00F9569A">
        <w:t xml:space="preserve"> determining the </w:t>
      </w:r>
      <w:r w:rsidR="00C72A5A">
        <w:t xml:space="preserve">personal choices </w:t>
      </w:r>
      <w:r w:rsidR="00807B7D">
        <w:t xml:space="preserve">in </w:t>
      </w:r>
      <w:r w:rsidR="00C72A5A">
        <w:t xml:space="preserve">pregnancy </w:t>
      </w:r>
      <w:r w:rsidR="00807B7D">
        <w:t>management that</w:t>
      </w:r>
      <w:r w:rsidR="00C72A5A">
        <w:t xml:space="preserve"> individuals </w:t>
      </w:r>
      <w:r w:rsidR="00807B7D">
        <w:t xml:space="preserve">may make </w:t>
      </w:r>
      <w:r w:rsidR="00C72A5A">
        <w:t>following</w:t>
      </w:r>
      <w:r w:rsidR="00F9569A">
        <w:t xml:space="preserve"> NIPT, which makes it difficult to determine </w:t>
      </w:r>
      <w:r w:rsidR="004D5ECD">
        <w:t xml:space="preserve">the </w:t>
      </w:r>
      <w:r w:rsidR="00F9569A">
        <w:t xml:space="preserve">cost-effectiveness of the test. Some women will have a termination if the NIPT </w:t>
      </w:r>
      <w:r w:rsidR="008011AE">
        <w:t xml:space="preserve">and </w:t>
      </w:r>
      <w:r w:rsidR="00C72A5A">
        <w:t xml:space="preserve">IPT </w:t>
      </w:r>
      <w:r w:rsidR="00F9569A">
        <w:t>detects a trisomy, but they may not make that decision until they have had counselling</w:t>
      </w:r>
      <w:r w:rsidR="00807B7D">
        <w:t xml:space="preserve"> before and after testing</w:t>
      </w:r>
      <w:r w:rsidR="00F9569A">
        <w:t xml:space="preserve">. Other women may have no intention of terminating a pregnancy should the </w:t>
      </w:r>
      <w:r w:rsidR="00C72A5A">
        <w:t>NIPT and</w:t>
      </w:r>
      <w:r w:rsidR="00894F24">
        <w:t>/or</w:t>
      </w:r>
      <w:r w:rsidR="00C72A5A">
        <w:t xml:space="preserve"> IPT </w:t>
      </w:r>
      <w:r w:rsidR="00F9569A">
        <w:t xml:space="preserve">test be positive, but want the </w:t>
      </w:r>
      <w:r w:rsidR="00894F24">
        <w:t>NIPT</w:t>
      </w:r>
      <w:r w:rsidR="00F9569A">
        <w:t xml:space="preserve"> so that they can prepare for life with a child with </w:t>
      </w:r>
      <w:r w:rsidR="00A66763">
        <w:t xml:space="preserve">a </w:t>
      </w:r>
      <w:r w:rsidR="00F9569A">
        <w:t>trisomy</w:t>
      </w:r>
      <w:r w:rsidR="000B45BC">
        <w:t>.</w:t>
      </w:r>
      <w:r w:rsidR="00894F24">
        <w:t xml:space="preserve"> MSAC accepted that these women may choose not to proceed to IPT in the event of a positive NIPT test result.</w:t>
      </w:r>
      <w:r w:rsidR="0004782E">
        <w:t xml:space="preserve"> Other than this, MSAC was given no clear explanation for why a test with improved detection rates for the three trisomies than current screening would contribute to an overall reduction in IPT rates. MSAC noted that, if the clinical practice were for a positive NIPT result to result directly in termination of pregnancy without IPT confirmation, then this practice would contradict current clinical practice guidelines.</w:t>
      </w:r>
    </w:p>
    <w:p w14:paraId="7C024A32" w14:textId="1140A9E2" w:rsidR="00F9569A" w:rsidRDefault="00F9569A" w:rsidP="00695A76">
      <w:pPr>
        <w:spacing w:after="240"/>
      </w:pPr>
      <w:r>
        <w:t xml:space="preserve">MSAC acknowledged that the ‘value of knowing’ is important for many consumers, but, currently, this cannot be </w:t>
      </w:r>
      <w:r w:rsidR="00C72A5A">
        <w:t xml:space="preserve">accurately </w:t>
      </w:r>
      <w:r>
        <w:t>costed using current health</w:t>
      </w:r>
      <w:r w:rsidR="000B45BC">
        <w:t xml:space="preserve"> technology assessment methods.</w:t>
      </w:r>
    </w:p>
    <w:p w14:paraId="37A4255B" w14:textId="68156961" w:rsidR="00383A22" w:rsidRDefault="00F9569A" w:rsidP="00695A76">
      <w:pPr>
        <w:spacing w:after="240"/>
      </w:pPr>
      <w:r>
        <w:t xml:space="preserve">MSAC acknowledged the clinical need for </w:t>
      </w:r>
      <w:r w:rsidR="00A66763">
        <w:t xml:space="preserve">comprehensive access to </w:t>
      </w:r>
      <w:r>
        <w:t>screening as many women (23%) do not</w:t>
      </w:r>
      <w:r w:rsidR="000C3A0E">
        <w:t xml:space="preserve"> currently</w:t>
      </w:r>
      <w:r>
        <w:t xml:space="preserve"> have access to</w:t>
      </w:r>
      <w:r w:rsidR="00807B7D">
        <w:t>, or undertake, first trimester</w:t>
      </w:r>
      <w:r>
        <w:t xml:space="preserve"> ultrasound</w:t>
      </w:r>
      <w:r w:rsidR="00807B7D">
        <w:t xml:space="preserve"> assessment</w:t>
      </w:r>
      <w:r>
        <w:t xml:space="preserve">. However, MSAC </w:t>
      </w:r>
      <w:r w:rsidR="00A26F2C">
        <w:t xml:space="preserve">advised that </w:t>
      </w:r>
      <w:r>
        <w:t xml:space="preserve">the NIPT </w:t>
      </w:r>
      <w:r w:rsidR="000B45BC">
        <w:t xml:space="preserve">listing </w:t>
      </w:r>
      <w:r>
        <w:t xml:space="preserve">as proposed </w:t>
      </w:r>
      <w:r w:rsidR="00A26F2C">
        <w:t>would</w:t>
      </w:r>
      <w:r>
        <w:t xml:space="preserve"> have </w:t>
      </w:r>
      <w:r w:rsidR="00A26F2C">
        <w:t xml:space="preserve">both </w:t>
      </w:r>
      <w:r w:rsidR="000B45BC">
        <w:t xml:space="preserve">unacceptable </w:t>
      </w:r>
      <w:r>
        <w:t>cost-effectiveness and unacceptable financial impact.</w:t>
      </w:r>
    </w:p>
    <w:p w14:paraId="47D307E9" w14:textId="6094CCAF" w:rsidR="00894F24" w:rsidRDefault="00383A22" w:rsidP="00695A76">
      <w:pPr>
        <w:spacing w:after="240"/>
      </w:pPr>
      <w:r>
        <w:t xml:space="preserve">MSAC noted that current screening in the first and second trimester does not solely aim to assess the risk of trisomies. The effect of implementing NIPT on the ascertainment of </w:t>
      </w:r>
      <w:r w:rsidR="00A41563">
        <w:t xml:space="preserve">the </w:t>
      </w:r>
      <w:r>
        <w:t xml:space="preserve">other </w:t>
      </w:r>
      <w:r w:rsidR="00A41563">
        <w:t xml:space="preserve">targeted </w:t>
      </w:r>
      <w:r w:rsidR="00A26F2C">
        <w:t xml:space="preserve">medical </w:t>
      </w:r>
      <w:r>
        <w:t>conditions with morbidity and mortality remains uncertain.</w:t>
      </w:r>
    </w:p>
    <w:p w14:paraId="591823C6" w14:textId="0EACD994" w:rsidR="00894F24" w:rsidRDefault="0004782E" w:rsidP="00F9569A">
      <w:r>
        <w:t xml:space="preserve">Given the </w:t>
      </w:r>
      <w:r w:rsidR="00187D3A">
        <w:t xml:space="preserve">slightly </w:t>
      </w:r>
      <w:r>
        <w:t xml:space="preserve">more favourable </w:t>
      </w:r>
      <w:r w:rsidR="00187D3A">
        <w:t xml:space="preserve">cost-effectiveness </w:t>
      </w:r>
      <w:r>
        <w:t>results in Table 1 for those pregnant women who have access to biochemistry but not to ultrasound</w:t>
      </w:r>
      <w:r w:rsidR="00187D3A">
        <w:t xml:space="preserve"> and the larger improvement in screening effectiveness for these women</w:t>
      </w:r>
      <w:r>
        <w:t>, MSAC considered th</w:t>
      </w:r>
      <w:r w:rsidR="00187D3A">
        <w:t xml:space="preserve">e possibility of </w:t>
      </w:r>
      <w:r>
        <w:t xml:space="preserve">an MBS item for NIPT </w:t>
      </w:r>
      <w:r w:rsidR="00187D3A">
        <w:t xml:space="preserve">which is </w:t>
      </w:r>
      <w:r>
        <w:t xml:space="preserve">limited geographically to women in </w:t>
      </w:r>
      <w:r w:rsidR="00187D3A">
        <w:t xml:space="preserve">rural and </w:t>
      </w:r>
      <w:r>
        <w:t>remote areas</w:t>
      </w:r>
      <w:r w:rsidR="00847F80">
        <w:t xml:space="preserve"> who may not have immediate access to ultrasound</w:t>
      </w:r>
      <w:r w:rsidR="00187D3A">
        <w:t>. MSAC considered that this</w:t>
      </w:r>
      <w:r>
        <w:t xml:space="preserve"> might be worth pursuing if there is a</w:t>
      </w:r>
      <w:r w:rsidR="00847F80">
        <w:t xml:space="preserve"> demonstrated</w:t>
      </w:r>
      <w:r>
        <w:t xml:space="preserve"> strong association between geographical location and utilisation of the ultrasound </w:t>
      </w:r>
      <w:r w:rsidR="00187D3A">
        <w:t xml:space="preserve">MBS </w:t>
      </w:r>
      <w:r>
        <w:t>items</w:t>
      </w:r>
      <w:r w:rsidR="00187D3A">
        <w:t xml:space="preserve"> used for </w:t>
      </w:r>
      <w:r w:rsidR="00AE6DF0">
        <w:t>combined first trimester screening (</w:t>
      </w:r>
      <w:r w:rsidR="00187D3A">
        <w:t>CFTS</w:t>
      </w:r>
      <w:r w:rsidR="00AE6DF0">
        <w:t>)</w:t>
      </w:r>
      <w:r>
        <w:t>.</w:t>
      </w:r>
      <w:r w:rsidR="00187D3A">
        <w:t xml:space="preserve"> If this variation could also be shown to be linked to the expectation of lower rates of NIPT being paid for out-of-pocket women in rural and remote areas (for example associated with lower socioeconomic status), then this might strengthen this aspect of a greater benefit from MBS-funded access.</w:t>
      </w:r>
      <w:r w:rsidR="001F08BC">
        <w:t xml:space="preserve"> The feasibility of implementing an MBS item descriptor targeting such women would also need to be explored.</w:t>
      </w:r>
    </w:p>
    <w:p w14:paraId="702AC423" w14:textId="77777777" w:rsidR="00A37C79" w:rsidRPr="00F715D1" w:rsidRDefault="00A37C79" w:rsidP="00A37C79">
      <w:pPr>
        <w:pStyle w:val="Heading1"/>
      </w:pPr>
      <w:r w:rsidRPr="00F715D1">
        <w:t>Background</w:t>
      </w:r>
    </w:p>
    <w:p w14:paraId="0294FDDB" w14:textId="1F59BF57" w:rsidR="00611E88" w:rsidRDefault="00611E88" w:rsidP="00695A76">
      <w:pPr>
        <w:spacing w:after="240"/>
      </w:pPr>
      <w:r>
        <w:t xml:space="preserve">This is the first reconsideration of Application 1492. The original application requested MBS listing of </w:t>
      </w:r>
      <w:r w:rsidRPr="00950954">
        <w:t xml:space="preserve">non-invasive prenatal testing (NIPT) for </w:t>
      </w:r>
      <w:r>
        <w:t>“</w:t>
      </w:r>
      <w:r w:rsidRPr="00950954">
        <w:t>common</w:t>
      </w:r>
      <w:r>
        <w:t>”</w:t>
      </w:r>
      <w:r w:rsidRPr="00950954">
        <w:t xml:space="preserve"> trisomies (21, 18, and 13)</w:t>
      </w:r>
      <w:r>
        <w:t xml:space="preserve"> from the </w:t>
      </w:r>
      <w:r w:rsidRPr="000D1266">
        <w:t>Royal College of Pathologists of Australasia (RCPA) and Roche Diagnostics</w:t>
      </w:r>
      <w:r>
        <w:t>.</w:t>
      </w:r>
    </w:p>
    <w:p w14:paraId="027B5F15" w14:textId="2C88E3BB" w:rsidR="00611E88" w:rsidRDefault="00611E88" w:rsidP="00695A76">
      <w:pPr>
        <w:spacing w:after="240"/>
      </w:pPr>
      <w:r>
        <w:t>At its July 2018 meeting, MSAC deferred its advice on public funding for NIPT for trisomies 21, 18 and 13 due to significant uncertainty regarding the proposed place of NIPT in the clinical management algorithm. In particular, MSAC was uncertain of how best to define the most suitable population of pregnant women to be eligible for funded testing, including whether and, if so, how this could be limited to a high-risk population (Application 1492 Public Summary Document [PSD] 2018, p1).</w:t>
      </w:r>
    </w:p>
    <w:p w14:paraId="51FB4D6B" w14:textId="77777777" w:rsidR="00611E88" w:rsidRDefault="00611E88" w:rsidP="00611E88">
      <w:r>
        <w:t>In November 2018, MSAC convened a Stakeholder Meeting where the key objectives were “to seek input from service requesters, providers and consumers on the place of NIPT in the clinical management algorithm, and on the most suitable population of pregnant women who should be eligible for funded testing”. In brief, the following was discussed.</w:t>
      </w:r>
    </w:p>
    <w:p w14:paraId="30D5E2D5" w14:textId="53380E1C" w:rsidR="00611E88" w:rsidRDefault="00611E88" w:rsidP="00611E88">
      <w:pPr>
        <w:pStyle w:val="ListParagraph"/>
        <w:numPr>
          <w:ilvl w:val="0"/>
          <w:numId w:val="6"/>
        </w:numPr>
      </w:pPr>
      <w:r w:rsidRPr="000A30F0">
        <w:rPr>
          <w:b/>
        </w:rPr>
        <w:t>NIPT target population:</w:t>
      </w:r>
      <w:r>
        <w:t xml:space="preserve"> p</w:t>
      </w:r>
      <w:r w:rsidRPr="00B55F0A">
        <w:t xml:space="preserve">articipants agreed that the target population for </w:t>
      </w:r>
      <w:r w:rsidR="00A41563">
        <w:t xml:space="preserve">publicly </w:t>
      </w:r>
      <w:r w:rsidRPr="00B55F0A">
        <w:t xml:space="preserve">funded NIPT </w:t>
      </w:r>
      <w:r>
        <w:t xml:space="preserve">should </w:t>
      </w:r>
      <w:r w:rsidRPr="00F1537C">
        <w:t>be all pregnant women, regardless of risk</w:t>
      </w:r>
      <w:r>
        <w:t>.</w:t>
      </w:r>
    </w:p>
    <w:p w14:paraId="186BD182" w14:textId="0A1340DF" w:rsidR="00611E88" w:rsidRDefault="00611E88" w:rsidP="00611E88">
      <w:pPr>
        <w:pStyle w:val="ListParagraph"/>
        <w:numPr>
          <w:ilvl w:val="0"/>
          <w:numId w:val="6"/>
        </w:numPr>
      </w:pPr>
      <w:r w:rsidRPr="000A30F0">
        <w:rPr>
          <w:b/>
        </w:rPr>
        <w:t>NIPT as add-on or replacement:</w:t>
      </w:r>
      <w:r>
        <w:t xml:space="preserve"> p</w:t>
      </w:r>
      <w:r w:rsidRPr="00F1537C">
        <w:t>articipants emphasised that NIPT should not replace the current CFTS</w:t>
      </w:r>
      <w:r w:rsidR="00886D2D">
        <w:t>,</w:t>
      </w:r>
      <w:r w:rsidRPr="00F1537C">
        <w:t xml:space="preserve"> which comprises both ultrasound and biochemical testing, but should be an additional service.</w:t>
      </w:r>
    </w:p>
    <w:p w14:paraId="7B5130AE" w14:textId="77777777" w:rsidR="00611E88" w:rsidRDefault="00611E88" w:rsidP="00611E88">
      <w:pPr>
        <w:pStyle w:val="ListParagraph"/>
        <w:numPr>
          <w:ilvl w:val="0"/>
          <w:numId w:val="6"/>
        </w:numPr>
      </w:pPr>
      <w:r w:rsidRPr="000A30F0">
        <w:rPr>
          <w:b/>
        </w:rPr>
        <w:t>Timing of NIPT and results:</w:t>
      </w:r>
      <w:r>
        <w:t xml:space="preserve"> p</w:t>
      </w:r>
      <w:r w:rsidRPr="00F1537C">
        <w:t>articipants discussed the timing of NIPT, which should be conducted from 10 weeks gestation at the earliest.</w:t>
      </w:r>
    </w:p>
    <w:p w14:paraId="74C575D9" w14:textId="71A10241" w:rsidR="00611E88" w:rsidRDefault="00611E88" w:rsidP="00611E88">
      <w:pPr>
        <w:pStyle w:val="ListParagraph"/>
        <w:numPr>
          <w:ilvl w:val="0"/>
          <w:numId w:val="6"/>
        </w:numPr>
      </w:pPr>
      <w:r>
        <w:rPr>
          <w:b/>
        </w:rPr>
        <w:t>Potential changes in practice:</w:t>
      </w:r>
      <w:r>
        <w:t xml:space="preserve"> p</w:t>
      </w:r>
      <w:r w:rsidRPr="00430448">
        <w:t>articipants noted the dramatic reduction in invasive prenatal testing (amniocentesis and chorionic villus sampling) over recent years,</w:t>
      </w:r>
      <w:r>
        <w:t xml:space="preserve"> </w:t>
      </w:r>
      <w:r w:rsidRPr="00430448">
        <w:t xml:space="preserve">with Medicare Benefits Schedule (MBS) funded testing declining from about 10,000 per year in 2011/12 to about 4000 in 2016/17, and that the advent of </w:t>
      </w:r>
      <w:r w:rsidR="00A66763">
        <w:t>privately-funded</w:t>
      </w:r>
      <w:r w:rsidRPr="00430448">
        <w:t xml:space="preserve"> NIPT is the most likely explanation for this.</w:t>
      </w:r>
    </w:p>
    <w:p w14:paraId="564702BD" w14:textId="4E61A718" w:rsidR="00611E88" w:rsidRPr="000A30F0" w:rsidRDefault="00611E88" w:rsidP="00611E88">
      <w:pPr>
        <w:pStyle w:val="ListParagraph"/>
        <w:numPr>
          <w:ilvl w:val="0"/>
          <w:numId w:val="6"/>
        </w:numPr>
        <w:rPr>
          <w:b/>
        </w:rPr>
      </w:pPr>
      <w:r w:rsidRPr="000A30F0">
        <w:rPr>
          <w:b/>
        </w:rPr>
        <w:t>Education for health professionals, including genetic counselling:</w:t>
      </w:r>
      <w:r>
        <w:rPr>
          <w:b/>
        </w:rPr>
        <w:t xml:space="preserve"> </w:t>
      </w:r>
      <w:r w:rsidRPr="000A30F0">
        <w:t>participants noted the importance of education for health professionals about NIPT itself (what it measures, how accurate it is), as well as genetic counselling for women before and after testing</w:t>
      </w:r>
      <w:r w:rsidR="00A66763">
        <w:t xml:space="preserve">, which should </w:t>
      </w:r>
      <w:r w:rsidR="00C72A5A">
        <w:t xml:space="preserve">already </w:t>
      </w:r>
      <w:r w:rsidR="00A66763">
        <w:t>occur with current screening</w:t>
      </w:r>
      <w:r w:rsidR="00C72A5A">
        <w:t xml:space="preserve"> tests</w:t>
      </w:r>
      <w:r w:rsidRPr="000A30F0">
        <w:t>.</w:t>
      </w:r>
    </w:p>
    <w:p w14:paraId="7D40DEB4" w14:textId="77777777" w:rsidR="00611E88" w:rsidRPr="000A30F0" w:rsidRDefault="00611E88" w:rsidP="00611E88">
      <w:pPr>
        <w:pStyle w:val="ListParagraph"/>
        <w:numPr>
          <w:ilvl w:val="0"/>
          <w:numId w:val="6"/>
        </w:numPr>
        <w:rPr>
          <w:b/>
        </w:rPr>
      </w:pPr>
      <w:r w:rsidRPr="000A30F0">
        <w:rPr>
          <w:b/>
        </w:rPr>
        <w:t>Access, equity and patient choice:</w:t>
      </w:r>
      <w:r w:rsidRPr="0039312A">
        <w:t xml:space="preserve"> </w:t>
      </w:r>
      <w:r>
        <w:t>p</w:t>
      </w:r>
      <w:r w:rsidRPr="000A30F0">
        <w:t>articipants noted that NIPT is currently restricted to people who can afford to pay for it.</w:t>
      </w:r>
    </w:p>
    <w:p w14:paraId="3CAC9B9F" w14:textId="77777777" w:rsidR="00611E88" w:rsidRPr="000A30F0" w:rsidRDefault="00611E88" w:rsidP="00611E88">
      <w:pPr>
        <w:pStyle w:val="ListParagraph"/>
        <w:numPr>
          <w:ilvl w:val="0"/>
          <w:numId w:val="6"/>
        </w:numPr>
        <w:rPr>
          <w:b/>
        </w:rPr>
      </w:pPr>
      <w:r>
        <w:rPr>
          <w:b/>
        </w:rPr>
        <w:t xml:space="preserve">Future NIPT expansion: </w:t>
      </w:r>
      <w:r>
        <w:t>p</w:t>
      </w:r>
      <w:r w:rsidRPr="000A30F0">
        <w:t>articipants agreed that the current proposal for NIPT was appropriately limited to the three trisomies</w:t>
      </w:r>
      <w:r>
        <w:t xml:space="preserve"> 21, 18 and 13</w:t>
      </w:r>
      <w:r w:rsidRPr="000A30F0">
        <w:t>, but that future expansions were likely as the necessary evidence becomes available.</w:t>
      </w:r>
    </w:p>
    <w:p w14:paraId="44DB02E5" w14:textId="0DFDE1F6" w:rsidR="00611E88" w:rsidRDefault="00611E88" w:rsidP="00611E88">
      <w:pPr>
        <w:pStyle w:val="ListParagraph"/>
        <w:numPr>
          <w:ilvl w:val="0"/>
          <w:numId w:val="6"/>
        </w:numPr>
      </w:pPr>
      <w:r w:rsidRPr="00430448">
        <w:rPr>
          <w:b/>
        </w:rPr>
        <w:t>MBS item descriptor</w:t>
      </w:r>
      <w:r>
        <w:rPr>
          <w:b/>
        </w:rPr>
        <w:t xml:space="preserve">: </w:t>
      </w:r>
      <w:r>
        <w:t xml:space="preserve">participants discussed potential issues for the proposed MBS item descriptor around sex chromosome aneuploidies, </w:t>
      </w:r>
      <w:r w:rsidR="001F2DEA">
        <w:t xml:space="preserve">multiple pregnancies, number </w:t>
      </w:r>
      <w:r>
        <w:t>of tests per pregnancy, fetal fractions, and future technologies.</w:t>
      </w:r>
    </w:p>
    <w:p w14:paraId="210AE6C2" w14:textId="77777777" w:rsidR="00611E88" w:rsidRPr="00471898" w:rsidRDefault="00611E88" w:rsidP="00611E88">
      <w:pPr>
        <w:pStyle w:val="ListParagraph"/>
      </w:pPr>
      <w:r>
        <w:t>(</w:t>
      </w:r>
      <w:hyperlink r:id="rId10" w:history="1">
        <w:r w:rsidRPr="00AC4486">
          <w:rPr>
            <w:rStyle w:val="Hyperlink"/>
          </w:rPr>
          <w:t>Final Stakeholder Meeting Minutes</w:t>
        </w:r>
        <w:r w:rsidRPr="001C0306">
          <w:rPr>
            <w:rStyle w:val="Hyperlink"/>
            <w:szCs w:val="24"/>
          </w:rPr>
          <w:t>, pp 1-7</w:t>
        </w:r>
      </w:hyperlink>
      <w:r w:rsidRPr="001C0306">
        <w:rPr>
          <w:szCs w:val="24"/>
        </w:rPr>
        <w:t>).</w:t>
      </w:r>
    </w:p>
    <w:p w14:paraId="43C4CBA4" w14:textId="77777777" w:rsidR="00A37C79" w:rsidRPr="00F715D1" w:rsidRDefault="00A37C79" w:rsidP="00A37C79">
      <w:pPr>
        <w:pStyle w:val="Heading1"/>
      </w:pPr>
      <w:r w:rsidRPr="00F715D1">
        <w:t>Prerequisites to implementation of any funding advice</w:t>
      </w:r>
    </w:p>
    <w:p w14:paraId="6FC5296B" w14:textId="77777777" w:rsidR="00611E88" w:rsidRDefault="00611E88" w:rsidP="00611E88">
      <w:r>
        <w:t xml:space="preserve">This was unchanged. Refer to Application </w:t>
      </w:r>
      <w:hyperlink r:id="rId11" w:history="1">
        <w:r w:rsidRPr="00E3510C">
          <w:rPr>
            <w:rStyle w:val="Hyperlink"/>
          </w:rPr>
          <w:t>1492 PSD 2018</w:t>
        </w:r>
      </w:hyperlink>
      <w:r>
        <w:t>, p3.</w:t>
      </w:r>
    </w:p>
    <w:p w14:paraId="79D2DBB6" w14:textId="77777777" w:rsidR="00A37C79" w:rsidRPr="00F715D1" w:rsidRDefault="00A37C79" w:rsidP="00A37C79">
      <w:pPr>
        <w:pStyle w:val="Heading1"/>
      </w:pPr>
      <w:r w:rsidRPr="00F715D1">
        <w:t>Proposal for public funding</w:t>
      </w:r>
    </w:p>
    <w:p w14:paraId="2C04E966" w14:textId="6BA4274F" w:rsidR="00611E88" w:rsidRDefault="00611E88" w:rsidP="00695A76">
      <w:pPr>
        <w:spacing w:after="240"/>
      </w:pPr>
      <w:r>
        <w:t xml:space="preserve">The proposed MBS item descriptor for NIPT of any pregnant woman is presented in Table </w:t>
      </w:r>
      <w:r w:rsidR="00FF0ECF">
        <w:t>2</w:t>
      </w:r>
      <w:r>
        <w:t xml:space="preserve">, as modified by ESC. This </w:t>
      </w:r>
      <w:r w:rsidRPr="006536F2">
        <w:t xml:space="preserve">item descriptor </w:t>
      </w:r>
      <w:r>
        <w:t xml:space="preserve">does </w:t>
      </w:r>
      <w:r w:rsidRPr="006536F2">
        <w:t>not include any indication of the order that tests should be performed</w:t>
      </w:r>
      <w:r>
        <w:t xml:space="preserve"> in pregnancy.</w:t>
      </w:r>
    </w:p>
    <w:p w14:paraId="537AABF2" w14:textId="7A690875" w:rsidR="00611E88" w:rsidRPr="00057DB8" w:rsidRDefault="00611E88" w:rsidP="00057DB8">
      <w:pPr>
        <w:rPr>
          <w:rFonts w:ascii="Arial Narrow" w:hAnsi="Arial Narrow"/>
          <w:b/>
          <w:sz w:val="20"/>
        </w:rPr>
      </w:pPr>
      <w:bookmarkStart w:id="1" w:name="_Ref14653144"/>
      <w:bookmarkStart w:id="2" w:name="_Toc512999879"/>
      <w:r w:rsidRPr="00057DB8">
        <w:rPr>
          <w:rFonts w:ascii="Arial Narrow" w:hAnsi="Arial Narrow"/>
          <w:b/>
          <w:sz w:val="20"/>
        </w:rPr>
        <w:t xml:space="preserve">Table </w:t>
      </w:r>
      <w:r w:rsidR="00FF0ECF" w:rsidRPr="00057DB8">
        <w:rPr>
          <w:rFonts w:ascii="Arial Narrow" w:hAnsi="Arial Narrow"/>
          <w:b/>
          <w:sz w:val="20"/>
        </w:rPr>
        <w:t>2</w:t>
      </w:r>
      <w:bookmarkEnd w:id="1"/>
      <w:r w:rsidRPr="00057DB8">
        <w:rPr>
          <w:rFonts w:ascii="Arial Narrow" w:hAnsi="Arial Narrow"/>
          <w:b/>
          <w:sz w:val="20"/>
        </w:rPr>
        <w:t>: Proposed MBS item descriptor for NIPT for trisomies</w:t>
      </w:r>
      <w:bookmarkEnd w:id="2"/>
      <w:r w:rsidRPr="00057DB8">
        <w:rPr>
          <w:rFonts w:ascii="Arial Narrow" w:hAnsi="Arial Narrow"/>
          <w:b/>
          <w:sz w:val="20"/>
        </w:rPr>
        <w:t xml:space="preserve"> 21, 18 and 13, as modified by ESC in Application 1492</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611E88" w:rsidRPr="00183E4D" w14:paraId="77124774" w14:textId="77777777" w:rsidTr="00057DB8">
        <w:trPr>
          <w:tblHeader/>
        </w:trPr>
        <w:tc>
          <w:tcPr>
            <w:tcW w:w="9024" w:type="dxa"/>
          </w:tcPr>
          <w:p w14:paraId="24233E1B" w14:textId="77777777" w:rsidR="00611E88" w:rsidRPr="00824372" w:rsidRDefault="00611E88" w:rsidP="005240FA">
            <w:pPr>
              <w:pStyle w:val="Tabletext"/>
              <w:rPr>
                <w:vanish/>
              </w:rPr>
            </w:pPr>
            <w:r w:rsidRPr="00824372">
              <w:t>Category 6 – (Group P7 Genetics) – Pathology services</w:t>
            </w:r>
          </w:p>
        </w:tc>
      </w:tr>
      <w:tr w:rsidR="00611E88" w:rsidRPr="00183E4D" w14:paraId="6CC4D718" w14:textId="77777777" w:rsidTr="00057DB8">
        <w:tc>
          <w:tcPr>
            <w:tcW w:w="9024" w:type="dxa"/>
          </w:tcPr>
          <w:p w14:paraId="134C2F72" w14:textId="77777777" w:rsidR="00611E88" w:rsidRPr="00824372" w:rsidRDefault="00611E88" w:rsidP="005240FA">
            <w:pPr>
              <w:pStyle w:val="Tabletext"/>
              <w:rPr>
                <w:vanish/>
              </w:rPr>
            </w:pPr>
            <w:r w:rsidRPr="00824372">
              <w:t>Non-invasive prenatal testing from the blood of a pregnant woman for the detection of the foetal aneuploidies, trisomy 21 (Down syndrome), trisomy 18</w:t>
            </w:r>
            <w:r>
              <w:t xml:space="preserve"> </w:t>
            </w:r>
            <w:r w:rsidRPr="00824372">
              <w:t>(Edward syndrome) and trisomy 13 (Patau syndrome) in trophoblastic or foetal DNA</w:t>
            </w:r>
            <w:r>
              <w:t xml:space="preserve"> in the maternal circulation</w:t>
            </w:r>
            <w:r w:rsidRPr="00824372">
              <w:t>.</w:t>
            </w:r>
          </w:p>
        </w:tc>
      </w:tr>
      <w:tr w:rsidR="00611E88" w:rsidRPr="00183E4D" w14:paraId="043E0E0A" w14:textId="77777777" w:rsidTr="00057DB8">
        <w:tc>
          <w:tcPr>
            <w:tcW w:w="9024" w:type="dxa"/>
          </w:tcPr>
          <w:p w14:paraId="567C93C7" w14:textId="77777777" w:rsidR="00611E88" w:rsidRPr="00824372" w:rsidRDefault="00611E88" w:rsidP="005240FA">
            <w:pPr>
              <w:pStyle w:val="Tabletext"/>
              <w:rPr>
                <w:vanish/>
              </w:rPr>
            </w:pPr>
            <w:r w:rsidRPr="00824372">
              <w:t>Fee:  $</w:t>
            </w:r>
            <w:r>
              <w:t>4</w:t>
            </w:r>
            <w:r w:rsidRPr="00824372">
              <w:t>00</w:t>
            </w:r>
          </w:p>
        </w:tc>
      </w:tr>
    </w:tbl>
    <w:p w14:paraId="5BAD59D1" w14:textId="77777777" w:rsidR="00611E88" w:rsidRDefault="00611E88" w:rsidP="00611E88">
      <w:pPr>
        <w:pStyle w:val="TFAbbrevs18"/>
        <w:spacing w:after="240"/>
      </w:pPr>
      <w:r w:rsidRPr="001E7B33">
        <w:t xml:space="preserve">Source: Table </w:t>
      </w:r>
      <w:r>
        <w:t xml:space="preserve">7 p14 of </w:t>
      </w:r>
      <w:r w:rsidRPr="00576D9B">
        <w:t xml:space="preserve">Application 1492 </w:t>
      </w:r>
      <w:r>
        <w:t>Public Summary Document</w:t>
      </w:r>
    </w:p>
    <w:p w14:paraId="245B8C02" w14:textId="77777777" w:rsidR="00A37C79" w:rsidRPr="00F715D1" w:rsidRDefault="00A37C79" w:rsidP="00A37C79">
      <w:pPr>
        <w:pStyle w:val="Heading1"/>
      </w:pPr>
      <w:r w:rsidRPr="00F715D1">
        <w:t>Summary of Public Consultation Feedback/Consumer Issues</w:t>
      </w:r>
    </w:p>
    <w:p w14:paraId="6716DD79" w14:textId="77777777" w:rsidR="00611E88" w:rsidRDefault="00611E88" w:rsidP="00611E88">
      <w:r>
        <w:t>This was unchanged. Refer to Application 1492 PSD</w:t>
      </w:r>
      <w:r w:rsidRPr="000C582B">
        <w:t xml:space="preserve"> </w:t>
      </w:r>
      <w:r>
        <w:t>2018, p4.</w:t>
      </w:r>
    </w:p>
    <w:p w14:paraId="733B665C" w14:textId="77777777" w:rsidR="00A37C79" w:rsidRPr="00F715D1" w:rsidRDefault="00A37C79" w:rsidP="00A37C79">
      <w:pPr>
        <w:pStyle w:val="Heading1"/>
      </w:pPr>
      <w:r w:rsidRPr="00F715D1">
        <w:t>Proposed intervention’s place in clinical management</w:t>
      </w:r>
    </w:p>
    <w:p w14:paraId="48D2DDD8" w14:textId="7D722831" w:rsidR="00F32C39" w:rsidRDefault="00F32C39" w:rsidP="00F32C39">
      <w:r w:rsidRPr="00F84577">
        <w:t>The clinical management algorithms for NIPT in any pregnant woman (primary testing) remains relevant for this application. Refer to Application 1492 PSD 2018, Figure 1 (NIPT primary screening in women in first trimester, p5) and Figure 2 (NIPT</w:t>
      </w:r>
      <w:r>
        <w:t xml:space="preserve"> primary screening in women in second trimester, p7). The possible scenarios are as an add-on test (where positive result on either the existing screening tests or NIPT would lead to referral for IPT), or as replacement for all existing testing (which appears unacceptable), or as replacement of just the biochemistry component of existing testing (which appears acceptable to some but not all stakeholders). Victorian data indicates that, in usual clinical practice, NIPT is being used to replace biochemistry tests (&gt;90% of NIPT were done without CFTS or </w:t>
      </w:r>
      <w:r w:rsidR="00886D2D">
        <w:t>second trimester maternal serum screening [</w:t>
      </w:r>
      <w:r>
        <w:t>2TMSS</w:t>
      </w:r>
      <w:r w:rsidR="00886D2D">
        <w:t>]</w:t>
      </w:r>
      <w:r>
        <w:t xml:space="preserve"> biochemistry tests, Hui et al. 2019), but not to replace ultrasound (rates of 11-14 week ultrasound continued to rise after NIPT became available, Hui et al. Genet Med 2017).</w:t>
      </w:r>
    </w:p>
    <w:p w14:paraId="5C957C36" w14:textId="5B610D7A" w:rsidR="00A37C79" w:rsidRPr="00F715D1" w:rsidRDefault="00A31502" w:rsidP="00A37C79">
      <w:pPr>
        <w:pStyle w:val="Heading1"/>
      </w:pPr>
      <w:r>
        <w:t>Comparator</w:t>
      </w:r>
    </w:p>
    <w:p w14:paraId="6DCB0E2A" w14:textId="4E624461" w:rsidR="00F32C39" w:rsidRDefault="00F32C39" w:rsidP="00F32C39">
      <w:r w:rsidRPr="00F84577">
        <w:t xml:space="preserve">The comparator for NIPT </w:t>
      </w:r>
      <w:r w:rsidR="00383A22">
        <w:t xml:space="preserve">to diagnose trisomies </w:t>
      </w:r>
      <w:r w:rsidRPr="00F84577">
        <w:t xml:space="preserve">in any pregnant woman remained </w:t>
      </w:r>
      <w:r w:rsidR="00A31502">
        <w:t>unchanged from the previous</w:t>
      </w:r>
      <w:r w:rsidRPr="00F84577">
        <w:t xml:space="preserve"> application. Refer to</w:t>
      </w:r>
      <w:r>
        <w:t xml:space="preserve"> Application 1492 PSD</w:t>
      </w:r>
      <w:r w:rsidRPr="000C582B">
        <w:t xml:space="preserve"> </w:t>
      </w:r>
      <w:r>
        <w:t>2018, p9:</w:t>
      </w:r>
    </w:p>
    <w:p w14:paraId="21EB4657" w14:textId="2FA3C661" w:rsidR="00F32C39" w:rsidRPr="00E64095" w:rsidRDefault="00886D2D" w:rsidP="00F32C39">
      <w:pPr>
        <w:pStyle w:val="ListParagraph"/>
        <w:numPr>
          <w:ilvl w:val="0"/>
          <w:numId w:val="7"/>
        </w:numPr>
      </w:pPr>
      <w:r>
        <w:t>combined first trimester screening (</w:t>
      </w:r>
      <w:r w:rsidR="00F32C39" w:rsidRPr="00E64095">
        <w:t>CFTS</w:t>
      </w:r>
      <w:r>
        <w:t>)</w:t>
      </w:r>
      <w:r w:rsidR="00F32C39" w:rsidRPr="00E64095">
        <w:t xml:space="preserve"> at 11+0 to 13+6 weeks of pregnancy, which includes consideration of maternal age, ultrasound measurement of fetal </w:t>
      </w:r>
      <w:r w:rsidR="00F32C39" w:rsidRPr="00F84577">
        <w:t>nuchal translucency (</w:t>
      </w:r>
      <w:r w:rsidR="00F32C39" w:rsidRPr="00E64095">
        <w:t>NT</w:t>
      </w:r>
      <w:r w:rsidR="00F32C39">
        <w:t>)</w:t>
      </w:r>
      <w:r w:rsidR="00F32C39" w:rsidRPr="00E64095">
        <w:t>; and maternal serum biochemical marker evaluation of ß-hCG and PAPP-A; and</w:t>
      </w:r>
    </w:p>
    <w:p w14:paraId="59F62C6E" w14:textId="6E00976F" w:rsidR="00F32C39" w:rsidRDefault="00886D2D" w:rsidP="00F32C39">
      <w:pPr>
        <w:pStyle w:val="ListParagraph"/>
        <w:numPr>
          <w:ilvl w:val="0"/>
          <w:numId w:val="7"/>
        </w:numPr>
      </w:pPr>
      <w:r>
        <w:t>second trimester maternal serum screening (</w:t>
      </w:r>
      <w:r w:rsidR="00F32C39" w:rsidRPr="00E64095">
        <w:t>2TMSS</w:t>
      </w:r>
      <w:r>
        <w:t>)</w:t>
      </w:r>
      <w:r w:rsidR="00F32C39" w:rsidRPr="00E64095">
        <w:t xml:space="preserve"> at 14 to 20 weeks of pregnancy, which includes a serum biochemical quadruple test of AFP, ß-hCG, unconjugated oestriol and inhibin A.</w:t>
      </w:r>
    </w:p>
    <w:p w14:paraId="541353F9" w14:textId="77777777" w:rsidR="00A37C79" w:rsidRPr="00F715D1" w:rsidRDefault="00A37C79" w:rsidP="00A37C79">
      <w:pPr>
        <w:pStyle w:val="Heading1"/>
      </w:pPr>
      <w:r w:rsidRPr="00F715D1">
        <w:t>Comparative safety</w:t>
      </w:r>
    </w:p>
    <w:p w14:paraId="23511EAA" w14:textId="057ED8B2" w:rsidR="00F32C39" w:rsidRDefault="00F32C39" w:rsidP="00695A76">
      <w:pPr>
        <w:spacing w:after="240"/>
      </w:pPr>
      <w:r w:rsidRPr="00111685">
        <w:t xml:space="preserve">No specific safety outcomes </w:t>
      </w:r>
      <w:r>
        <w:t xml:space="preserve">are </w:t>
      </w:r>
      <w:r w:rsidRPr="00111685">
        <w:t xml:space="preserve">listed in original application, nor in </w:t>
      </w:r>
      <w:r>
        <w:t>the</w:t>
      </w:r>
      <w:r w:rsidRPr="00111685">
        <w:t xml:space="preserve"> </w:t>
      </w:r>
      <w:r w:rsidR="00C3311E">
        <w:t>2</w:t>
      </w:r>
      <w:r w:rsidR="00C3311E" w:rsidRPr="00ED3017">
        <w:rPr>
          <w:vertAlign w:val="superscript"/>
        </w:rPr>
        <w:t>nd</w:t>
      </w:r>
      <w:r w:rsidR="00C3311E">
        <w:t xml:space="preserve"> </w:t>
      </w:r>
      <w:r>
        <w:t>CA. There are n</w:t>
      </w:r>
      <w:r w:rsidRPr="00111685">
        <w:t>o physical safety concerns from NIPT (</w:t>
      </w:r>
      <w:r w:rsidR="00807B7D">
        <w:t>obtained from</w:t>
      </w:r>
      <w:r w:rsidR="00C72A5A">
        <w:t xml:space="preserve"> a </w:t>
      </w:r>
      <w:r w:rsidR="00B25151">
        <w:t xml:space="preserve">maternal </w:t>
      </w:r>
      <w:r w:rsidRPr="00111685">
        <w:t>blood test)</w:t>
      </w:r>
      <w:r>
        <w:t>, and there is p</w:t>
      </w:r>
      <w:r w:rsidRPr="00111685">
        <w:t>otential for reduction</w:t>
      </w:r>
      <w:r>
        <w:t xml:space="preserve"> in adverse effects from IPT (f</w:t>
      </w:r>
      <w:r w:rsidRPr="00111685">
        <w:t>etal loss, membrane rupture, bleeding)</w:t>
      </w:r>
      <w:r>
        <w:t xml:space="preserve"> where a NIPT is negative for trisomies 12, 18 or 13. Of note, a large randomised trial (Malan et al. JAMA 2018) f</w:t>
      </w:r>
      <w:r w:rsidRPr="00111685">
        <w:t>ound no difference in miscarriage rate</w:t>
      </w:r>
      <w:r>
        <w:t xml:space="preserve"> between arms randomised to NIPT +/- IPT (triage) vs IPT alone, indicating that it is possible that NIPT will not reduce iatrogenic euploid fetal losses</w:t>
      </w:r>
      <w:r w:rsidRPr="00111685">
        <w:t xml:space="preserve"> (</w:t>
      </w:r>
      <w:r>
        <w:t xml:space="preserve">however, the </w:t>
      </w:r>
      <w:r w:rsidRPr="00111685">
        <w:t xml:space="preserve">low </w:t>
      </w:r>
      <w:r>
        <w:t>miscarriage rates in this trial means there is considerable uncertainty in the estimated difference between them</w:t>
      </w:r>
      <w:r w:rsidRPr="00111685">
        <w:t>)</w:t>
      </w:r>
      <w:r>
        <w:t>.</w:t>
      </w:r>
    </w:p>
    <w:p w14:paraId="7A12127B" w14:textId="12F6DD7F" w:rsidR="00F32C39" w:rsidRDefault="00F32C39" w:rsidP="00F32C39">
      <w:r>
        <w:t>There are p</w:t>
      </w:r>
      <w:r w:rsidRPr="00111685">
        <w:t xml:space="preserve">otential psychological safety concerns from anxiety and depression </w:t>
      </w:r>
      <w:r>
        <w:t xml:space="preserve">after a </w:t>
      </w:r>
      <w:r w:rsidRPr="00111685">
        <w:t>positive test result</w:t>
      </w:r>
      <w:r>
        <w:t xml:space="preserve">, and after </w:t>
      </w:r>
      <w:r w:rsidRPr="00111685">
        <w:t>pregnancy loss</w:t>
      </w:r>
      <w:r>
        <w:t xml:space="preserve"> (whether this is </w:t>
      </w:r>
      <w:r w:rsidRPr="00111685">
        <w:t>spontaneous pregnancy loss, procedure-related pregnancy loss, or voluntary termination</w:t>
      </w:r>
      <w:r>
        <w:t xml:space="preserve">). There is no </w:t>
      </w:r>
      <w:r w:rsidRPr="00111685">
        <w:t xml:space="preserve">direct evidence on adverse consequences on patient outcomes from </w:t>
      </w:r>
      <w:r>
        <w:t>false positives</w:t>
      </w:r>
      <w:r w:rsidRPr="00111685">
        <w:t xml:space="preserve"> and </w:t>
      </w:r>
      <w:r>
        <w:t>false negatives</w:t>
      </w:r>
      <w:r w:rsidRPr="00111685">
        <w:t xml:space="preserve">, </w:t>
      </w:r>
      <w:r>
        <w:t xml:space="preserve">and whether these </w:t>
      </w:r>
      <w:r w:rsidRPr="00111685">
        <w:t xml:space="preserve">differ for NIPT vs </w:t>
      </w:r>
      <w:r>
        <w:t>its comparator. There is also n</w:t>
      </w:r>
      <w:r w:rsidRPr="00111685">
        <w:t>o evidence on the consequences of incidental findings on sex chromosome aneuploidies and other conditions which are not being targeted</w:t>
      </w:r>
      <w:r>
        <w:t>.</w:t>
      </w:r>
    </w:p>
    <w:p w14:paraId="225BF7C4" w14:textId="77777777" w:rsidR="00A37C79" w:rsidRPr="00F715D1" w:rsidRDefault="00A37C79" w:rsidP="00A37C79">
      <w:pPr>
        <w:pStyle w:val="Heading1"/>
      </w:pPr>
      <w:r w:rsidRPr="00F715D1">
        <w:t>Comparative effectiveness</w:t>
      </w:r>
    </w:p>
    <w:p w14:paraId="3D3CD014" w14:textId="27C9ACD2" w:rsidR="00F32C39" w:rsidRDefault="00F32C39" w:rsidP="00F32C39">
      <w:r>
        <w:t>A systematic literature search was conducted and no studies were identified which reported on the sensitivity and specificity of a combination of NIPT and CFTS/ 2TMSS. However, the search identified 14 relevant publications, including:</w:t>
      </w:r>
    </w:p>
    <w:p w14:paraId="610759BE" w14:textId="77777777" w:rsidR="00F32C39" w:rsidRDefault="00F32C39" w:rsidP="00F32C39">
      <w:pPr>
        <w:pStyle w:val="ListParagraph"/>
        <w:numPr>
          <w:ilvl w:val="0"/>
          <w:numId w:val="8"/>
        </w:numPr>
      </w:pPr>
      <w:r>
        <w:t>three systematic reviews and health technology assessments (HTAs)</w:t>
      </w:r>
    </w:p>
    <w:p w14:paraId="720ABCFD" w14:textId="06BA38F0" w:rsidR="00F32C39" w:rsidRDefault="00F32C39" w:rsidP="00F32C39">
      <w:pPr>
        <w:pStyle w:val="ListParagraph"/>
        <w:numPr>
          <w:ilvl w:val="0"/>
          <w:numId w:val="8"/>
        </w:numPr>
      </w:pPr>
      <w:r>
        <w:t xml:space="preserve">eight “paired design” studies comparing NIPT with standard screening </w:t>
      </w:r>
      <w:r w:rsidRPr="008E246B">
        <w:t>for trisomies</w:t>
      </w:r>
      <w:r>
        <w:t xml:space="preserve"> 21, 18 and 13 (including three publications not considered in the </w:t>
      </w:r>
      <w:r w:rsidR="00C3311E">
        <w:t xml:space="preserve">first </w:t>
      </w:r>
      <w:r>
        <w:t>MSAC 1492 CA versus a reference standa</w:t>
      </w:r>
      <w:r w:rsidR="00ED3017">
        <w:t>rd). Chorionic villus sampling (</w:t>
      </w:r>
      <w:r>
        <w:t>CVS</w:t>
      </w:r>
      <w:r w:rsidR="00ED3017">
        <w:t>)</w:t>
      </w:r>
      <w:r>
        <w:t xml:space="preserve"> and amniocentesis was included as the reference standard in all studies, six studies also included neonatal evaluation and two studies additionally included assessment of the products of conception. In the absence of studies reporting the sensitivity and specificity of a combination of NIPT and CFTS/2TMSS, these studies were used to estimate these characteristics.</w:t>
      </w:r>
    </w:p>
    <w:p w14:paraId="2101367D" w14:textId="54360EB5" w:rsidR="00F32C39" w:rsidRDefault="00F32C39" w:rsidP="00F32C39">
      <w:pPr>
        <w:pStyle w:val="ListParagraph"/>
        <w:numPr>
          <w:ilvl w:val="0"/>
          <w:numId w:val="8"/>
        </w:numPr>
      </w:pPr>
      <w:r>
        <w:t xml:space="preserve">one randomised trial </w:t>
      </w:r>
      <w:r w:rsidR="00226018">
        <w:t xml:space="preserve">(Kagan et al. Ultrasound in Obstetrics and Gynecology 2018; 51:437-444) </w:t>
      </w:r>
      <w:r>
        <w:t xml:space="preserve">of NIPT in combination with ultrasound (US) versus current practice of </w:t>
      </w:r>
      <w:r w:rsidRPr="00317C59">
        <w:t>CFTS</w:t>
      </w:r>
      <w:r>
        <w:t xml:space="preserve"> (i.e. including </w:t>
      </w:r>
      <w:r w:rsidR="00226018">
        <w:t>ultrasound</w:t>
      </w:r>
      <w:r>
        <w:t>)</w:t>
      </w:r>
      <w:r w:rsidR="00226018">
        <w:t xml:space="preserve"> in women with a normal ultrasound</w:t>
      </w:r>
      <w:r>
        <w:t>. This trial effectively looked into replacing the serum screening component of current practice</w:t>
      </w:r>
    </w:p>
    <w:p w14:paraId="3CBE8419" w14:textId="7F83560F" w:rsidR="00F32C39" w:rsidRDefault="00226018" w:rsidP="00F32C39">
      <w:pPr>
        <w:pStyle w:val="ListParagraph"/>
        <w:numPr>
          <w:ilvl w:val="0"/>
          <w:numId w:val="8"/>
        </w:numPr>
      </w:pPr>
      <w:r>
        <w:t>one</w:t>
      </w:r>
      <w:r w:rsidR="00F32C39">
        <w:t xml:space="preserve"> additional randomised trial</w:t>
      </w:r>
      <w:r>
        <w:t xml:space="preserve"> wa</w:t>
      </w:r>
      <w:r w:rsidR="00F32C39">
        <w:t xml:space="preserve">s not identified by the search as a comparison of NIPT + IPT vs IPT alone in high risk women (Malan et al. </w:t>
      </w:r>
      <w:r w:rsidR="00F32C39" w:rsidRPr="00195B1C">
        <w:t>JAMA 2018;</w:t>
      </w:r>
      <w:r w:rsidR="00F32C39">
        <w:t xml:space="preserve"> </w:t>
      </w:r>
      <w:r w:rsidR="00F32C39" w:rsidRPr="00195B1C">
        <w:t>320:557-565</w:t>
      </w:r>
      <w:r w:rsidR="00F32C39">
        <w:t>).</w:t>
      </w:r>
    </w:p>
    <w:p w14:paraId="73DE832D" w14:textId="77777777" w:rsidR="00F32C39" w:rsidRDefault="00F32C39" w:rsidP="00F32C39">
      <w:pPr>
        <w:pStyle w:val="Heading2"/>
      </w:pPr>
      <w:r>
        <w:t>Diagnostic performance (sensitivity and specificity) of combination tests</w:t>
      </w:r>
    </w:p>
    <w:p w14:paraId="5DEDA862" w14:textId="097D1E70" w:rsidR="00F32C39" w:rsidRDefault="00F32C39" w:rsidP="00695A76">
      <w:pPr>
        <w:spacing w:after="240"/>
        <w:jc w:val="both"/>
      </w:pPr>
      <w:r>
        <w:t xml:space="preserve">The results of the sensitivity and specificity of each of the individual tests (NIPT and CFTS/2TMSS) and the estimates for the combination of tests are presented in Table </w:t>
      </w:r>
      <w:r w:rsidR="00FF0ECF">
        <w:t>3</w:t>
      </w:r>
      <w:r>
        <w:t>.</w:t>
      </w:r>
      <w:bookmarkStart w:id="3" w:name="_Ref18357068"/>
    </w:p>
    <w:p w14:paraId="0161A1DB" w14:textId="33998040" w:rsidR="00F32C39" w:rsidRPr="00057DB8" w:rsidRDefault="00F32C39" w:rsidP="00057DB8">
      <w:pPr>
        <w:rPr>
          <w:rFonts w:ascii="Arial Narrow" w:hAnsi="Arial Narrow"/>
          <w:b/>
          <w:sz w:val="20"/>
        </w:rPr>
      </w:pPr>
      <w:r w:rsidRPr="00057DB8">
        <w:rPr>
          <w:rFonts w:ascii="Arial Narrow" w:hAnsi="Arial Narrow"/>
          <w:b/>
          <w:sz w:val="20"/>
        </w:rPr>
        <w:t xml:space="preserve">Table </w:t>
      </w:r>
      <w:bookmarkEnd w:id="3"/>
      <w:r w:rsidR="00FF0ECF" w:rsidRPr="00057DB8">
        <w:rPr>
          <w:rFonts w:ascii="Arial Narrow" w:hAnsi="Arial Narrow"/>
          <w:b/>
          <w:sz w:val="20"/>
        </w:rPr>
        <w:t>3</w:t>
      </w:r>
      <w:r w:rsidRPr="00057DB8">
        <w:rPr>
          <w:rFonts w:ascii="Arial Narrow" w:hAnsi="Arial Narrow"/>
          <w:b/>
          <w:sz w:val="20"/>
        </w:rPr>
        <w:t>: Updated results of trials comparing NIPT and CFTS or 2TMSS for trisomies 21, 18 and 13 against the reference standard in unselected population of pregnant women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the key patient-relevant outcome across the studies"/>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413"/>
        <w:gridCol w:w="1417"/>
        <w:gridCol w:w="851"/>
        <w:gridCol w:w="1558"/>
        <w:gridCol w:w="1560"/>
        <w:gridCol w:w="1295"/>
        <w:gridCol w:w="922"/>
      </w:tblGrid>
      <w:tr w:rsidR="00F32C39" w:rsidRPr="00173705" w14:paraId="13B6E68B" w14:textId="77777777" w:rsidTr="002A43DC">
        <w:trPr>
          <w:trHeight w:val="251"/>
        </w:trPr>
        <w:tc>
          <w:tcPr>
            <w:tcW w:w="784" w:type="pct"/>
            <w:shd w:val="clear" w:color="auto" w:fill="FFFFFF" w:themeFill="background1"/>
          </w:tcPr>
          <w:p w14:paraId="198AF167" w14:textId="77777777" w:rsidR="00F32C39" w:rsidRPr="00D2233A" w:rsidRDefault="00F32C39" w:rsidP="005240FA">
            <w:pPr>
              <w:pStyle w:val="TableText0"/>
              <w:rPr>
                <w:snapToGrid w:val="0"/>
              </w:rPr>
            </w:pPr>
            <w:r w:rsidRPr="00AC4486">
              <w:rPr>
                <w:b/>
                <w:snapToGrid w:val="0"/>
              </w:rPr>
              <w:t>Study ID</w:t>
            </w:r>
          </w:p>
        </w:tc>
        <w:tc>
          <w:tcPr>
            <w:tcW w:w="786" w:type="pct"/>
            <w:shd w:val="clear" w:color="auto" w:fill="FFFFFF" w:themeFill="background1"/>
            <w:vAlign w:val="center"/>
          </w:tcPr>
          <w:p w14:paraId="025BC1A8" w14:textId="77777777" w:rsidR="00F32C39" w:rsidRPr="00D2233A" w:rsidRDefault="00F32C39" w:rsidP="005240FA">
            <w:pPr>
              <w:pStyle w:val="TableText0"/>
              <w:rPr>
                <w:snapToGrid w:val="0"/>
              </w:rPr>
            </w:pPr>
            <w:r w:rsidRPr="00AC4486">
              <w:rPr>
                <w:b/>
                <w:snapToGrid w:val="0"/>
              </w:rPr>
              <w:t>N analysed</w:t>
            </w:r>
          </w:p>
        </w:tc>
        <w:tc>
          <w:tcPr>
            <w:tcW w:w="472" w:type="pct"/>
            <w:shd w:val="clear" w:color="auto" w:fill="FFFFFF" w:themeFill="background1"/>
            <w:vAlign w:val="center"/>
          </w:tcPr>
          <w:p w14:paraId="152102B8" w14:textId="77777777" w:rsidR="00F32C39" w:rsidRPr="00D2233A" w:rsidRDefault="00F32C39" w:rsidP="005240FA">
            <w:pPr>
              <w:pStyle w:val="TableText0"/>
              <w:rPr>
                <w:snapToGrid w:val="0"/>
              </w:rPr>
            </w:pPr>
            <w:r w:rsidRPr="00AC4486">
              <w:rPr>
                <w:b/>
                <w:snapToGrid w:val="0"/>
              </w:rPr>
              <w:t>Result</w:t>
            </w:r>
          </w:p>
        </w:tc>
        <w:tc>
          <w:tcPr>
            <w:tcW w:w="864" w:type="pct"/>
            <w:shd w:val="clear" w:color="auto" w:fill="FFFFFF" w:themeFill="background1"/>
            <w:vAlign w:val="center"/>
          </w:tcPr>
          <w:p w14:paraId="2E71FCEA" w14:textId="77777777" w:rsidR="00F32C39" w:rsidRPr="00D2233A" w:rsidRDefault="00F32C39" w:rsidP="005240FA">
            <w:pPr>
              <w:pStyle w:val="TableText0"/>
              <w:jc w:val="center"/>
            </w:pPr>
            <w:r w:rsidRPr="00AC4486">
              <w:rPr>
                <w:b/>
              </w:rPr>
              <w:t>NIPT [95%CI]</w:t>
            </w:r>
          </w:p>
        </w:tc>
        <w:tc>
          <w:tcPr>
            <w:tcW w:w="865" w:type="pct"/>
            <w:shd w:val="clear" w:color="auto" w:fill="FFFFFF" w:themeFill="background1"/>
            <w:vAlign w:val="center"/>
          </w:tcPr>
          <w:p w14:paraId="66006859" w14:textId="77777777" w:rsidR="00F32C39" w:rsidRPr="00D2233A" w:rsidRDefault="00F32C39" w:rsidP="005240FA">
            <w:pPr>
              <w:pStyle w:val="TableText0"/>
              <w:jc w:val="center"/>
            </w:pPr>
            <w:r w:rsidRPr="00AC4486">
              <w:rPr>
                <w:b/>
              </w:rPr>
              <w:t>CFTS [95%CI]</w:t>
            </w:r>
          </w:p>
        </w:tc>
        <w:tc>
          <w:tcPr>
            <w:tcW w:w="718" w:type="pct"/>
            <w:shd w:val="clear" w:color="auto" w:fill="FFFFFF" w:themeFill="background1"/>
          </w:tcPr>
          <w:p w14:paraId="38AFFD87" w14:textId="77777777" w:rsidR="00F32C39" w:rsidRPr="00D2233A" w:rsidRDefault="00F32C39" w:rsidP="005240FA">
            <w:pPr>
              <w:pStyle w:val="TableText0"/>
              <w:jc w:val="center"/>
              <w:rPr>
                <w:snapToGrid w:val="0"/>
              </w:rPr>
            </w:pPr>
            <w:r w:rsidRPr="00AC4486">
              <w:rPr>
                <w:b/>
              </w:rPr>
              <w:t>CFTS+NIPT</w:t>
            </w:r>
            <w:r w:rsidRPr="00AC4486">
              <w:rPr>
                <w:b/>
                <w:vertAlign w:val="superscript"/>
              </w:rPr>
              <w:t>#</w:t>
            </w:r>
          </w:p>
        </w:tc>
        <w:tc>
          <w:tcPr>
            <w:tcW w:w="511" w:type="pct"/>
            <w:shd w:val="clear" w:color="auto" w:fill="FFFFFF" w:themeFill="background1"/>
            <w:vAlign w:val="center"/>
          </w:tcPr>
          <w:p w14:paraId="529E0872" w14:textId="77777777" w:rsidR="00F32C39" w:rsidRPr="00D2233A" w:rsidRDefault="00F32C39" w:rsidP="005240FA">
            <w:pPr>
              <w:pStyle w:val="TableText0"/>
              <w:jc w:val="center"/>
              <w:rPr>
                <w:snapToGrid w:val="0"/>
              </w:rPr>
            </w:pPr>
            <w:r w:rsidRPr="00AC4486">
              <w:rPr>
                <w:b/>
                <w:snapToGrid w:val="0"/>
              </w:rPr>
              <w:t>Difference*</w:t>
            </w:r>
          </w:p>
        </w:tc>
      </w:tr>
      <w:tr w:rsidR="00ED3017" w:rsidRPr="00183E4D" w14:paraId="38471B10" w14:textId="77777777" w:rsidTr="002A43DC">
        <w:trPr>
          <w:trHeight w:val="170"/>
        </w:trPr>
        <w:tc>
          <w:tcPr>
            <w:tcW w:w="784" w:type="pct"/>
            <w:vMerge w:val="restart"/>
            <w:shd w:val="clear" w:color="auto" w:fill="FFFFFF" w:themeFill="background1"/>
            <w:vAlign w:val="center"/>
          </w:tcPr>
          <w:p w14:paraId="6AB70FE6" w14:textId="77777777" w:rsidR="00ED3017" w:rsidRPr="006E3225" w:rsidRDefault="00ED3017" w:rsidP="005240FA">
            <w:pPr>
              <w:pStyle w:val="TableText0"/>
              <w:rPr>
                <w:snapToGrid w:val="0"/>
                <w:vertAlign w:val="superscript"/>
              </w:rPr>
            </w:pPr>
            <w:r w:rsidRPr="006E3225">
              <w:rPr>
                <w:snapToGrid w:val="0"/>
              </w:rPr>
              <w:t>Nicolaides 2012</w:t>
            </w:r>
          </w:p>
        </w:tc>
        <w:tc>
          <w:tcPr>
            <w:tcW w:w="786" w:type="pct"/>
            <w:vMerge w:val="restart"/>
            <w:shd w:val="clear" w:color="auto" w:fill="FFFFFF" w:themeFill="background1"/>
            <w:vAlign w:val="center"/>
          </w:tcPr>
          <w:p w14:paraId="0BE9ED9C" w14:textId="77777777" w:rsidR="00ED3017" w:rsidRPr="006E3225" w:rsidRDefault="00ED3017" w:rsidP="005240FA">
            <w:pPr>
              <w:pStyle w:val="TableText0"/>
              <w:rPr>
                <w:snapToGrid w:val="0"/>
              </w:rPr>
            </w:pPr>
            <w:r>
              <w:rPr>
                <w:snapToGrid w:val="0"/>
              </w:rPr>
              <w:t>1,949</w:t>
            </w:r>
          </w:p>
        </w:tc>
        <w:tc>
          <w:tcPr>
            <w:tcW w:w="472" w:type="pct"/>
            <w:shd w:val="clear" w:color="auto" w:fill="FFFFFF" w:themeFill="background1"/>
            <w:vAlign w:val="center"/>
          </w:tcPr>
          <w:p w14:paraId="284D213C" w14:textId="77777777" w:rsidR="00ED3017" w:rsidRPr="006E3225" w:rsidRDefault="00ED3017" w:rsidP="005240FA">
            <w:pPr>
              <w:pStyle w:val="TableText0"/>
              <w:rPr>
                <w:snapToGrid w:val="0"/>
              </w:rPr>
            </w:pPr>
            <w:r w:rsidRPr="006E3225">
              <w:rPr>
                <w:snapToGrid w:val="0"/>
              </w:rPr>
              <w:t>Sensitivity</w:t>
            </w:r>
          </w:p>
        </w:tc>
        <w:tc>
          <w:tcPr>
            <w:tcW w:w="864" w:type="pct"/>
            <w:shd w:val="clear" w:color="auto" w:fill="FFFFFF" w:themeFill="background1"/>
            <w:vAlign w:val="center"/>
          </w:tcPr>
          <w:p w14:paraId="3200D10A" w14:textId="77777777" w:rsidR="00ED3017" w:rsidRPr="006E3225" w:rsidRDefault="00ED3017" w:rsidP="005240FA">
            <w:pPr>
              <w:pStyle w:val="TableText0"/>
              <w:jc w:val="center"/>
              <w:rPr>
                <w:snapToGrid w:val="0"/>
              </w:rPr>
            </w:pPr>
            <w:r w:rsidRPr="006E3225">
              <w:rPr>
                <w:snapToGrid w:val="0"/>
              </w:rPr>
              <w:t>100% [69, 100]</w:t>
            </w:r>
          </w:p>
        </w:tc>
        <w:tc>
          <w:tcPr>
            <w:tcW w:w="865" w:type="pct"/>
            <w:shd w:val="clear" w:color="auto" w:fill="FFFFFF" w:themeFill="background1"/>
            <w:vAlign w:val="center"/>
          </w:tcPr>
          <w:p w14:paraId="64604918" w14:textId="77777777" w:rsidR="00ED3017" w:rsidRPr="006E3225" w:rsidRDefault="00ED3017" w:rsidP="005240FA">
            <w:pPr>
              <w:pStyle w:val="TableText0"/>
              <w:jc w:val="center"/>
              <w:rPr>
                <w:snapToGrid w:val="0"/>
              </w:rPr>
            </w:pPr>
            <w:r w:rsidRPr="006E3225">
              <w:rPr>
                <w:snapToGrid w:val="0"/>
              </w:rPr>
              <w:t>100% [69, 100]</w:t>
            </w:r>
          </w:p>
        </w:tc>
        <w:tc>
          <w:tcPr>
            <w:tcW w:w="718" w:type="pct"/>
            <w:shd w:val="clear" w:color="auto" w:fill="FFFFFF" w:themeFill="background1"/>
            <w:vAlign w:val="center"/>
          </w:tcPr>
          <w:p w14:paraId="5CE0FD1A" w14:textId="77777777" w:rsidR="00ED3017" w:rsidRPr="0066776C" w:rsidRDefault="00ED3017" w:rsidP="005240FA">
            <w:pPr>
              <w:pStyle w:val="TableText0"/>
              <w:jc w:val="center"/>
              <w:rPr>
                <w:snapToGrid w:val="0"/>
              </w:rPr>
            </w:pPr>
            <w:r w:rsidRPr="0066776C">
              <w:rPr>
                <w:snapToGrid w:val="0"/>
              </w:rPr>
              <w:t>100</w:t>
            </w:r>
            <w:r>
              <w:rPr>
                <w:snapToGrid w:val="0"/>
              </w:rPr>
              <w:t>%</w:t>
            </w:r>
          </w:p>
        </w:tc>
        <w:tc>
          <w:tcPr>
            <w:tcW w:w="511" w:type="pct"/>
            <w:shd w:val="clear" w:color="auto" w:fill="FFFFFF" w:themeFill="background1"/>
            <w:vAlign w:val="center"/>
          </w:tcPr>
          <w:p w14:paraId="3E5AB10D" w14:textId="77777777" w:rsidR="00ED3017" w:rsidRPr="0066776C" w:rsidRDefault="00ED3017" w:rsidP="005240FA">
            <w:pPr>
              <w:pStyle w:val="TableText0"/>
              <w:jc w:val="center"/>
              <w:rPr>
                <w:snapToGrid w:val="0"/>
              </w:rPr>
            </w:pPr>
            <w:r w:rsidRPr="0066776C">
              <w:rPr>
                <w:snapToGrid w:val="0"/>
              </w:rPr>
              <w:t>0%</w:t>
            </w:r>
          </w:p>
        </w:tc>
      </w:tr>
      <w:tr w:rsidR="00ED3017" w:rsidRPr="00183E4D" w14:paraId="0AA54BF2" w14:textId="77777777" w:rsidTr="002A43DC">
        <w:trPr>
          <w:trHeight w:val="170"/>
        </w:trPr>
        <w:tc>
          <w:tcPr>
            <w:tcW w:w="784" w:type="pct"/>
            <w:vMerge/>
            <w:tcBorders>
              <w:bottom w:val="nil"/>
            </w:tcBorders>
            <w:shd w:val="clear" w:color="auto" w:fill="FFFFFF" w:themeFill="background1"/>
            <w:vAlign w:val="center"/>
          </w:tcPr>
          <w:p w14:paraId="1AE5F867" w14:textId="77777777" w:rsidR="00ED3017" w:rsidRPr="006E3225" w:rsidRDefault="00ED3017" w:rsidP="005240FA">
            <w:pPr>
              <w:pStyle w:val="TableText0"/>
              <w:rPr>
                <w:snapToGrid w:val="0"/>
              </w:rPr>
            </w:pPr>
          </w:p>
        </w:tc>
        <w:tc>
          <w:tcPr>
            <w:tcW w:w="786" w:type="pct"/>
            <w:vMerge/>
            <w:shd w:val="clear" w:color="auto" w:fill="FFFFFF" w:themeFill="background1"/>
            <w:vAlign w:val="center"/>
          </w:tcPr>
          <w:p w14:paraId="037734C1" w14:textId="77777777" w:rsidR="00ED3017" w:rsidRPr="006E3225" w:rsidRDefault="00ED3017" w:rsidP="005240FA">
            <w:pPr>
              <w:pStyle w:val="TableText0"/>
              <w:rPr>
                <w:snapToGrid w:val="0"/>
              </w:rPr>
            </w:pPr>
          </w:p>
        </w:tc>
        <w:tc>
          <w:tcPr>
            <w:tcW w:w="472" w:type="pct"/>
            <w:shd w:val="clear" w:color="auto" w:fill="FFFFFF" w:themeFill="background1"/>
            <w:vAlign w:val="center"/>
          </w:tcPr>
          <w:p w14:paraId="0F2F7F79" w14:textId="77777777" w:rsidR="00ED3017" w:rsidRPr="006E3225" w:rsidRDefault="00ED3017" w:rsidP="005240FA">
            <w:pPr>
              <w:pStyle w:val="TableText0"/>
              <w:rPr>
                <w:snapToGrid w:val="0"/>
              </w:rPr>
            </w:pPr>
            <w:r w:rsidRPr="006E3225">
              <w:rPr>
                <w:snapToGrid w:val="0"/>
              </w:rPr>
              <w:t>Specificity</w:t>
            </w:r>
          </w:p>
        </w:tc>
        <w:tc>
          <w:tcPr>
            <w:tcW w:w="864" w:type="pct"/>
            <w:shd w:val="clear" w:color="auto" w:fill="FFFFFF" w:themeFill="background1"/>
            <w:vAlign w:val="center"/>
          </w:tcPr>
          <w:p w14:paraId="2C39F0A4" w14:textId="77777777" w:rsidR="00ED3017" w:rsidRPr="006E3225" w:rsidRDefault="00ED3017" w:rsidP="005240FA">
            <w:pPr>
              <w:pStyle w:val="TableText0"/>
              <w:jc w:val="center"/>
              <w:rPr>
                <w:snapToGrid w:val="0"/>
              </w:rPr>
            </w:pPr>
            <w:r>
              <w:rPr>
                <w:snapToGrid w:val="0"/>
              </w:rPr>
              <w:t>99.9</w:t>
            </w:r>
            <w:r w:rsidRPr="006E3225">
              <w:rPr>
                <w:snapToGrid w:val="0"/>
              </w:rPr>
              <w:t>% [</w:t>
            </w:r>
            <w:r>
              <w:rPr>
                <w:snapToGrid w:val="0"/>
              </w:rPr>
              <w:t>99.9</w:t>
            </w:r>
            <w:r w:rsidRPr="006E3225">
              <w:rPr>
                <w:snapToGrid w:val="0"/>
              </w:rPr>
              <w:t>, 100]</w:t>
            </w:r>
          </w:p>
        </w:tc>
        <w:tc>
          <w:tcPr>
            <w:tcW w:w="865" w:type="pct"/>
            <w:shd w:val="clear" w:color="auto" w:fill="FFFFFF" w:themeFill="background1"/>
            <w:vAlign w:val="center"/>
          </w:tcPr>
          <w:p w14:paraId="45D19972" w14:textId="77777777" w:rsidR="00ED3017" w:rsidRPr="006E3225" w:rsidRDefault="00ED3017" w:rsidP="005240FA">
            <w:pPr>
              <w:pStyle w:val="TableText0"/>
              <w:jc w:val="center"/>
              <w:rPr>
                <w:snapToGrid w:val="0"/>
              </w:rPr>
            </w:pPr>
            <w:r w:rsidRPr="006E3225">
              <w:rPr>
                <w:snapToGrid w:val="0"/>
              </w:rPr>
              <w:t>9</w:t>
            </w:r>
            <w:r>
              <w:rPr>
                <w:snapToGrid w:val="0"/>
              </w:rPr>
              <w:t>5.5</w:t>
            </w:r>
            <w:r w:rsidRPr="006E3225">
              <w:rPr>
                <w:snapToGrid w:val="0"/>
              </w:rPr>
              <w:t>% [94, 96]</w:t>
            </w:r>
          </w:p>
        </w:tc>
        <w:tc>
          <w:tcPr>
            <w:tcW w:w="718" w:type="pct"/>
            <w:shd w:val="clear" w:color="auto" w:fill="FFFFFF" w:themeFill="background1"/>
          </w:tcPr>
          <w:p w14:paraId="14F88A66" w14:textId="77777777" w:rsidR="00ED3017" w:rsidRPr="0066776C" w:rsidRDefault="00ED3017" w:rsidP="005240FA">
            <w:pPr>
              <w:pStyle w:val="TableText0"/>
              <w:jc w:val="center"/>
              <w:rPr>
                <w:snapToGrid w:val="0"/>
              </w:rPr>
            </w:pPr>
            <w:r>
              <w:rPr>
                <w:snapToGrid w:val="0"/>
              </w:rPr>
              <w:t>95.4%</w:t>
            </w:r>
          </w:p>
        </w:tc>
        <w:tc>
          <w:tcPr>
            <w:tcW w:w="511" w:type="pct"/>
            <w:shd w:val="clear" w:color="auto" w:fill="FFFFFF" w:themeFill="background1"/>
            <w:vAlign w:val="center"/>
          </w:tcPr>
          <w:p w14:paraId="1DE238AF" w14:textId="77777777" w:rsidR="00ED3017" w:rsidRPr="0066776C" w:rsidRDefault="00ED3017" w:rsidP="005240FA">
            <w:pPr>
              <w:pStyle w:val="TableText0"/>
              <w:jc w:val="center"/>
              <w:rPr>
                <w:snapToGrid w:val="0"/>
              </w:rPr>
            </w:pPr>
            <w:r>
              <w:rPr>
                <w:snapToGrid w:val="0"/>
              </w:rPr>
              <w:t>-0.1</w:t>
            </w:r>
            <w:r w:rsidRPr="0066776C">
              <w:rPr>
                <w:snapToGrid w:val="0"/>
              </w:rPr>
              <w:t>%</w:t>
            </w:r>
          </w:p>
        </w:tc>
      </w:tr>
      <w:tr w:rsidR="00ED3017" w:rsidRPr="00183E4D" w14:paraId="0DA38DD0" w14:textId="77777777" w:rsidTr="002A43DC">
        <w:trPr>
          <w:trHeight w:val="170"/>
        </w:trPr>
        <w:tc>
          <w:tcPr>
            <w:tcW w:w="784" w:type="pct"/>
            <w:vMerge w:val="restart"/>
            <w:shd w:val="clear" w:color="auto" w:fill="FFFFFF" w:themeFill="background1"/>
            <w:vAlign w:val="center"/>
          </w:tcPr>
          <w:p w14:paraId="025F4980" w14:textId="77777777" w:rsidR="00ED3017" w:rsidRPr="00173705" w:rsidRDefault="00ED3017" w:rsidP="005240FA">
            <w:pPr>
              <w:pStyle w:val="TableText0"/>
              <w:rPr>
                <w:snapToGrid w:val="0"/>
              </w:rPr>
            </w:pPr>
            <w:r>
              <w:rPr>
                <w:snapToGrid w:val="0"/>
              </w:rPr>
              <w:t>Norton 2015</w:t>
            </w:r>
          </w:p>
        </w:tc>
        <w:tc>
          <w:tcPr>
            <w:tcW w:w="786" w:type="pct"/>
            <w:vMerge w:val="restart"/>
            <w:shd w:val="clear" w:color="auto" w:fill="FFFFFF" w:themeFill="background1"/>
            <w:vAlign w:val="center"/>
          </w:tcPr>
          <w:p w14:paraId="1C936B06" w14:textId="77777777" w:rsidR="00ED3017" w:rsidRPr="00173705" w:rsidRDefault="00ED3017" w:rsidP="005240FA">
            <w:pPr>
              <w:pStyle w:val="TableText0"/>
              <w:rPr>
                <w:snapToGrid w:val="0"/>
              </w:rPr>
            </w:pPr>
            <w:r>
              <w:rPr>
                <w:snapToGrid w:val="0"/>
              </w:rPr>
              <w:t>15,841 (T21;T18)</w:t>
            </w:r>
          </w:p>
          <w:p w14:paraId="5E7D8F82" w14:textId="77777777" w:rsidR="00ED3017" w:rsidRPr="00173705" w:rsidRDefault="00ED3017" w:rsidP="005240FA">
            <w:pPr>
              <w:pStyle w:val="TableText0"/>
              <w:rPr>
                <w:snapToGrid w:val="0"/>
              </w:rPr>
            </w:pPr>
            <w:r>
              <w:rPr>
                <w:snapToGrid w:val="0"/>
              </w:rPr>
              <w:t>11,185 (T13)</w:t>
            </w:r>
          </w:p>
        </w:tc>
        <w:tc>
          <w:tcPr>
            <w:tcW w:w="472" w:type="pct"/>
            <w:shd w:val="clear" w:color="auto" w:fill="FFFFFF" w:themeFill="background1"/>
            <w:vAlign w:val="center"/>
          </w:tcPr>
          <w:p w14:paraId="11F76644" w14:textId="77777777" w:rsidR="00ED3017" w:rsidRDefault="00ED3017" w:rsidP="005240FA">
            <w:pPr>
              <w:pStyle w:val="TableText0"/>
              <w:rPr>
                <w:snapToGrid w:val="0"/>
              </w:rPr>
            </w:pPr>
            <w:r w:rsidRPr="00173705">
              <w:rPr>
                <w:snapToGrid w:val="0"/>
              </w:rPr>
              <w:t>Sensitivity</w:t>
            </w:r>
          </w:p>
        </w:tc>
        <w:tc>
          <w:tcPr>
            <w:tcW w:w="864" w:type="pct"/>
            <w:shd w:val="clear" w:color="auto" w:fill="FFFFFF" w:themeFill="background1"/>
            <w:vAlign w:val="center"/>
          </w:tcPr>
          <w:p w14:paraId="5B1AF1BA" w14:textId="77777777" w:rsidR="00ED3017" w:rsidRDefault="00ED3017" w:rsidP="005240FA">
            <w:pPr>
              <w:pStyle w:val="TableText0"/>
              <w:jc w:val="center"/>
              <w:rPr>
                <w:snapToGrid w:val="0"/>
              </w:rPr>
            </w:pPr>
            <w:r>
              <w:rPr>
                <w:snapToGrid w:val="0"/>
              </w:rPr>
              <w:t>98.0% [89, 100]</w:t>
            </w:r>
          </w:p>
          <w:p w14:paraId="33B86129" w14:textId="77777777" w:rsidR="00ED3017" w:rsidRPr="0066776C" w:rsidRDefault="00ED3017" w:rsidP="005240FA">
            <w:pPr>
              <w:pStyle w:val="TableText0"/>
              <w:jc w:val="center"/>
              <w:rPr>
                <w:i/>
                <w:snapToGrid w:val="0"/>
              </w:rPr>
            </w:pPr>
            <w:r w:rsidRPr="0066776C">
              <w:rPr>
                <w:i/>
                <w:snapToGrid w:val="0"/>
              </w:rPr>
              <w:t>98.2% [95, 100]</w:t>
            </w:r>
            <w:r>
              <w:rPr>
                <w:i/>
                <w:snapToGrid w:val="0"/>
              </w:rPr>
              <w:t>**</w:t>
            </w:r>
          </w:p>
        </w:tc>
        <w:tc>
          <w:tcPr>
            <w:tcW w:w="865" w:type="pct"/>
            <w:shd w:val="clear" w:color="auto" w:fill="FFFFFF" w:themeFill="background1"/>
            <w:vAlign w:val="center"/>
          </w:tcPr>
          <w:p w14:paraId="43742DA6" w14:textId="77777777" w:rsidR="00ED3017" w:rsidRPr="00A125ED" w:rsidRDefault="00ED3017" w:rsidP="005240FA">
            <w:pPr>
              <w:pStyle w:val="TableText0"/>
              <w:jc w:val="center"/>
              <w:rPr>
                <w:snapToGrid w:val="0"/>
              </w:rPr>
            </w:pPr>
            <w:r>
              <w:rPr>
                <w:snapToGrid w:val="0"/>
              </w:rPr>
              <w:t>78.0% [64, 88]</w:t>
            </w:r>
          </w:p>
        </w:tc>
        <w:tc>
          <w:tcPr>
            <w:tcW w:w="718" w:type="pct"/>
            <w:shd w:val="clear" w:color="auto" w:fill="FFFFFF" w:themeFill="background1"/>
          </w:tcPr>
          <w:p w14:paraId="5B080548" w14:textId="77777777" w:rsidR="00ED3017" w:rsidRDefault="00ED3017" w:rsidP="005240FA">
            <w:pPr>
              <w:pStyle w:val="TableText0"/>
              <w:jc w:val="center"/>
              <w:rPr>
                <w:snapToGrid w:val="0"/>
              </w:rPr>
            </w:pPr>
            <w:r>
              <w:rPr>
                <w:snapToGrid w:val="0"/>
              </w:rPr>
              <w:t>99.6%</w:t>
            </w:r>
          </w:p>
          <w:p w14:paraId="5DBF7C09" w14:textId="77777777" w:rsidR="00ED3017" w:rsidRPr="00A01CBE" w:rsidRDefault="00ED3017" w:rsidP="005240FA">
            <w:pPr>
              <w:pStyle w:val="TableText0"/>
              <w:jc w:val="center"/>
              <w:rPr>
                <w:i/>
                <w:snapToGrid w:val="0"/>
              </w:rPr>
            </w:pPr>
            <w:r w:rsidRPr="007C604C">
              <w:rPr>
                <w:i/>
                <w:snapToGrid w:val="0"/>
              </w:rPr>
              <w:t>99.6%</w:t>
            </w:r>
          </w:p>
        </w:tc>
        <w:tc>
          <w:tcPr>
            <w:tcW w:w="511" w:type="pct"/>
            <w:shd w:val="clear" w:color="auto" w:fill="FFFFFF" w:themeFill="background1"/>
            <w:vAlign w:val="center"/>
          </w:tcPr>
          <w:p w14:paraId="16066028" w14:textId="77777777" w:rsidR="00ED3017" w:rsidRPr="0066776C" w:rsidRDefault="00ED3017" w:rsidP="005240FA">
            <w:pPr>
              <w:pStyle w:val="TableText0"/>
              <w:jc w:val="center"/>
              <w:rPr>
                <w:snapToGrid w:val="0"/>
              </w:rPr>
            </w:pPr>
            <w:r>
              <w:rPr>
                <w:snapToGrid w:val="0"/>
              </w:rPr>
              <w:t>+21.6</w:t>
            </w:r>
            <w:r w:rsidRPr="0066776C">
              <w:rPr>
                <w:snapToGrid w:val="0"/>
              </w:rPr>
              <w:t>%</w:t>
            </w:r>
          </w:p>
        </w:tc>
      </w:tr>
      <w:tr w:rsidR="00ED3017" w:rsidRPr="00183E4D" w14:paraId="63C129DF" w14:textId="77777777" w:rsidTr="002A43DC">
        <w:trPr>
          <w:trHeight w:val="359"/>
        </w:trPr>
        <w:tc>
          <w:tcPr>
            <w:tcW w:w="784" w:type="pct"/>
            <w:vMerge/>
            <w:tcBorders>
              <w:bottom w:val="single" w:sz="4" w:space="0" w:color="auto"/>
            </w:tcBorders>
            <w:shd w:val="clear" w:color="auto" w:fill="FFFFFF" w:themeFill="background1"/>
            <w:vAlign w:val="center"/>
          </w:tcPr>
          <w:p w14:paraId="56842FA4" w14:textId="77777777" w:rsidR="00ED3017" w:rsidRPr="00686666" w:rsidRDefault="00ED3017" w:rsidP="005240FA">
            <w:pPr>
              <w:pStyle w:val="TableText0"/>
              <w:rPr>
                <w:i/>
                <w:snapToGrid w:val="0"/>
                <w:color w:val="000000" w:themeColor="text1"/>
              </w:rPr>
            </w:pPr>
          </w:p>
        </w:tc>
        <w:tc>
          <w:tcPr>
            <w:tcW w:w="786" w:type="pct"/>
            <w:vMerge/>
            <w:shd w:val="clear" w:color="auto" w:fill="FFFFFF" w:themeFill="background1"/>
            <w:vAlign w:val="center"/>
          </w:tcPr>
          <w:p w14:paraId="28248092" w14:textId="77777777" w:rsidR="00ED3017" w:rsidRPr="00173705" w:rsidRDefault="00ED3017" w:rsidP="005240FA">
            <w:pPr>
              <w:pStyle w:val="TableText0"/>
              <w:rPr>
                <w:snapToGrid w:val="0"/>
              </w:rPr>
            </w:pPr>
          </w:p>
        </w:tc>
        <w:tc>
          <w:tcPr>
            <w:tcW w:w="472" w:type="pct"/>
            <w:shd w:val="clear" w:color="auto" w:fill="FFFFFF" w:themeFill="background1"/>
            <w:vAlign w:val="center"/>
          </w:tcPr>
          <w:p w14:paraId="1B651A49" w14:textId="77777777" w:rsidR="00ED3017" w:rsidRDefault="00ED3017" w:rsidP="005240FA">
            <w:pPr>
              <w:pStyle w:val="TableText0"/>
              <w:rPr>
                <w:snapToGrid w:val="0"/>
              </w:rPr>
            </w:pPr>
            <w:r w:rsidRPr="00173705">
              <w:rPr>
                <w:snapToGrid w:val="0"/>
              </w:rPr>
              <w:t>Specificity</w:t>
            </w:r>
          </w:p>
        </w:tc>
        <w:tc>
          <w:tcPr>
            <w:tcW w:w="864" w:type="pct"/>
            <w:shd w:val="clear" w:color="auto" w:fill="FFFFFF" w:themeFill="background1"/>
            <w:vAlign w:val="center"/>
          </w:tcPr>
          <w:p w14:paraId="10AE33AC" w14:textId="77777777" w:rsidR="00ED3017" w:rsidRDefault="00ED3017" w:rsidP="005240FA">
            <w:pPr>
              <w:pStyle w:val="TableText0"/>
              <w:jc w:val="center"/>
              <w:rPr>
                <w:snapToGrid w:val="0"/>
              </w:rPr>
            </w:pPr>
            <w:r>
              <w:rPr>
                <w:snapToGrid w:val="0"/>
              </w:rPr>
              <w:t>99.9% [100, 100]</w:t>
            </w:r>
          </w:p>
          <w:p w14:paraId="0600F619" w14:textId="77777777" w:rsidR="00ED3017" w:rsidRPr="0066776C" w:rsidRDefault="00ED3017" w:rsidP="005240FA">
            <w:pPr>
              <w:pStyle w:val="TableText0"/>
              <w:jc w:val="center"/>
              <w:rPr>
                <w:i/>
                <w:snapToGrid w:val="0"/>
              </w:rPr>
            </w:pPr>
            <w:r w:rsidRPr="0066776C">
              <w:rPr>
                <w:i/>
                <w:snapToGrid w:val="0"/>
              </w:rPr>
              <w:t>96.7% [96, 97]</w:t>
            </w:r>
            <w:r>
              <w:rPr>
                <w:i/>
                <w:snapToGrid w:val="0"/>
              </w:rPr>
              <w:t>**</w:t>
            </w:r>
          </w:p>
        </w:tc>
        <w:tc>
          <w:tcPr>
            <w:tcW w:w="865" w:type="pct"/>
            <w:shd w:val="clear" w:color="auto" w:fill="FFFFFF" w:themeFill="background1"/>
            <w:vAlign w:val="center"/>
          </w:tcPr>
          <w:p w14:paraId="6DEDE1CA" w14:textId="77777777" w:rsidR="00ED3017" w:rsidRPr="00A125ED" w:rsidRDefault="00ED3017" w:rsidP="005240FA">
            <w:pPr>
              <w:pStyle w:val="TableText0"/>
              <w:jc w:val="center"/>
              <w:rPr>
                <w:snapToGrid w:val="0"/>
              </w:rPr>
            </w:pPr>
            <w:r>
              <w:rPr>
                <w:snapToGrid w:val="0"/>
              </w:rPr>
              <w:t>94.1% [94, 95]</w:t>
            </w:r>
          </w:p>
        </w:tc>
        <w:tc>
          <w:tcPr>
            <w:tcW w:w="718" w:type="pct"/>
            <w:shd w:val="clear" w:color="auto" w:fill="FFFFFF" w:themeFill="background1"/>
          </w:tcPr>
          <w:p w14:paraId="59FBF1E0" w14:textId="77777777" w:rsidR="00ED3017" w:rsidRDefault="00ED3017" w:rsidP="005240FA">
            <w:pPr>
              <w:pStyle w:val="TableText0"/>
              <w:jc w:val="center"/>
              <w:rPr>
                <w:snapToGrid w:val="0"/>
              </w:rPr>
            </w:pPr>
            <w:r>
              <w:rPr>
                <w:snapToGrid w:val="0"/>
              </w:rPr>
              <w:t>94.0%</w:t>
            </w:r>
          </w:p>
          <w:p w14:paraId="317B0301" w14:textId="77777777" w:rsidR="00ED3017" w:rsidRPr="00A01CBE" w:rsidRDefault="00ED3017" w:rsidP="005240FA">
            <w:pPr>
              <w:pStyle w:val="TableText0"/>
              <w:jc w:val="center"/>
              <w:rPr>
                <w:i/>
                <w:snapToGrid w:val="0"/>
              </w:rPr>
            </w:pPr>
            <w:r w:rsidRPr="007C604C">
              <w:rPr>
                <w:i/>
                <w:snapToGrid w:val="0"/>
              </w:rPr>
              <w:t>91.0%</w:t>
            </w:r>
          </w:p>
        </w:tc>
        <w:tc>
          <w:tcPr>
            <w:tcW w:w="511" w:type="pct"/>
            <w:shd w:val="clear" w:color="auto" w:fill="FFFFFF" w:themeFill="background1"/>
            <w:vAlign w:val="center"/>
          </w:tcPr>
          <w:p w14:paraId="572F1507" w14:textId="77777777" w:rsidR="00ED3017" w:rsidRDefault="00ED3017" w:rsidP="005240FA">
            <w:pPr>
              <w:pStyle w:val="TableText0"/>
              <w:jc w:val="center"/>
              <w:rPr>
                <w:snapToGrid w:val="0"/>
              </w:rPr>
            </w:pPr>
            <w:r>
              <w:rPr>
                <w:snapToGrid w:val="0"/>
              </w:rPr>
              <w:t>-0.1</w:t>
            </w:r>
            <w:r w:rsidRPr="0066776C">
              <w:rPr>
                <w:snapToGrid w:val="0"/>
              </w:rPr>
              <w:t>%</w:t>
            </w:r>
          </w:p>
          <w:p w14:paraId="44469B50" w14:textId="77777777" w:rsidR="00ED3017" w:rsidRPr="009A19DC" w:rsidRDefault="00ED3017" w:rsidP="005240FA">
            <w:pPr>
              <w:pStyle w:val="TableText0"/>
              <w:jc w:val="center"/>
              <w:rPr>
                <w:i/>
                <w:snapToGrid w:val="0"/>
              </w:rPr>
            </w:pPr>
            <w:r w:rsidRPr="009A19DC">
              <w:rPr>
                <w:i/>
                <w:snapToGrid w:val="0"/>
              </w:rPr>
              <w:t>-3.1%</w:t>
            </w:r>
            <w:r>
              <w:rPr>
                <w:i/>
                <w:snapToGrid w:val="0"/>
              </w:rPr>
              <w:t>**</w:t>
            </w:r>
          </w:p>
        </w:tc>
      </w:tr>
      <w:tr w:rsidR="00ED3017" w:rsidRPr="00183E4D" w14:paraId="1B5B32D5" w14:textId="77777777" w:rsidTr="002A43DC">
        <w:tc>
          <w:tcPr>
            <w:tcW w:w="784" w:type="pct"/>
            <w:vMerge w:val="restart"/>
            <w:tcBorders>
              <w:top w:val="single" w:sz="4" w:space="0" w:color="auto"/>
            </w:tcBorders>
            <w:shd w:val="clear" w:color="auto" w:fill="FFFFFF" w:themeFill="background1"/>
            <w:vAlign w:val="center"/>
          </w:tcPr>
          <w:p w14:paraId="047039BD" w14:textId="77777777" w:rsidR="00ED3017" w:rsidRPr="00154A1E" w:rsidRDefault="00ED3017" w:rsidP="005240FA">
            <w:pPr>
              <w:pStyle w:val="TableText0"/>
              <w:rPr>
                <w:snapToGrid w:val="0"/>
                <w:color w:val="000000" w:themeColor="text1"/>
              </w:rPr>
            </w:pPr>
            <w:r w:rsidRPr="00154A1E">
              <w:rPr>
                <w:snapToGrid w:val="0"/>
                <w:color w:val="000000" w:themeColor="text1"/>
              </w:rPr>
              <w:t>Quezada 2015</w:t>
            </w:r>
          </w:p>
        </w:tc>
        <w:tc>
          <w:tcPr>
            <w:tcW w:w="786" w:type="pct"/>
            <w:vMerge w:val="restart"/>
            <w:shd w:val="clear" w:color="auto" w:fill="FFFFFF" w:themeFill="background1"/>
            <w:vAlign w:val="center"/>
          </w:tcPr>
          <w:p w14:paraId="6063C673" w14:textId="77777777" w:rsidR="00ED3017" w:rsidRDefault="00ED3017" w:rsidP="005240FA">
            <w:pPr>
              <w:pStyle w:val="TableText0"/>
              <w:rPr>
                <w:snapToGrid w:val="0"/>
              </w:rPr>
            </w:pPr>
            <w:r>
              <w:rPr>
                <w:snapToGrid w:val="0"/>
              </w:rPr>
              <w:t>2856 (CFTS)</w:t>
            </w:r>
          </w:p>
          <w:p w14:paraId="6EC10BDB" w14:textId="77777777" w:rsidR="00ED3017" w:rsidRPr="00173705" w:rsidRDefault="00ED3017" w:rsidP="005240FA">
            <w:pPr>
              <w:pStyle w:val="TableText0"/>
              <w:rPr>
                <w:snapToGrid w:val="0"/>
              </w:rPr>
            </w:pPr>
            <w:r>
              <w:rPr>
                <w:snapToGrid w:val="0"/>
              </w:rPr>
              <w:t>2818 (NIPT)**</w:t>
            </w:r>
          </w:p>
        </w:tc>
        <w:tc>
          <w:tcPr>
            <w:tcW w:w="472" w:type="pct"/>
            <w:shd w:val="clear" w:color="auto" w:fill="FFFFFF" w:themeFill="background1"/>
            <w:vAlign w:val="center"/>
          </w:tcPr>
          <w:p w14:paraId="7EF0C7D7" w14:textId="77777777" w:rsidR="00ED3017" w:rsidRDefault="00ED3017" w:rsidP="005240FA">
            <w:pPr>
              <w:pStyle w:val="TableText0"/>
              <w:rPr>
                <w:snapToGrid w:val="0"/>
              </w:rPr>
            </w:pPr>
            <w:r w:rsidRPr="00173705">
              <w:rPr>
                <w:snapToGrid w:val="0"/>
              </w:rPr>
              <w:t>Sensitivity</w:t>
            </w:r>
          </w:p>
        </w:tc>
        <w:tc>
          <w:tcPr>
            <w:tcW w:w="864" w:type="pct"/>
            <w:shd w:val="clear" w:color="auto" w:fill="FFFFFF" w:themeFill="background1"/>
            <w:vAlign w:val="center"/>
          </w:tcPr>
          <w:p w14:paraId="762F89E6" w14:textId="77777777" w:rsidR="00ED3017" w:rsidRDefault="00ED3017" w:rsidP="005240FA">
            <w:pPr>
              <w:pStyle w:val="TableText0"/>
              <w:jc w:val="center"/>
              <w:rPr>
                <w:snapToGrid w:val="0"/>
              </w:rPr>
            </w:pPr>
            <w:r>
              <w:rPr>
                <w:snapToGrid w:val="0"/>
              </w:rPr>
              <w:t>91.5% [80, 98]</w:t>
            </w:r>
          </w:p>
          <w:p w14:paraId="18CA3411" w14:textId="77777777" w:rsidR="00ED3017" w:rsidRPr="00762A2D" w:rsidRDefault="00ED3017" w:rsidP="005240FA">
            <w:pPr>
              <w:pStyle w:val="TableText0"/>
              <w:jc w:val="center"/>
              <w:rPr>
                <w:i/>
                <w:snapToGrid w:val="0"/>
              </w:rPr>
            </w:pPr>
            <w:r w:rsidRPr="00762A2D">
              <w:rPr>
                <w:i/>
                <w:snapToGrid w:val="0"/>
              </w:rPr>
              <w:t>100% [</w:t>
            </w:r>
            <w:r>
              <w:rPr>
                <w:i/>
                <w:snapToGrid w:val="0"/>
              </w:rPr>
              <w:t>100</w:t>
            </w:r>
            <w:r w:rsidRPr="00762A2D">
              <w:rPr>
                <w:i/>
                <w:snapToGrid w:val="0"/>
              </w:rPr>
              <w:t>, 100]**</w:t>
            </w:r>
          </w:p>
        </w:tc>
        <w:tc>
          <w:tcPr>
            <w:tcW w:w="865" w:type="pct"/>
            <w:shd w:val="clear" w:color="auto" w:fill="FFFFFF" w:themeFill="background1"/>
            <w:vAlign w:val="center"/>
          </w:tcPr>
          <w:p w14:paraId="203C3F3A" w14:textId="77777777" w:rsidR="00ED3017" w:rsidRPr="00A125ED" w:rsidRDefault="00ED3017" w:rsidP="005240FA">
            <w:pPr>
              <w:pStyle w:val="TableText0"/>
              <w:jc w:val="center"/>
              <w:rPr>
                <w:snapToGrid w:val="0"/>
              </w:rPr>
            </w:pPr>
            <w:r>
              <w:rPr>
                <w:snapToGrid w:val="0"/>
              </w:rPr>
              <w:t>100% [100, 100]</w:t>
            </w:r>
          </w:p>
        </w:tc>
        <w:tc>
          <w:tcPr>
            <w:tcW w:w="718" w:type="pct"/>
            <w:shd w:val="clear" w:color="auto" w:fill="FFFFFF" w:themeFill="background1"/>
          </w:tcPr>
          <w:p w14:paraId="42525FC0" w14:textId="77777777" w:rsidR="00ED3017" w:rsidRDefault="00ED3017" w:rsidP="005240FA">
            <w:pPr>
              <w:pStyle w:val="TableText0"/>
              <w:jc w:val="center"/>
              <w:rPr>
                <w:snapToGrid w:val="0"/>
              </w:rPr>
            </w:pPr>
            <w:r w:rsidRPr="0066776C">
              <w:rPr>
                <w:snapToGrid w:val="0"/>
              </w:rPr>
              <w:t>100</w:t>
            </w:r>
            <w:r>
              <w:rPr>
                <w:snapToGrid w:val="0"/>
              </w:rPr>
              <w:t>%</w:t>
            </w:r>
          </w:p>
          <w:p w14:paraId="6D300DC2" w14:textId="77777777" w:rsidR="00ED3017" w:rsidRPr="009A19DC" w:rsidRDefault="00ED3017" w:rsidP="005240FA">
            <w:pPr>
              <w:pStyle w:val="TableText0"/>
              <w:jc w:val="center"/>
              <w:rPr>
                <w:i/>
                <w:snapToGrid w:val="0"/>
              </w:rPr>
            </w:pPr>
            <w:r w:rsidRPr="009A19DC">
              <w:rPr>
                <w:i/>
                <w:snapToGrid w:val="0"/>
              </w:rPr>
              <w:t>100%</w:t>
            </w:r>
          </w:p>
        </w:tc>
        <w:tc>
          <w:tcPr>
            <w:tcW w:w="511" w:type="pct"/>
            <w:shd w:val="clear" w:color="auto" w:fill="FFFFFF" w:themeFill="background1"/>
            <w:vAlign w:val="center"/>
          </w:tcPr>
          <w:p w14:paraId="678CB07A" w14:textId="77777777" w:rsidR="00ED3017" w:rsidRPr="0066776C" w:rsidRDefault="00ED3017" w:rsidP="005240FA">
            <w:pPr>
              <w:pStyle w:val="TableText0"/>
              <w:jc w:val="center"/>
              <w:rPr>
                <w:snapToGrid w:val="0"/>
              </w:rPr>
            </w:pPr>
            <w:r>
              <w:rPr>
                <w:snapToGrid w:val="0"/>
              </w:rPr>
              <w:t>0</w:t>
            </w:r>
            <w:r w:rsidRPr="0066776C">
              <w:rPr>
                <w:snapToGrid w:val="0"/>
              </w:rPr>
              <w:t>%</w:t>
            </w:r>
          </w:p>
        </w:tc>
      </w:tr>
      <w:tr w:rsidR="00ED3017" w:rsidRPr="00183E4D" w14:paraId="24B86C9C" w14:textId="77777777" w:rsidTr="002A43DC">
        <w:tc>
          <w:tcPr>
            <w:tcW w:w="784" w:type="pct"/>
            <w:vMerge/>
            <w:tcBorders>
              <w:bottom w:val="single" w:sz="4" w:space="0" w:color="auto"/>
            </w:tcBorders>
            <w:shd w:val="clear" w:color="auto" w:fill="FFFFFF" w:themeFill="background1"/>
            <w:vAlign w:val="center"/>
          </w:tcPr>
          <w:p w14:paraId="14B9C82F" w14:textId="77777777" w:rsidR="00ED3017" w:rsidRPr="00686666" w:rsidRDefault="00ED3017" w:rsidP="005240FA">
            <w:pPr>
              <w:pStyle w:val="TableText0"/>
              <w:rPr>
                <w:i/>
                <w:snapToGrid w:val="0"/>
                <w:color w:val="000000" w:themeColor="text1"/>
              </w:rPr>
            </w:pPr>
          </w:p>
        </w:tc>
        <w:tc>
          <w:tcPr>
            <w:tcW w:w="786" w:type="pct"/>
            <w:vMerge/>
            <w:shd w:val="clear" w:color="auto" w:fill="FFFFFF" w:themeFill="background1"/>
            <w:vAlign w:val="center"/>
          </w:tcPr>
          <w:p w14:paraId="36416C65" w14:textId="77777777" w:rsidR="00ED3017" w:rsidRPr="00173705" w:rsidRDefault="00ED3017" w:rsidP="005240FA">
            <w:pPr>
              <w:pStyle w:val="TableText0"/>
              <w:rPr>
                <w:snapToGrid w:val="0"/>
              </w:rPr>
            </w:pPr>
          </w:p>
        </w:tc>
        <w:tc>
          <w:tcPr>
            <w:tcW w:w="472" w:type="pct"/>
            <w:shd w:val="clear" w:color="auto" w:fill="FFFFFF" w:themeFill="background1"/>
            <w:vAlign w:val="center"/>
          </w:tcPr>
          <w:p w14:paraId="06E836D0" w14:textId="77777777" w:rsidR="00ED3017" w:rsidRDefault="00ED3017" w:rsidP="005240FA">
            <w:pPr>
              <w:pStyle w:val="TableText0"/>
              <w:rPr>
                <w:snapToGrid w:val="0"/>
              </w:rPr>
            </w:pPr>
            <w:r w:rsidRPr="00173705">
              <w:rPr>
                <w:snapToGrid w:val="0"/>
              </w:rPr>
              <w:t>Specificity</w:t>
            </w:r>
          </w:p>
        </w:tc>
        <w:tc>
          <w:tcPr>
            <w:tcW w:w="864" w:type="pct"/>
            <w:shd w:val="clear" w:color="auto" w:fill="FFFFFF" w:themeFill="background1"/>
            <w:vAlign w:val="center"/>
          </w:tcPr>
          <w:p w14:paraId="158B6E0E" w14:textId="77777777" w:rsidR="00ED3017" w:rsidRDefault="00ED3017" w:rsidP="005240FA">
            <w:pPr>
              <w:pStyle w:val="TableText0"/>
              <w:jc w:val="center"/>
              <w:rPr>
                <w:snapToGrid w:val="0"/>
              </w:rPr>
            </w:pPr>
            <w:r>
              <w:rPr>
                <w:snapToGrid w:val="0"/>
              </w:rPr>
              <w:t>99.9% [99, 100]</w:t>
            </w:r>
          </w:p>
          <w:p w14:paraId="2109D42C" w14:textId="77777777" w:rsidR="00ED3017" w:rsidRPr="00A125ED" w:rsidRDefault="00ED3017" w:rsidP="005240FA">
            <w:pPr>
              <w:pStyle w:val="TableText0"/>
              <w:jc w:val="center"/>
              <w:rPr>
                <w:snapToGrid w:val="0"/>
              </w:rPr>
            </w:pPr>
            <w:r w:rsidRPr="0066776C">
              <w:rPr>
                <w:i/>
                <w:snapToGrid w:val="0"/>
              </w:rPr>
              <w:t>98.2% [</w:t>
            </w:r>
            <w:r>
              <w:rPr>
                <w:i/>
                <w:snapToGrid w:val="0"/>
              </w:rPr>
              <w:t>98</w:t>
            </w:r>
            <w:r w:rsidRPr="0066776C">
              <w:rPr>
                <w:i/>
                <w:snapToGrid w:val="0"/>
              </w:rPr>
              <w:t xml:space="preserve">, </w:t>
            </w:r>
            <w:r>
              <w:rPr>
                <w:i/>
                <w:snapToGrid w:val="0"/>
              </w:rPr>
              <w:t>99</w:t>
            </w:r>
            <w:r w:rsidRPr="0066776C">
              <w:rPr>
                <w:i/>
                <w:snapToGrid w:val="0"/>
              </w:rPr>
              <w:t>]</w:t>
            </w:r>
            <w:r>
              <w:rPr>
                <w:i/>
                <w:snapToGrid w:val="0"/>
              </w:rPr>
              <w:t>**</w:t>
            </w:r>
          </w:p>
        </w:tc>
        <w:tc>
          <w:tcPr>
            <w:tcW w:w="865" w:type="pct"/>
            <w:shd w:val="clear" w:color="auto" w:fill="FFFFFF" w:themeFill="background1"/>
            <w:vAlign w:val="center"/>
          </w:tcPr>
          <w:p w14:paraId="111D6199" w14:textId="77777777" w:rsidR="00ED3017" w:rsidRPr="00A125ED" w:rsidRDefault="00ED3017" w:rsidP="005240FA">
            <w:pPr>
              <w:pStyle w:val="TableText0"/>
              <w:jc w:val="center"/>
              <w:rPr>
                <w:snapToGrid w:val="0"/>
              </w:rPr>
            </w:pPr>
            <w:r>
              <w:rPr>
                <w:snapToGrid w:val="0"/>
              </w:rPr>
              <w:t>95.6% [94, 95]</w:t>
            </w:r>
          </w:p>
        </w:tc>
        <w:tc>
          <w:tcPr>
            <w:tcW w:w="718" w:type="pct"/>
            <w:shd w:val="clear" w:color="auto" w:fill="FFFFFF" w:themeFill="background1"/>
          </w:tcPr>
          <w:p w14:paraId="2F35D43E" w14:textId="77777777" w:rsidR="00ED3017" w:rsidRDefault="00ED3017" w:rsidP="005240FA">
            <w:pPr>
              <w:pStyle w:val="TableText0"/>
              <w:jc w:val="center"/>
              <w:rPr>
                <w:snapToGrid w:val="0"/>
              </w:rPr>
            </w:pPr>
            <w:r>
              <w:rPr>
                <w:snapToGrid w:val="0"/>
              </w:rPr>
              <w:t>95.9%</w:t>
            </w:r>
          </w:p>
          <w:p w14:paraId="3F1C2810" w14:textId="77777777" w:rsidR="00ED3017" w:rsidRPr="009A19DC" w:rsidRDefault="00ED3017" w:rsidP="005240FA">
            <w:pPr>
              <w:pStyle w:val="TableText0"/>
              <w:jc w:val="center"/>
              <w:rPr>
                <w:i/>
                <w:snapToGrid w:val="0"/>
              </w:rPr>
            </w:pPr>
            <w:r w:rsidRPr="009A19DC">
              <w:rPr>
                <w:i/>
                <w:snapToGrid w:val="0"/>
              </w:rPr>
              <w:t>94.2%</w:t>
            </w:r>
          </w:p>
        </w:tc>
        <w:tc>
          <w:tcPr>
            <w:tcW w:w="511" w:type="pct"/>
            <w:shd w:val="clear" w:color="auto" w:fill="FFFFFF" w:themeFill="background1"/>
            <w:vAlign w:val="center"/>
          </w:tcPr>
          <w:p w14:paraId="3639C9FA" w14:textId="77777777" w:rsidR="00ED3017" w:rsidRDefault="00ED3017" w:rsidP="005240FA">
            <w:pPr>
              <w:pStyle w:val="TableText0"/>
              <w:jc w:val="center"/>
              <w:rPr>
                <w:snapToGrid w:val="0"/>
              </w:rPr>
            </w:pPr>
            <w:r>
              <w:rPr>
                <w:snapToGrid w:val="0"/>
              </w:rPr>
              <w:t>-0.1</w:t>
            </w:r>
            <w:r w:rsidRPr="0066776C">
              <w:rPr>
                <w:snapToGrid w:val="0"/>
              </w:rPr>
              <w:t>%</w:t>
            </w:r>
          </w:p>
          <w:p w14:paraId="62063F54" w14:textId="77777777" w:rsidR="00ED3017" w:rsidRPr="009A19DC" w:rsidRDefault="00ED3017" w:rsidP="005240FA">
            <w:pPr>
              <w:pStyle w:val="TableText0"/>
              <w:jc w:val="center"/>
              <w:rPr>
                <w:i/>
                <w:snapToGrid w:val="0"/>
              </w:rPr>
            </w:pPr>
            <w:r w:rsidRPr="009A19DC">
              <w:rPr>
                <w:i/>
                <w:snapToGrid w:val="0"/>
              </w:rPr>
              <w:t>-1.8%</w:t>
            </w:r>
            <w:r>
              <w:rPr>
                <w:i/>
                <w:snapToGrid w:val="0"/>
              </w:rPr>
              <w:t>**</w:t>
            </w:r>
          </w:p>
        </w:tc>
      </w:tr>
      <w:tr w:rsidR="00F32C39" w:rsidRPr="00183E4D" w14:paraId="1E397A87" w14:textId="77777777" w:rsidTr="002A43DC">
        <w:tc>
          <w:tcPr>
            <w:tcW w:w="784" w:type="pct"/>
            <w:vMerge w:val="restart"/>
            <w:tcBorders>
              <w:top w:val="nil"/>
            </w:tcBorders>
            <w:shd w:val="clear" w:color="auto" w:fill="FFFFFF" w:themeFill="background1"/>
            <w:vAlign w:val="center"/>
          </w:tcPr>
          <w:p w14:paraId="522B5026" w14:textId="77777777" w:rsidR="00F32C39" w:rsidRPr="006D2ADA" w:rsidRDefault="00F32C39" w:rsidP="005240FA">
            <w:pPr>
              <w:pStyle w:val="TableText0"/>
              <w:rPr>
                <w:snapToGrid w:val="0"/>
                <w:color w:val="000000" w:themeColor="text1"/>
              </w:rPr>
            </w:pPr>
            <w:r>
              <w:rPr>
                <w:snapToGrid w:val="0"/>
                <w:color w:val="000000" w:themeColor="text1"/>
              </w:rPr>
              <w:t>Costa 2018^</w:t>
            </w:r>
          </w:p>
        </w:tc>
        <w:tc>
          <w:tcPr>
            <w:tcW w:w="786" w:type="pct"/>
            <w:vMerge w:val="restart"/>
            <w:shd w:val="clear" w:color="auto" w:fill="FFFFFF" w:themeFill="background1"/>
            <w:vAlign w:val="center"/>
          </w:tcPr>
          <w:p w14:paraId="62AE937A" w14:textId="77777777" w:rsidR="00F32C39" w:rsidRPr="00173705" w:rsidRDefault="00F32C39" w:rsidP="005240FA">
            <w:pPr>
              <w:pStyle w:val="TableText0"/>
              <w:rPr>
                <w:snapToGrid w:val="0"/>
              </w:rPr>
            </w:pPr>
            <w:r>
              <w:rPr>
                <w:snapToGrid w:val="0"/>
              </w:rPr>
              <w:t>789</w:t>
            </w:r>
          </w:p>
        </w:tc>
        <w:tc>
          <w:tcPr>
            <w:tcW w:w="472" w:type="pct"/>
            <w:shd w:val="clear" w:color="auto" w:fill="FFFFFF" w:themeFill="background1"/>
            <w:vAlign w:val="center"/>
          </w:tcPr>
          <w:p w14:paraId="5E5C88B5" w14:textId="77777777" w:rsidR="00F32C39" w:rsidRDefault="00F32C39" w:rsidP="005240FA">
            <w:pPr>
              <w:pStyle w:val="TableText0"/>
              <w:rPr>
                <w:snapToGrid w:val="0"/>
              </w:rPr>
            </w:pPr>
            <w:r w:rsidRPr="00173705">
              <w:rPr>
                <w:snapToGrid w:val="0"/>
              </w:rPr>
              <w:t>Sensitivity</w:t>
            </w:r>
          </w:p>
        </w:tc>
        <w:tc>
          <w:tcPr>
            <w:tcW w:w="864" w:type="pct"/>
            <w:shd w:val="clear" w:color="auto" w:fill="FFFFFF" w:themeFill="background1"/>
            <w:vAlign w:val="center"/>
          </w:tcPr>
          <w:p w14:paraId="1EF57C58" w14:textId="77777777" w:rsidR="00F32C39" w:rsidRPr="006D2ADA" w:rsidRDefault="00F32C39" w:rsidP="005240FA">
            <w:pPr>
              <w:pStyle w:val="TableText0"/>
              <w:jc w:val="center"/>
              <w:rPr>
                <w:snapToGrid w:val="0"/>
              </w:rPr>
            </w:pPr>
            <w:r>
              <w:rPr>
                <w:snapToGrid w:val="0"/>
              </w:rPr>
              <w:t>100 [100, 100]</w:t>
            </w:r>
          </w:p>
        </w:tc>
        <w:tc>
          <w:tcPr>
            <w:tcW w:w="865" w:type="pct"/>
            <w:shd w:val="clear" w:color="auto" w:fill="FFFFFF" w:themeFill="background1"/>
            <w:vAlign w:val="center"/>
          </w:tcPr>
          <w:p w14:paraId="4AB007B9" w14:textId="77777777" w:rsidR="00F32C39" w:rsidRPr="006D2ADA" w:rsidRDefault="00F32C39" w:rsidP="005240FA">
            <w:pPr>
              <w:pStyle w:val="TableText0"/>
              <w:jc w:val="center"/>
              <w:rPr>
                <w:snapToGrid w:val="0"/>
              </w:rPr>
            </w:pPr>
            <w:r>
              <w:rPr>
                <w:snapToGrid w:val="0"/>
              </w:rPr>
              <w:t>71% [38, 100]</w:t>
            </w:r>
          </w:p>
        </w:tc>
        <w:tc>
          <w:tcPr>
            <w:tcW w:w="718" w:type="pct"/>
            <w:shd w:val="clear" w:color="auto" w:fill="FFFFFF" w:themeFill="background1"/>
          </w:tcPr>
          <w:p w14:paraId="5E25102F" w14:textId="77777777" w:rsidR="00F32C39" w:rsidRPr="0066776C" w:rsidRDefault="00F32C39" w:rsidP="005240FA">
            <w:pPr>
              <w:pStyle w:val="TableText0"/>
              <w:jc w:val="center"/>
              <w:rPr>
                <w:snapToGrid w:val="0"/>
              </w:rPr>
            </w:pPr>
            <w:r w:rsidRPr="0066776C">
              <w:rPr>
                <w:snapToGrid w:val="0"/>
              </w:rPr>
              <w:t>100</w:t>
            </w:r>
            <w:r>
              <w:rPr>
                <w:snapToGrid w:val="0"/>
              </w:rPr>
              <w:t>%</w:t>
            </w:r>
          </w:p>
        </w:tc>
        <w:tc>
          <w:tcPr>
            <w:tcW w:w="511" w:type="pct"/>
            <w:shd w:val="clear" w:color="auto" w:fill="FFFFFF" w:themeFill="background1"/>
            <w:vAlign w:val="center"/>
          </w:tcPr>
          <w:p w14:paraId="4EEABBF5" w14:textId="77777777" w:rsidR="00F32C39" w:rsidRPr="0066776C" w:rsidRDefault="00F32C39" w:rsidP="005240FA">
            <w:pPr>
              <w:pStyle w:val="TableText0"/>
              <w:jc w:val="center"/>
              <w:rPr>
                <w:snapToGrid w:val="0"/>
              </w:rPr>
            </w:pPr>
            <w:r>
              <w:rPr>
                <w:snapToGrid w:val="0"/>
              </w:rPr>
              <w:t>+28%</w:t>
            </w:r>
          </w:p>
        </w:tc>
      </w:tr>
      <w:tr w:rsidR="00F32C39" w:rsidRPr="00183E4D" w14:paraId="4C66AF9F" w14:textId="77777777" w:rsidTr="002A43DC">
        <w:tc>
          <w:tcPr>
            <w:tcW w:w="784" w:type="pct"/>
            <w:vMerge/>
            <w:tcBorders>
              <w:bottom w:val="single" w:sz="12" w:space="0" w:color="auto"/>
            </w:tcBorders>
            <w:shd w:val="clear" w:color="auto" w:fill="FFFFFF" w:themeFill="background1"/>
            <w:vAlign w:val="center"/>
          </w:tcPr>
          <w:p w14:paraId="1E1E3C53" w14:textId="77777777" w:rsidR="00F32C39" w:rsidRDefault="00F32C39" w:rsidP="005240FA">
            <w:pPr>
              <w:pStyle w:val="TableText0"/>
              <w:rPr>
                <w:snapToGrid w:val="0"/>
                <w:color w:val="000000" w:themeColor="text1"/>
              </w:rPr>
            </w:pPr>
          </w:p>
        </w:tc>
        <w:tc>
          <w:tcPr>
            <w:tcW w:w="786" w:type="pct"/>
            <w:vMerge/>
            <w:tcBorders>
              <w:bottom w:val="single" w:sz="12" w:space="0" w:color="auto"/>
            </w:tcBorders>
            <w:shd w:val="clear" w:color="auto" w:fill="FFFFFF" w:themeFill="background1"/>
            <w:vAlign w:val="center"/>
          </w:tcPr>
          <w:p w14:paraId="08FD073C" w14:textId="77777777" w:rsidR="00F32C39" w:rsidRPr="00173705" w:rsidRDefault="00F32C39" w:rsidP="005240FA">
            <w:pPr>
              <w:pStyle w:val="TableText0"/>
              <w:rPr>
                <w:snapToGrid w:val="0"/>
              </w:rPr>
            </w:pPr>
          </w:p>
        </w:tc>
        <w:tc>
          <w:tcPr>
            <w:tcW w:w="472" w:type="pct"/>
            <w:tcBorders>
              <w:bottom w:val="single" w:sz="12" w:space="0" w:color="auto"/>
            </w:tcBorders>
            <w:shd w:val="clear" w:color="auto" w:fill="FFFFFF" w:themeFill="background1"/>
            <w:vAlign w:val="center"/>
          </w:tcPr>
          <w:p w14:paraId="6E0B3C6C" w14:textId="77777777" w:rsidR="00F32C39" w:rsidRDefault="00F32C39" w:rsidP="005240FA">
            <w:pPr>
              <w:pStyle w:val="TableText0"/>
              <w:rPr>
                <w:snapToGrid w:val="0"/>
              </w:rPr>
            </w:pPr>
            <w:r w:rsidRPr="00173705">
              <w:rPr>
                <w:snapToGrid w:val="0"/>
              </w:rPr>
              <w:t>Specificity</w:t>
            </w:r>
          </w:p>
        </w:tc>
        <w:tc>
          <w:tcPr>
            <w:tcW w:w="864" w:type="pct"/>
            <w:tcBorders>
              <w:bottom w:val="single" w:sz="12" w:space="0" w:color="auto"/>
            </w:tcBorders>
            <w:shd w:val="clear" w:color="auto" w:fill="FFFFFF" w:themeFill="background1"/>
            <w:vAlign w:val="center"/>
          </w:tcPr>
          <w:p w14:paraId="4019DAD8" w14:textId="77777777" w:rsidR="00F32C39" w:rsidRPr="006D2ADA" w:rsidRDefault="00F32C39" w:rsidP="005240FA">
            <w:pPr>
              <w:pStyle w:val="TableText0"/>
              <w:jc w:val="center"/>
              <w:rPr>
                <w:snapToGrid w:val="0"/>
              </w:rPr>
            </w:pPr>
            <w:r>
              <w:rPr>
                <w:snapToGrid w:val="0"/>
              </w:rPr>
              <w:t>100 [100, 100]</w:t>
            </w:r>
          </w:p>
        </w:tc>
        <w:tc>
          <w:tcPr>
            <w:tcW w:w="865" w:type="pct"/>
            <w:tcBorders>
              <w:bottom w:val="single" w:sz="12" w:space="0" w:color="auto"/>
            </w:tcBorders>
            <w:shd w:val="clear" w:color="auto" w:fill="FFFFFF" w:themeFill="background1"/>
            <w:vAlign w:val="center"/>
          </w:tcPr>
          <w:p w14:paraId="3AED619E" w14:textId="77777777" w:rsidR="00F32C39" w:rsidRPr="006D2ADA" w:rsidRDefault="00F32C39" w:rsidP="005240FA">
            <w:pPr>
              <w:pStyle w:val="TableText0"/>
              <w:jc w:val="center"/>
              <w:rPr>
                <w:snapToGrid w:val="0"/>
              </w:rPr>
            </w:pPr>
            <w:r>
              <w:rPr>
                <w:snapToGrid w:val="0"/>
              </w:rPr>
              <w:t>93% [92, 95]</w:t>
            </w:r>
          </w:p>
        </w:tc>
        <w:tc>
          <w:tcPr>
            <w:tcW w:w="718" w:type="pct"/>
            <w:tcBorders>
              <w:bottom w:val="single" w:sz="12" w:space="0" w:color="auto"/>
            </w:tcBorders>
            <w:shd w:val="clear" w:color="auto" w:fill="FFFFFF" w:themeFill="background1"/>
          </w:tcPr>
          <w:p w14:paraId="3FC6B960" w14:textId="77777777" w:rsidR="00F32C39" w:rsidRPr="0066776C" w:rsidRDefault="00F32C39" w:rsidP="005240FA">
            <w:pPr>
              <w:pStyle w:val="TableText0"/>
              <w:jc w:val="center"/>
              <w:rPr>
                <w:snapToGrid w:val="0"/>
              </w:rPr>
            </w:pPr>
            <w:r>
              <w:rPr>
                <w:snapToGrid w:val="0"/>
              </w:rPr>
              <w:t>93%</w:t>
            </w:r>
          </w:p>
        </w:tc>
        <w:tc>
          <w:tcPr>
            <w:tcW w:w="511" w:type="pct"/>
            <w:tcBorders>
              <w:bottom w:val="single" w:sz="12" w:space="0" w:color="auto"/>
            </w:tcBorders>
            <w:shd w:val="clear" w:color="auto" w:fill="FFFFFF" w:themeFill="background1"/>
            <w:vAlign w:val="center"/>
          </w:tcPr>
          <w:p w14:paraId="45C25C96" w14:textId="77777777" w:rsidR="00F32C39" w:rsidRPr="0066776C" w:rsidRDefault="00F32C39" w:rsidP="005240FA">
            <w:pPr>
              <w:pStyle w:val="TableText0"/>
              <w:jc w:val="center"/>
              <w:rPr>
                <w:snapToGrid w:val="0"/>
              </w:rPr>
            </w:pPr>
            <w:r>
              <w:rPr>
                <w:snapToGrid w:val="0"/>
              </w:rPr>
              <w:t>0%</w:t>
            </w:r>
          </w:p>
        </w:tc>
      </w:tr>
      <w:tr w:rsidR="00F32C39" w:rsidRPr="009570CB" w14:paraId="1C9244F8" w14:textId="77777777" w:rsidTr="002A43DC">
        <w:tc>
          <w:tcPr>
            <w:tcW w:w="784" w:type="pct"/>
            <w:tcBorders>
              <w:top w:val="single" w:sz="12" w:space="0" w:color="auto"/>
            </w:tcBorders>
            <w:shd w:val="clear" w:color="auto" w:fill="FFFFFF" w:themeFill="background1"/>
          </w:tcPr>
          <w:p w14:paraId="1A6C4B65" w14:textId="77777777" w:rsidR="00F32C39" w:rsidRPr="006F01DE" w:rsidRDefault="00F32C39" w:rsidP="005240FA">
            <w:pPr>
              <w:pStyle w:val="TableText0"/>
              <w:rPr>
                <w:b/>
                <w:snapToGrid w:val="0"/>
              </w:rPr>
            </w:pPr>
            <w:r w:rsidRPr="006F01DE">
              <w:rPr>
                <w:b/>
                <w:snapToGrid w:val="0"/>
              </w:rPr>
              <w:t>Study ID</w:t>
            </w:r>
          </w:p>
        </w:tc>
        <w:tc>
          <w:tcPr>
            <w:tcW w:w="786" w:type="pct"/>
            <w:tcBorders>
              <w:top w:val="single" w:sz="12" w:space="0" w:color="auto"/>
            </w:tcBorders>
            <w:shd w:val="clear" w:color="auto" w:fill="FFFFFF" w:themeFill="background1"/>
            <w:vAlign w:val="center"/>
          </w:tcPr>
          <w:p w14:paraId="479512FE" w14:textId="77777777" w:rsidR="00F32C39" w:rsidRPr="006F01DE" w:rsidRDefault="00F32C39" w:rsidP="005240FA">
            <w:pPr>
              <w:pStyle w:val="TableText0"/>
              <w:rPr>
                <w:b/>
                <w:snapToGrid w:val="0"/>
              </w:rPr>
            </w:pPr>
            <w:r w:rsidRPr="006F01DE">
              <w:rPr>
                <w:b/>
                <w:snapToGrid w:val="0"/>
              </w:rPr>
              <w:t>N analysed</w:t>
            </w:r>
          </w:p>
        </w:tc>
        <w:tc>
          <w:tcPr>
            <w:tcW w:w="472" w:type="pct"/>
            <w:tcBorders>
              <w:top w:val="single" w:sz="12" w:space="0" w:color="auto"/>
            </w:tcBorders>
            <w:shd w:val="clear" w:color="auto" w:fill="FFFFFF" w:themeFill="background1"/>
            <w:vAlign w:val="center"/>
          </w:tcPr>
          <w:p w14:paraId="3D06880B" w14:textId="77777777" w:rsidR="00F32C39" w:rsidRPr="006F01DE" w:rsidRDefault="00F32C39" w:rsidP="005240FA">
            <w:pPr>
              <w:pStyle w:val="TableText0"/>
              <w:rPr>
                <w:b/>
                <w:snapToGrid w:val="0"/>
                <w:color w:val="000000" w:themeColor="text1"/>
              </w:rPr>
            </w:pPr>
            <w:r w:rsidRPr="006F01DE">
              <w:rPr>
                <w:b/>
                <w:snapToGrid w:val="0"/>
                <w:color w:val="000000" w:themeColor="text1"/>
              </w:rPr>
              <w:t>Result</w:t>
            </w:r>
          </w:p>
        </w:tc>
        <w:tc>
          <w:tcPr>
            <w:tcW w:w="864" w:type="pct"/>
            <w:tcBorders>
              <w:top w:val="single" w:sz="12" w:space="0" w:color="auto"/>
            </w:tcBorders>
            <w:shd w:val="clear" w:color="auto" w:fill="FFFFFF" w:themeFill="background1"/>
            <w:vAlign w:val="center"/>
          </w:tcPr>
          <w:p w14:paraId="3E9DEBCF" w14:textId="77777777" w:rsidR="00F32C39" w:rsidRPr="006F01DE" w:rsidRDefault="00F32C39" w:rsidP="005240FA">
            <w:pPr>
              <w:pStyle w:val="TableText0"/>
              <w:jc w:val="center"/>
              <w:rPr>
                <w:b/>
              </w:rPr>
            </w:pPr>
            <w:r w:rsidRPr="006F01DE">
              <w:rPr>
                <w:b/>
              </w:rPr>
              <w:t>NIPT [95%CI]</w:t>
            </w:r>
          </w:p>
        </w:tc>
        <w:tc>
          <w:tcPr>
            <w:tcW w:w="865" w:type="pct"/>
            <w:tcBorders>
              <w:top w:val="single" w:sz="12" w:space="0" w:color="auto"/>
            </w:tcBorders>
            <w:shd w:val="clear" w:color="auto" w:fill="FFFFFF" w:themeFill="background1"/>
            <w:vAlign w:val="center"/>
          </w:tcPr>
          <w:p w14:paraId="4B6C278F" w14:textId="77777777" w:rsidR="00F32C39" w:rsidRPr="006F01DE" w:rsidRDefault="00F32C39" w:rsidP="005240FA">
            <w:pPr>
              <w:pStyle w:val="TableText0"/>
              <w:jc w:val="center"/>
              <w:rPr>
                <w:b/>
              </w:rPr>
            </w:pPr>
            <w:r w:rsidRPr="006F01DE">
              <w:rPr>
                <w:b/>
              </w:rPr>
              <w:t>2TMSS [95%CI]</w:t>
            </w:r>
          </w:p>
        </w:tc>
        <w:tc>
          <w:tcPr>
            <w:tcW w:w="718" w:type="pct"/>
            <w:tcBorders>
              <w:top w:val="single" w:sz="12" w:space="0" w:color="auto"/>
            </w:tcBorders>
            <w:shd w:val="clear" w:color="auto" w:fill="FFFFFF" w:themeFill="background1"/>
          </w:tcPr>
          <w:p w14:paraId="0F367E1B" w14:textId="77777777" w:rsidR="00F32C39" w:rsidRPr="006F01DE" w:rsidRDefault="00F32C39" w:rsidP="005240FA">
            <w:pPr>
              <w:pStyle w:val="TableText0"/>
              <w:jc w:val="center"/>
              <w:rPr>
                <w:b/>
                <w:snapToGrid w:val="0"/>
                <w:color w:val="000000" w:themeColor="text1"/>
              </w:rPr>
            </w:pPr>
            <w:r w:rsidRPr="006F01DE">
              <w:rPr>
                <w:b/>
              </w:rPr>
              <w:t>2TMSS +NIPT</w:t>
            </w:r>
          </w:p>
        </w:tc>
        <w:tc>
          <w:tcPr>
            <w:tcW w:w="511" w:type="pct"/>
            <w:tcBorders>
              <w:top w:val="single" w:sz="12" w:space="0" w:color="auto"/>
            </w:tcBorders>
            <w:shd w:val="clear" w:color="auto" w:fill="FFFFFF" w:themeFill="background1"/>
            <w:vAlign w:val="center"/>
          </w:tcPr>
          <w:p w14:paraId="38908D87" w14:textId="77777777" w:rsidR="00F32C39" w:rsidRPr="006F01DE" w:rsidRDefault="00F32C39" w:rsidP="005240FA">
            <w:pPr>
              <w:pStyle w:val="TableText0"/>
              <w:jc w:val="center"/>
              <w:rPr>
                <w:b/>
                <w:snapToGrid w:val="0"/>
                <w:color w:val="000000" w:themeColor="text1"/>
              </w:rPr>
            </w:pPr>
            <w:r w:rsidRPr="006F01DE">
              <w:rPr>
                <w:b/>
                <w:snapToGrid w:val="0"/>
                <w:color w:val="000000" w:themeColor="text1"/>
              </w:rPr>
              <w:t>Difference</w:t>
            </w:r>
          </w:p>
        </w:tc>
      </w:tr>
      <w:tr w:rsidR="00226018" w:rsidRPr="009570CB" w14:paraId="762D5D5B" w14:textId="77777777" w:rsidTr="002A43DC">
        <w:tc>
          <w:tcPr>
            <w:tcW w:w="784" w:type="pct"/>
            <w:vMerge w:val="restart"/>
            <w:shd w:val="clear" w:color="auto" w:fill="FFFFFF" w:themeFill="background1"/>
            <w:vAlign w:val="center"/>
          </w:tcPr>
          <w:p w14:paraId="326C982A" w14:textId="77777777" w:rsidR="00226018" w:rsidRPr="009570CB" w:rsidRDefault="00226018" w:rsidP="005240FA">
            <w:pPr>
              <w:pStyle w:val="TableText0"/>
              <w:rPr>
                <w:snapToGrid w:val="0"/>
              </w:rPr>
            </w:pPr>
            <w:r w:rsidRPr="009570CB">
              <w:rPr>
                <w:snapToGrid w:val="0"/>
              </w:rPr>
              <w:t>Song 2013</w:t>
            </w:r>
          </w:p>
        </w:tc>
        <w:tc>
          <w:tcPr>
            <w:tcW w:w="786" w:type="pct"/>
            <w:vMerge w:val="restart"/>
            <w:shd w:val="clear" w:color="auto" w:fill="FFFFFF" w:themeFill="background1"/>
            <w:vAlign w:val="center"/>
          </w:tcPr>
          <w:p w14:paraId="0B165455" w14:textId="77777777" w:rsidR="00226018" w:rsidRPr="009570CB" w:rsidRDefault="00226018" w:rsidP="005240FA">
            <w:pPr>
              <w:pStyle w:val="TableText0"/>
              <w:rPr>
                <w:snapToGrid w:val="0"/>
                <w:color w:val="000000" w:themeColor="text1"/>
              </w:rPr>
            </w:pPr>
            <w:r>
              <w:rPr>
                <w:snapToGrid w:val="0"/>
                <w:color w:val="000000" w:themeColor="text1"/>
              </w:rPr>
              <w:t>1741</w:t>
            </w:r>
          </w:p>
        </w:tc>
        <w:tc>
          <w:tcPr>
            <w:tcW w:w="472" w:type="pct"/>
            <w:shd w:val="clear" w:color="auto" w:fill="FFFFFF" w:themeFill="background1"/>
            <w:vAlign w:val="center"/>
          </w:tcPr>
          <w:p w14:paraId="72AE08E2" w14:textId="77777777" w:rsidR="00226018" w:rsidRPr="009570CB" w:rsidRDefault="00226018" w:rsidP="005240FA">
            <w:pPr>
              <w:pStyle w:val="TableText0"/>
              <w:rPr>
                <w:snapToGrid w:val="0"/>
                <w:color w:val="000000" w:themeColor="text1"/>
              </w:rPr>
            </w:pPr>
            <w:r w:rsidRPr="009570CB">
              <w:rPr>
                <w:snapToGrid w:val="0"/>
                <w:color w:val="000000" w:themeColor="text1"/>
              </w:rPr>
              <w:t>Sensitivity</w:t>
            </w:r>
          </w:p>
        </w:tc>
        <w:tc>
          <w:tcPr>
            <w:tcW w:w="864" w:type="pct"/>
            <w:shd w:val="clear" w:color="auto" w:fill="FFFFFF" w:themeFill="background1"/>
            <w:vAlign w:val="center"/>
          </w:tcPr>
          <w:p w14:paraId="1997B54C" w14:textId="77777777" w:rsidR="00226018" w:rsidRPr="009570CB" w:rsidRDefault="00226018" w:rsidP="005240FA">
            <w:pPr>
              <w:pStyle w:val="TableText0"/>
              <w:jc w:val="center"/>
            </w:pPr>
            <w:r w:rsidRPr="009570CB">
              <w:t>100.0% [</w:t>
            </w:r>
            <w:r>
              <w:t>100, 100</w:t>
            </w:r>
            <w:r w:rsidRPr="009570CB">
              <w:t>]</w:t>
            </w:r>
          </w:p>
        </w:tc>
        <w:tc>
          <w:tcPr>
            <w:tcW w:w="865" w:type="pct"/>
            <w:shd w:val="clear" w:color="auto" w:fill="FFFFFF" w:themeFill="background1"/>
            <w:vAlign w:val="center"/>
          </w:tcPr>
          <w:p w14:paraId="6C12ED5D" w14:textId="77777777" w:rsidR="00226018" w:rsidRPr="009570CB" w:rsidRDefault="00226018" w:rsidP="005240FA">
            <w:pPr>
              <w:pStyle w:val="TableText0"/>
              <w:jc w:val="center"/>
            </w:pPr>
            <w:r>
              <w:t>54.5% [23</w:t>
            </w:r>
            <w:r w:rsidRPr="009570CB">
              <w:t>,</w:t>
            </w:r>
            <w:r>
              <w:t xml:space="preserve"> 83</w:t>
            </w:r>
            <w:r w:rsidRPr="009570CB">
              <w:t>]</w:t>
            </w:r>
          </w:p>
        </w:tc>
        <w:tc>
          <w:tcPr>
            <w:tcW w:w="718" w:type="pct"/>
            <w:shd w:val="clear" w:color="auto" w:fill="FFFFFF" w:themeFill="background1"/>
          </w:tcPr>
          <w:p w14:paraId="2D28F0F0" w14:textId="77777777" w:rsidR="00226018" w:rsidRPr="009570CB" w:rsidRDefault="00226018" w:rsidP="005240FA">
            <w:pPr>
              <w:pStyle w:val="TableText0"/>
              <w:jc w:val="center"/>
              <w:rPr>
                <w:snapToGrid w:val="0"/>
                <w:color w:val="000000" w:themeColor="text1"/>
              </w:rPr>
            </w:pPr>
            <w:r w:rsidRPr="0066776C">
              <w:rPr>
                <w:snapToGrid w:val="0"/>
              </w:rPr>
              <w:t>100</w:t>
            </w:r>
            <w:r>
              <w:rPr>
                <w:snapToGrid w:val="0"/>
              </w:rPr>
              <w:t>%</w:t>
            </w:r>
          </w:p>
        </w:tc>
        <w:tc>
          <w:tcPr>
            <w:tcW w:w="511" w:type="pct"/>
            <w:shd w:val="clear" w:color="auto" w:fill="FFFFFF" w:themeFill="background1"/>
            <w:vAlign w:val="center"/>
          </w:tcPr>
          <w:p w14:paraId="16AFED40" w14:textId="77777777" w:rsidR="00226018" w:rsidRPr="009570CB" w:rsidRDefault="00226018" w:rsidP="005240FA">
            <w:pPr>
              <w:pStyle w:val="TableText0"/>
              <w:jc w:val="center"/>
              <w:rPr>
                <w:snapToGrid w:val="0"/>
                <w:color w:val="000000" w:themeColor="text1"/>
              </w:rPr>
            </w:pPr>
            <w:r>
              <w:rPr>
                <w:snapToGrid w:val="0"/>
                <w:color w:val="000000" w:themeColor="text1"/>
              </w:rPr>
              <w:t>+45.5%</w:t>
            </w:r>
          </w:p>
        </w:tc>
      </w:tr>
      <w:tr w:rsidR="00226018" w:rsidRPr="009570CB" w14:paraId="25EE2FF2" w14:textId="77777777" w:rsidTr="002A43DC">
        <w:tc>
          <w:tcPr>
            <w:tcW w:w="784" w:type="pct"/>
            <w:vMerge/>
            <w:tcBorders>
              <w:bottom w:val="single" w:sz="12" w:space="0" w:color="auto"/>
            </w:tcBorders>
            <w:shd w:val="clear" w:color="auto" w:fill="FFFFFF" w:themeFill="background1"/>
            <w:vAlign w:val="center"/>
          </w:tcPr>
          <w:p w14:paraId="4563533C" w14:textId="77777777" w:rsidR="00226018" w:rsidRPr="006F01DE" w:rsidRDefault="00226018" w:rsidP="005240FA">
            <w:pPr>
              <w:pStyle w:val="TableText0"/>
              <w:rPr>
                <w:snapToGrid w:val="0"/>
              </w:rPr>
            </w:pPr>
          </w:p>
        </w:tc>
        <w:tc>
          <w:tcPr>
            <w:tcW w:w="786" w:type="pct"/>
            <w:vMerge/>
            <w:tcBorders>
              <w:bottom w:val="single" w:sz="12" w:space="0" w:color="auto"/>
            </w:tcBorders>
            <w:shd w:val="clear" w:color="auto" w:fill="FFFFFF" w:themeFill="background1"/>
            <w:vAlign w:val="center"/>
          </w:tcPr>
          <w:p w14:paraId="0E7D0349" w14:textId="77777777" w:rsidR="00226018" w:rsidRPr="009570CB" w:rsidRDefault="00226018" w:rsidP="005240FA">
            <w:pPr>
              <w:pStyle w:val="TableText0"/>
              <w:rPr>
                <w:snapToGrid w:val="0"/>
                <w:color w:val="000000" w:themeColor="text1"/>
              </w:rPr>
            </w:pPr>
          </w:p>
        </w:tc>
        <w:tc>
          <w:tcPr>
            <w:tcW w:w="472" w:type="pct"/>
            <w:tcBorders>
              <w:bottom w:val="single" w:sz="12" w:space="0" w:color="auto"/>
            </w:tcBorders>
            <w:shd w:val="clear" w:color="auto" w:fill="FFFFFF" w:themeFill="background1"/>
            <w:vAlign w:val="center"/>
          </w:tcPr>
          <w:p w14:paraId="6CF3BCDE" w14:textId="77777777" w:rsidR="00226018" w:rsidRPr="009570CB" w:rsidRDefault="00226018" w:rsidP="005240FA">
            <w:pPr>
              <w:pStyle w:val="TableText0"/>
              <w:rPr>
                <w:snapToGrid w:val="0"/>
                <w:color w:val="000000" w:themeColor="text1"/>
              </w:rPr>
            </w:pPr>
            <w:r w:rsidRPr="009570CB">
              <w:rPr>
                <w:snapToGrid w:val="0"/>
                <w:color w:val="000000" w:themeColor="text1"/>
              </w:rPr>
              <w:t>Specificity</w:t>
            </w:r>
          </w:p>
        </w:tc>
        <w:tc>
          <w:tcPr>
            <w:tcW w:w="864" w:type="pct"/>
            <w:tcBorders>
              <w:bottom w:val="single" w:sz="12" w:space="0" w:color="auto"/>
            </w:tcBorders>
            <w:shd w:val="clear" w:color="auto" w:fill="FFFFFF" w:themeFill="background1"/>
            <w:vAlign w:val="center"/>
          </w:tcPr>
          <w:p w14:paraId="5DA17713" w14:textId="77777777" w:rsidR="00226018" w:rsidRPr="009570CB" w:rsidRDefault="00226018" w:rsidP="005240FA">
            <w:pPr>
              <w:pStyle w:val="TableText0"/>
              <w:jc w:val="center"/>
            </w:pPr>
            <w:r>
              <w:t>99.9% [99</w:t>
            </w:r>
            <w:r w:rsidRPr="009570CB">
              <w:t>,</w:t>
            </w:r>
            <w:r>
              <w:t xml:space="preserve"> 100</w:t>
            </w:r>
            <w:r w:rsidRPr="009570CB">
              <w:t>]</w:t>
            </w:r>
          </w:p>
        </w:tc>
        <w:tc>
          <w:tcPr>
            <w:tcW w:w="865" w:type="pct"/>
            <w:tcBorders>
              <w:bottom w:val="single" w:sz="12" w:space="0" w:color="auto"/>
            </w:tcBorders>
            <w:shd w:val="clear" w:color="auto" w:fill="FFFFFF" w:themeFill="background1"/>
            <w:vAlign w:val="center"/>
          </w:tcPr>
          <w:p w14:paraId="1661F96F" w14:textId="77777777" w:rsidR="00226018" w:rsidRPr="009570CB" w:rsidRDefault="00226018" w:rsidP="005240FA">
            <w:pPr>
              <w:pStyle w:val="TableText0"/>
              <w:jc w:val="center"/>
            </w:pPr>
            <w:r>
              <w:t>86.0% [84</w:t>
            </w:r>
            <w:r w:rsidRPr="009570CB">
              <w:t>,</w:t>
            </w:r>
            <w:r>
              <w:t xml:space="preserve"> 88</w:t>
            </w:r>
            <w:r w:rsidRPr="009570CB">
              <w:t>]</w:t>
            </w:r>
          </w:p>
        </w:tc>
        <w:tc>
          <w:tcPr>
            <w:tcW w:w="718" w:type="pct"/>
            <w:tcBorders>
              <w:bottom w:val="single" w:sz="12" w:space="0" w:color="auto"/>
            </w:tcBorders>
            <w:shd w:val="clear" w:color="auto" w:fill="FFFFFF" w:themeFill="background1"/>
          </w:tcPr>
          <w:p w14:paraId="47AACF85" w14:textId="77777777" w:rsidR="00226018" w:rsidRPr="009570CB" w:rsidRDefault="00226018" w:rsidP="005240FA">
            <w:pPr>
              <w:pStyle w:val="TableText0"/>
              <w:jc w:val="center"/>
              <w:rPr>
                <w:snapToGrid w:val="0"/>
                <w:color w:val="000000" w:themeColor="text1"/>
              </w:rPr>
            </w:pPr>
            <w:r>
              <w:rPr>
                <w:snapToGrid w:val="0"/>
                <w:color w:val="000000" w:themeColor="text1"/>
              </w:rPr>
              <w:t>85.9%</w:t>
            </w:r>
          </w:p>
        </w:tc>
        <w:tc>
          <w:tcPr>
            <w:tcW w:w="511" w:type="pct"/>
            <w:tcBorders>
              <w:bottom w:val="single" w:sz="12" w:space="0" w:color="auto"/>
            </w:tcBorders>
            <w:shd w:val="clear" w:color="auto" w:fill="FFFFFF" w:themeFill="background1"/>
            <w:vAlign w:val="center"/>
          </w:tcPr>
          <w:p w14:paraId="7EE803FE" w14:textId="77777777" w:rsidR="00226018" w:rsidRPr="009570CB" w:rsidRDefault="00226018" w:rsidP="005240FA">
            <w:pPr>
              <w:pStyle w:val="TableText0"/>
              <w:jc w:val="center"/>
              <w:rPr>
                <w:snapToGrid w:val="0"/>
                <w:color w:val="000000" w:themeColor="text1"/>
              </w:rPr>
            </w:pPr>
            <w:r>
              <w:rPr>
                <w:snapToGrid w:val="0"/>
              </w:rPr>
              <w:t>-0.1</w:t>
            </w:r>
            <w:r w:rsidRPr="0066776C">
              <w:rPr>
                <w:snapToGrid w:val="0"/>
              </w:rPr>
              <w:t>%</w:t>
            </w:r>
          </w:p>
        </w:tc>
      </w:tr>
      <w:tr w:rsidR="00F32C39" w:rsidRPr="009570CB" w14:paraId="012CCEAE" w14:textId="77777777" w:rsidTr="002A43DC">
        <w:tc>
          <w:tcPr>
            <w:tcW w:w="784" w:type="pct"/>
            <w:tcBorders>
              <w:top w:val="single" w:sz="12" w:space="0" w:color="auto"/>
            </w:tcBorders>
            <w:shd w:val="clear" w:color="auto" w:fill="FFFFFF" w:themeFill="background1"/>
            <w:vAlign w:val="center"/>
          </w:tcPr>
          <w:p w14:paraId="3DB21661" w14:textId="77777777" w:rsidR="00F32C39" w:rsidRPr="006F01DE" w:rsidRDefault="00F32C39" w:rsidP="005240FA">
            <w:pPr>
              <w:pStyle w:val="TableText0"/>
              <w:rPr>
                <w:b/>
                <w:snapToGrid w:val="0"/>
              </w:rPr>
            </w:pPr>
            <w:r w:rsidRPr="006F01DE">
              <w:rPr>
                <w:b/>
                <w:snapToGrid w:val="0"/>
              </w:rPr>
              <w:t>Study ID</w:t>
            </w:r>
          </w:p>
        </w:tc>
        <w:tc>
          <w:tcPr>
            <w:tcW w:w="786" w:type="pct"/>
            <w:tcBorders>
              <w:top w:val="single" w:sz="12" w:space="0" w:color="auto"/>
            </w:tcBorders>
            <w:shd w:val="clear" w:color="auto" w:fill="FFFFFF" w:themeFill="background1"/>
            <w:vAlign w:val="center"/>
          </w:tcPr>
          <w:p w14:paraId="74115B4E" w14:textId="77777777" w:rsidR="00F32C39" w:rsidRPr="006F01DE" w:rsidRDefault="00F32C39" w:rsidP="005240FA">
            <w:pPr>
              <w:pStyle w:val="TableText0"/>
              <w:rPr>
                <w:b/>
              </w:rPr>
            </w:pPr>
            <w:r w:rsidRPr="006F01DE">
              <w:rPr>
                <w:b/>
                <w:snapToGrid w:val="0"/>
              </w:rPr>
              <w:t>N analysed</w:t>
            </w:r>
          </w:p>
        </w:tc>
        <w:tc>
          <w:tcPr>
            <w:tcW w:w="472" w:type="pct"/>
            <w:tcBorders>
              <w:top w:val="single" w:sz="12" w:space="0" w:color="auto"/>
            </w:tcBorders>
            <w:shd w:val="clear" w:color="auto" w:fill="FFFFFF" w:themeFill="background1"/>
            <w:vAlign w:val="center"/>
          </w:tcPr>
          <w:p w14:paraId="58E8B7E5" w14:textId="77777777" w:rsidR="00F32C39" w:rsidRPr="006F01DE" w:rsidRDefault="00F32C39" w:rsidP="005240FA">
            <w:pPr>
              <w:pStyle w:val="TableText0"/>
              <w:rPr>
                <w:b/>
              </w:rPr>
            </w:pPr>
            <w:r w:rsidRPr="006F01DE">
              <w:rPr>
                <w:b/>
              </w:rPr>
              <w:t>Result</w:t>
            </w:r>
          </w:p>
        </w:tc>
        <w:tc>
          <w:tcPr>
            <w:tcW w:w="864" w:type="pct"/>
            <w:tcBorders>
              <w:top w:val="single" w:sz="12" w:space="0" w:color="auto"/>
            </w:tcBorders>
            <w:shd w:val="clear" w:color="auto" w:fill="FFFFFF" w:themeFill="background1"/>
            <w:vAlign w:val="center"/>
          </w:tcPr>
          <w:p w14:paraId="72E3B011" w14:textId="77777777" w:rsidR="00F32C39" w:rsidRPr="006F01DE" w:rsidRDefault="00F32C39" w:rsidP="005240FA">
            <w:pPr>
              <w:pStyle w:val="TableText0"/>
              <w:jc w:val="center"/>
              <w:rPr>
                <w:b/>
              </w:rPr>
            </w:pPr>
            <w:r w:rsidRPr="006F01DE">
              <w:rPr>
                <w:b/>
              </w:rPr>
              <w:t>NIPT [95%CI]</w:t>
            </w:r>
          </w:p>
        </w:tc>
        <w:tc>
          <w:tcPr>
            <w:tcW w:w="865" w:type="pct"/>
            <w:tcBorders>
              <w:top w:val="single" w:sz="12" w:space="0" w:color="auto"/>
            </w:tcBorders>
            <w:shd w:val="clear" w:color="auto" w:fill="FFFFFF" w:themeFill="background1"/>
            <w:vAlign w:val="center"/>
          </w:tcPr>
          <w:p w14:paraId="23E68140" w14:textId="77777777" w:rsidR="00F32C39" w:rsidRPr="006F01DE" w:rsidRDefault="00F32C39" w:rsidP="005240FA">
            <w:pPr>
              <w:pStyle w:val="TableText0"/>
              <w:jc w:val="center"/>
              <w:rPr>
                <w:b/>
              </w:rPr>
            </w:pPr>
            <w:r w:rsidRPr="006F01DE">
              <w:rPr>
                <w:b/>
              </w:rPr>
              <w:t>CFTS or 2TMSS</w:t>
            </w:r>
            <w:r w:rsidRPr="006F01DE">
              <w:rPr>
                <w:b/>
              </w:rPr>
              <w:br/>
              <w:t>[95%CI]</w:t>
            </w:r>
          </w:p>
        </w:tc>
        <w:tc>
          <w:tcPr>
            <w:tcW w:w="718" w:type="pct"/>
            <w:tcBorders>
              <w:top w:val="single" w:sz="12" w:space="0" w:color="auto"/>
            </w:tcBorders>
            <w:shd w:val="clear" w:color="auto" w:fill="FFFFFF" w:themeFill="background1"/>
          </w:tcPr>
          <w:p w14:paraId="5CF93E81" w14:textId="77777777" w:rsidR="00F32C39" w:rsidRPr="006F01DE" w:rsidRDefault="00F32C39" w:rsidP="005240FA">
            <w:pPr>
              <w:pStyle w:val="TableText0"/>
              <w:jc w:val="center"/>
              <w:rPr>
                <w:b/>
              </w:rPr>
            </w:pPr>
            <w:r w:rsidRPr="006F01DE">
              <w:rPr>
                <w:b/>
              </w:rPr>
              <w:t>CFTS/2TMSS +NIPT</w:t>
            </w:r>
            <w:r w:rsidRPr="006F01DE">
              <w:rPr>
                <w:b/>
                <w:vertAlign w:val="superscript"/>
              </w:rPr>
              <w:t>#</w:t>
            </w:r>
          </w:p>
        </w:tc>
        <w:tc>
          <w:tcPr>
            <w:tcW w:w="511" w:type="pct"/>
            <w:tcBorders>
              <w:top w:val="single" w:sz="12" w:space="0" w:color="auto"/>
            </w:tcBorders>
            <w:shd w:val="clear" w:color="auto" w:fill="FFFFFF" w:themeFill="background1"/>
            <w:vAlign w:val="center"/>
          </w:tcPr>
          <w:p w14:paraId="60DFB4ED" w14:textId="77777777" w:rsidR="00F32C39" w:rsidRPr="006F01DE" w:rsidRDefault="00F32C39" w:rsidP="005240FA">
            <w:pPr>
              <w:pStyle w:val="TableText0"/>
              <w:jc w:val="center"/>
              <w:rPr>
                <w:b/>
              </w:rPr>
            </w:pPr>
            <w:r w:rsidRPr="006F01DE">
              <w:rPr>
                <w:b/>
              </w:rPr>
              <w:t>Difference</w:t>
            </w:r>
          </w:p>
        </w:tc>
      </w:tr>
      <w:tr w:rsidR="00F32C39" w:rsidRPr="009570CB" w14:paraId="062365F1" w14:textId="77777777" w:rsidTr="002A43DC">
        <w:tc>
          <w:tcPr>
            <w:tcW w:w="784" w:type="pct"/>
            <w:vMerge w:val="restart"/>
            <w:shd w:val="clear" w:color="auto" w:fill="auto"/>
            <w:vAlign w:val="center"/>
          </w:tcPr>
          <w:p w14:paraId="2F018FE0" w14:textId="77777777" w:rsidR="00F32C39" w:rsidRPr="009570CB" w:rsidRDefault="00F32C39" w:rsidP="005240FA">
            <w:pPr>
              <w:pStyle w:val="TableText0"/>
            </w:pPr>
            <w:r w:rsidRPr="009570CB">
              <w:t>Bianchi 2014</w:t>
            </w:r>
          </w:p>
        </w:tc>
        <w:tc>
          <w:tcPr>
            <w:tcW w:w="786" w:type="pct"/>
            <w:vMerge w:val="restart"/>
            <w:vAlign w:val="center"/>
          </w:tcPr>
          <w:p w14:paraId="69F953B9" w14:textId="77777777" w:rsidR="00F32C39" w:rsidRDefault="00F32C39" w:rsidP="005240FA">
            <w:pPr>
              <w:pStyle w:val="TableText0"/>
              <w:rPr>
                <w:snapToGrid w:val="0"/>
              </w:rPr>
            </w:pPr>
            <w:r>
              <w:t xml:space="preserve">1912 </w:t>
            </w:r>
            <w:r>
              <w:rPr>
                <w:snapToGrid w:val="0"/>
              </w:rPr>
              <w:t>(SS)</w:t>
            </w:r>
          </w:p>
          <w:p w14:paraId="1D0DD343" w14:textId="77777777" w:rsidR="00F32C39" w:rsidRPr="009570CB" w:rsidRDefault="00F32C39" w:rsidP="005240FA">
            <w:pPr>
              <w:pStyle w:val="TableText0"/>
            </w:pPr>
            <w:r>
              <w:rPr>
                <w:snapToGrid w:val="0"/>
              </w:rPr>
              <w:t>1952 (NIPT)</w:t>
            </w:r>
          </w:p>
        </w:tc>
        <w:tc>
          <w:tcPr>
            <w:tcW w:w="472" w:type="pct"/>
            <w:vAlign w:val="center"/>
          </w:tcPr>
          <w:p w14:paraId="366E747A" w14:textId="77777777" w:rsidR="00F32C39" w:rsidRPr="009570CB" w:rsidRDefault="00F32C39" w:rsidP="005240FA">
            <w:pPr>
              <w:pStyle w:val="TableText0"/>
            </w:pPr>
            <w:r w:rsidRPr="009570CB">
              <w:t>Sensitivity</w:t>
            </w:r>
          </w:p>
        </w:tc>
        <w:tc>
          <w:tcPr>
            <w:tcW w:w="864" w:type="pct"/>
            <w:shd w:val="clear" w:color="auto" w:fill="auto"/>
            <w:vAlign w:val="center"/>
          </w:tcPr>
          <w:p w14:paraId="46773C92" w14:textId="77777777" w:rsidR="00F32C39" w:rsidRPr="009570CB" w:rsidRDefault="00F32C39" w:rsidP="005240FA">
            <w:pPr>
              <w:pStyle w:val="TableText0"/>
              <w:jc w:val="center"/>
            </w:pPr>
            <w:r w:rsidRPr="009570CB">
              <w:t>100.0% [</w:t>
            </w:r>
            <w:r>
              <w:t>100</w:t>
            </w:r>
            <w:r w:rsidRPr="009570CB">
              <w:t>,</w:t>
            </w:r>
            <w:r>
              <w:t xml:space="preserve"> 100</w:t>
            </w:r>
            <w:r w:rsidRPr="009570CB">
              <w:t>]</w:t>
            </w:r>
          </w:p>
        </w:tc>
        <w:tc>
          <w:tcPr>
            <w:tcW w:w="865" w:type="pct"/>
            <w:shd w:val="clear" w:color="auto" w:fill="auto"/>
            <w:vAlign w:val="center"/>
          </w:tcPr>
          <w:p w14:paraId="675B751E" w14:textId="77777777" w:rsidR="00F32C39" w:rsidRPr="009570CB" w:rsidRDefault="00F32C39" w:rsidP="005240FA">
            <w:pPr>
              <w:pStyle w:val="TableText0"/>
              <w:jc w:val="center"/>
            </w:pPr>
            <w:r w:rsidRPr="009570CB">
              <w:t>100.0% [</w:t>
            </w:r>
            <w:r>
              <w:t>100</w:t>
            </w:r>
            <w:r w:rsidRPr="009570CB">
              <w:t>,</w:t>
            </w:r>
            <w:r>
              <w:t xml:space="preserve"> 100</w:t>
            </w:r>
            <w:r w:rsidRPr="009570CB">
              <w:t>]</w:t>
            </w:r>
          </w:p>
        </w:tc>
        <w:tc>
          <w:tcPr>
            <w:tcW w:w="718" w:type="pct"/>
          </w:tcPr>
          <w:p w14:paraId="3AA8F610" w14:textId="77777777" w:rsidR="00F32C39" w:rsidRPr="009570CB" w:rsidRDefault="00F32C39" w:rsidP="005240FA">
            <w:pPr>
              <w:pStyle w:val="TableText0"/>
              <w:jc w:val="center"/>
            </w:pPr>
            <w:r w:rsidRPr="0066776C">
              <w:rPr>
                <w:snapToGrid w:val="0"/>
              </w:rPr>
              <w:t>100</w:t>
            </w:r>
            <w:r>
              <w:rPr>
                <w:snapToGrid w:val="0"/>
              </w:rPr>
              <w:t>%</w:t>
            </w:r>
          </w:p>
        </w:tc>
        <w:tc>
          <w:tcPr>
            <w:tcW w:w="511" w:type="pct"/>
            <w:shd w:val="clear" w:color="auto" w:fill="auto"/>
            <w:vAlign w:val="center"/>
          </w:tcPr>
          <w:p w14:paraId="7EF48871" w14:textId="77777777" w:rsidR="00F32C39" w:rsidRPr="009570CB" w:rsidRDefault="00F32C39" w:rsidP="005240FA">
            <w:pPr>
              <w:pStyle w:val="TableText0"/>
              <w:jc w:val="center"/>
            </w:pPr>
            <w:r>
              <w:t>0</w:t>
            </w:r>
            <w:r w:rsidRPr="009570CB">
              <w:t>%</w:t>
            </w:r>
          </w:p>
        </w:tc>
      </w:tr>
      <w:tr w:rsidR="00F32C39" w:rsidRPr="009570CB" w14:paraId="42AC199A" w14:textId="77777777" w:rsidTr="002A43DC">
        <w:trPr>
          <w:trHeight w:val="215"/>
        </w:trPr>
        <w:tc>
          <w:tcPr>
            <w:tcW w:w="784" w:type="pct"/>
            <w:vMerge/>
            <w:shd w:val="clear" w:color="auto" w:fill="auto"/>
            <w:vAlign w:val="center"/>
          </w:tcPr>
          <w:p w14:paraId="170A9104" w14:textId="77777777" w:rsidR="00F32C39" w:rsidRPr="000227C7" w:rsidRDefault="00F32C39" w:rsidP="005240FA">
            <w:pPr>
              <w:pStyle w:val="TableText0"/>
              <w:rPr>
                <w:i/>
                <w:snapToGrid w:val="0"/>
              </w:rPr>
            </w:pPr>
          </w:p>
        </w:tc>
        <w:tc>
          <w:tcPr>
            <w:tcW w:w="786" w:type="pct"/>
            <w:vMerge/>
            <w:vAlign w:val="center"/>
          </w:tcPr>
          <w:p w14:paraId="0B69FE5A" w14:textId="77777777" w:rsidR="00F32C39" w:rsidRPr="009570CB" w:rsidRDefault="00F32C39" w:rsidP="005240FA">
            <w:pPr>
              <w:pStyle w:val="TableText0"/>
            </w:pPr>
          </w:p>
        </w:tc>
        <w:tc>
          <w:tcPr>
            <w:tcW w:w="472" w:type="pct"/>
            <w:vAlign w:val="center"/>
          </w:tcPr>
          <w:p w14:paraId="7C4F8980" w14:textId="77777777" w:rsidR="00F32C39" w:rsidRPr="009570CB" w:rsidRDefault="00F32C39" w:rsidP="005240FA">
            <w:pPr>
              <w:pStyle w:val="TableText0"/>
            </w:pPr>
            <w:r w:rsidRPr="009570CB">
              <w:t>Specificity</w:t>
            </w:r>
          </w:p>
        </w:tc>
        <w:tc>
          <w:tcPr>
            <w:tcW w:w="864" w:type="pct"/>
            <w:shd w:val="clear" w:color="auto" w:fill="auto"/>
            <w:vAlign w:val="center"/>
          </w:tcPr>
          <w:p w14:paraId="125AE64B" w14:textId="77777777" w:rsidR="00F32C39" w:rsidRPr="009570CB" w:rsidRDefault="00F32C39" w:rsidP="005240FA">
            <w:pPr>
              <w:pStyle w:val="TableText0"/>
              <w:jc w:val="center"/>
            </w:pPr>
            <w:r>
              <w:t>99.8</w:t>
            </w:r>
            <w:r w:rsidRPr="009570CB">
              <w:t>% [99,</w:t>
            </w:r>
            <w:r>
              <w:t xml:space="preserve"> 100</w:t>
            </w:r>
            <w:r w:rsidRPr="009570CB">
              <w:t>]</w:t>
            </w:r>
          </w:p>
        </w:tc>
        <w:tc>
          <w:tcPr>
            <w:tcW w:w="865" w:type="pct"/>
            <w:shd w:val="clear" w:color="auto" w:fill="auto"/>
            <w:vAlign w:val="center"/>
          </w:tcPr>
          <w:p w14:paraId="44418936" w14:textId="77777777" w:rsidR="00F32C39" w:rsidRPr="009570CB" w:rsidRDefault="00F32C39" w:rsidP="005240FA">
            <w:pPr>
              <w:pStyle w:val="TableText0"/>
              <w:jc w:val="center"/>
            </w:pPr>
            <w:r w:rsidRPr="009570CB">
              <w:t>9</w:t>
            </w:r>
            <w:r>
              <w:t>8.2</w:t>
            </w:r>
            <w:r w:rsidRPr="009570CB">
              <w:t>% [</w:t>
            </w:r>
            <w:r>
              <w:t>98</w:t>
            </w:r>
            <w:r w:rsidRPr="009570CB">
              <w:t>,</w:t>
            </w:r>
            <w:r>
              <w:t xml:space="preserve"> 99</w:t>
            </w:r>
            <w:r w:rsidRPr="009570CB">
              <w:t>]</w:t>
            </w:r>
          </w:p>
        </w:tc>
        <w:tc>
          <w:tcPr>
            <w:tcW w:w="718" w:type="pct"/>
          </w:tcPr>
          <w:p w14:paraId="2139BEC7" w14:textId="77777777" w:rsidR="00F32C39" w:rsidRPr="009570CB" w:rsidRDefault="00F32C39" w:rsidP="005240FA">
            <w:pPr>
              <w:pStyle w:val="TableText0"/>
              <w:jc w:val="center"/>
            </w:pPr>
            <w:r>
              <w:t>98.0%</w:t>
            </w:r>
          </w:p>
        </w:tc>
        <w:tc>
          <w:tcPr>
            <w:tcW w:w="511" w:type="pct"/>
            <w:shd w:val="clear" w:color="auto" w:fill="auto"/>
            <w:vAlign w:val="center"/>
          </w:tcPr>
          <w:p w14:paraId="3F5889D2" w14:textId="77777777" w:rsidR="00F32C39" w:rsidRPr="009570CB" w:rsidRDefault="00F32C39" w:rsidP="005240FA">
            <w:pPr>
              <w:pStyle w:val="TableText0"/>
              <w:jc w:val="center"/>
            </w:pPr>
            <w:r>
              <w:rPr>
                <w:snapToGrid w:val="0"/>
              </w:rPr>
              <w:t>-0.2</w:t>
            </w:r>
            <w:r w:rsidRPr="0066776C">
              <w:rPr>
                <w:snapToGrid w:val="0"/>
              </w:rPr>
              <w:t>%</w:t>
            </w:r>
          </w:p>
        </w:tc>
      </w:tr>
      <w:tr w:rsidR="00F32C39" w:rsidRPr="009570CB" w14:paraId="3D3BC782" w14:textId="77777777" w:rsidTr="002A43DC">
        <w:trPr>
          <w:trHeight w:val="215"/>
        </w:trPr>
        <w:tc>
          <w:tcPr>
            <w:tcW w:w="784" w:type="pct"/>
            <w:vMerge w:val="restart"/>
            <w:shd w:val="clear" w:color="auto" w:fill="auto"/>
            <w:vAlign w:val="center"/>
          </w:tcPr>
          <w:p w14:paraId="5F5EFA64" w14:textId="7611EFB7" w:rsidR="00F32C39" w:rsidRPr="00226018" w:rsidRDefault="00F32C39" w:rsidP="00226018">
            <w:pPr>
              <w:pStyle w:val="TableText0"/>
              <w:rPr>
                <w:snapToGrid w:val="0"/>
              </w:rPr>
            </w:pPr>
            <w:r w:rsidRPr="00226018">
              <w:t>Langlois 2017^</w:t>
            </w:r>
          </w:p>
        </w:tc>
        <w:tc>
          <w:tcPr>
            <w:tcW w:w="786" w:type="pct"/>
            <w:vMerge w:val="restart"/>
            <w:vAlign w:val="center"/>
          </w:tcPr>
          <w:p w14:paraId="59B8B92D" w14:textId="77777777" w:rsidR="00F32C39" w:rsidRPr="009570CB" w:rsidRDefault="00F32C39" w:rsidP="005240FA">
            <w:pPr>
              <w:pStyle w:val="TableText0"/>
              <w:rPr>
                <w:snapToGrid w:val="0"/>
                <w:color w:val="000000" w:themeColor="text1"/>
              </w:rPr>
            </w:pPr>
            <w:r>
              <w:rPr>
                <w:snapToGrid w:val="0"/>
                <w:color w:val="000000" w:themeColor="text1"/>
              </w:rPr>
              <w:t>1152</w:t>
            </w:r>
          </w:p>
        </w:tc>
        <w:tc>
          <w:tcPr>
            <w:tcW w:w="472" w:type="pct"/>
            <w:vAlign w:val="center"/>
          </w:tcPr>
          <w:p w14:paraId="1EA4CDF0" w14:textId="77777777" w:rsidR="00F32C39" w:rsidRPr="009570CB" w:rsidRDefault="00F32C39" w:rsidP="005240FA">
            <w:pPr>
              <w:pStyle w:val="TableText0"/>
              <w:rPr>
                <w:snapToGrid w:val="0"/>
                <w:color w:val="000000" w:themeColor="text1"/>
              </w:rPr>
            </w:pPr>
            <w:r w:rsidRPr="009570CB">
              <w:rPr>
                <w:snapToGrid w:val="0"/>
                <w:color w:val="000000" w:themeColor="text1"/>
              </w:rPr>
              <w:t>Sensitivity</w:t>
            </w:r>
          </w:p>
        </w:tc>
        <w:tc>
          <w:tcPr>
            <w:tcW w:w="864" w:type="pct"/>
            <w:shd w:val="clear" w:color="auto" w:fill="auto"/>
            <w:vAlign w:val="center"/>
          </w:tcPr>
          <w:p w14:paraId="337D3AD1" w14:textId="77777777" w:rsidR="00F32C39" w:rsidRPr="006E3225" w:rsidRDefault="00F32C39" w:rsidP="005240FA">
            <w:pPr>
              <w:pStyle w:val="TableText0"/>
              <w:jc w:val="center"/>
            </w:pPr>
            <w:r w:rsidRPr="009570CB">
              <w:t>100.0% [</w:t>
            </w:r>
            <w:r>
              <w:t>100</w:t>
            </w:r>
            <w:r w:rsidRPr="009570CB">
              <w:t>,</w:t>
            </w:r>
            <w:r>
              <w:t xml:space="preserve"> 100</w:t>
            </w:r>
            <w:r w:rsidRPr="009570CB">
              <w:t>]</w:t>
            </w:r>
          </w:p>
        </w:tc>
        <w:tc>
          <w:tcPr>
            <w:tcW w:w="865" w:type="pct"/>
            <w:shd w:val="clear" w:color="auto" w:fill="auto"/>
            <w:vAlign w:val="center"/>
          </w:tcPr>
          <w:p w14:paraId="66463A77" w14:textId="77777777" w:rsidR="00F32C39" w:rsidRPr="006E3225" w:rsidRDefault="00F32C39" w:rsidP="005240FA">
            <w:pPr>
              <w:pStyle w:val="TableText0"/>
              <w:jc w:val="center"/>
            </w:pPr>
            <w:r>
              <w:t>83.3% [54, 100]</w:t>
            </w:r>
          </w:p>
        </w:tc>
        <w:tc>
          <w:tcPr>
            <w:tcW w:w="718" w:type="pct"/>
          </w:tcPr>
          <w:p w14:paraId="2F3DDF91" w14:textId="77777777" w:rsidR="00F32C39" w:rsidRPr="006E3225" w:rsidRDefault="00F32C39" w:rsidP="005240FA">
            <w:pPr>
              <w:pStyle w:val="TableText0"/>
              <w:jc w:val="center"/>
            </w:pPr>
            <w:r w:rsidRPr="0066776C">
              <w:rPr>
                <w:snapToGrid w:val="0"/>
              </w:rPr>
              <w:t>100</w:t>
            </w:r>
            <w:r>
              <w:rPr>
                <w:snapToGrid w:val="0"/>
              </w:rPr>
              <w:t>%</w:t>
            </w:r>
          </w:p>
        </w:tc>
        <w:tc>
          <w:tcPr>
            <w:tcW w:w="511" w:type="pct"/>
            <w:shd w:val="clear" w:color="auto" w:fill="auto"/>
            <w:vAlign w:val="center"/>
          </w:tcPr>
          <w:p w14:paraId="73B68C93" w14:textId="77777777" w:rsidR="00F32C39" w:rsidRPr="006E3225" w:rsidRDefault="00F32C39" w:rsidP="005240FA">
            <w:pPr>
              <w:pStyle w:val="TableText0"/>
              <w:jc w:val="center"/>
            </w:pPr>
            <w:r>
              <w:t>+16.7</w:t>
            </w:r>
            <w:r w:rsidRPr="009570CB">
              <w:t>%</w:t>
            </w:r>
          </w:p>
        </w:tc>
      </w:tr>
      <w:tr w:rsidR="00F32C39" w:rsidRPr="009570CB" w14:paraId="352EEA17" w14:textId="77777777" w:rsidTr="002A43DC">
        <w:trPr>
          <w:trHeight w:val="215"/>
        </w:trPr>
        <w:tc>
          <w:tcPr>
            <w:tcW w:w="784" w:type="pct"/>
            <w:vMerge/>
            <w:shd w:val="clear" w:color="auto" w:fill="auto"/>
            <w:vAlign w:val="center"/>
          </w:tcPr>
          <w:p w14:paraId="3961937A" w14:textId="77777777" w:rsidR="00F32C39" w:rsidRPr="00A84E83" w:rsidRDefault="00F32C39" w:rsidP="005240FA">
            <w:pPr>
              <w:pStyle w:val="TableText0"/>
            </w:pPr>
          </w:p>
        </w:tc>
        <w:tc>
          <w:tcPr>
            <w:tcW w:w="786" w:type="pct"/>
            <w:vMerge/>
            <w:vAlign w:val="center"/>
          </w:tcPr>
          <w:p w14:paraId="6F639392" w14:textId="77777777" w:rsidR="00F32C39" w:rsidRPr="009570CB" w:rsidRDefault="00F32C39" w:rsidP="005240FA">
            <w:pPr>
              <w:pStyle w:val="TableText0"/>
              <w:rPr>
                <w:snapToGrid w:val="0"/>
                <w:color w:val="000000" w:themeColor="text1"/>
              </w:rPr>
            </w:pPr>
          </w:p>
        </w:tc>
        <w:tc>
          <w:tcPr>
            <w:tcW w:w="472" w:type="pct"/>
            <w:vAlign w:val="center"/>
          </w:tcPr>
          <w:p w14:paraId="5A214997" w14:textId="77777777" w:rsidR="00F32C39" w:rsidRPr="009570CB" w:rsidRDefault="00F32C39" w:rsidP="005240FA">
            <w:pPr>
              <w:pStyle w:val="TableText0"/>
              <w:rPr>
                <w:snapToGrid w:val="0"/>
                <w:color w:val="000000" w:themeColor="text1"/>
              </w:rPr>
            </w:pPr>
            <w:r w:rsidRPr="009570CB">
              <w:rPr>
                <w:snapToGrid w:val="0"/>
                <w:color w:val="000000" w:themeColor="text1"/>
              </w:rPr>
              <w:t>Specificity</w:t>
            </w:r>
          </w:p>
        </w:tc>
        <w:tc>
          <w:tcPr>
            <w:tcW w:w="864" w:type="pct"/>
            <w:shd w:val="clear" w:color="auto" w:fill="auto"/>
            <w:vAlign w:val="center"/>
          </w:tcPr>
          <w:p w14:paraId="4A1101F1" w14:textId="77777777" w:rsidR="00F32C39" w:rsidRPr="006E3225" w:rsidRDefault="00F32C39" w:rsidP="005240FA">
            <w:pPr>
              <w:pStyle w:val="TableText0"/>
              <w:jc w:val="center"/>
            </w:pPr>
            <w:r>
              <w:t>99.8</w:t>
            </w:r>
            <w:r w:rsidRPr="009570CB">
              <w:t>% [99,</w:t>
            </w:r>
            <w:r>
              <w:t xml:space="preserve"> 100</w:t>
            </w:r>
            <w:r w:rsidRPr="009570CB">
              <w:t>]</w:t>
            </w:r>
          </w:p>
        </w:tc>
        <w:tc>
          <w:tcPr>
            <w:tcW w:w="865" w:type="pct"/>
            <w:shd w:val="clear" w:color="auto" w:fill="auto"/>
            <w:vAlign w:val="center"/>
          </w:tcPr>
          <w:p w14:paraId="09845D76" w14:textId="77777777" w:rsidR="00F32C39" w:rsidRPr="006E3225" w:rsidRDefault="00F32C39" w:rsidP="005240FA">
            <w:pPr>
              <w:pStyle w:val="TableText0"/>
              <w:jc w:val="center"/>
            </w:pPr>
            <w:r>
              <w:t>94.5% [93, 96]</w:t>
            </w:r>
          </w:p>
        </w:tc>
        <w:tc>
          <w:tcPr>
            <w:tcW w:w="718" w:type="pct"/>
            <w:vAlign w:val="center"/>
          </w:tcPr>
          <w:p w14:paraId="3602225A" w14:textId="77777777" w:rsidR="00F32C39" w:rsidRPr="006E3225" w:rsidRDefault="00F32C39" w:rsidP="005240FA">
            <w:pPr>
              <w:pStyle w:val="TableText0"/>
              <w:jc w:val="center"/>
            </w:pPr>
            <w:r>
              <w:t>94.3%</w:t>
            </w:r>
          </w:p>
        </w:tc>
        <w:tc>
          <w:tcPr>
            <w:tcW w:w="511" w:type="pct"/>
            <w:shd w:val="clear" w:color="auto" w:fill="auto"/>
            <w:vAlign w:val="center"/>
          </w:tcPr>
          <w:p w14:paraId="0AECB02A" w14:textId="77777777" w:rsidR="00F32C39" w:rsidRPr="006E3225" w:rsidRDefault="00F32C39" w:rsidP="005240FA">
            <w:pPr>
              <w:pStyle w:val="TableText0"/>
              <w:jc w:val="center"/>
            </w:pPr>
            <w:r>
              <w:rPr>
                <w:snapToGrid w:val="0"/>
              </w:rPr>
              <w:t>-0.2</w:t>
            </w:r>
            <w:r w:rsidRPr="0066776C">
              <w:rPr>
                <w:snapToGrid w:val="0"/>
              </w:rPr>
              <w:t>%</w:t>
            </w:r>
          </w:p>
        </w:tc>
      </w:tr>
      <w:tr w:rsidR="00F32C39" w:rsidRPr="009570CB" w14:paraId="7FA10112" w14:textId="77777777" w:rsidTr="002A43DC">
        <w:trPr>
          <w:trHeight w:val="215"/>
        </w:trPr>
        <w:tc>
          <w:tcPr>
            <w:tcW w:w="784" w:type="pct"/>
            <w:vMerge w:val="restart"/>
            <w:shd w:val="clear" w:color="auto" w:fill="auto"/>
            <w:vAlign w:val="center"/>
          </w:tcPr>
          <w:p w14:paraId="63D73BFC" w14:textId="77777777" w:rsidR="00F32C39" w:rsidRPr="00A84E83" w:rsidRDefault="00F32C39" w:rsidP="005240FA">
            <w:pPr>
              <w:pStyle w:val="TableText0"/>
            </w:pPr>
            <w:r w:rsidRPr="00A5339A">
              <w:t>Pérez-Pedregosa</w:t>
            </w:r>
            <w:r>
              <w:t xml:space="preserve"> </w:t>
            </w:r>
            <w:r w:rsidRPr="00A5339A">
              <w:t>2015</w:t>
            </w:r>
            <w:r>
              <w:t>^</w:t>
            </w:r>
          </w:p>
        </w:tc>
        <w:tc>
          <w:tcPr>
            <w:tcW w:w="786" w:type="pct"/>
            <w:vMerge w:val="restart"/>
            <w:vAlign w:val="center"/>
          </w:tcPr>
          <w:p w14:paraId="53252543" w14:textId="77777777" w:rsidR="00F32C39" w:rsidRDefault="00F32C39" w:rsidP="005240FA">
            <w:pPr>
              <w:pStyle w:val="TableText0"/>
              <w:rPr>
                <w:snapToGrid w:val="0"/>
              </w:rPr>
            </w:pPr>
            <w:r>
              <w:t xml:space="preserve">581 </w:t>
            </w:r>
            <w:r>
              <w:rPr>
                <w:snapToGrid w:val="0"/>
              </w:rPr>
              <w:t>(SS)</w:t>
            </w:r>
          </w:p>
          <w:p w14:paraId="531358B3" w14:textId="77777777" w:rsidR="00F32C39" w:rsidRPr="009570CB" w:rsidRDefault="00F32C39" w:rsidP="005240FA">
            <w:pPr>
              <w:pStyle w:val="TableText0"/>
              <w:rPr>
                <w:snapToGrid w:val="0"/>
                <w:color w:val="000000" w:themeColor="text1"/>
              </w:rPr>
            </w:pPr>
            <w:r>
              <w:rPr>
                <w:snapToGrid w:val="0"/>
              </w:rPr>
              <w:t>579 (NIPT)</w:t>
            </w:r>
          </w:p>
        </w:tc>
        <w:tc>
          <w:tcPr>
            <w:tcW w:w="472" w:type="pct"/>
            <w:vAlign w:val="center"/>
          </w:tcPr>
          <w:p w14:paraId="283EB14E" w14:textId="77777777" w:rsidR="00F32C39" w:rsidRPr="009570CB" w:rsidRDefault="00F32C39" w:rsidP="005240FA">
            <w:pPr>
              <w:pStyle w:val="TableText0"/>
              <w:rPr>
                <w:snapToGrid w:val="0"/>
                <w:color w:val="000000" w:themeColor="text1"/>
              </w:rPr>
            </w:pPr>
            <w:r w:rsidRPr="009570CB">
              <w:rPr>
                <w:snapToGrid w:val="0"/>
                <w:color w:val="000000" w:themeColor="text1"/>
              </w:rPr>
              <w:t>Sensitivity</w:t>
            </w:r>
          </w:p>
        </w:tc>
        <w:tc>
          <w:tcPr>
            <w:tcW w:w="864" w:type="pct"/>
            <w:shd w:val="clear" w:color="auto" w:fill="auto"/>
            <w:vAlign w:val="center"/>
          </w:tcPr>
          <w:p w14:paraId="0824D4DB" w14:textId="77777777" w:rsidR="00F32C39" w:rsidRPr="006E3225" w:rsidRDefault="00F32C39" w:rsidP="005240FA">
            <w:pPr>
              <w:pStyle w:val="TableText0"/>
              <w:jc w:val="center"/>
            </w:pPr>
            <w:r w:rsidRPr="009570CB">
              <w:t>100.0% [</w:t>
            </w:r>
            <w:r>
              <w:t>100</w:t>
            </w:r>
            <w:r w:rsidRPr="009570CB">
              <w:t>,</w:t>
            </w:r>
            <w:r>
              <w:t xml:space="preserve"> 100</w:t>
            </w:r>
            <w:r w:rsidRPr="009570CB">
              <w:t>]</w:t>
            </w:r>
          </w:p>
        </w:tc>
        <w:tc>
          <w:tcPr>
            <w:tcW w:w="865" w:type="pct"/>
            <w:shd w:val="clear" w:color="auto" w:fill="auto"/>
            <w:vAlign w:val="center"/>
          </w:tcPr>
          <w:p w14:paraId="08068F08" w14:textId="77777777" w:rsidR="00F32C39" w:rsidRPr="006E3225" w:rsidRDefault="00F32C39" w:rsidP="005240FA">
            <w:pPr>
              <w:pStyle w:val="TableText0"/>
              <w:jc w:val="center"/>
            </w:pPr>
            <w:r>
              <w:t>88.2% [73, 100]</w:t>
            </w:r>
          </w:p>
        </w:tc>
        <w:tc>
          <w:tcPr>
            <w:tcW w:w="718" w:type="pct"/>
            <w:vAlign w:val="center"/>
          </w:tcPr>
          <w:p w14:paraId="7EA9E598" w14:textId="77777777" w:rsidR="00F32C39" w:rsidRPr="006E3225" w:rsidRDefault="00F32C39" w:rsidP="005240FA">
            <w:pPr>
              <w:pStyle w:val="TableText0"/>
              <w:jc w:val="center"/>
            </w:pPr>
            <w:r w:rsidRPr="0066776C">
              <w:rPr>
                <w:snapToGrid w:val="0"/>
              </w:rPr>
              <w:t>100</w:t>
            </w:r>
            <w:r>
              <w:rPr>
                <w:snapToGrid w:val="0"/>
              </w:rPr>
              <w:t>%</w:t>
            </w:r>
          </w:p>
        </w:tc>
        <w:tc>
          <w:tcPr>
            <w:tcW w:w="511" w:type="pct"/>
            <w:shd w:val="clear" w:color="auto" w:fill="auto"/>
            <w:vAlign w:val="center"/>
          </w:tcPr>
          <w:p w14:paraId="56D9E131" w14:textId="77777777" w:rsidR="00F32C39" w:rsidRPr="006E3225" w:rsidRDefault="00F32C39" w:rsidP="005240FA">
            <w:pPr>
              <w:pStyle w:val="TableText0"/>
              <w:jc w:val="center"/>
            </w:pPr>
            <w:r>
              <w:t>+11.8</w:t>
            </w:r>
            <w:r w:rsidRPr="009570CB">
              <w:t>%</w:t>
            </w:r>
          </w:p>
        </w:tc>
      </w:tr>
      <w:tr w:rsidR="00F32C39" w:rsidRPr="009570CB" w14:paraId="37E40BD5" w14:textId="77777777" w:rsidTr="002A43DC">
        <w:trPr>
          <w:trHeight w:val="215"/>
        </w:trPr>
        <w:tc>
          <w:tcPr>
            <w:tcW w:w="784" w:type="pct"/>
            <w:vMerge/>
            <w:tcBorders>
              <w:bottom w:val="single" w:sz="4" w:space="0" w:color="auto"/>
            </w:tcBorders>
            <w:shd w:val="clear" w:color="auto" w:fill="auto"/>
            <w:vAlign w:val="center"/>
          </w:tcPr>
          <w:p w14:paraId="5EB2FB6F" w14:textId="77777777" w:rsidR="00F32C39" w:rsidRPr="00A84E83" w:rsidRDefault="00F32C39" w:rsidP="005240FA">
            <w:pPr>
              <w:pStyle w:val="TableText0"/>
            </w:pPr>
          </w:p>
        </w:tc>
        <w:tc>
          <w:tcPr>
            <w:tcW w:w="786" w:type="pct"/>
            <w:vMerge/>
            <w:vAlign w:val="center"/>
          </w:tcPr>
          <w:p w14:paraId="1364C0BF" w14:textId="77777777" w:rsidR="00F32C39" w:rsidRPr="009570CB" w:rsidRDefault="00F32C39" w:rsidP="005240FA">
            <w:pPr>
              <w:pStyle w:val="TableText0"/>
              <w:rPr>
                <w:snapToGrid w:val="0"/>
                <w:color w:val="000000" w:themeColor="text1"/>
              </w:rPr>
            </w:pPr>
          </w:p>
        </w:tc>
        <w:tc>
          <w:tcPr>
            <w:tcW w:w="472" w:type="pct"/>
            <w:vAlign w:val="center"/>
          </w:tcPr>
          <w:p w14:paraId="1B4316B0" w14:textId="77777777" w:rsidR="00F32C39" w:rsidRPr="009570CB" w:rsidRDefault="00F32C39" w:rsidP="005240FA">
            <w:pPr>
              <w:pStyle w:val="TableText0"/>
              <w:rPr>
                <w:snapToGrid w:val="0"/>
                <w:color w:val="000000" w:themeColor="text1"/>
              </w:rPr>
            </w:pPr>
            <w:r w:rsidRPr="009570CB">
              <w:rPr>
                <w:snapToGrid w:val="0"/>
                <w:color w:val="000000" w:themeColor="text1"/>
              </w:rPr>
              <w:t>Specificity</w:t>
            </w:r>
          </w:p>
        </w:tc>
        <w:tc>
          <w:tcPr>
            <w:tcW w:w="864" w:type="pct"/>
            <w:shd w:val="clear" w:color="auto" w:fill="auto"/>
            <w:vAlign w:val="center"/>
          </w:tcPr>
          <w:p w14:paraId="77CA135C" w14:textId="77777777" w:rsidR="00F32C39" w:rsidRPr="006E3225" w:rsidRDefault="00F32C39" w:rsidP="005240FA">
            <w:pPr>
              <w:pStyle w:val="TableText0"/>
              <w:jc w:val="center"/>
            </w:pPr>
            <w:r w:rsidRPr="009570CB">
              <w:t>100.0% [</w:t>
            </w:r>
            <w:r>
              <w:t>100</w:t>
            </w:r>
            <w:r w:rsidRPr="009570CB">
              <w:t>,</w:t>
            </w:r>
            <w:r>
              <w:t xml:space="preserve"> 100</w:t>
            </w:r>
            <w:r w:rsidRPr="009570CB">
              <w:t>]</w:t>
            </w:r>
          </w:p>
        </w:tc>
        <w:tc>
          <w:tcPr>
            <w:tcW w:w="865" w:type="pct"/>
            <w:shd w:val="clear" w:color="auto" w:fill="auto"/>
            <w:vAlign w:val="center"/>
          </w:tcPr>
          <w:p w14:paraId="1E559DD2" w14:textId="77777777" w:rsidR="00F32C39" w:rsidRPr="006E3225" w:rsidRDefault="00F32C39" w:rsidP="005240FA">
            <w:pPr>
              <w:pStyle w:val="TableText0"/>
              <w:jc w:val="center"/>
            </w:pPr>
            <w:r>
              <w:t>96.2% [95, 97]</w:t>
            </w:r>
          </w:p>
        </w:tc>
        <w:tc>
          <w:tcPr>
            <w:tcW w:w="718" w:type="pct"/>
            <w:vAlign w:val="center"/>
          </w:tcPr>
          <w:p w14:paraId="55943C42" w14:textId="77777777" w:rsidR="00F32C39" w:rsidRPr="006E3225" w:rsidRDefault="00F32C39" w:rsidP="005240FA">
            <w:pPr>
              <w:pStyle w:val="TableText0"/>
              <w:jc w:val="center"/>
            </w:pPr>
            <w:r>
              <w:t>96.2%</w:t>
            </w:r>
          </w:p>
        </w:tc>
        <w:tc>
          <w:tcPr>
            <w:tcW w:w="511" w:type="pct"/>
            <w:shd w:val="clear" w:color="auto" w:fill="auto"/>
            <w:vAlign w:val="center"/>
          </w:tcPr>
          <w:p w14:paraId="32D887F2" w14:textId="77777777" w:rsidR="00F32C39" w:rsidRPr="006E3225" w:rsidRDefault="00F32C39" w:rsidP="005240FA">
            <w:pPr>
              <w:pStyle w:val="TableText0"/>
              <w:jc w:val="center"/>
            </w:pPr>
            <w:r>
              <w:t>0</w:t>
            </w:r>
            <w:r w:rsidRPr="009570CB">
              <w:t>%</w:t>
            </w:r>
          </w:p>
        </w:tc>
      </w:tr>
    </w:tbl>
    <w:p w14:paraId="42A6B7B4" w14:textId="77777777" w:rsidR="00F32C39" w:rsidRDefault="00F32C39" w:rsidP="00F32C39">
      <w:pPr>
        <w:pStyle w:val="TFAbbrevs18"/>
        <w:tabs>
          <w:tab w:val="left" w:pos="284"/>
        </w:tabs>
        <w:spacing w:after="0"/>
        <w:jc w:val="both"/>
      </w:pPr>
      <w:r>
        <w:t>*</w:t>
      </w:r>
      <w:r>
        <w:tab/>
        <w:t>calculated with respect to standard prenatal screening+NIPT vs standard prenatal screening alone</w:t>
      </w:r>
    </w:p>
    <w:p w14:paraId="10E25F9E" w14:textId="77777777" w:rsidR="00F32C39" w:rsidRPr="00BB74E2" w:rsidRDefault="00F32C39" w:rsidP="00F32C39">
      <w:pPr>
        <w:pStyle w:val="TFAbbrevs18"/>
        <w:tabs>
          <w:tab w:val="left" w:pos="284"/>
        </w:tabs>
        <w:spacing w:after="0"/>
        <w:ind w:left="284" w:hanging="284"/>
        <w:jc w:val="both"/>
      </w:pPr>
      <w:r w:rsidRPr="00BB74E2">
        <w:t>**</w:t>
      </w:r>
      <w:r w:rsidRPr="00BB74E2">
        <w:tab/>
        <w:t>based on the recalculated data presented in EUnetHTA (2018) accounting for “no-call” results (test failures, low-quality samples, indeterminate results)</w:t>
      </w:r>
    </w:p>
    <w:p w14:paraId="577AE11A" w14:textId="77777777" w:rsidR="00F32C39" w:rsidRPr="00E07305" w:rsidRDefault="00F32C39" w:rsidP="00F32C39">
      <w:pPr>
        <w:keepNext/>
        <w:tabs>
          <w:tab w:val="left" w:pos="284"/>
        </w:tabs>
        <w:jc w:val="both"/>
      </w:pPr>
      <w:r w:rsidRPr="00E07305">
        <w:rPr>
          <w:vertAlign w:val="superscript"/>
        </w:rPr>
        <w:t>#</w:t>
      </w:r>
      <w:r>
        <w:rPr>
          <w:rFonts w:ascii="Arial Narrow" w:hAnsi="Arial Narrow"/>
          <w:color w:val="000000"/>
          <w:sz w:val="18"/>
          <w:szCs w:val="18"/>
        </w:rPr>
        <w:tab/>
        <w:t>the online calculator does not return</w:t>
      </w:r>
      <w:r w:rsidRPr="00E07305">
        <w:rPr>
          <w:rFonts w:ascii="Arial Narrow" w:hAnsi="Arial Narrow"/>
          <w:color w:val="000000"/>
          <w:sz w:val="18"/>
          <w:szCs w:val="18"/>
        </w:rPr>
        <w:t xml:space="preserve"> 95</w:t>
      </w:r>
      <w:r>
        <w:rPr>
          <w:rFonts w:ascii="Arial Narrow" w:hAnsi="Arial Narrow"/>
          <w:color w:val="000000"/>
          <w:sz w:val="18"/>
          <w:szCs w:val="18"/>
        </w:rPr>
        <w:t>% CI</w:t>
      </w:r>
    </w:p>
    <w:p w14:paraId="201A7ED6" w14:textId="5058E43A" w:rsidR="00F32C39" w:rsidRPr="008F7C8B" w:rsidRDefault="00F32C39" w:rsidP="00F32C39">
      <w:pPr>
        <w:pStyle w:val="TFAbbrevs18"/>
        <w:tabs>
          <w:tab w:val="left" w:pos="284"/>
        </w:tabs>
        <w:spacing w:after="0"/>
        <w:jc w:val="both"/>
      </w:pPr>
      <w:r>
        <w:t>^</w:t>
      </w:r>
      <w:r>
        <w:tab/>
        <w:t>newly identified studies, not included in</w:t>
      </w:r>
      <w:r w:rsidR="00C3311E">
        <w:t xml:space="preserve"> first</w:t>
      </w:r>
      <w:r>
        <w:t xml:space="preserve"> CA</w:t>
      </w:r>
    </w:p>
    <w:p w14:paraId="338089CC" w14:textId="77777777" w:rsidR="00F32C39" w:rsidRDefault="00F32C39" w:rsidP="00F32C39">
      <w:pPr>
        <w:pStyle w:val="TFAbbrevs18"/>
        <w:spacing w:after="160"/>
        <w:jc w:val="both"/>
      </w:pPr>
      <w:r>
        <w:t>CFTS = combined first trimester screening; 2TMSS = second trimester maternal serum testing; SS=standard screening; CI = confidence interval; NIPT = non-invasive prenatal testing; T21=trisomy 21; T18=trisomy18; T13 = trisomy 13</w:t>
      </w:r>
    </w:p>
    <w:p w14:paraId="741857EB" w14:textId="75B10103" w:rsidR="00F32C39" w:rsidRPr="00C92D44" w:rsidRDefault="00F32C39" w:rsidP="00695A76">
      <w:pPr>
        <w:spacing w:after="240"/>
      </w:pPr>
      <w:r w:rsidRPr="0090471D">
        <w:t xml:space="preserve">The </w:t>
      </w:r>
      <w:r w:rsidR="00C3311E">
        <w:t>2</w:t>
      </w:r>
      <w:r w:rsidR="00C3311E" w:rsidRPr="00ED3017">
        <w:rPr>
          <w:vertAlign w:val="superscript"/>
        </w:rPr>
        <w:t>nd</w:t>
      </w:r>
      <w:r w:rsidR="00C3311E">
        <w:t xml:space="preserve"> </w:t>
      </w:r>
      <w:r w:rsidRPr="0090471D">
        <w:t>CA stated it appears that a combination of CFTS/2T</w:t>
      </w:r>
      <w:r w:rsidR="00886D2D">
        <w:t>MS</w:t>
      </w:r>
      <w:r w:rsidRPr="0090471D">
        <w:t>S and NIPT is superior to CFTS/2T</w:t>
      </w:r>
      <w:r w:rsidR="00886D2D">
        <w:t>MS</w:t>
      </w:r>
      <w:r w:rsidRPr="0090471D">
        <w:t>S in terms of sensitivity but inferior to CFTS/2T</w:t>
      </w:r>
      <w:r w:rsidR="00886D2D">
        <w:t>MS</w:t>
      </w:r>
      <w:r w:rsidRPr="0090471D">
        <w:t>S in terms of specificity.</w:t>
      </w:r>
      <w:r w:rsidRPr="00C92D44">
        <w:t xml:space="preserve"> However, it noted the included studies were low-quality an</w:t>
      </w:r>
      <w:r>
        <w:t>d</w:t>
      </w:r>
      <w:r w:rsidRPr="00C92D44">
        <w:t xml:space="preserve"> results should be interpreted with caution.</w:t>
      </w:r>
    </w:p>
    <w:p w14:paraId="64F1BFD7" w14:textId="77777777" w:rsidR="00F32C39" w:rsidRDefault="00F32C39" w:rsidP="00F32C39">
      <w:pPr>
        <w:pStyle w:val="Heading2"/>
      </w:pPr>
      <w:r w:rsidRPr="00745F21">
        <w:t>Implications of the combination of CFTS/2TMSS and NIPT to clinical practice</w:t>
      </w:r>
    </w:p>
    <w:p w14:paraId="6A15E07F" w14:textId="1D89C25B" w:rsidR="00F32C39" w:rsidRDefault="00F32C39" w:rsidP="00695A76">
      <w:pPr>
        <w:spacing w:after="240"/>
      </w:pPr>
      <w:r>
        <w:t>No studies were identified that reported on the implications of a combination of NIPT and standard screening in an unselected population, with respect to the impact on IPT referrals. On the basis that the stakeholders noted</w:t>
      </w:r>
      <w:r w:rsidR="006865B2">
        <w:t xml:space="preserve"> (as per the ratified minutes of this meeting)</w:t>
      </w:r>
      <w:r>
        <w:t xml:space="preserve"> “… that healthcare providers should be … </w:t>
      </w:r>
      <w:r w:rsidRPr="00A17352">
        <w:rPr>
          <w:u w:val="single"/>
        </w:rPr>
        <w:t>advised to act on the highest-risk results rather than assume a reduced risk</w:t>
      </w:r>
      <w:r>
        <w:t>”, and the fact that the combination of tests reduces specificity, this should result in an increase in IPT referrals. The base case of the economic evaluation, which is based on sensitivity and specificity, therefore assumes an increase in IPT referral with the combination of NIPT and standard practice compared with standard practice alone.</w:t>
      </w:r>
    </w:p>
    <w:p w14:paraId="43945BAA" w14:textId="13A8C1AE" w:rsidR="00F32C39" w:rsidRPr="00A874BD" w:rsidRDefault="00F32C39" w:rsidP="00695A76">
      <w:pPr>
        <w:spacing w:after="240"/>
      </w:pPr>
      <w:r>
        <w:t xml:space="preserve">However, this contradicts the observed trend of declining rates of IPT over time (based on MBS usage data). Possible explanations for this could be: (i) NIPT may be used as a partial replacement of CFTS/2TMSS (Victorian data indicate &gt;90% NIPTs are done without biochemistry (Hui et al 2019)), or (ii) women may be making decisions on the basis of a positive NIPT result without confirming the diagnosis through IPT (Victorian data indicate only </w:t>
      </w:r>
      <w:r w:rsidRPr="0034202D">
        <w:t>48.5%</w:t>
      </w:r>
      <w:r>
        <w:t xml:space="preserve"> of pregnancies with high risk NIPT result had IPT (Hui et al 2019)). There is extensive international and Australian literature that investigates the declining trends in the rate of invasive diagnostic procedures since the introduction of self-funded NIPT. The epidemiological estimates range from 39.6% (based on the State of Victoria data) to over 50% (based on the Canadian and Dutch data). Canada and the Netherlands introduced subsidised NIPT in a high-risk population in </w:t>
      </w:r>
      <w:r w:rsidRPr="009369FD">
        <w:t>2014 and 2017</w:t>
      </w:r>
      <w:r>
        <w:t>, respectively.</w:t>
      </w:r>
      <w:r w:rsidRPr="00FE6610">
        <w:t xml:space="preserve"> </w:t>
      </w:r>
      <w:r>
        <w:t>The Netherlands r</w:t>
      </w:r>
      <w:r w:rsidRPr="009369FD">
        <w:t>ecommended</w:t>
      </w:r>
      <w:r>
        <w:t xml:space="preserve"> NIPT</w:t>
      </w:r>
      <w:r w:rsidRPr="009369FD">
        <w:t xml:space="preserve"> as a first</w:t>
      </w:r>
      <w:r>
        <w:t>-</w:t>
      </w:r>
      <w:r w:rsidRPr="009369FD">
        <w:t xml:space="preserve">line screening test for </w:t>
      </w:r>
      <w:r>
        <w:t xml:space="preserve">trisomies 21, 18 and 13 </w:t>
      </w:r>
      <w:r w:rsidRPr="009369FD">
        <w:t>instead of the combined test (Prenatal screening, Health Council of the Netherlands, December 2016</w:t>
      </w:r>
      <w:r>
        <w:t xml:space="preserve">), however only women with high risk (&gt;1:200) are fully reimbursed, while the remainder are entitled to a subsidy (Appendix VI). </w:t>
      </w:r>
      <w:r w:rsidRPr="00A874BD">
        <w:t xml:space="preserve">Randomised controlled trial data </w:t>
      </w:r>
      <w:r>
        <w:t xml:space="preserve">on the other hand, </w:t>
      </w:r>
      <w:r w:rsidRPr="00A874BD">
        <w:t xml:space="preserve">suggest </w:t>
      </w:r>
      <w:r>
        <w:t xml:space="preserve">the </w:t>
      </w:r>
      <w:r w:rsidRPr="00A874BD">
        <w:t xml:space="preserve">expected decline </w:t>
      </w:r>
      <w:r>
        <w:t xml:space="preserve">could be </w:t>
      </w:r>
      <w:r w:rsidRPr="00A874BD">
        <w:t xml:space="preserve">over 80%. In the Kagan </w:t>
      </w:r>
      <w:r>
        <w:t xml:space="preserve">et al </w:t>
      </w:r>
      <w:r w:rsidRPr="00A874BD">
        <w:t>trial</w:t>
      </w:r>
      <w:r>
        <w:t xml:space="preserve"> (2018)</w:t>
      </w:r>
      <w:r w:rsidRPr="00A874BD">
        <w:t xml:space="preserve">, </w:t>
      </w:r>
      <w:r>
        <w:t xml:space="preserve">use of </w:t>
      </w:r>
      <w:r w:rsidRPr="00A874BD">
        <w:t>NIPT instead of biochem</w:t>
      </w:r>
      <w:r>
        <w:t>istry</w:t>
      </w:r>
      <w:r w:rsidRPr="00A874BD">
        <w:t xml:space="preserve"> tests in women with normal ultrasound</w:t>
      </w:r>
      <w:r>
        <w:t xml:space="preserve"> led to 84% relative reduction in IPT rate (absolute rates 1.7% vs 0.3%, considerable uncertainty in estimates due to small numbers of IPT)</w:t>
      </w:r>
      <w:r w:rsidRPr="00A874BD">
        <w:t xml:space="preserve">. In </w:t>
      </w:r>
      <w:r>
        <w:t xml:space="preserve">the </w:t>
      </w:r>
      <w:r w:rsidRPr="00A874BD">
        <w:t xml:space="preserve">Malan </w:t>
      </w:r>
      <w:r>
        <w:t xml:space="preserve">et al </w:t>
      </w:r>
      <w:r w:rsidRPr="00A874BD">
        <w:t>trial</w:t>
      </w:r>
      <w:r>
        <w:t xml:space="preserve"> (2018)</w:t>
      </w:r>
      <w:r w:rsidRPr="00A874BD">
        <w:t xml:space="preserve">, </w:t>
      </w:r>
      <w:r>
        <w:t xml:space="preserve">use of </w:t>
      </w:r>
      <w:r w:rsidRPr="00A874BD">
        <w:t>NIPT</w:t>
      </w:r>
      <w:r>
        <w:t xml:space="preserve"> to</w:t>
      </w:r>
      <w:r w:rsidRPr="00A874BD">
        <w:t xml:space="preserve"> triage for IPT </w:t>
      </w:r>
      <w:r>
        <w:t>led to 89% relative reduction in IPT rates (absolute rates 76.5% vs 8.3%).</w:t>
      </w:r>
    </w:p>
    <w:p w14:paraId="2309A4E5" w14:textId="5D0E91AE" w:rsidR="00F32C39" w:rsidRPr="003B02B8" w:rsidRDefault="00F32C39" w:rsidP="00695A76">
      <w:pPr>
        <w:spacing w:after="240"/>
      </w:pPr>
      <w:r w:rsidRPr="00CC51A4">
        <w:t>The</w:t>
      </w:r>
      <w:r w:rsidR="00C3311E">
        <w:t xml:space="preserve"> 2</w:t>
      </w:r>
      <w:r w:rsidR="00C3311E" w:rsidRPr="00ED3017">
        <w:rPr>
          <w:vertAlign w:val="superscript"/>
        </w:rPr>
        <w:t>nd</w:t>
      </w:r>
      <w:r w:rsidRPr="00CC51A4">
        <w:t xml:space="preserve"> CA noted there is only indirect evidence that</w:t>
      </w:r>
      <w:r w:rsidR="00C3311E">
        <w:t>,</w:t>
      </w:r>
      <w:r w:rsidRPr="00CC51A4">
        <w:t xml:space="preserve"> following MBS listing of NIPT</w:t>
      </w:r>
      <w:r w:rsidR="00C3311E">
        <w:t>,</w:t>
      </w:r>
      <w:r w:rsidRPr="00CC51A4">
        <w:t xml:space="preserve"> the rates of referral to IPT would decrease even further in comparison to the currently observed decline. The </w:t>
      </w:r>
      <w:r>
        <w:t>magnitude of any potential further decline (as proposed by stakeholders) would in part, depend on the number of women who would not self-fund NIPT. It</w:t>
      </w:r>
      <w:r w:rsidRPr="000E2E11">
        <w:t xml:space="preserve"> is </w:t>
      </w:r>
      <w:r>
        <w:t xml:space="preserve">also </w:t>
      </w:r>
      <w:r w:rsidRPr="000E2E11">
        <w:t xml:space="preserve">possible that NIPT is considered by some to be sufficiently convincing as to substitute for IPT (that is, a </w:t>
      </w:r>
      <w:r>
        <w:t>diagnostic</w:t>
      </w:r>
      <w:r w:rsidRPr="000E2E11">
        <w:t xml:space="preserve"> test </w:t>
      </w:r>
      <w:r>
        <w:t xml:space="preserve">rather than </w:t>
      </w:r>
      <w:r w:rsidRPr="000E2E11">
        <w:t>a screening test)</w:t>
      </w:r>
      <w:r>
        <w:t>. Clinical guidelines</w:t>
      </w:r>
      <w:r>
        <w:rPr>
          <w:rStyle w:val="FootnoteReference"/>
        </w:rPr>
        <w:footnoteReference w:id="1"/>
      </w:r>
      <w:r>
        <w:t xml:space="preserve"> and the Stakeholder Meeting</w:t>
      </w:r>
      <w:r>
        <w:rPr>
          <w:rStyle w:val="FootnoteReference"/>
        </w:rPr>
        <w:footnoteReference w:id="2"/>
      </w:r>
      <w:r>
        <w:t xml:space="preserve"> strongly recommend diagnostic testing </w:t>
      </w:r>
      <w:r w:rsidR="007F66D8">
        <w:t xml:space="preserve">with IPT </w:t>
      </w:r>
      <w:r>
        <w:t>prior to any management decisions, however Victorian data indicates that &gt;50% of NIPTs are not confirmed by IPT (Hui et al 2019).</w:t>
      </w:r>
    </w:p>
    <w:p w14:paraId="4407B1D8" w14:textId="77777777" w:rsidR="00F32C39" w:rsidRDefault="00F32C39" w:rsidP="00F32C39">
      <w:pPr>
        <w:pStyle w:val="Heading2"/>
      </w:pPr>
      <w:r>
        <w:t>Discordant results and their influence on clinical management</w:t>
      </w:r>
    </w:p>
    <w:p w14:paraId="1B5B8904" w14:textId="01FFC1C3" w:rsidR="00825394" w:rsidRPr="004C10CF" w:rsidRDefault="00F32C39" w:rsidP="00F32C39">
      <w:r>
        <w:t xml:space="preserve">Two comparative studies (Costa 2018 and Langlois 2017; reporting the diagnostic accuracy of NIPT compared with CFTS or CFTS+2TMSS, respectively versus the reference standard) provided primary data on concordance or discordance of results of the NIPT and standard practice. These data were included in the calculation of the observed rate of IPT versus a hypothetical rate of IPT referrals based on positive results of the combination of screening procedures plus the cases where NIPT, even after the second attempt, produced a “no-call” </w:t>
      </w:r>
      <w:r w:rsidRPr="00CF73A4">
        <w:t xml:space="preserve">(test failures, low-quality samples, </w:t>
      </w:r>
      <w:r w:rsidR="000F68A6">
        <w:t xml:space="preserve">or </w:t>
      </w:r>
      <w:r w:rsidRPr="00CF73A4">
        <w:t>indeterminate results)</w:t>
      </w:r>
      <w:r>
        <w:t xml:space="preserve"> outcome.</w:t>
      </w:r>
      <w:r w:rsidRPr="004C10CF">
        <w:t xml:space="preserve"> However, the </w:t>
      </w:r>
      <w:r w:rsidR="00C3311E">
        <w:t>2</w:t>
      </w:r>
      <w:r w:rsidR="00C3311E" w:rsidRPr="00ED3017">
        <w:rPr>
          <w:vertAlign w:val="superscript"/>
        </w:rPr>
        <w:t>nd</w:t>
      </w:r>
      <w:r w:rsidR="00C3311E">
        <w:t xml:space="preserve"> </w:t>
      </w:r>
      <w:r w:rsidRPr="004C10CF">
        <w:t xml:space="preserve">CA noted the data was insufficient to draw any reliable conclusions about the implications </w:t>
      </w:r>
      <w:r w:rsidR="007F66D8">
        <w:t>for</w:t>
      </w:r>
      <w:r w:rsidRPr="004C10CF">
        <w:t xml:space="preserve"> referrals to </w:t>
      </w:r>
      <w:r w:rsidR="007F66D8">
        <w:t>IPT</w:t>
      </w:r>
      <w:r w:rsidRPr="004C10CF">
        <w:t xml:space="preserve"> and interpreting discordant results between screening procedures.</w:t>
      </w:r>
    </w:p>
    <w:p w14:paraId="5681A566" w14:textId="73216C49" w:rsidR="0042285F" w:rsidRDefault="005240FA" w:rsidP="007F66D8">
      <w:pPr>
        <w:pStyle w:val="Heading2"/>
      </w:pPr>
      <w:r>
        <w:t xml:space="preserve">Pre-MSAC </w:t>
      </w:r>
      <w:r w:rsidR="00825394">
        <w:t>r</w:t>
      </w:r>
      <w:r>
        <w:t>esponse</w:t>
      </w:r>
    </w:p>
    <w:p w14:paraId="5EF24B28" w14:textId="12BED758" w:rsidR="000A29AF" w:rsidRPr="00F9569A" w:rsidRDefault="0042285F" w:rsidP="00695A76">
      <w:pPr>
        <w:spacing w:after="240"/>
      </w:pPr>
      <w:r>
        <w:t xml:space="preserve">Roche stated that </w:t>
      </w:r>
      <w:r w:rsidR="000A29AF">
        <w:t>a</w:t>
      </w:r>
      <w:r w:rsidR="000A29AF" w:rsidRPr="000A29AF">
        <w:t xml:space="preserve"> screening model in which both CFTS and NIPT are done simultaneously, with an abnormal result in either being deemed a “positive screen”, does not represent clinical practice.</w:t>
      </w:r>
    </w:p>
    <w:p w14:paraId="103A19C5" w14:textId="499B17AD" w:rsidR="005240FA" w:rsidRDefault="005240FA" w:rsidP="007F66D8">
      <w:r>
        <w:t xml:space="preserve">The RCPA stated the </w:t>
      </w:r>
      <w:r w:rsidR="00C3311E">
        <w:t>2</w:t>
      </w:r>
      <w:r w:rsidR="00C3311E" w:rsidRPr="00ED3017">
        <w:rPr>
          <w:vertAlign w:val="superscript"/>
        </w:rPr>
        <w:t>nd</w:t>
      </w:r>
      <w:r w:rsidR="00C3311E">
        <w:t xml:space="preserve"> </w:t>
      </w:r>
      <w:r w:rsidRPr="005240FA">
        <w:t>CA should have analysed the more realistic clinical practice scenario where the intervention of NIPT alone (in conjunction with ultrasound [US]) is compared to CFTS alone as the comparator (in conjunction with US)</w:t>
      </w:r>
      <w:r>
        <w:t xml:space="preserve">. </w:t>
      </w:r>
      <w:r>
        <w:rPr>
          <w:sz w:val="23"/>
          <w:szCs w:val="23"/>
        </w:rPr>
        <w:t xml:space="preserve">In all studies bar one included in the </w:t>
      </w:r>
      <w:r w:rsidR="00C3311E">
        <w:t>2</w:t>
      </w:r>
      <w:r w:rsidR="00C3311E" w:rsidRPr="00ED3017">
        <w:rPr>
          <w:vertAlign w:val="superscript"/>
        </w:rPr>
        <w:t>nd</w:t>
      </w:r>
      <w:r w:rsidR="00C3311E">
        <w:t xml:space="preserve"> </w:t>
      </w:r>
      <w:r>
        <w:rPr>
          <w:sz w:val="23"/>
          <w:szCs w:val="23"/>
        </w:rPr>
        <w:t>CA, the sensitivity and specificity of NIPT alone was superior when compared to CFTS alone. The recent retrospective analysis of Victorian data conducted by Hui et al (2019) reiterates this, reporting a superior sensitivity and specificity for the combined trisomies (T21/13/18) of 100% and 99.9% for NIPT, compared to 89.6% and 97.3% for CFTS, respectively.</w:t>
      </w:r>
    </w:p>
    <w:p w14:paraId="1FFB650C" w14:textId="77777777" w:rsidR="00A37C79" w:rsidRPr="00F715D1" w:rsidRDefault="00A37C79" w:rsidP="00A37C79">
      <w:pPr>
        <w:pStyle w:val="Heading1"/>
      </w:pPr>
      <w:r w:rsidRPr="00F715D1">
        <w:t>Economic evaluation</w:t>
      </w:r>
    </w:p>
    <w:p w14:paraId="2A68EEF2" w14:textId="6248C844" w:rsidR="00F32C39" w:rsidRDefault="00F32C39" w:rsidP="00695A76">
      <w:pPr>
        <w:spacing w:after="240"/>
        <w:jc w:val="both"/>
      </w:pPr>
      <w:r>
        <w:t>The updated</w:t>
      </w:r>
      <w:r w:rsidRPr="004578D9">
        <w:t xml:space="preserve"> economic evaluation </w:t>
      </w:r>
      <w:r>
        <w:t xml:space="preserve">is a </w:t>
      </w:r>
      <w:r w:rsidRPr="004578D9">
        <w:t>cost-consequences analysis (CCA)</w:t>
      </w:r>
      <w:r>
        <w:t xml:space="preserve"> that</w:t>
      </w:r>
      <w:r w:rsidRPr="004578D9">
        <w:t xml:space="preserve"> </w:t>
      </w:r>
      <w:r>
        <w:t xml:space="preserve">utilised the Deloitte model presented in the previous CA (Table </w:t>
      </w:r>
      <w:r w:rsidR="00FF0ECF">
        <w:t>4</w:t>
      </w:r>
      <w:r>
        <w:t>).</w:t>
      </w:r>
    </w:p>
    <w:p w14:paraId="16A38811" w14:textId="3899D382" w:rsidR="00F32C39" w:rsidRPr="00057DB8" w:rsidRDefault="00F32C39" w:rsidP="00057DB8">
      <w:pPr>
        <w:rPr>
          <w:rFonts w:ascii="Arial Narrow" w:hAnsi="Arial Narrow"/>
          <w:b/>
          <w:sz w:val="20"/>
        </w:rPr>
      </w:pPr>
      <w:bookmarkStart w:id="4" w:name="_Ref14641438"/>
      <w:r w:rsidRPr="00057DB8">
        <w:rPr>
          <w:rFonts w:ascii="Arial Narrow" w:hAnsi="Arial Narrow"/>
          <w:b/>
          <w:sz w:val="20"/>
        </w:rPr>
        <w:t xml:space="preserve">Table </w:t>
      </w:r>
      <w:bookmarkEnd w:id="4"/>
      <w:r w:rsidR="00FF0ECF" w:rsidRPr="00057DB8">
        <w:rPr>
          <w:rFonts w:ascii="Arial Narrow" w:hAnsi="Arial Narrow"/>
          <w:b/>
          <w:sz w:val="20"/>
        </w:rPr>
        <w:t>4</w:t>
      </w:r>
      <w:r w:rsidRPr="00057DB8">
        <w:rPr>
          <w:rFonts w:ascii="Arial Narrow" w:hAnsi="Arial Narrow"/>
          <w:b/>
          <w:sz w:val="20"/>
        </w:rPr>
        <w:t>: Summary of the updated economic evaluation</w:t>
      </w:r>
    </w:p>
    <w:tbl>
      <w:tblPr>
        <w:tblStyle w:val="TableGrid"/>
        <w:tblW w:w="8926" w:type="dxa"/>
        <w:tblLook w:val="04A0" w:firstRow="1" w:lastRow="0" w:firstColumn="1" w:lastColumn="0" w:noHBand="0" w:noVBand="1"/>
        <w:tblCaption w:val="Table 3: Summary of the updated economic evaluation"/>
      </w:tblPr>
      <w:tblGrid>
        <w:gridCol w:w="2972"/>
        <w:gridCol w:w="5954"/>
      </w:tblGrid>
      <w:tr w:rsidR="00F32C39" w:rsidRPr="004578D9" w14:paraId="646006BC" w14:textId="77777777" w:rsidTr="00F32C39">
        <w:trPr>
          <w:tblHeader/>
        </w:trPr>
        <w:tc>
          <w:tcPr>
            <w:tcW w:w="2972" w:type="dxa"/>
          </w:tcPr>
          <w:p w14:paraId="1AA7B8F6"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Perspective</w:t>
            </w:r>
          </w:p>
        </w:tc>
        <w:tc>
          <w:tcPr>
            <w:tcW w:w="5954" w:type="dxa"/>
          </w:tcPr>
          <w:p w14:paraId="2F6F8578" w14:textId="77777777" w:rsidR="00F32C39" w:rsidRPr="004578D9" w:rsidRDefault="00F32C39" w:rsidP="005240FA">
            <w:pPr>
              <w:spacing w:before="40" w:after="40"/>
              <w:rPr>
                <w:rFonts w:ascii="Arial Narrow" w:hAnsi="Arial Narrow"/>
                <w:sz w:val="20"/>
              </w:rPr>
            </w:pPr>
            <w:r>
              <w:rPr>
                <w:rFonts w:ascii="Arial Narrow" w:hAnsi="Arial Narrow" w:cs="Arial Narrow"/>
                <w:sz w:val="20"/>
              </w:rPr>
              <w:t>Health care system</w:t>
            </w:r>
          </w:p>
        </w:tc>
      </w:tr>
      <w:tr w:rsidR="00F32C39" w:rsidRPr="004578D9" w14:paraId="58792DFF" w14:textId="77777777" w:rsidTr="005240FA">
        <w:tc>
          <w:tcPr>
            <w:tcW w:w="2972" w:type="dxa"/>
          </w:tcPr>
          <w:p w14:paraId="52EF58B3"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Intervention</w:t>
            </w:r>
            <w:r>
              <w:rPr>
                <w:rFonts w:ascii="Arial Narrow" w:hAnsi="Arial Narrow"/>
                <w:b/>
                <w:sz w:val="20"/>
              </w:rPr>
              <w:t xml:space="preserve"> (base case)</w:t>
            </w:r>
          </w:p>
        </w:tc>
        <w:tc>
          <w:tcPr>
            <w:tcW w:w="5954" w:type="dxa"/>
          </w:tcPr>
          <w:p w14:paraId="432AB547" w14:textId="77777777" w:rsidR="00F32C39" w:rsidRPr="004578D9" w:rsidRDefault="00F32C39" w:rsidP="005240FA">
            <w:pPr>
              <w:spacing w:before="40" w:after="40"/>
              <w:rPr>
                <w:rFonts w:ascii="Arial Narrow" w:hAnsi="Arial Narrow"/>
                <w:sz w:val="20"/>
              </w:rPr>
            </w:pPr>
            <w:r w:rsidRPr="004578D9">
              <w:rPr>
                <w:rFonts w:ascii="Arial Narrow" w:hAnsi="Arial Narrow"/>
                <w:sz w:val="20"/>
              </w:rPr>
              <w:t>A combination of current prenatal screening (CFTS in the first trimester</w:t>
            </w:r>
            <w:r>
              <w:rPr>
                <w:rFonts w:ascii="Arial Narrow" w:hAnsi="Arial Narrow"/>
                <w:sz w:val="20"/>
              </w:rPr>
              <w:t>)</w:t>
            </w:r>
            <w:r w:rsidRPr="004578D9">
              <w:rPr>
                <w:rFonts w:ascii="Arial Narrow" w:hAnsi="Arial Narrow"/>
                <w:sz w:val="20"/>
              </w:rPr>
              <w:t xml:space="preserve"> </w:t>
            </w:r>
            <w:r w:rsidRPr="00BE5F5C">
              <w:rPr>
                <w:rFonts w:ascii="Arial Narrow" w:hAnsi="Arial Narrow"/>
                <w:sz w:val="20"/>
                <w:u w:val="single"/>
              </w:rPr>
              <w:t>and</w:t>
            </w:r>
            <w:r w:rsidRPr="004578D9">
              <w:rPr>
                <w:rFonts w:ascii="Arial Narrow" w:hAnsi="Arial Narrow"/>
                <w:sz w:val="20"/>
              </w:rPr>
              <w:t xml:space="preserve"> NIPT</w:t>
            </w:r>
            <w:r>
              <w:rPr>
                <w:rFonts w:ascii="Arial Narrow" w:hAnsi="Arial Narrow"/>
                <w:sz w:val="20"/>
              </w:rPr>
              <w:t xml:space="preserve"> for detecting trisomies 21, 18 or 13</w:t>
            </w:r>
          </w:p>
        </w:tc>
      </w:tr>
      <w:tr w:rsidR="00F32C39" w14:paraId="3B07E3C1" w14:textId="77777777" w:rsidTr="005240FA">
        <w:tc>
          <w:tcPr>
            <w:tcW w:w="2972" w:type="dxa"/>
          </w:tcPr>
          <w:p w14:paraId="3BE67B3C"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Intervention</w:t>
            </w:r>
            <w:r>
              <w:rPr>
                <w:rFonts w:ascii="Arial Narrow" w:hAnsi="Arial Narrow"/>
                <w:b/>
                <w:sz w:val="20"/>
              </w:rPr>
              <w:t xml:space="preserve"> (scenario analyses)</w:t>
            </w:r>
          </w:p>
        </w:tc>
        <w:tc>
          <w:tcPr>
            <w:tcW w:w="5954" w:type="dxa"/>
          </w:tcPr>
          <w:p w14:paraId="14128058" w14:textId="77777777" w:rsidR="00F32C39" w:rsidRDefault="00F32C39" w:rsidP="005240FA">
            <w:pPr>
              <w:spacing w:before="40" w:after="40"/>
              <w:rPr>
                <w:rFonts w:ascii="Arial Narrow" w:hAnsi="Arial Narrow"/>
                <w:sz w:val="20"/>
              </w:rPr>
            </w:pPr>
            <w:r>
              <w:rPr>
                <w:rFonts w:ascii="Arial Narrow" w:hAnsi="Arial Narrow"/>
                <w:sz w:val="20"/>
              </w:rPr>
              <w:t xml:space="preserve">1. </w:t>
            </w:r>
            <w:r w:rsidRPr="004578D9">
              <w:rPr>
                <w:rFonts w:ascii="Arial Narrow" w:hAnsi="Arial Narrow"/>
                <w:sz w:val="20"/>
              </w:rPr>
              <w:t xml:space="preserve">A combination of current prenatal screening (CFTS in the first trimester </w:t>
            </w:r>
            <w:r>
              <w:rPr>
                <w:rFonts w:ascii="Arial Narrow" w:hAnsi="Arial Narrow"/>
                <w:sz w:val="20"/>
              </w:rPr>
              <w:t xml:space="preserve">or </w:t>
            </w:r>
            <w:r w:rsidRPr="004578D9">
              <w:rPr>
                <w:rFonts w:ascii="Arial Narrow" w:hAnsi="Arial Narrow"/>
                <w:sz w:val="20"/>
              </w:rPr>
              <w:t xml:space="preserve">2TMSS in the second trimester) </w:t>
            </w:r>
            <w:r w:rsidRPr="004931A9">
              <w:rPr>
                <w:rFonts w:ascii="Arial Narrow" w:hAnsi="Arial Narrow"/>
                <w:sz w:val="20"/>
                <w:u w:val="single"/>
              </w:rPr>
              <w:t>and</w:t>
            </w:r>
            <w:r>
              <w:rPr>
                <w:rFonts w:ascii="Arial Narrow" w:hAnsi="Arial Narrow"/>
                <w:sz w:val="20"/>
              </w:rPr>
              <w:t xml:space="preserve"> NIPT</w:t>
            </w:r>
          </w:p>
          <w:p w14:paraId="24D277C1" w14:textId="77777777" w:rsidR="00F32C39" w:rsidRDefault="00F32C39" w:rsidP="005240FA">
            <w:pPr>
              <w:spacing w:before="40" w:after="40"/>
              <w:rPr>
                <w:rFonts w:ascii="Arial Narrow" w:hAnsi="Arial Narrow"/>
                <w:sz w:val="20"/>
              </w:rPr>
            </w:pPr>
            <w:r>
              <w:rPr>
                <w:rFonts w:ascii="Arial Narrow" w:hAnsi="Arial Narrow"/>
                <w:sz w:val="20"/>
              </w:rPr>
              <w:t>2. NIPT alone</w:t>
            </w:r>
          </w:p>
          <w:p w14:paraId="3948DB0A" w14:textId="77777777" w:rsidR="00F32C39" w:rsidRDefault="00F32C39" w:rsidP="005240FA">
            <w:pPr>
              <w:spacing w:before="40" w:after="40"/>
              <w:rPr>
                <w:rFonts w:ascii="Arial Narrow" w:hAnsi="Arial Narrow"/>
                <w:sz w:val="20"/>
              </w:rPr>
            </w:pPr>
            <w:r>
              <w:rPr>
                <w:rFonts w:ascii="Arial Narrow" w:hAnsi="Arial Narrow"/>
                <w:sz w:val="20"/>
              </w:rPr>
              <w:t xml:space="preserve">3. </w:t>
            </w:r>
            <w:r w:rsidRPr="004578D9">
              <w:rPr>
                <w:rFonts w:ascii="Arial Narrow" w:hAnsi="Arial Narrow"/>
                <w:sz w:val="20"/>
              </w:rPr>
              <w:t xml:space="preserve">A combination of </w:t>
            </w:r>
            <w:r>
              <w:rPr>
                <w:rFonts w:ascii="Arial Narrow" w:hAnsi="Arial Narrow"/>
                <w:sz w:val="20"/>
              </w:rPr>
              <w:t xml:space="preserve">NIPT and ultrasound (for </w:t>
            </w:r>
            <w:r w:rsidRPr="00465547">
              <w:rPr>
                <w:rFonts w:ascii="Arial Narrow" w:hAnsi="Arial Narrow"/>
                <w:sz w:val="20"/>
              </w:rPr>
              <w:t>NT)</w:t>
            </w:r>
            <w:r>
              <w:rPr>
                <w:rFonts w:ascii="Arial Narrow" w:hAnsi="Arial Narrow"/>
                <w:sz w:val="20"/>
              </w:rPr>
              <w:t xml:space="preserve"> in the first trimester</w:t>
            </w:r>
          </w:p>
        </w:tc>
      </w:tr>
      <w:tr w:rsidR="00F32C39" w:rsidRPr="004578D9" w14:paraId="22E69131" w14:textId="77777777" w:rsidTr="005240FA">
        <w:tc>
          <w:tcPr>
            <w:tcW w:w="2972" w:type="dxa"/>
          </w:tcPr>
          <w:p w14:paraId="38B923C7"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Comparator</w:t>
            </w:r>
            <w:r>
              <w:rPr>
                <w:rFonts w:ascii="Arial Narrow" w:hAnsi="Arial Narrow"/>
                <w:b/>
                <w:sz w:val="20"/>
              </w:rPr>
              <w:t xml:space="preserve"> (base case)</w:t>
            </w:r>
          </w:p>
        </w:tc>
        <w:tc>
          <w:tcPr>
            <w:tcW w:w="5954" w:type="dxa"/>
          </w:tcPr>
          <w:p w14:paraId="319E59C4" w14:textId="77777777" w:rsidR="00F32C39" w:rsidRPr="004578D9" w:rsidRDefault="00F32C39" w:rsidP="005240FA">
            <w:pPr>
              <w:spacing w:before="40" w:after="40"/>
              <w:rPr>
                <w:rFonts w:ascii="Arial Narrow" w:hAnsi="Arial Narrow"/>
                <w:sz w:val="20"/>
              </w:rPr>
            </w:pPr>
            <w:r>
              <w:rPr>
                <w:rFonts w:ascii="Arial Narrow" w:hAnsi="Arial Narrow"/>
                <w:sz w:val="20"/>
              </w:rPr>
              <w:t>C</w:t>
            </w:r>
            <w:r w:rsidRPr="004578D9">
              <w:rPr>
                <w:rFonts w:ascii="Arial Narrow" w:hAnsi="Arial Narrow"/>
                <w:sz w:val="20"/>
              </w:rPr>
              <w:t>urrent prenatal screening (CFTS in the first trimester</w:t>
            </w:r>
            <w:r>
              <w:rPr>
                <w:rFonts w:ascii="Arial Narrow" w:hAnsi="Arial Narrow"/>
                <w:sz w:val="20"/>
              </w:rPr>
              <w:t>)</w:t>
            </w:r>
          </w:p>
        </w:tc>
      </w:tr>
      <w:tr w:rsidR="00F32C39" w:rsidRPr="00BE5F5C" w14:paraId="37D0FB8E" w14:textId="77777777" w:rsidTr="005240FA">
        <w:tc>
          <w:tcPr>
            <w:tcW w:w="2972" w:type="dxa"/>
          </w:tcPr>
          <w:p w14:paraId="025CC83E"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Comparator</w:t>
            </w:r>
            <w:r>
              <w:rPr>
                <w:rFonts w:ascii="Arial Narrow" w:hAnsi="Arial Narrow"/>
                <w:b/>
                <w:sz w:val="20"/>
              </w:rPr>
              <w:t xml:space="preserve"> (scenario analysis)</w:t>
            </w:r>
          </w:p>
        </w:tc>
        <w:tc>
          <w:tcPr>
            <w:tcW w:w="5954" w:type="dxa"/>
          </w:tcPr>
          <w:p w14:paraId="3C7A91EB" w14:textId="77777777" w:rsidR="00F32C39" w:rsidRDefault="00F32C39" w:rsidP="005240FA">
            <w:pPr>
              <w:spacing w:before="40" w:after="40"/>
              <w:rPr>
                <w:rFonts w:ascii="Arial Narrow" w:hAnsi="Arial Narrow"/>
                <w:sz w:val="20"/>
              </w:rPr>
            </w:pPr>
            <w:r>
              <w:rPr>
                <w:rFonts w:ascii="Arial Narrow" w:hAnsi="Arial Narrow"/>
                <w:sz w:val="20"/>
              </w:rPr>
              <w:t xml:space="preserve">1. CFTS in </w:t>
            </w:r>
            <w:r w:rsidRPr="004578D9">
              <w:rPr>
                <w:rFonts w:ascii="Arial Narrow" w:hAnsi="Arial Narrow"/>
                <w:sz w:val="20"/>
              </w:rPr>
              <w:t>the first trimester</w:t>
            </w:r>
            <w:r>
              <w:rPr>
                <w:rFonts w:ascii="Arial Narrow" w:hAnsi="Arial Narrow"/>
                <w:sz w:val="20"/>
              </w:rPr>
              <w:t xml:space="preserve"> or</w:t>
            </w:r>
            <w:r w:rsidRPr="004578D9">
              <w:rPr>
                <w:rFonts w:ascii="Arial Narrow" w:hAnsi="Arial Narrow"/>
                <w:sz w:val="20"/>
              </w:rPr>
              <w:t xml:space="preserve"> 2TMSS in the second trimester</w:t>
            </w:r>
          </w:p>
          <w:p w14:paraId="453CC255" w14:textId="77777777" w:rsidR="00F32C39" w:rsidRDefault="00F32C39" w:rsidP="005240FA">
            <w:pPr>
              <w:spacing w:before="40" w:after="40"/>
              <w:rPr>
                <w:rFonts w:ascii="Arial Narrow" w:hAnsi="Arial Narrow"/>
                <w:sz w:val="20"/>
              </w:rPr>
            </w:pPr>
            <w:r>
              <w:rPr>
                <w:rFonts w:ascii="Arial Narrow" w:hAnsi="Arial Narrow"/>
                <w:sz w:val="20"/>
              </w:rPr>
              <w:t xml:space="preserve">2. </w:t>
            </w:r>
            <w:r w:rsidRPr="00465547">
              <w:rPr>
                <w:rFonts w:ascii="Arial Narrow" w:hAnsi="Arial Narrow"/>
                <w:sz w:val="20"/>
              </w:rPr>
              <w:t>CFTS (including ultrasound)</w:t>
            </w:r>
          </w:p>
          <w:p w14:paraId="46F81F2E" w14:textId="77777777" w:rsidR="00F32C39" w:rsidRPr="00BE5F5C" w:rsidRDefault="00F32C39" w:rsidP="005240FA">
            <w:pPr>
              <w:spacing w:before="40" w:after="40"/>
              <w:rPr>
                <w:rFonts w:ascii="Arial Narrow" w:hAnsi="Arial Narrow"/>
                <w:sz w:val="20"/>
              </w:rPr>
            </w:pPr>
            <w:r>
              <w:rPr>
                <w:rFonts w:ascii="Arial Narrow" w:hAnsi="Arial Narrow"/>
                <w:sz w:val="20"/>
              </w:rPr>
              <w:t>3. Ultrasound (for NT) in the first trimester</w:t>
            </w:r>
          </w:p>
        </w:tc>
      </w:tr>
      <w:tr w:rsidR="00F32C39" w:rsidRPr="004578D9" w14:paraId="11D65B23" w14:textId="77777777" w:rsidTr="005240FA">
        <w:tc>
          <w:tcPr>
            <w:tcW w:w="2972" w:type="dxa"/>
          </w:tcPr>
          <w:p w14:paraId="674F5A3D"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Type of economic evaluation</w:t>
            </w:r>
          </w:p>
        </w:tc>
        <w:tc>
          <w:tcPr>
            <w:tcW w:w="5954" w:type="dxa"/>
          </w:tcPr>
          <w:p w14:paraId="6A45C653" w14:textId="77777777" w:rsidR="00F32C39" w:rsidRPr="004578D9" w:rsidRDefault="00F32C39" w:rsidP="005240FA">
            <w:pPr>
              <w:spacing w:before="40" w:after="40"/>
              <w:rPr>
                <w:rFonts w:ascii="Arial Narrow" w:hAnsi="Arial Narrow"/>
                <w:sz w:val="20"/>
              </w:rPr>
            </w:pPr>
            <w:r w:rsidRPr="00BE5F5C">
              <w:rPr>
                <w:rFonts w:ascii="Arial Narrow" w:hAnsi="Arial Narrow"/>
                <w:sz w:val="20"/>
              </w:rPr>
              <w:t>Cost-consequences analysis</w:t>
            </w:r>
          </w:p>
        </w:tc>
      </w:tr>
      <w:tr w:rsidR="00F32C39" w:rsidRPr="004578D9" w14:paraId="2443B2A9" w14:textId="77777777" w:rsidTr="005240FA">
        <w:tc>
          <w:tcPr>
            <w:tcW w:w="2972" w:type="dxa"/>
          </w:tcPr>
          <w:p w14:paraId="6773004A"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Sources of evidence</w:t>
            </w:r>
            <w:r>
              <w:rPr>
                <w:rFonts w:ascii="Arial Narrow" w:hAnsi="Arial Narrow"/>
                <w:b/>
                <w:sz w:val="20"/>
              </w:rPr>
              <w:t xml:space="preserve"> (base case)</w:t>
            </w:r>
          </w:p>
        </w:tc>
        <w:tc>
          <w:tcPr>
            <w:tcW w:w="5954" w:type="dxa"/>
          </w:tcPr>
          <w:p w14:paraId="41DF0806" w14:textId="3E57DD34" w:rsidR="00F32C39" w:rsidRPr="004578D9" w:rsidRDefault="00F32C39" w:rsidP="00825394">
            <w:pPr>
              <w:spacing w:before="40" w:after="40"/>
              <w:rPr>
                <w:rFonts w:ascii="Arial Narrow" w:hAnsi="Arial Narrow"/>
                <w:sz w:val="20"/>
              </w:rPr>
            </w:pPr>
            <w:r>
              <w:rPr>
                <w:rFonts w:ascii="Arial Narrow" w:hAnsi="Arial Narrow"/>
                <w:sz w:val="20"/>
              </w:rPr>
              <w:t>Outcome</w:t>
            </w:r>
            <w:r w:rsidRPr="00BE5F5C">
              <w:rPr>
                <w:rFonts w:ascii="Arial Narrow" w:hAnsi="Arial Narrow"/>
                <w:sz w:val="20"/>
              </w:rPr>
              <w:t xml:space="preserve"> of the systematic literature search</w:t>
            </w:r>
            <w:r>
              <w:rPr>
                <w:rFonts w:ascii="Arial Narrow" w:hAnsi="Arial Narrow"/>
                <w:sz w:val="20"/>
              </w:rPr>
              <w:t xml:space="preserve"> in the ‘paired’ design studies that administered both types of </w:t>
            </w:r>
            <w:r w:rsidRPr="004578D9">
              <w:rPr>
                <w:rFonts w:ascii="Arial Narrow" w:hAnsi="Arial Narrow"/>
                <w:sz w:val="20"/>
              </w:rPr>
              <w:t>screening (CFTS in the first trimester</w:t>
            </w:r>
            <w:r>
              <w:rPr>
                <w:rFonts w:ascii="Arial Narrow" w:hAnsi="Arial Narrow"/>
                <w:sz w:val="20"/>
              </w:rPr>
              <w:t xml:space="preserve">) </w:t>
            </w:r>
            <w:r w:rsidRPr="00BE5F5C">
              <w:rPr>
                <w:rFonts w:ascii="Arial Narrow" w:hAnsi="Arial Narrow"/>
                <w:sz w:val="20"/>
                <w:u w:val="single"/>
              </w:rPr>
              <w:t>and</w:t>
            </w:r>
            <w:r w:rsidRPr="004578D9">
              <w:rPr>
                <w:rFonts w:ascii="Arial Narrow" w:hAnsi="Arial Narrow"/>
                <w:sz w:val="20"/>
              </w:rPr>
              <w:t xml:space="preserve"> NIPT</w:t>
            </w:r>
            <w:r>
              <w:rPr>
                <w:rFonts w:ascii="Arial Narrow" w:hAnsi="Arial Narrow"/>
                <w:sz w:val="20"/>
              </w:rPr>
              <w:t xml:space="preserve"> in the same cohort of unselected patients (</w:t>
            </w:r>
            <w:r w:rsidR="0034327F">
              <w:rPr>
                <w:rFonts w:ascii="Arial Narrow" w:hAnsi="Arial Narrow"/>
                <w:sz w:val="20"/>
              </w:rPr>
              <w:t xml:space="preserve">relying </w:t>
            </w:r>
            <w:r w:rsidR="00825394">
              <w:rPr>
                <w:rFonts w:ascii="Arial Narrow" w:hAnsi="Arial Narrow"/>
                <w:sz w:val="20"/>
              </w:rPr>
              <w:t>on the EUnetHTA recalculations of</w:t>
            </w:r>
            <w:r w:rsidR="0034327F">
              <w:rPr>
                <w:rFonts w:ascii="Arial Narrow" w:hAnsi="Arial Narrow"/>
                <w:sz w:val="20"/>
              </w:rPr>
              <w:t xml:space="preserve"> </w:t>
            </w:r>
            <w:r>
              <w:rPr>
                <w:rFonts w:ascii="Arial Narrow" w:hAnsi="Arial Narrow"/>
                <w:sz w:val="20"/>
              </w:rPr>
              <w:t>Norton 2015</w:t>
            </w:r>
            <w:r w:rsidR="0034327F">
              <w:rPr>
                <w:rFonts w:ascii="Arial Narrow" w:hAnsi="Arial Narrow"/>
                <w:sz w:val="20"/>
              </w:rPr>
              <w:t>, w</w:t>
            </w:r>
            <w:r w:rsidR="00825394">
              <w:rPr>
                <w:rFonts w:ascii="Arial Narrow" w:hAnsi="Arial Narrow"/>
                <w:sz w:val="20"/>
              </w:rPr>
              <w:t xml:space="preserve">hich had </w:t>
            </w:r>
            <w:r w:rsidR="0034327F" w:rsidRPr="0034327F">
              <w:rPr>
                <w:rFonts w:ascii="Arial Narrow" w:hAnsi="Arial Narrow"/>
                <w:sz w:val="20"/>
              </w:rPr>
              <w:t xml:space="preserve">the largest </w:t>
            </w:r>
            <w:r w:rsidR="00825394">
              <w:rPr>
                <w:rFonts w:ascii="Arial Narrow" w:hAnsi="Arial Narrow"/>
                <w:sz w:val="20"/>
              </w:rPr>
              <w:t xml:space="preserve">study </w:t>
            </w:r>
            <w:r w:rsidR="0034327F" w:rsidRPr="0034327F">
              <w:rPr>
                <w:rFonts w:ascii="Arial Narrow" w:hAnsi="Arial Narrow"/>
                <w:sz w:val="20"/>
              </w:rPr>
              <w:t>population of unselected women</w:t>
            </w:r>
            <w:r w:rsidR="00825394">
              <w:rPr>
                <w:rFonts w:ascii="Arial Narrow" w:hAnsi="Arial Narrow"/>
                <w:sz w:val="20"/>
              </w:rPr>
              <w:t>,</w:t>
            </w:r>
            <w:r w:rsidR="0034327F" w:rsidRPr="0034327F">
              <w:rPr>
                <w:rFonts w:ascii="Arial Narrow" w:hAnsi="Arial Narrow"/>
                <w:sz w:val="20"/>
              </w:rPr>
              <w:t xml:space="preserve"> as the main source of evidence</w:t>
            </w:r>
            <w:r>
              <w:rPr>
                <w:rFonts w:ascii="Arial Narrow" w:hAnsi="Arial Narrow"/>
                <w:sz w:val="20"/>
              </w:rPr>
              <w:t>)</w:t>
            </w:r>
          </w:p>
        </w:tc>
      </w:tr>
      <w:tr w:rsidR="00F32C39" w:rsidRPr="004578D9" w14:paraId="7336E87D" w14:textId="77777777" w:rsidTr="005240FA">
        <w:tc>
          <w:tcPr>
            <w:tcW w:w="2972" w:type="dxa"/>
          </w:tcPr>
          <w:p w14:paraId="5429C720" w14:textId="77777777" w:rsidR="00F32C39" w:rsidRPr="00BE5F5C" w:rsidRDefault="00F32C39" w:rsidP="005240FA">
            <w:pPr>
              <w:spacing w:before="40" w:after="40"/>
              <w:rPr>
                <w:rFonts w:ascii="Arial Narrow" w:hAnsi="Arial Narrow"/>
                <w:b/>
                <w:sz w:val="20"/>
              </w:rPr>
            </w:pPr>
            <w:r w:rsidRPr="00BE5F5C">
              <w:rPr>
                <w:rFonts w:ascii="Arial Narrow" w:hAnsi="Arial Narrow"/>
                <w:b/>
                <w:sz w:val="20"/>
              </w:rPr>
              <w:t>Time horizon</w:t>
            </w:r>
          </w:p>
        </w:tc>
        <w:tc>
          <w:tcPr>
            <w:tcW w:w="5954" w:type="dxa"/>
          </w:tcPr>
          <w:p w14:paraId="61C8E646" w14:textId="77777777" w:rsidR="00F32C39" w:rsidRPr="004578D9" w:rsidRDefault="00F32C39" w:rsidP="005240FA">
            <w:pPr>
              <w:spacing w:before="40" w:after="40"/>
              <w:rPr>
                <w:rFonts w:ascii="Arial Narrow" w:hAnsi="Arial Narrow"/>
                <w:sz w:val="20"/>
              </w:rPr>
            </w:pPr>
            <w:r w:rsidRPr="00BE5F5C">
              <w:rPr>
                <w:rFonts w:ascii="Arial Narrow" w:hAnsi="Arial Narrow"/>
                <w:sz w:val="20"/>
              </w:rPr>
              <w:t>Pregnancy duration</w:t>
            </w:r>
          </w:p>
        </w:tc>
      </w:tr>
      <w:tr w:rsidR="00F32C39" w:rsidRPr="00BE5F5C" w14:paraId="3B10F68A" w14:textId="77777777" w:rsidTr="005240FA">
        <w:tc>
          <w:tcPr>
            <w:tcW w:w="2972" w:type="dxa"/>
          </w:tcPr>
          <w:p w14:paraId="1C81F42E" w14:textId="77777777" w:rsidR="00F32C39" w:rsidRPr="00BE5F5C" w:rsidRDefault="00F32C39" w:rsidP="005240FA">
            <w:pPr>
              <w:spacing w:before="40" w:after="40"/>
              <w:rPr>
                <w:rFonts w:ascii="Arial Narrow" w:hAnsi="Arial Narrow"/>
                <w:b/>
                <w:sz w:val="20"/>
              </w:rPr>
            </w:pPr>
            <w:r>
              <w:rPr>
                <w:rFonts w:ascii="Arial Narrow" w:hAnsi="Arial Narrow"/>
                <w:b/>
                <w:sz w:val="20"/>
              </w:rPr>
              <w:t>Outcomes</w:t>
            </w:r>
          </w:p>
        </w:tc>
        <w:tc>
          <w:tcPr>
            <w:tcW w:w="5954" w:type="dxa"/>
          </w:tcPr>
          <w:p w14:paraId="40814A6C" w14:textId="77777777" w:rsidR="00F32C39" w:rsidRPr="00BE5F5C" w:rsidRDefault="00F32C39" w:rsidP="005240FA">
            <w:pPr>
              <w:spacing w:before="40" w:after="40"/>
              <w:rPr>
                <w:rFonts w:ascii="Arial Narrow" w:hAnsi="Arial Narrow"/>
                <w:sz w:val="20"/>
              </w:rPr>
            </w:pPr>
            <w:r w:rsidRPr="00BE5F5C">
              <w:rPr>
                <w:rFonts w:ascii="Arial Narrow" w:hAnsi="Arial Narrow"/>
                <w:sz w:val="20"/>
              </w:rPr>
              <w:t xml:space="preserve">Number of </w:t>
            </w:r>
            <w:r>
              <w:rPr>
                <w:rFonts w:ascii="Arial Narrow" w:hAnsi="Arial Narrow"/>
                <w:sz w:val="20"/>
              </w:rPr>
              <w:t>fetal</w:t>
            </w:r>
            <w:r w:rsidRPr="00BE5F5C">
              <w:rPr>
                <w:rFonts w:ascii="Arial Narrow" w:hAnsi="Arial Narrow"/>
                <w:sz w:val="20"/>
              </w:rPr>
              <w:t xml:space="preserve"> aneuploidy pregnancies correctly identified</w:t>
            </w:r>
            <w:r>
              <w:rPr>
                <w:rFonts w:ascii="Arial Narrow" w:hAnsi="Arial Narrow"/>
                <w:sz w:val="20"/>
              </w:rPr>
              <w:t xml:space="preserve"> (true positive and negative cases</w:t>
            </w:r>
            <w:r w:rsidRPr="00BE5F5C">
              <w:rPr>
                <w:rFonts w:ascii="Arial Narrow" w:hAnsi="Arial Narrow"/>
                <w:sz w:val="20"/>
              </w:rPr>
              <w:t xml:space="preserve">, number of invasive procedures avoided, number of </w:t>
            </w:r>
            <w:r>
              <w:rPr>
                <w:rFonts w:ascii="Arial Narrow" w:hAnsi="Arial Narrow"/>
                <w:sz w:val="20"/>
              </w:rPr>
              <w:t>fetal</w:t>
            </w:r>
            <w:r w:rsidRPr="00BE5F5C">
              <w:rPr>
                <w:rFonts w:ascii="Arial Narrow" w:hAnsi="Arial Narrow"/>
                <w:sz w:val="20"/>
              </w:rPr>
              <w:t xml:space="preserve"> aneuploidy cases undetected (at birth); number of procedure-related miscarriages</w:t>
            </w:r>
            <w:r>
              <w:rPr>
                <w:rFonts w:ascii="Arial Narrow" w:hAnsi="Arial Narrow"/>
                <w:sz w:val="20"/>
              </w:rPr>
              <w:t xml:space="preserve"> avoided</w:t>
            </w:r>
          </w:p>
        </w:tc>
      </w:tr>
      <w:tr w:rsidR="00F32C39" w:rsidRPr="00BE5F5C" w14:paraId="526D99FE" w14:textId="77777777" w:rsidTr="005240FA">
        <w:tc>
          <w:tcPr>
            <w:tcW w:w="2972" w:type="dxa"/>
          </w:tcPr>
          <w:p w14:paraId="14CED5CA" w14:textId="77777777" w:rsidR="00F32C39" w:rsidRDefault="00F32C39" w:rsidP="005240FA">
            <w:pPr>
              <w:spacing w:before="40" w:after="40"/>
              <w:rPr>
                <w:rFonts w:ascii="Arial Narrow" w:hAnsi="Arial Narrow"/>
                <w:b/>
                <w:sz w:val="20"/>
              </w:rPr>
            </w:pPr>
            <w:r w:rsidRPr="00BE5F5C">
              <w:rPr>
                <w:rFonts w:ascii="Arial Narrow" w:hAnsi="Arial Narrow"/>
                <w:b/>
                <w:sz w:val="20"/>
              </w:rPr>
              <w:t>Methods used to generate results</w:t>
            </w:r>
          </w:p>
        </w:tc>
        <w:tc>
          <w:tcPr>
            <w:tcW w:w="5954" w:type="dxa"/>
          </w:tcPr>
          <w:p w14:paraId="5DEC6F10" w14:textId="77777777" w:rsidR="00F32C39" w:rsidRPr="00BE5F5C" w:rsidRDefault="00F32C39" w:rsidP="005240FA">
            <w:pPr>
              <w:spacing w:before="40" w:after="40"/>
              <w:rPr>
                <w:rFonts w:ascii="Arial Narrow" w:hAnsi="Arial Narrow"/>
                <w:sz w:val="20"/>
              </w:rPr>
            </w:pPr>
            <w:r w:rsidRPr="00BE5F5C">
              <w:rPr>
                <w:rFonts w:ascii="Arial Narrow" w:hAnsi="Arial Narrow"/>
                <w:sz w:val="20"/>
              </w:rPr>
              <w:t>Cohort-expected value analysis</w:t>
            </w:r>
          </w:p>
        </w:tc>
      </w:tr>
      <w:tr w:rsidR="00F32C39" w:rsidRPr="00BE5F5C" w14:paraId="03BF44BD" w14:textId="77777777" w:rsidTr="005240FA">
        <w:tc>
          <w:tcPr>
            <w:tcW w:w="2972" w:type="dxa"/>
          </w:tcPr>
          <w:p w14:paraId="51B995AA" w14:textId="77777777" w:rsidR="00F32C39" w:rsidRPr="00BE5F5C" w:rsidRDefault="00F32C39" w:rsidP="005240FA">
            <w:pPr>
              <w:spacing w:before="40" w:after="40"/>
              <w:rPr>
                <w:rFonts w:ascii="Arial Narrow" w:hAnsi="Arial Narrow"/>
                <w:b/>
                <w:sz w:val="20"/>
              </w:rPr>
            </w:pPr>
            <w:r>
              <w:rPr>
                <w:rFonts w:ascii="Arial Narrow" w:hAnsi="Arial Narrow"/>
                <w:b/>
                <w:sz w:val="20"/>
              </w:rPr>
              <w:t>Discount rate</w:t>
            </w:r>
          </w:p>
        </w:tc>
        <w:tc>
          <w:tcPr>
            <w:tcW w:w="5954" w:type="dxa"/>
          </w:tcPr>
          <w:p w14:paraId="57AF8647" w14:textId="77777777" w:rsidR="00F32C39" w:rsidRPr="00BE5F5C" w:rsidRDefault="00F32C39" w:rsidP="005240FA">
            <w:pPr>
              <w:spacing w:before="40" w:after="40"/>
              <w:rPr>
                <w:rFonts w:ascii="Arial Narrow" w:hAnsi="Arial Narrow"/>
                <w:sz w:val="20"/>
              </w:rPr>
            </w:pPr>
            <w:r>
              <w:rPr>
                <w:rFonts w:ascii="Arial Narrow" w:hAnsi="Arial Narrow"/>
                <w:sz w:val="20"/>
              </w:rPr>
              <w:t>Not applicable</w:t>
            </w:r>
          </w:p>
        </w:tc>
      </w:tr>
      <w:tr w:rsidR="00F32C39" w:rsidRPr="00BE5F5C" w14:paraId="226299B1" w14:textId="77777777" w:rsidTr="005240FA">
        <w:tc>
          <w:tcPr>
            <w:tcW w:w="2972" w:type="dxa"/>
          </w:tcPr>
          <w:p w14:paraId="5BBCAC33" w14:textId="77777777" w:rsidR="00F32C39" w:rsidRPr="00BE5F5C" w:rsidRDefault="00F32C39" w:rsidP="005240FA">
            <w:pPr>
              <w:spacing w:before="40" w:after="40"/>
              <w:rPr>
                <w:rFonts w:ascii="Arial Narrow" w:hAnsi="Arial Narrow"/>
                <w:b/>
                <w:sz w:val="20"/>
              </w:rPr>
            </w:pPr>
            <w:r>
              <w:rPr>
                <w:rFonts w:ascii="Arial Narrow" w:hAnsi="Arial Narrow"/>
                <w:b/>
                <w:sz w:val="20"/>
              </w:rPr>
              <w:t>Software package</w:t>
            </w:r>
            <w:r w:rsidRPr="00BE5F5C">
              <w:rPr>
                <w:rFonts w:ascii="Arial Narrow" w:hAnsi="Arial Narrow"/>
                <w:b/>
                <w:sz w:val="20"/>
              </w:rPr>
              <w:t xml:space="preserve"> used</w:t>
            </w:r>
          </w:p>
        </w:tc>
        <w:tc>
          <w:tcPr>
            <w:tcW w:w="5954" w:type="dxa"/>
          </w:tcPr>
          <w:p w14:paraId="7026FA70" w14:textId="77777777" w:rsidR="00F32C39" w:rsidRPr="00BE5F5C" w:rsidRDefault="00F32C39" w:rsidP="005240FA">
            <w:pPr>
              <w:spacing w:before="40" w:after="40"/>
              <w:rPr>
                <w:rFonts w:ascii="Arial Narrow" w:hAnsi="Arial Narrow"/>
                <w:sz w:val="20"/>
              </w:rPr>
            </w:pPr>
            <w:r w:rsidRPr="005F5674">
              <w:rPr>
                <w:rFonts w:ascii="Arial Narrow" w:hAnsi="Arial Narrow" w:cs="Arial Narrow"/>
                <w:sz w:val="20"/>
              </w:rPr>
              <w:t>Microsoft EXCEL 2013</w:t>
            </w:r>
          </w:p>
        </w:tc>
      </w:tr>
    </w:tbl>
    <w:p w14:paraId="1E89C8B4" w14:textId="6617E2BC" w:rsidR="00F32C39" w:rsidRDefault="00F32C39" w:rsidP="00695A76">
      <w:pPr>
        <w:spacing w:before="240"/>
        <w:jc w:val="both"/>
      </w:pPr>
      <w:r>
        <w:t>The</w:t>
      </w:r>
      <w:r w:rsidRPr="00183E4D">
        <w:t xml:space="preserve"> </w:t>
      </w:r>
      <w:r>
        <w:t>total</w:t>
      </w:r>
      <w:r w:rsidRPr="00183E4D">
        <w:t xml:space="preserve"> costs and outcomes, and incremental costs and outcomes </w:t>
      </w:r>
      <w:r>
        <w:t xml:space="preserve">with respect to the base case scenario where a combination of CTFS+NIPT in an unselected population was assessed against standard screening (CFTS) as a comparator is presented in Table </w:t>
      </w:r>
      <w:r w:rsidR="00FF0ECF">
        <w:t>5</w:t>
      </w:r>
      <w:r>
        <w:t>.</w:t>
      </w:r>
    </w:p>
    <w:p w14:paraId="26E55924" w14:textId="4535F5C2" w:rsidR="00F32C39" w:rsidRPr="00057DB8" w:rsidRDefault="00F32C39" w:rsidP="00057DB8">
      <w:pPr>
        <w:keepNext/>
        <w:keepLines/>
        <w:rPr>
          <w:rFonts w:ascii="Arial Narrow" w:hAnsi="Arial Narrow"/>
          <w:b/>
          <w:sz w:val="20"/>
        </w:rPr>
      </w:pPr>
      <w:bookmarkStart w:id="5" w:name="_Ref14642517"/>
      <w:r w:rsidRPr="00057DB8">
        <w:rPr>
          <w:rFonts w:ascii="Arial Narrow" w:hAnsi="Arial Narrow"/>
          <w:b/>
          <w:sz w:val="20"/>
        </w:rPr>
        <w:t xml:space="preserve">Table </w:t>
      </w:r>
      <w:bookmarkEnd w:id="5"/>
      <w:r w:rsidR="00FF0ECF" w:rsidRPr="00057DB8">
        <w:rPr>
          <w:rFonts w:ascii="Arial Narrow" w:hAnsi="Arial Narrow"/>
          <w:b/>
          <w:sz w:val="20"/>
        </w:rPr>
        <w:t>5</w:t>
      </w:r>
      <w:r w:rsidRPr="00057DB8">
        <w:rPr>
          <w:rFonts w:ascii="Arial Narrow" w:hAnsi="Arial Narrow"/>
          <w:b/>
          <w:sz w:val="20"/>
        </w:rPr>
        <w:t>: Results of the updated modelled economic evaluation comparing CFTS+NIPT vs CFTS (Norton, 2015)</w:t>
      </w:r>
    </w:p>
    <w:tbl>
      <w:tblPr>
        <w:tblStyle w:val="TableGrid1"/>
        <w:tblW w:w="5000" w:type="pct"/>
        <w:tblLayout w:type="fixed"/>
        <w:tblLook w:val="01E0" w:firstRow="1" w:lastRow="1" w:firstColumn="1" w:lastColumn="1" w:noHBand="0" w:noVBand="0"/>
        <w:tblDescription w:val="Results of the updated modelled economic evaluation comparing CFTS+NIPT vs CFTS (Norton, 2015)"/>
      </w:tblPr>
      <w:tblGrid>
        <w:gridCol w:w="3110"/>
        <w:gridCol w:w="1421"/>
        <w:gridCol w:w="856"/>
        <w:gridCol w:w="1814"/>
        <w:gridCol w:w="1815"/>
      </w:tblGrid>
      <w:tr w:rsidR="00F32C39" w:rsidRPr="00E64F24" w14:paraId="2206E848" w14:textId="77777777" w:rsidTr="00057DB8">
        <w:trPr>
          <w:trHeight w:val="616"/>
          <w:tblHeader/>
        </w:trPr>
        <w:tc>
          <w:tcPr>
            <w:tcW w:w="3110" w:type="dxa"/>
          </w:tcPr>
          <w:p w14:paraId="479972F3" w14:textId="77777777" w:rsidR="00F32C39" w:rsidRDefault="00F32C39" w:rsidP="00057DB8">
            <w:pPr>
              <w:pStyle w:val="TableHeading"/>
              <w:keepLines/>
              <w:spacing w:before="0" w:after="0"/>
              <w:jc w:val="center"/>
            </w:pPr>
          </w:p>
        </w:tc>
        <w:tc>
          <w:tcPr>
            <w:tcW w:w="1421" w:type="dxa"/>
          </w:tcPr>
          <w:p w14:paraId="64DBA8F2" w14:textId="0D9CA9FC" w:rsidR="00F32C39" w:rsidRDefault="00F32C39" w:rsidP="00057DB8">
            <w:pPr>
              <w:pStyle w:val="TableHeading"/>
              <w:keepLines/>
              <w:spacing w:before="0" w:after="0"/>
              <w:jc w:val="center"/>
            </w:pPr>
            <w:r>
              <w:t>CFTS + NIPT</w:t>
            </w:r>
          </w:p>
        </w:tc>
        <w:tc>
          <w:tcPr>
            <w:tcW w:w="856" w:type="dxa"/>
          </w:tcPr>
          <w:p w14:paraId="59ED2F7E" w14:textId="77777777" w:rsidR="00F32C39" w:rsidRDefault="00F32C39" w:rsidP="00057DB8">
            <w:pPr>
              <w:pStyle w:val="TableHeading"/>
              <w:keepLines/>
              <w:spacing w:before="0" w:after="0"/>
              <w:jc w:val="center"/>
            </w:pPr>
            <w:r>
              <w:t>CFTS</w:t>
            </w:r>
          </w:p>
        </w:tc>
        <w:tc>
          <w:tcPr>
            <w:tcW w:w="1814" w:type="dxa"/>
          </w:tcPr>
          <w:p w14:paraId="7B43DDF8" w14:textId="77777777" w:rsidR="00F32C39" w:rsidRDefault="00F32C39" w:rsidP="00057DB8">
            <w:pPr>
              <w:pStyle w:val="TableHeading"/>
              <w:keepLines/>
              <w:spacing w:before="0" w:after="0"/>
              <w:jc w:val="center"/>
            </w:pPr>
            <w:r>
              <w:t>Incremental cost/</w:t>
            </w:r>
          </w:p>
          <w:p w14:paraId="75A77431" w14:textId="77777777" w:rsidR="00F32C39" w:rsidRDefault="00F32C39" w:rsidP="00057DB8">
            <w:pPr>
              <w:pStyle w:val="TableHeading"/>
              <w:keepLines/>
              <w:spacing w:before="0" w:after="0"/>
              <w:jc w:val="center"/>
            </w:pPr>
            <w:r>
              <w:t>effectiveness</w:t>
            </w:r>
          </w:p>
        </w:tc>
        <w:tc>
          <w:tcPr>
            <w:tcW w:w="1815" w:type="dxa"/>
          </w:tcPr>
          <w:p w14:paraId="34217ACE" w14:textId="43AEA832" w:rsidR="00F32C39" w:rsidRDefault="00722525" w:rsidP="00057DB8">
            <w:pPr>
              <w:pStyle w:val="TableHeading"/>
              <w:keepLines/>
              <w:spacing w:before="0" w:after="0"/>
              <w:jc w:val="center"/>
            </w:pPr>
            <w:r>
              <w:t>ICER</w:t>
            </w:r>
          </w:p>
          <w:p w14:paraId="0371062F" w14:textId="77777777" w:rsidR="00F32C39" w:rsidRDefault="00F32C39" w:rsidP="00057DB8">
            <w:pPr>
              <w:pStyle w:val="TableHeading"/>
              <w:keepLines/>
              <w:spacing w:before="0" w:after="0"/>
              <w:ind w:left="0" w:firstLine="0"/>
              <w:jc w:val="center"/>
            </w:pPr>
            <w:r>
              <w:t>(per unit of outcome)</w:t>
            </w:r>
          </w:p>
        </w:tc>
      </w:tr>
      <w:tr w:rsidR="00F32C39" w:rsidRPr="00E64F24" w14:paraId="7854E935" w14:textId="77777777" w:rsidTr="00057DB8">
        <w:tc>
          <w:tcPr>
            <w:tcW w:w="3110" w:type="dxa"/>
          </w:tcPr>
          <w:p w14:paraId="7E09D643" w14:textId="77777777" w:rsidR="00F32C39" w:rsidRPr="0022624D" w:rsidRDefault="00F32C39" w:rsidP="00057DB8">
            <w:pPr>
              <w:keepNext/>
              <w:keepLines/>
              <w:autoSpaceDE w:val="0"/>
              <w:autoSpaceDN w:val="0"/>
              <w:adjustRightInd w:val="0"/>
              <w:spacing w:before="40" w:after="40"/>
              <w:rPr>
                <w:rFonts w:ascii="Arial Narrow" w:hAnsi="Arial Narrow" w:cs="Arial Narrow"/>
              </w:rPr>
            </w:pPr>
            <w:r>
              <w:rPr>
                <w:rFonts w:ascii="Arial Narrow" w:hAnsi="Arial Narrow" w:cs="Arial Narrow"/>
              </w:rPr>
              <w:t>Cost (including GP/specialist</w:t>
            </w:r>
            <w:r>
              <w:rPr>
                <w:rFonts w:ascii="Arial Narrow" w:hAnsi="Arial Narrow" w:cs="Arial Narrow"/>
              </w:rPr>
              <w:br/>
              <w:t>visits/testing/miscarriages/terminations)</w:t>
            </w:r>
          </w:p>
        </w:tc>
        <w:tc>
          <w:tcPr>
            <w:tcW w:w="1421" w:type="dxa"/>
          </w:tcPr>
          <w:p w14:paraId="5A6DCCD0" w14:textId="77777777" w:rsidR="00F32C39" w:rsidRPr="00D46C18" w:rsidRDefault="00F32C39" w:rsidP="00057DB8">
            <w:pPr>
              <w:keepNext/>
              <w:keepLines/>
              <w:autoSpaceDE w:val="0"/>
              <w:autoSpaceDN w:val="0"/>
              <w:adjustRightInd w:val="0"/>
              <w:spacing w:before="40" w:after="40"/>
              <w:jc w:val="center"/>
              <w:rPr>
                <w:rFonts w:ascii="Arial Narrow" w:hAnsi="Arial Narrow" w:cs="Arial Narrow"/>
              </w:rPr>
            </w:pPr>
            <w:r>
              <w:rPr>
                <w:rFonts w:ascii="Arial Narrow" w:hAnsi="Arial Narrow" w:cs="Arial Narrow"/>
              </w:rPr>
              <w:t>$765</w:t>
            </w:r>
          </w:p>
        </w:tc>
        <w:tc>
          <w:tcPr>
            <w:tcW w:w="856" w:type="dxa"/>
          </w:tcPr>
          <w:p w14:paraId="415726CC" w14:textId="77777777" w:rsidR="00F32C39" w:rsidRPr="00FE316C" w:rsidRDefault="00F32C39" w:rsidP="00057DB8">
            <w:pPr>
              <w:keepNext/>
              <w:keepLines/>
              <w:autoSpaceDE w:val="0"/>
              <w:autoSpaceDN w:val="0"/>
              <w:adjustRightInd w:val="0"/>
              <w:spacing w:before="40" w:after="40"/>
              <w:jc w:val="center"/>
              <w:rPr>
                <w:rFonts w:ascii="Arial Narrow" w:hAnsi="Arial Narrow" w:cs="Arial Narrow"/>
              </w:rPr>
            </w:pPr>
            <w:r w:rsidRPr="00FE316C">
              <w:rPr>
                <w:rFonts w:ascii="Arial Narrow" w:hAnsi="Arial Narrow" w:cs="Arial Narrow"/>
              </w:rPr>
              <w:t>$</w:t>
            </w:r>
            <w:r>
              <w:rPr>
                <w:rFonts w:ascii="Arial Narrow" w:hAnsi="Arial Narrow" w:cs="Arial Narrow"/>
              </w:rPr>
              <w:t>337</w:t>
            </w:r>
          </w:p>
        </w:tc>
        <w:tc>
          <w:tcPr>
            <w:tcW w:w="1814" w:type="dxa"/>
          </w:tcPr>
          <w:p w14:paraId="477834C7" w14:textId="77777777" w:rsidR="00F32C39" w:rsidRPr="00D46C18" w:rsidRDefault="00F32C39" w:rsidP="00057DB8">
            <w:pPr>
              <w:keepNext/>
              <w:keepLines/>
              <w:autoSpaceDE w:val="0"/>
              <w:autoSpaceDN w:val="0"/>
              <w:adjustRightInd w:val="0"/>
              <w:spacing w:before="40" w:after="40"/>
              <w:jc w:val="center"/>
              <w:rPr>
                <w:rFonts w:ascii="Arial Narrow" w:hAnsi="Arial Narrow" w:cs="Arial Narrow"/>
              </w:rPr>
            </w:pPr>
            <w:r>
              <w:rPr>
                <w:rFonts w:ascii="Arial Narrow" w:hAnsi="Arial Narrow" w:cs="Arial Narrow"/>
              </w:rPr>
              <w:t>$427</w:t>
            </w:r>
          </w:p>
        </w:tc>
        <w:tc>
          <w:tcPr>
            <w:tcW w:w="1815" w:type="dxa"/>
          </w:tcPr>
          <w:p w14:paraId="698D99DF" w14:textId="77777777" w:rsidR="00F32C39" w:rsidRPr="00823856" w:rsidRDefault="00F32C39" w:rsidP="00057DB8">
            <w:pPr>
              <w:keepNext/>
              <w:keepLines/>
              <w:autoSpaceDE w:val="0"/>
              <w:autoSpaceDN w:val="0"/>
              <w:adjustRightInd w:val="0"/>
              <w:spacing w:before="40" w:after="40"/>
              <w:jc w:val="center"/>
              <w:rPr>
                <w:rFonts w:ascii="Arial Narrow" w:hAnsi="Arial Narrow" w:cs="Arial Narrow"/>
              </w:rPr>
            </w:pPr>
          </w:p>
        </w:tc>
      </w:tr>
      <w:tr w:rsidR="00F32C39" w:rsidRPr="00E64F24" w14:paraId="5CEA75C5" w14:textId="77777777" w:rsidTr="00057DB8">
        <w:tc>
          <w:tcPr>
            <w:tcW w:w="3110" w:type="dxa"/>
          </w:tcPr>
          <w:p w14:paraId="6C83975A" w14:textId="77777777" w:rsidR="00F32C39" w:rsidRPr="00823856" w:rsidRDefault="00F32C39" w:rsidP="005240FA">
            <w:pPr>
              <w:autoSpaceDE w:val="0"/>
              <w:autoSpaceDN w:val="0"/>
              <w:adjustRightInd w:val="0"/>
              <w:spacing w:before="40" w:after="40"/>
              <w:rPr>
                <w:rFonts w:ascii="Arial Narrow" w:hAnsi="Arial Narrow" w:cs="Arial Narrow"/>
              </w:rPr>
            </w:pPr>
            <w:r w:rsidRPr="00823856">
              <w:rPr>
                <w:rFonts w:ascii="Arial Narrow" w:hAnsi="Arial Narrow" w:cs="Arial Narrow"/>
              </w:rPr>
              <w:t>Total correct diagnoses</w:t>
            </w:r>
          </w:p>
        </w:tc>
        <w:tc>
          <w:tcPr>
            <w:tcW w:w="1421" w:type="dxa"/>
          </w:tcPr>
          <w:p w14:paraId="0F5256B4"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0.9</w:t>
            </w:r>
            <w:r>
              <w:rPr>
                <w:rFonts w:ascii="Arial Narrow" w:hAnsi="Arial Narrow" w:cs="Arial Narrow"/>
              </w:rPr>
              <w:t>0</w:t>
            </w:r>
          </w:p>
        </w:tc>
        <w:tc>
          <w:tcPr>
            <w:tcW w:w="856" w:type="dxa"/>
          </w:tcPr>
          <w:p w14:paraId="64D4E65E"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0.9</w:t>
            </w:r>
            <w:r>
              <w:rPr>
                <w:rFonts w:ascii="Arial Narrow" w:hAnsi="Arial Narrow" w:cs="Arial Narrow"/>
              </w:rPr>
              <w:t>4</w:t>
            </w:r>
          </w:p>
        </w:tc>
        <w:tc>
          <w:tcPr>
            <w:tcW w:w="1814" w:type="dxa"/>
          </w:tcPr>
          <w:p w14:paraId="5696A014" w14:textId="77777777" w:rsidR="00F32C39" w:rsidRPr="00823856" w:rsidRDefault="00F32C39" w:rsidP="005240FA">
            <w:pPr>
              <w:autoSpaceDE w:val="0"/>
              <w:autoSpaceDN w:val="0"/>
              <w:adjustRightInd w:val="0"/>
              <w:spacing w:before="40" w:after="40"/>
              <w:jc w:val="center"/>
              <w:rPr>
                <w:rFonts w:ascii="Arial Narrow" w:hAnsi="Arial Narrow" w:cs="Arial Narrow"/>
              </w:rPr>
            </w:pPr>
            <w:r>
              <w:rPr>
                <w:rFonts w:ascii="Arial Narrow" w:hAnsi="Arial Narrow" w:cs="Arial Narrow"/>
              </w:rPr>
              <w:t>-</w:t>
            </w:r>
            <w:r w:rsidRPr="00823856">
              <w:rPr>
                <w:rFonts w:ascii="Arial Narrow" w:hAnsi="Arial Narrow" w:cs="Arial Narrow"/>
              </w:rPr>
              <w:t>0</w:t>
            </w:r>
            <w:r>
              <w:rPr>
                <w:rFonts w:ascii="Arial Narrow" w:hAnsi="Arial Narrow" w:cs="Arial Narrow"/>
              </w:rPr>
              <w:t>.04</w:t>
            </w:r>
          </w:p>
        </w:tc>
        <w:tc>
          <w:tcPr>
            <w:tcW w:w="1815" w:type="dxa"/>
          </w:tcPr>
          <w:p w14:paraId="6B8809BD" w14:textId="77777777" w:rsidR="00F32C39" w:rsidRPr="00C9261D" w:rsidRDefault="00F32C39" w:rsidP="005240FA">
            <w:pPr>
              <w:autoSpaceDE w:val="0"/>
              <w:autoSpaceDN w:val="0"/>
              <w:adjustRightInd w:val="0"/>
              <w:spacing w:before="40" w:after="40"/>
              <w:jc w:val="center"/>
              <w:rPr>
                <w:rFonts w:ascii="Arial Narrow" w:hAnsi="Arial Narrow" w:cs="Arial Narrow"/>
                <w:i/>
              </w:rPr>
            </w:pPr>
            <w:r w:rsidRPr="00C9261D">
              <w:rPr>
                <w:rFonts w:ascii="Arial Narrow" w:hAnsi="Arial Narrow" w:cs="Arial Narrow"/>
                <w:i/>
              </w:rPr>
              <w:t>CFTS dominates</w:t>
            </w:r>
          </w:p>
        </w:tc>
      </w:tr>
      <w:tr w:rsidR="00F32C39" w:rsidRPr="00E64F24" w14:paraId="1A0EE68D" w14:textId="77777777" w:rsidTr="00057DB8">
        <w:tc>
          <w:tcPr>
            <w:tcW w:w="3110" w:type="dxa"/>
          </w:tcPr>
          <w:p w14:paraId="29B4E5CD" w14:textId="77777777" w:rsidR="00F32C39" w:rsidRPr="00823856" w:rsidRDefault="00F32C39" w:rsidP="005240FA">
            <w:pPr>
              <w:keepNext/>
              <w:keepLines/>
              <w:autoSpaceDE w:val="0"/>
              <w:autoSpaceDN w:val="0"/>
              <w:adjustRightInd w:val="0"/>
              <w:spacing w:before="40" w:after="40"/>
              <w:ind w:firstLine="256"/>
              <w:rPr>
                <w:rFonts w:ascii="Arial Narrow" w:hAnsi="Arial Narrow" w:cs="Arial Narrow"/>
              </w:rPr>
            </w:pPr>
            <w:r w:rsidRPr="00823856">
              <w:rPr>
                <w:rFonts w:ascii="Arial Narrow" w:hAnsi="Arial Narrow" w:cs="Arial Narrow"/>
              </w:rPr>
              <w:t>True positives</w:t>
            </w:r>
          </w:p>
        </w:tc>
        <w:tc>
          <w:tcPr>
            <w:tcW w:w="1421" w:type="dxa"/>
          </w:tcPr>
          <w:p w14:paraId="1BE0BE25"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0.003</w:t>
            </w:r>
            <w:r>
              <w:rPr>
                <w:rFonts w:ascii="Arial Narrow" w:hAnsi="Arial Narrow" w:cs="Arial Narrow"/>
              </w:rPr>
              <w:t>7</w:t>
            </w:r>
          </w:p>
        </w:tc>
        <w:tc>
          <w:tcPr>
            <w:tcW w:w="856" w:type="dxa"/>
          </w:tcPr>
          <w:p w14:paraId="17EB4EA9"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w:t>
            </w:r>
            <w:r>
              <w:rPr>
                <w:rFonts w:ascii="Arial Narrow" w:hAnsi="Arial Narrow" w:cs="Arial Narrow"/>
              </w:rPr>
              <w:t>29</w:t>
            </w:r>
          </w:p>
        </w:tc>
        <w:tc>
          <w:tcPr>
            <w:tcW w:w="1814" w:type="dxa"/>
          </w:tcPr>
          <w:p w14:paraId="39356C3B"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0.000</w:t>
            </w:r>
            <w:r>
              <w:rPr>
                <w:rFonts w:ascii="Arial Narrow" w:hAnsi="Arial Narrow" w:cs="Arial Narrow"/>
              </w:rPr>
              <w:t>8</w:t>
            </w:r>
          </w:p>
        </w:tc>
        <w:tc>
          <w:tcPr>
            <w:tcW w:w="1815" w:type="dxa"/>
          </w:tcPr>
          <w:p w14:paraId="5185EE2C" w14:textId="77777777" w:rsidR="00F32C39" w:rsidRPr="00823856" w:rsidRDefault="00F32C39" w:rsidP="005240FA">
            <w:pPr>
              <w:autoSpaceDE w:val="0"/>
              <w:autoSpaceDN w:val="0"/>
              <w:adjustRightInd w:val="0"/>
              <w:spacing w:before="40" w:after="40"/>
              <w:jc w:val="center"/>
              <w:rPr>
                <w:rFonts w:ascii="Arial Narrow" w:hAnsi="Arial Narrow" w:cs="Arial Narrow"/>
              </w:rPr>
            </w:pPr>
            <w:r>
              <w:rPr>
                <w:rFonts w:ascii="Arial Narrow" w:hAnsi="Arial Narrow" w:cs="Arial Narrow"/>
              </w:rPr>
              <w:t>$540,528</w:t>
            </w:r>
          </w:p>
        </w:tc>
      </w:tr>
      <w:tr w:rsidR="00F32C39" w:rsidRPr="00E64F24" w14:paraId="3BE1593A" w14:textId="77777777" w:rsidTr="00057DB8">
        <w:tc>
          <w:tcPr>
            <w:tcW w:w="3110" w:type="dxa"/>
          </w:tcPr>
          <w:p w14:paraId="48AF7D86" w14:textId="77777777" w:rsidR="00F32C39" w:rsidRPr="00823856" w:rsidRDefault="00F32C39" w:rsidP="005240FA">
            <w:pPr>
              <w:keepNext/>
              <w:keepLines/>
              <w:autoSpaceDE w:val="0"/>
              <w:autoSpaceDN w:val="0"/>
              <w:adjustRightInd w:val="0"/>
              <w:spacing w:before="40" w:after="40"/>
              <w:ind w:firstLine="256"/>
              <w:rPr>
                <w:rFonts w:ascii="Arial Narrow" w:hAnsi="Arial Narrow" w:cs="Arial Narrow"/>
              </w:rPr>
            </w:pPr>
            <w:r w:rsidRPr="00823856">
              <w:rPr>
                <w:rFonts w:ascii="Arial Narrow" w:hAnsi="Arial Narrow" w:cs="Arial Narrow"/>
              </w:rPr>
              <w:t>True negatives</w:t>
            </w:r>
          </w:p>
        </w:tc>
        <w:tc>
          <w:tcPr>
            <w:tcW w:w="1421" w:type="dxa"/>
          </w:tcPr>
          <w:p w14:paraId="0F6F5067"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0.9</w:t>
            </w:r>
            <w:r>
              <w:rPr>
                <w:rFonts w:ascii="Arial Narrow" w:hAnsi="Arial Narrow" w:cs="Arial Narrow"/>
              </w:rPr>
              <w:t>0</w:t>
            </w:r>
          </w:p>
        </w:tc>
        <w:tc>
          <w:tcPr>
            <w:tcW w:w="856" w:type="dxa"/>
          </w:tcPr>
          <w:p w14:paraId="3C6C4746"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0.94</w:t>
            </w:r>
            <w:r>
              <w:rPr>
                <w:rFonts w:ascii="Arial Narrow" w:hAnsi="Arial Narrow" w:cs="Arial Narrow"/>
              </w:rPr>
              <w:t>0</w:t>
            </w:r>
          </w:p>
        </w:tc>
        <w:tc>
          <w:tcPr>
            <w:tcW w:w="1814" w:type="dxa"/>
          </w:tcPr>
          <w:p w14:paraId="20F729B0" w14:textId="77777777" w:rsidR="00F32C39" w:rsidRPr="00823856" w:rsidRDefault="00F32C39" w:rsidP="005240FA">
            <w:pPr>
              <w:autoSpaceDE w:val="0"/>
              <w:autoSpaceDN w:val="0"/>
              <w:adjustRightInd w:val="0"/>
              <w:spacing w:before="40" w:after="40"/>
              <w:jc w:val="center"/>
              <w:rPr>
                <w:rFonts w:ascii="Arial Narrow" w:hAnsi="Arial Narrow" w:cs="Arial Narrow"/>
              </w:rPr>
            </w:pPr>
            <w:r>
              <w:rPr>
                <w:rFonts w:ascii="Arial Narrow" w:hAnsi="Arial Narrow" w:cs="Arial Narrow"/>
              </w:rPr>
              <w:t>-</w:t>
            </w:r>
            <w:r w:rsidRPr="00823856">
              <w:rPr>
                <w:rFonts w:ascii="Arial Narrow" w:hAnsi="Arial Narrow" w:cs="Arial Narrow"/>
              </w:rPr>
              <w:t>0.0</w:t>
            </w:r>
            <w:r>
              <w:rPr>
                <w:rFonts w:ascii="Arial Narrow" w:hAnsi="Arial Narrow" w:cs="Arial Narrow"/>
              </w:rPr>
              <w:t>4</w:t>
            </w:r>
          </w:p>
        </w:tc>
        <w:tc>
          <w:tcPr>
            <w:tcW w:w="1815" w:type="dxa"/>
          </w:tcPr>
          <w:p w14:paraId="450715EF"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C9261D">
              <w:rPr>
                <w:rFonts w:ascii="Arial Narrow" w:hAnsi="Arial Narrow" w:cs="Arial Narrow"/>
                <w:i/>
              </w:rPr>
              <w:t>CFTS dominates</w:t>
            </w:r>
          </w:p>
        </w:tc>
      </w:tr>
      <w:tr w:rsidR="00F32C39" w:rsidRPr="00E64F24" w14:paraId="4D91D1B2" w14:textId="77777777" w:rsidTr="00057DB8">
        <w:tc>
          <w:tcPr>
            <w:tcW w:w="3110" w:type="dxa"/>
          </w:tcPr>
          <w:p w14:paraId="4F28D305" w14:textId="77777777" w:rsidR="00F32C39" w:rsidRPr="00823856" w:rsidRDefault="00F32C39" w:rsidP="005240FA">
            <w:pPr>
              <w:autoSpaceDE w:val="0"/>
              <w:autoSpaceDN w:val="0"/>
              <w:adjustRightInd w:val="0"/>
              <w:spacing w:before="40" w:after="40"/>
              <w:rPr>
                <w:rFonts w:ascii="Arial Narrow" w:hAnsi="Arial Narrow" w:cs="Arial Narrow"/>
              </w:rPr>
            </w:pPr>
            <w:r>
              <w:rPr>
                <w:rFonts w:ascii="Arial Narrow" w:hAnsi="Arial Narrow" w:cs="Arial Narrow"/>
              </w:rPr>
              <w:t>Invasive procedures [avoided]</w:t>
            </w:r>
          </w:p>
        </w:tc>
        <w:tc>
          <w:tcPr>
            <w:tcW w:w="1421" w:type="dxa"/>
          </w:tcPr>
          <w:p w14:paraId="6C34558F"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w:t>
            </w:r>
            <w:r>
              <w:rPr>
                <w:rFonts w:ascii="Arial Narrow" w:hAnsi="Arial Narrow" w:cs="Arial Narrow"/>
              </w:rPr>
              <w:t>8</w:t>
            </w:r>
          </w:p>
        </w:tc>
        <w:tc>
          <w:tcPr>
            <w:tcW w:w="856" w:type="dxa"/>
          </w:tcPr>
          <w:p w14:paraId="2EC33A9F"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w:t>
            </w:r>
            <w:r>
              <w:rPr>
                <w:rFonts w:ascii="Arial Narrow" w:hAnsi="Arial Narrow" w:cs="Arial Narrow"/>
              </w:rPr>
              <w:t>5</w:t>
            </w:r>
          </w:p>
        </w:tc>
        <w:tc>
          <w:tcPr>
            <w:tcW w:w="1814" w:type="dxa"/>
          </w:tcPr>
          <w:p w14:paraId="12ACC05A" w14:textId="77777777" w:rsidR="00F32C39" w:rsidRPr="00823856" w:rsidRDefault="00F32C39" w:rsidP="005240FA">
            <w:pPr>
              <w:autoSpaceDE w:val="0"/>
              <w:autoSpaceDN w:val="0"/>
              <w:adjustRightInd w:val="0"/>
              <w:spacing w:before="40" w:after="40"/>
              <w:jc w:val="center"/>
              <w:rPr>
                <w:rFonts w:ascii="Arial Narrow" w:hAnsi="Arial Narrow" w:cs="Arial Narrow"/>
              </w:rPr>
            </w:pPr>
            <w:r>
              <w:rPr>
                <w:rFonts w:ascii="Arial Narrow" w:hAnsi="Arial Narrow" w:cs="Arial Narrow"/>
              </w:rPr>
              <w:t>-</w:t>
            </w:r>
            <w:r w:rsidRPr="00823856">
              <w:rPr>
                <w:rFonts w:ascii="Arial Narrow" w:hAnsi="Arial Narrow" w:cs="Arial Narrow"/>
              </w:rPr>
              <w:t>0.0</w:t>
            </w:r>
            <w:r>
              <w:rPr>
                <w:rFonts w:ascii="Arial Narrow" w:hAnsi="Arial Narrow" w:cs="Arial Narrow"/>
              </w:rPr>
              <w:t>3</w:t>
            </w:r>
          </w:p>
        </w:tc>
        <w:tc>
          <w:tcPr>
            <w:tcW w:w="1815" w:type="dxa"/>
          </w:tcPr>
          <w:p w14:paraId="085C0754"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C9261D">
              <w:rPr>
                <w:rFonts w:ascii="Arial Narrow" w:hAnsi="Arial Narrow" w:cs="Arial Narrow"/>
                <w:i/>
              </w:rPr>
              <w:t>CFTS dominates</w:t>
            </w:r>
          </w:p>
        </w:tc>
      </w:tr>
      <w:tr w:rsidR="00F32C39" w:rsidRPr="00E64F24" w14:paraId="27D07E89" w14:textId="77777777" w:rsidTr="00057DB8">
        <w:tc>
          <w:tcPr>
            <w:tcW w:w="3110" w:type="dxa"/>
          </w:tcPr>
          <w:p w14:paraId="6E266BA2" w14:textId="5E968139" w:rsidR="00F32C39" w:rsidRPr="00823856" w:rsidRDefault="00F32C39" w:rsidP="005240FA">
            <w:pPr>
              <w:autoSpaceDE w:val="0"/>
              <w:autoSpaceDN w:val="0"/>
              <w:adjustRightInd w:val="0"/>
              <w:spacing w:before="40" w:after="40"/>
              <w:rPr>
                <w:rFonts w:ascii="Arial Narrow" w:hAnsi="Arial Narrow" w:cs="Arial Narrow"/>
              </w:rPr>
            </w:pPr>
            <w:r>
              <w:rPr>
                <w:rFonts w:ascii="Arial Narrow" w:hAnsi="Arial Narrow" w:cs="Arial Narrow"/>
              </w:rPr>
              <w:t>N</w:t>
            </w:r>
            <w:r w:rsidRPr="00195AA3">
              <w:rPr>
                <w:rFonts w:ascii="Arial Narrow" w:hAnsi="Arial Narrow" w:cs="Arial Narrow"/>
              </w:rPr>
              <w:t xml:space="preserve">umber </w:t>
            </w:r>
            <w:r>
              <w:rPr>
                <w:rFonts w:ascii="Arial Narrow" w:hAnsi="Arial Narrow" w:cs="Arial Narrow"/>
              </w:rPr>
              <w:t>of procedure-</w:t>
            </w:r>
            <w:r w:rsidR="007F66D8">
              <w:rPr>
                <w:rFonts w:ascii="Arial Narrow" w:hAnsi="Arial Narrow" w:cs="Arial Narrow"/>
              </w:rPr>
              <w:t>related miscarriages</w:t>
            </w:r>
          </w:p>
        </w:tc>
        <w:tc>
          <w:tcPr>
            <w:tcW w:w="1421" w:type="dxa"/>
          </w:tcPr>
          <w:p w14:paraId="52FC1B1D"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w:t>
            </w:r>
            <w:r>
              <w:rPr>
                <w:rFonts w:ascii="Arial Narrow" w:hAnsi="Arial Narrow" w:cs="Arial Narrow"/>
              </w:rPr>
              <w:t>.00011</w:t>
            </w:r>
          </w:p>
        </w:tc>
        <w:tc>
          <w:tcPr>
            <w:tcW w:w="856" w:type="dxa"/>
          </w:tcPr>
          <w:p w14:paraId="2CA90BB7"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0.0000</w:t>
            </w:r>
            <w:r>
              <w:rPr>
                <w:rFonts w:ascii="Arial Narrow" w:hAnsi="Arial Narrow" w:cs="Arial Narrow"/>
              </w:rPr>
              <w:t>7</w:t>
            </w:r>
          </w:p>
        </w:tc>
        <w:tc>
          <w:tcPr>
            <w:tcW w:w="1814" w:type="dxa"/>
          </w:tcPr>
          <w:p w14:paraId="6C333FB3"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0.0000</w:t>
            </w:r>
            <w:r>
              <w:rPr>
                <w:rFonts w:ascii="Arial Narrow" w:hAnsi="Arial Narrow" w:cs="Arial Narrow"/>
              </w:rPr>
              <w:t>4</w:t>
            </w:r>
          </w:p>
        </w:tc>
        <w:tc>
          <w:tcPr>
            <w:tcW w:w="1815" w:type="dxa"/>
          </w:tcPr>
          <w:p w14:paraId="051F962A" w14:textId="77777777" w:rsidR="00F32C39" w:rsidRPr="00E21FAC" w:rsidRDefault="00F32C39" w:rsidP="005240FA">
            <w:pPr>
              <w:autoSpaceDE w:val="0"/>
              <w:autoSpaceDN w:val="0"/>
              <w:adjustRightInd w:val="0"/>
              <w:spacing w:before="40" w:after="40"/>
              <w:jc w:val="center"/>
              <w:rPr>
                <w:rFonts w:ascii="Arial Narrow" w:hAnsi="Arial Narrow" w:cs="Arial Narrow"/>
                <w:i/>
              </w:rPr>
            </w:pPr>
            <w:r w:rsidRPr="00C9261D">
              <w:rPr>
                <w:rFonts w:ascii="Arial Narrow" w:hAnsi="Arial Narrow" w:cs="Arial Narrow"/>
                <w:i/>
              </w:rPr>
              <w:t>CFTS dominates</w:t>
            </w:r>
          </w:p>
        </w:tc>
      </w:tr>
      <w:tr w:rsidR="00F32C39" w:rsidRPr="00E64F24" w14:paraId="1C28DA2F" w14:textId="77777777" w:rsidTr="00057DB8">
        <w:tc>
          <w:tcPr>
            <w:tcW w:w="3110" w:type="dxa"/>
          </w:tcPr>
          <w:p w14:paraId="049306DE" w14:textId="4D8E1D8E" w:rsidR="00F32C39" w:rsidRPr="00823856" w:rsidRDefault="00F32C39" w:rsidP="005240FA">
            <w:pPr>
              <w:autoSpaceDE w:val="0"/>
              <w:autoSpaceDN w:val="0"/>
              <w:adjustRightInd w:val="0"/>
              <w:spacing w:before="40" w:after="40"/>
              <w:rPr>
                <w:rFonts w:ascii="Arial Narrow" w:hAnsi="Arial Narrow" w:cs="Arial Narrow"/>
              </w:rPr>
            </w:pPr>
            <w:r>
              <w:rPr>
                <w:rFonts w:ascii="Arial Narrow" w:hAnsi="Arial Narrow" w:cs="Arial Narrow"/>
              </w:rPr>
              <w:t>[Decrease in the] N</w:t>
            </w:r>
            <w:r w:rsidR="007F66D8">
              <w:rPr>
                <w:rFonts w:ascii="Arial Narrow" w:hAnsi="Arial Narrow" w:cs="Arial Narrow"/>
              </w:rPr>
              <w:t>umber of trisomy cases missed</w:t>
            </w:r>
          </w:p>
        </w:tc>
        <w:tc>
          <w:tcPr>
            <w:tcW w:w="1421" w:type="dxa"/>
          </w:tcPr>
          <w:p w14:paraId="177B35DD"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0.0000</w:t>
            </w:r>
            <w:r>
              <w:rPr>
                <w:rFonts w:ascii="Arial Narrow" w:hAnsi="Arial Narrow" w:cs="Arial Narrow"/>
              </w:rPr>
              <w:t>1</w:t>
            </w:r>
          </w:p>
        </w:tc>
        <w:tc>
          <w:tcPr>
            <w:tcW w:w="856" w:type="dxa"/>
          </w:tcPr>
          <w:p w14:paraId="6CCE1023" w14:textId="77777777" w:rsidR="00F32C39" w:rsidRPr="00823856" w:rsidRDefault="00F32C39" w:rsidP="005240FA">
            <w:pPr>
              <w:autoSpaceDE w:val="0"/>
              <w:autoSpaceDN w:val="0"/>
              <w:adjustRightInd w:val="0"/>
              <w:spacing w:before="40" w:after="40"/>
              <w:jc w:val="center"/>
              <w:rPr>
                <w:rFonts w:ascii="Arial Narrow" w:hAnsi="Arial Narrow" w:cs="Arial Narrow"/>
              </w:rPr>
            </w:pPr>
            <w:r w:rsidRPr="00823856">
              <w:rPr>
                <w:rFonts w:ascii="Arial Narrow" w:hAnsi="Arial Narrow" w:cs="Arial Narrow"/>
              </w:rPr>
              <w:t>0.000</w:t>
            </w:r>
            <w:r>
              <w:rPr>
                <w:rFonts w:ascii="Arial Narrow" w:hAnsi="Arial Narrow" w:cs="Arial Narrow"/>
              </w:rPr>
              <w:t>56</w:t>
            </w:r>
          </w:p>
        </w:tc>
        <w:tc>
          <w:tcPr>
            <w:tcW w:w="1814" w:type="dxa"/>
          </w:tcPr>
          <w:p w14:paraId="384DF90A" w14:textId="77777777" w:rsidR="00F32C39" w:rsidRPr="00823856" w:rsidRDefault="00F32C39" w:rsidP="005240FA">
            <w:pPr>
              <w:autoSpaceDE w:val="0"/>
              <w:autoSpaceDN w:val="0"/>
              <w:adjustRightInd w:val="0"/>
              <w:spacing w:before="40" w:after="40"/>
              <w:jc w:val="center"/>
              <w:rPr>
                <w:rFonts w:ascii="Arial Narrow" w:hAnsi="Arial Narrow" w:cs="Arial Narrow"/>
              </w:rPr>
            </w:pPr>
            <w:r>
              <w:rPr>
                <w:rFonts w:ascii="Arial Narrow" w:hAnsi="Arial Narrow" w:cs="Arial Narrow"/>
              </w:rPr>
              <w:t>-</w:t>
            </w:r>
            <w:r w:rsidRPr="00823856">
              <w:rPr>
                <w:rFonts w:ascii="Arial Narrow" w:hAnsi="Arial Narrow" w:cs="Arial Narrow"/>
              </w:rPr>
              <w:t>0.000</w:t>
            </w:r>
            <w:r>
              <w:rPr>
                <w:rFonts w:ascii="Arial Narrow" w:hAnsi="Arial Narrow" w:cs="Arial Narrow"/>
              </w:rPr>
              <w:t>53</w:t>
            </w:r>
          </w:p>
        </w:tc>
        <w:tc>
          <w:tcPr>
            <w:tcW w:w="1815" w:type="dxa"/>
          </w:tcPr>
          <w:p w14:paraId="2257C4E2" w14:textId="77777777" w:rsidR="00F32C39" w:rsidRPr="00A770FB" w:rsidRDefault="00F32C39" w:rsidP="005240FA">
            <w:pPr>
              <w:autoSpaceDE w:val="0"/>
              <w:autoSpaceDN w:val="0"/>
              <w:adjustRightInd w:val="0"/>
              <w:spacing w:before="40" w:after="40"/>
              <w:jc w:val="center"/>
              <w:rPr>
                <w:rFonts w:ascii="Arial Narrow" w:hAnsi="Arial Narrow" w:cs="Arial Narrow"/>
              </w:rPr>
            </w:pPr>
            <w:r w:rsidRPr="00A770FB">
              <w:rPr>
                <w:rFonts w:ascii="Arial Narrow" w:hAnsi="Arial Narrow" w:cs="Arial Narrow"/>
              </w:rPr>
              <w:t>$784,689</w:t>
            </w:r>
          </w:p>
        </w:tc>
      </w:tr>
    </w:tbl>
    <w:p w14:paraId="114ADF41" w14:textId="042209A2" w:rsidR="00F32C39" w:rsidRDefault="00F32C39" w:rsidP="00695A76">
      <w:pPr>
        <w:spacing w:before="240" w:after="240"/>
      </w:pPr>
      <w:r>
        <w:t xml:space="preserve">The </w:t>
      </w:r>
      <w:r w:rsidR="00C3311E">
        <w:t>2</w:t>
      </w:r>
      <w:r w:rsidR="00C3311E" w:rsidRPr="00ED3017">
        <w:rPr>
          <w:vertAlign w:val="superscript"/>
        </w:rPr>
        <w:t>nd</w:t>
      </w:r>
      <w:r w:rsidR="00C3311E">
        <w:t xml:space="preserve"> </w:t>
      </w:r>
      <w:r>
        <w:t>CA stated that</w:t>
      </w:r>
      <w:r w:rsidR="00722525" w:rsidRPr="00C80D8C">
        <w:t>, in terms of the total number of fetal aneuploidies correctly identified and number</w:t>
      </w:r>
      <w:r w:rsidR="00722525">
        <w:t xml:space="preserve"> of invasive procedures avoided</w:t>
      </w:r>
      <w:r>
        <w:t xml:space="preserve"> </w:t>
      </w:r>
      <w:r w:rsidR="00722525">
        <w:t xml:space="preserve">(and </w:t>
      </w:r>
      <w:r>
        <w:t>u</w:t>
      </w:r>
      <w:r w:rsidRPr="00C80D8C">
        <w:t>nlike in the original model</w:t>
      </w:r>
      <w:r w:rsidR="00722525">
        <w:t>)</w:t>
      </w:r>
      <w:r w:rsidRPr="00C80D8C">
        <w:t>, results of the updated model were robust to the variations in the cost of NIPT, the failure rate of the repeat NIPT and the sensitivity and specificity of the comparator tests when univariate sensitivity analysis was performed.</w:t>
      </w:r>
    </w:p>
    <w:p w14:paraId="00638301" w14:textId="77777777" w:rsidR="00F32C39" w:rsidRDefault="00F32C39" w:rsidP="00F32C39">
      <w:r w:rsidRPr="007048FD">
        <w:t>To address</w:t>
      </w:r>
      <w:r>
        <w:t xml:space="preserve"> uncertainty about the place of NIPT in the clinical pathway, two scenario analyses were conducted:</w:t>
      </w:r>
    </w:p>
    <w:p w14:paraId="04A56E4C" w14:textId="57B7B9FA" w:rsidR="00F32C39" w:rsidRDefault="00F32C39" w:rsidP="00F32C39">
      <w:pPr>
        <w:pStyle w:val="ListParagraph"/>
        <w:numPr>
          <w:ilvl w:val="0"/>
          <w:numId w:val="9"/>
        </w:numPr>
      </w:pPr>
      <w:r>
        <w:t xml:space="preserve">In </w:t>
      </w:r>
      <w:r w:rsidRPr="00621305">
        <w:rPr>
          <w:u w:val="single"/>
        </w:rPr>
        <w:t>Scenario 1</w:t>
      </w:r>
      <w:r>
        <w:t xml:space="preserve">, women from an unselected population have a choice of either NIPT or CFTS and if the result of the test for a woman is positive, invasive testing is offered. The implicit assumption is that NIPT would completely replace CFTS (informed by the model </w:t>
      </w:r>
      <w:r w:rsidR="000538A3">
        <w:t xml:space="preserve">in the previous CA, </w:t>
      </w:r>
      <w:r>
        <w:t>and consistent with the Norton</w:t>
      </w:r>
      <w:r w:rsidR="00722525">
        <w:t>,</w:t>
      </w:r>
      <w:r>
        <w:t xml:space="preserve"> 2015 study design).</w:t>
      </w:r>
      <w:r w:rsidRPr="00E00CAE">
        <w:t xml:space="preserve"> The results indicate that the estimated incremental cost of correctly identifying an additional trisomy case (true positive) would be $113,448 and the estimated incremental cost of not missing one additional trisomy case (false negative) is expected to be $375,065.</w:t>
      </w:r>
    </w:p>
    <w:p w14:paraId="5E17DEC5" w14:textId="3C8608E7" w:rsidR="0042285F" w:rsidRDefault="00F32C39" w:rsidP="00886D2D">
      <w:pPr>
        <w:pStyle w:val="ListParagraph"/>
        <w:numPr>
          <w:ilvl w:val="0"/>
          <w:numId w:val="9"/>
        </w:numPr>
      </w:pPr>
      <w:r>
        <w:t xml:space="preserve">In </w:t>
      </w:r>
      <w:r w:rsidRPr="00AC4486">
        <w:rPr>
          <w:u w:val="single"/>
        </w:rPr>
        <w:t>Scenario 2</w:t>
      </w:r>
      <w:r w:rsidRPr="00E62150">
        <w:t xml:space="preserve">, </w:t>
      </w:r>
      <w:r w:rsidRPr="00AC4486">
        <w:t>all women from an unselected population undergo ultrasound (US) for nuchal translucency (NT), which may or may not be followed by NIPT; if results are positive on either of the tests, an invasive procedure is offered. The results indicate US dominates (is less costly and more effective) for both correctly identifying an additional trisomy case (true positive) and not missing one additional trisomy case (false negative).</w:t>
      </w:r>
    </w:p>
    <w:p w14:paraId="54CA1E21" w14:textId="5D74FF3A" w:rsidR="0042285F" w:rsidRDefault="0042285F" w:rsidP="00695A76">
      <w:pPr>
        <w:pStyle w:val="Heading2"/>
        <w:spacing w:before="240"/>
      </w:pPr>
      <w:r>
        <w:t xml:space="preserve">Pre-MSAC </w:t>
      </w:r>
      <w:r w:rsidR="00825394">
        <w:t>r</w:t>
      </w:r>
      <w:r>
        <w:t>esponse</w:t>
      </w:r>
    </w:p>
    <w:p w14:paraId="45CD1373" w14:textId="34F57B7F" w:rsidR="000A29AF" w:rsidRDefault="000A29AF" w:rsidP="00695A76">
      <w:pPr>
        <w:spacing w:after="240"/>
      </w:pPr>
      <w:r>
        <w:t xml:space="preserve">Roche observed the </w:t>
      </w:r>
      <w:r w:rsidR="00C3311E">
        <w:t>2</w:t>
      </w:r>
      <w:r w:rsidR="00C3311E" w:rsidRPr="00ED3017">
        <w:rPr>
          <w:vertAlign w:val="superscript"/>
        </w:rPr>
        <w:t>nd</w:t>
      </w:r>
      <w:r w:rsidR="00C3311E">
        <w:t xml:space="preserve"> </w:t>
      </w:r>
      <w:r>
        <w:t>CA’s economic evaluation set the time horizon at delivery. Roche stated it is appropriate that MSAC takes a longer-term view as the birth of a child with major disability constitutes a cost to the community. This is one of the considerations of couples deciding whether to have prenatal testing for genetic disorders.</w:t>
      </w:r>
    </w:p>
    <w:p w14:paraId="676FF98B" w14:textId="6652E58F" w:rsidR="0042285F" w:rsidRDefault="0042285F" w:rsidP="00886D2D">
      <w:r>
        <w:t>The RCPA stated that i</w:t>
      </w:r>
      <w:r w:rsidRPr="0042285F">
        <w:t>n reality, the option deemed most clinically appropriate for expectant mothers is in fact, Scenario 2: a first trimester US followed by, or in conjunction with, NIPT, with NIPT replacing the biochemistry comp</w:t>
      </w:r>
      <w:r>
        <w:t>onent of existing testing (Hui et al. 2019).</w:t>
      </w:r>
      <w:r w:rsidRPr="0042285F">
        <w:t xml:space="preserve"> Most guidelines, as stated in the </w:t>
      </w:r>
      <w:r w:rsidR="00C3311E">
        <w:t>2</w:t>
      </w:r>
      <w:r w:rsidR="00C3311E" w:rsidRPr="00ED3017">
        <w:rPr>
          <w:vertAlign w:val="superscript"/>
        </w:rPr>
        <w:t>nd</w:t>
      </w:r>
      <w:r w:rsidR="00C3311E">
        <w:t xml:space="preserve"> </w:t>
      </w:r>
      <w:r w:rsidRPr="0042285F">
        <w:t xml:space="preserve">CA, emphasise the importance of US, which can detect congenital abnormalities other than the trisomies. Unfortunately the </w:t>
      </w:r>
      <w:r w:rsidR="00C3311E">
        <w:t>2</w:t>
      </w:r>
      <w:r w:rsidR="00C3311E" w:rsidRPr="00ED3017">
        <w:rPr>
          <w:vertAlign w:val="superscript"/>
        </w:rPr>
        <w:t>nd</w:t>
      </w:r>
      <w:r w:rsidR="00C3311E">
        <w:t xml:space="preserve"> </w:t>
      </w:r>
      <w:r w:rsidRPr="0042285F">
        <w:t>CA only modelled the economic analysis of NIPT and US, compared to US alone, rather than NIPT and US compared to CFTS and US. Whilst the College acknowledge</w:t>
      </w:r>
      <w:r w:rsidR="00722525">
        <w:t>d</w:t>
      </w:r>
      <w:r w:rsidRPr="0042285F">
        <w:t xml:space="preserve"> that women in rural and remote communities may have limited access to ultrasound, it note</w:t>
      </w:r>
      <w:r w:rsidR="00722525">
        <w:t>d</w:t>
      </w:r>
      <w:r w:rsidRPr="0042285F">
        <w:t xml:space="preserve"> that the majority of guidelines recommend that NIPT should only be performed after, or in conjunction with, an US.</w:t>
      </w:r>
    </w:p>
    <w:p w14:paraId="4DC5305F" w14:textId="77777777" w:rsidR="00A37C79" w:rsidRPr="00F715D1" w:rsidRDefault="00A37C79" w:rsidP="00A37C79">
      <w:pPr>
        <w:pStyle w:val="Heading1"/>
      </w:pPr>
      <w:r w:rsidRPr="00F715D1">
        <w:t>Financial/budgetary impacts</w:t>
      </w:r>
    </w:p>
    <w:p w14:paraId="6FB9C25F" w14:textId="0F67AC0B" w:rsidR="00F32C39" w:rsidRDefault="00F32C39" w:rsidP="00695A76">
      <w:pPr>
        <w:spacing w:after="240"/>
      </w:pPr>
      <w:r>
        <w:t>A</w:t>
      </w:r>
      <w:r w:rsidRPr="00F27BFC">
        <w:t xml:space="preserve">n epidemiological approach </w:t>
      </w:r>
      <w:r>
        <w:t>wa</w:t>
      </w:r>
      <w:r w:rsidRPr="00F27BFC">
        <w:t>s used to estimate the financial implications of universally f</w:t>
      </w:r>
      <w:r>
        <w:t xml:space="preserve">unding NIPT for trisomies 21, 18 and 13. Financial implications reflected the assumptions underlying the base case and two scenario analyses in the economic evaluation. Base case results relating to the </w:t>
      </w:r>
      <w:r w:rsidRPr="002900D1">
        <w:t xml:space="preserve">combined </w:t>
      </w:r>
      <w:r>
        <w:t>NIPT+CFTS</w:t>
      </w:r>
      <w:r w:rsidRPr="002900D1">
        <w:t xml:space="preserve"> screening tests </w:t>
      </w:r>
      <w:r w:rsidR="00FF0ECF">
        <w:t xml:space="preserve">assumed </w:t>
      </w:r>
      <w:r>
        <w:t xml:space="preserve">the uptake of first and second trimester screening </w:t>
      </w:r>
      <w:r w:rsidR="00FF0ECF">
        <w:t xml:space="preserve">was </w:t>
      </w:r>
      <w:r>
        <w:t>83% [based on estimates in the literature; Table 6])</w:t>
      </w:r>
      <w:r w:rsidR="00FF0ECF">
        <w:t>; the results were sensitive to this assumption</w:t>
      </w:r>
      <w:r>
        <w:t>.</w:t>
      </w:r>
    </w:p>
    <w:p w14:paraId="19BC8CD8" w14:textId="3818F24E" w:rsidR="00F32C39" w:rsidRPr="00057DB8" w:rsidRDefault="00F32C39" w:rsidP="00057DB8">
      <w:pPr>
        <w:rPr>
          <w:rFonts w:ascii="Arial Narrow" w:hAnsi="Arial Narrow"/>
          <w:b/>
          <w:sz w:val="20"/>
        </w:rPr>
      </w:pPr>
      <w:bookmarkStart w:id="6" w:name="_Ref14644324"/>
      <w:r w:rsidRPr="00057DB8">
        <w:rPr>
          <w:rFonts w:ascii="Arial Narrow" w:hAnsi="Arial Narrow"/>
          <w:b/>
          <w:sz w:val="20"/>
        </w:rPr>
        <w:t xml:space="preserve">Table </w:t>
      </w:r>
      <w:bookmarkEnd w:id="6"/>
      <w:r w:rsidRPr="00057DB8">
        <w:rPr>
          <w:rFonts w:ascii="Arial Narrow" w:hAnsi="Arial Narrow"/>
          <w:b/>
          <w:sz w:val="20"/>
        </w:rPr>
        <w:t xml:space="preserve">6: </w:t>
      </w:r>
      <w:r w:rsidR="00EE3131" w:rsidRPr="00057DB8">
        <w:rPr>
          <w:rFonts w:ascii="Arial Narrow" w:hAnsi="Arial Narrow"/>
          <w:b/>
          <w:sz w:val="20"/>
        </w:rPr>
        <w:t>Net c</w:t>
      </w:r>
      <w:r w:rsidRPr="00057DB8">
        <w:rPr>
          <w:rFonts w:ascii="Arial Narrow" w:hAnsi="Arial Narrow"/>
          <w:b/>
          <w:sz w:val="20"/>
        </w:rPr>
        <w:t>ost of a combination of NIPT and CFTS to MBS (based on uptake rate of 83%)</w:t>
      </w:r>
    </w:p>
    <w:tbl>
      <w:tblPr>
        <w:tblStyle w:val="TableGrid"/>
        <w:tblW w:w="9923" w:type="dxa"/>
        <w:tblInd w:w="-147" w:type="dxa"/>
        <w:tblLayout w:type="fixed"/>
        <w:tblCellMar>
          <w:left w:w="28" w:type="dxa"/>
          <w:right w:w="28" w:type="dxa"/>
        </w:tblCellMar>
        <w:tblLook w:val="04A0" w:firstRow="1" w:lastRow="0" w:firstColumn="1" w:lastColumn="0" w:noHBand="0" w:noVBand="1"/>
        <w:tblCaption w:val="Cost of a combination of NIPT and CFTS to MBS (based on uptake rate of 83%)"/>
        <w:tblDescription w:val="Cost of a combination of NIPT and CFTS to MBS (based on uptake rate of 83%)"/>
      </w:tblPr>
      <w:tblGrid>
        <w:gridCol w:w="2552"/>
        <w:gridCol w:w="1053"/>
        <w:gridCol w:w="1053"/>
        <w:gridCol w:w="1053"/>
        <w:gridCol w:w="1053"/>
        <w:gridCol w:w="1053"/>
        <w:gridCol w:w="1053"/>
        <w:gridCol w:w="1053"/>
      </w:tblGrid>
      <w:tr w:rsidR="00F32C39" w:rsidRPr="00FD7909" w14:paraId="05F8F1AE" w14:textId="77777777" w:rsidTr="00EE3131">
        <w:trPr>
          <w:tblHeader/>
        </w:trPr>
        <w:tc>
          <w:tcPr>
            <w:tcW w:w="2552" w:type="dxa"/>
            <w:tcBorders>
              <w:bottom w:val="nil"/>
            </w:tcBorders>
            <w:shd w:val="clear" w:color="auto" w:fill="auto"/>
          </w:tcPr>
          <w:p w14:paraId="71740253" w14:textId="7EA61BF9" w:rsidR="00F32C39" w:rsidRPr="00FD7909" w:rsidRDefault="00F32C39" w:rsidP="00D560ED">
            <w:pPr>
              <w:spacing w:before="40" w:after="40"/>
              <w:rPr>
                <w:rFonts w:ascii="Arial Narrow" w:hAnsi="Arial Narrow"/>
                <w:b/>
                <w:sz w:val="20"/>
              </w:rPr>
            </w:pPr>
            <w:r>
              <w:rPr>
                <w:rFonts w:ascii="Arial Narrow" w:hAnsi="Arial Narrow"/>
                <w:b/>
                <w:sz w:val="20"/>
              </w:rPr>
              <w:t xml:space="preserve">Number of </w:t>
            </w:r>
            <w:r w:rsidR="00D560ED">
              <w:rPr>
                <w:rFonts w:ascii="Arial Narrow" w:hAnsi="Arial Narrow"/>
                <w:b/>
                <w:sz w:val="20"/>
              </w:rPr>
              <w:t>services</w:t>
            </w:r>
            <w:r>
              <w:rPr>
                <w:rFonts w:ascii="Arial Narrow" w:hAnsi="Arial Narrow"/>
                <w:b/>
                <w:sz w:val="20"/>
              </w:rPr>
              <w:t>/</w:t>
            </w:r>
          </w:p>
        </w:tc>
        <w:tc>
          <w:tcPr>
            <w:tcW w:w="1053" w:type="dxa"/>
            <w:shd w:val="clear" w:color="auto" w:fill="auto"/>
            <w:vAlign w:val="center"/>
          </w:tcPr>
          <w:p w14:paraId="0A8A0B6A" w14:textId="77777777" w:rsidR="00F32C39" w:rsidRPr="00FD7909" w:rsidRDefault="00F32C39" w:rsidP="005240FA">
            <w:pPr>
              <w:spacing w:before="40" w:after="40"/>
              <w:jc w:val="center"/>
              <w:rPr>
                <w:rFonts w:ascii="Arial Narrow" w:hAnsi="Arial Narrow"/>
                <w:b/>
                <w:sz w:val="20"/>
              </w:rPr>
            </w:pPr>
            <w:r>
              <w:rPr>
                <w:rFonts w:ascii="Arial Narrow" w:hAnsi="Arial Narrow"/>
                <w:b/>
                <w:sz w:val="20"/>
              </w:rPr>
              <w:t>2017-18</w:t>
            </w:r>
          </w:p>
        </w:tc>
        <w:tc>
          <w:tcPr>
            <w:tcW w:w="1053" w:type="dxa"/>
            <w:shd w:val="clear" w:color="auto" w:fill="auto"/>
            <w:vAlign w:val="center"/>
          </w:tcPr>
          <w:p w14:paraId="6CE48C4A"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2018-19</w:t>
            </w:r>
          </w:p>
        </w:tc>
        <w:tc>
          <w:tcPr>
            <w:tcW w:w="1053" w:type="dxa"/>
            <w:shd w:val="clear" w:color="auto" w:fill="auto"/>
            <w:vAlign w:val="center"/>
          </w:tcPr>
          <w:p w14:paraId="16E6E839"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2019-20</w:t>
            </w:r>
          </w:p>
        </w:tc>
        <w:tc>
          <w:tcPr>
            <w:tcW w:w="1053" w:type="dxa"/>
            <w:shd w:val="clear" w:color="auto" w:fill="auto"/>
            <w:vAlign w:val="center"/>
          </w:tcPr>
          <w:p w14:paraId="33679791"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2020-21</w:t>
            </w:r>
          </w:p>
        </w:tc>
        <w:tc>
          <w:tcPr>
            <w:tcW w:w="1053" w:type="dxa"/>
            <w:shd w:val="clear" w:color="auto" w:fill="auto"/>
            <w:vAlign w:val="center"/>
          </w:tcPr>
          <w:p w14:paraId="282E6CBF"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2021-22</w:t>
            </w:r>
          </w:p>
        </w:tc>
        <w:tc>
          <w:tcPr>
            <w:tcW w:w="1053" w:type="dxa"/>
            <w:shd w:val="clear" w:color="auto" w:fill="auto"/>
            <w:vAlign w:val="center"/>
          </w:tcPr>
          <w:p w14:paraId="180E916A"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2022-23</w:t>
            </w:r>
          </w:p>
        </w:tc>
        <w:tc>
          <w:tcPr>
            <w:tcW w:w="1053" w:type="dxa"/>
            <w:shd w:val="clear" w:color="auto" w:fill="auto"/>
            <w:vAlign w:val="center"/>
          </w:tcPr>
          <w:p w14:paraId="01ED4190"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2023-24</w:t>
            </w:r>
          </w:p>
        </w:tc>
      </w:tr>
      <w:tr w:rsidR="00F32C39" w:rsidRPr="00FD7909" w14:paraId="6D7E4514" w14:textId="77777777" w:rsidTr="00EE3131">
        <w:trPr>
          <w:tblHeader/>
        </w:trPr>
        <w:tc>
          <w:tcPr>
            <w:tcW w:w="2552" w:type="dxa"/>
            <w:tcBorders>
              <w:top w:val="nil"/>
            </w:tcBorders>
            <w:shd w:val="clear" w:color="auto" w:fill="auto"/>
          </w:tcPr>
          <w:p w14:paraId="3A5C54D0" w14:textId="22B30348" w:rsidR="00F32C39" w:rsidRDefault="00815939" w:rsidP="005240FA">
            <w:pPr>
              <w:spacing w:before="40" w:after="40"/>
              <w:rPr>
                <w:rFonts w:ascii="Arial Narrow" w:hAnsi="Arial Narrow"/>
                <w:sz w:val="20"/>
              </w:rPr>
            </w:pPr>
            <w:r>
              <w:rPr>
                <w:rFonts w:ascii="Arial Narrow" w:hAnsi="Arial Narrow"/>
                <w:b/>
                <w:sz w:val="20"/>
              </w:rPr>
              <w:t>c</w:t>
            </w:r>
            <w:r w:rsidR="00F32C39">
              <w:rPr>
                <w:rFonts w:ascii="Arial Narrow" w:hAnsi="Arial Narrow"/>
                <w:b/>
                <w:sz w:val="20"/>
              </w:rPr>
              <w:t>ost</w:t>
            </w:r>
          </w:p>
        </w:tc>
        <w:tc>
          <w:tcPr>
            <w:tcW w:w="1053" w:type="dxa"/>
            <w:shd w:val="clear" w:color="auto" w:fill="auto"/>
            <w:vAlign w:val="center"/>
          </w:tcPr>
          <w:p w14:paraId="032E8DAB" w14:textId="77777777" w:rsidR="00F32C39" w:rsidRPr="00FD7909" w:rsidRDefault="00F32C39" w:rsidP="005240FA">
            <w:pPr>
              <w:spacing w:before="40" w:after="40"/>
              <w:jc w:val="center"/>
              <w:rPr>
                <w:rFonts w:ascii="Arial Narrow" w:hAnsi="Arial Narrow"/>
                <w:b/>
                <w:sz w:val="20"/>
              </w:rPr>
            </w:pPr>
          </w:p>
        </w:tc>
        <w:tc>
          <w:tcPr>
            <w:tcW w:w="1053" w:type="dxa"/>
            <w:shd w:val="clear" w:color="auto" w:fill="auto"/>
            <w:vAlign w:val="center"/>
          </w:tcPr>
          <w:p w14:paraId="2BFD82B5" w14:textId="77777777" w:rsidR="00F32C39" w:rsidRPr="00FD7909" w:rsidRDefault="00F32C39" w:rsidP="005240FA">
            <w:pPr>
              <w:spacing w:before="40" w:after="40"/>
              <w:jc w:val="center"/>
              <w:rPr>
                <w:rFonts w:ascii="Arial Narrow" w:hAnsi="Arial Narrow"/>
                <w:b/>
                <w:sz w:val="20"/>
              </w:rPr>
            </w:pPr>
          </w:p>
        </w:tc>
        <w:tc>
          <w:tcPr>
            <w:tcW w:w="1053" w:type="dxa"/>
            <w:shd w:val="clear" w:color="auto" w:fill="auto"/>
            <w:vAlign w:val="center"/>
          </w:tcPr>
          <w:p w14:paraId="378C2C54"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Year 1</w:t>
            </w:r>
          </w:p>
        </w:tc>
        <w:tc>
          <w:tcPr>
            <w:tcW w:w="1053" w:type="dxa"/>
            <w:shd w:val="clear" w:color="auto" w:fill="auto"/>
            <w:vAlign w:val="center"/>
          </w:tcPr>
          <w:p w14:paraId="178D6371"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Year 2</w:t>
            </w:r>
          </w:p>
        </w:tc>
        <w:tc>
          <w:tcPr>
            <w:tcW w:w="1053" w:type="dxa"/>
            <w:shd w:val="clear" w:color="auto" w:fill="auto"/>
            <w:vAlign w:val="center"/>
          </w:tcPr>
          <w:p w14:paraId="262CA01F"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Year 3</w:t>
            </w:r>
          </w:p>
        </w:tc>
        <w:tc>
          <w:tcPr>
            <w:tcW w:w="1053" w:type="dxa"/>
            <w:shd w:val="clear" w:color="auto" w:fill="auto"/>
            <w:vAlign w:val="center"/>
          </w:tcPr>
          <w:p w14:paraId="19079656"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Year 4</w:t>
            </w:r>
          </w:p>
        </w:tc>
        <w:tc>
          <w:tcPr>
            <w:tcW w:w="1053" w:type="dxa"/>
            <w:shd w:val="clear" w:color="auto" w:fill="auto"/>
            <w:vAlign w:val="center"/>
          </w:tcPr>
          <w:p w14:paraId="531F293F" w14:textId="77777777" w:rsidR="00F32C39" w:rsidRPr="00FD7909" w:rsidRDefault="00F32C39" w:rsidP="005240FA">
            <w:pPr>
              <w:spacing w:before="40" w:after="40"/>
              <w:jc w:val="center"/>
              <w:rPr>
                <w:rFonts w:ascii="Arial Narrow" w:hAnsi="Arial Narrow"/>
                <w:b/>
                <w:sz w:val="20"/>
              </w:rPr>
            </w:pPr>
            <w:r w:rsidRPr="00FD7909">
              <w:rPr>
                <w:rFonts w:ascii="Arial Narrow" w:hAnsi="Arial Narrow"/>
                <w:b/>
                <w:sz w:val="20"/>
              </w:rPr>
              <w:t>Year 5</w:t>
            </w:r>
          </w:p>
        </w:tc>
      </w:tr>
      <w:tr w:rsidR="00F32C39" w:rsidRPr="00FD7909" w14:paraId="1B1EE8BA" w14:textId="77777777" w:rsidTr="00EE3131">
        <w:tc>
          <w:tcPr>
            <w:tcW w:w="2552" w:type="dxa"/>
            <w:shd w:val="clear" w:color="auto" w:fill="auto"/>
          </w:tcPr>
          <w:p w14:paraId="202CFF63" w14:textId="01562085" w:rsidR="00F32C39" w:rsidRDefault="00F32C39" w:rsidP="005240FA">
            <w:pPr>
              <w:spacing w:before="40" w:after="40"/>
              <w:rPr>
                <w:rFonts w:ascii="Arial Narrow" w:hAnsi="Arial Narrow"/>
                <w:sz w:val="20"/>
              </w:rPr>
            </w:pPr>
            <w:r>
              <w:rPr>
                <w:rFonts w:ascii="Arial Narrow" w:hAnsi="Arial Narrow"/>
                <w:sz w:val="20"/>
              </w:rPr>
              <w:t xml:space="preserve">CFTS </w:t>
            </w:r>
            <w:r w:rsidR="00D560ED">
              <w:rPr>
                <w:rFonts w:ascii="Arial Narrow" w:hAnsi="Arial Narrow"/>
                <w:sz w:val="20"/>
              </w:rPr>
              <w:t xml:space="preserve">services </w:t>
            </w:r>
            <w:r>
              <w:rPr>
                <w:rFonts w:ascii="Arial Narrow" w:hAnsi="Arial Narrow"/>
                <w:sz w:val="20"/>
              </w:rPr>
              <w:t>(68%)</w:t>
            </w:r>
          </w:p>
        </w:tc>
        <w:tc>
          <w:tcPr>
            <w:tcW w:w="1053" w:type="dxa"/>
            <w:shd w:val="clear" w:color="auto" w:fill="auto"/>
            <w:vAlign w:val="center"/>
          </w:tcPr>
          <w:p w14:paraId="794E3AD3"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182</w:t>
            </w:r>
            <w:r>
              <w:rPr>
                <w:rFonts w:ascii="Arial Narrow" w:hAnsi="Arial Narrow"/>
                <w:sz w:val="20"/>
              </w:rPr>
              <w:t>,</w:t>
            </w:r>
            <w:r w:rsidRPr="00EE33B1">
              <w:rPr>
                <w:rFonts w:ascii="Arial Narrow" w:hAnsi="Arial Narrow"/>
                <w:sz w:val="20"/>
              </w:rPr>
              <w:t>758</w:t>
            </w:r>
          </w:p>
        </w:tc>
        <w:tc>
          <w:tcPr>
            <w:tcW w:w="1053" w:type="dxa"/>
            <w:shd w:val="clear" w:color="auto" w:fill="auto"/>
            <w:vAlign w:val="center"/>
          </w:tcPr>
          <w:p w14:paraId="4933A3E4"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185</w:t>
            </w:r>
            <w:r>
              <w:rPr>
                <w:rFonts w:ascii="Arial Narrow" w:hAnsi="Arial Narrow"/>
                <w:sz w:val="20"/>
              </w:rPr>
              <w:t>,</w:t>
            </w:r>
            <w:r w:rsidRPr="00EE33B1">
              <w:rPr>
                <w:rFonts w:ascii="Arial Narrow" w:hAnsi="Arial Narrow"/>
                <w:sz w:val="20"/>
              </w:rPr>
              <w:t>754</w:t>
            </w:r>
          </w:p>
        </w:tc>
        <w:tc>
          <w:tcPr>
            <w:tcW w:w="1053" w:type="dxa"/>
            <w:shd w:val="clear" w:color="auto" w:fill="auto"/>
            <w:vAlign w:val="center"/>
          </w:tcPr>
          <w:p w14:paraId="5D2349C1"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188</w:t>
            </w:r>
            <w:r>
              <w:rPr>
                <w:rFonts w:ascii="Arial Narrow" w:hAnsi="Arial Narrow"/>
                <w:sz w:val="20"/>
              </w:rPr>
              <w:t>,</w:t>
            </w:r>
            <w:r w:rsidRPr="00EE33B1">
              <w:rPr>
                <w:rFonts w:ascii="Arial Narrow" w:hAnsi="Arial Narrow"/>
                <w:sz w:val="20"/>
              </w:rPr>
              <w:t>976</w:t>
            </w:r>
          </w:p>
        </w:tc>
        <w:tc>
          <w:tcPr>
            <w:tcW w:w="1053" w:type="dxa"/>
            <w:shd w:val="clear" w:color="auto" w:fill="auto"/>
            <w:vAlign w:val="center"/>
          </w:tcPr>
          <w:p w14:paraId="2DD1487B"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192</w:t>
            </w:r>
            <w:r>
              <w:rPr>
                <w:rFonts w:ascii="Arial Narrow" w:hAnsi="Arial Narrow"/>
                <w:sz w:val="20"/>
              </w:rPr>
              <w:t>,</w:t>
            </w:r>
            <w:r w:rsidRPr="00EE33B1">
              <w:rPr>
                <w:rFonts w:ascii="Arial Narrow" w:hAnsi="Arial Narrow"/>
                <w:sz w:val="20"/>
              </w:rPr>
              <w:t>372</w:t>
            </w:r>
          </w:p>
        </w:tc>
        <w:tc>
          <w:tcPr>
            <w:tcW w:w="1053" w:type="dxa"/>
            <w:shd w:val="clear" w:color="auto" w:fill="auto"/>
            <w:vAlign w:val="center"/>
          </w:tcPr>
          <w:p w14:paraId="50D66894"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195</w:t>
            </w:r>
            <w:r>
              <w:rPr>
                <w:rFonts w:ascii="Arial Narrow" w:hAnsi="Arial Narrow"/>
                <w:sz w:val="20"/>
              </w:rPr>
              <w:t>,</w:t>
            </w:r>
            <w:r w:rsidRPr="00EE33B1">
              <w:rPr>
                <w:rFonts w:ascii="Arial Narrow" w:hAnsi="Arial Narrow"/>
                <w:sz w:val="20"/>
              </w:rPr>
              <w:t>942</w:t>
            </w:r>
          </w:p>
        </w:tc>
        <w:tc>
          <w:tcPr>
            <w:tcW w:w="1053" w:type="dxa"/>
            <w:shd w:val="clear" w:color="auto" w:fill="auto"/>
            <w:vAlign w:val="center"/>
          </w:tcPr>
          <w:p w14:paraId="4C76E40F"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199</w:t>
            </w:r>
            <w:r>
              <w:rPr>
                <w:rFonts w:ascii="Arial Narrow" w:hAnsi="Arial Narrow"/>
                <w:sz w:val="20"/>
              </w:rPr>
              <w:t>,</w:t>
            </w:r>
            <w:r w:rsidRPr="00EE33B1">
              <w:rPr>
                <w:rFonts w:ascii="Arial Narrow" w:hAnsi="Arial Narrow"/>
                <w:sz w:val="20"/>
              </w:rPr>
              <w:t>437</w:t>
            </w:r>
          </w:p>
        </w:tc>
        <w:tc>
          <w:tcPr>
            <w:tcW w:w="1053" w:type="dxa"/>
            <w:shd w:val="clear" w:color="auto" w:fill="auto"/>
            <w:vAlign w:val="center"/>
          </w:tcPr>
          <w:p w14:paraId="0817FBAE" w14:textId="77777777" w:rsidR="00F32C39" w:rsidRPr="00823060" w:rsidRDefault="00F32C39" w:rsidP="005240FA">
            <w:pPr>
              <w:spacing w:before="40" w:after="40"/>
              <w:jc w:val="center"/>
              <w:rPr>
                <w:rFonts w:ascii="Arial Narrow" w:hAnsi="Arial Narrow"/>
                <w:sz w:val="20"/>
              </w:rPr>
            </w:pPr>
            <w:r>
              <w:rPr>
                <w:rFonts w:ascii="Arial Narrow" w:hAnsi="Arial Narrow"/>
                <w:sz w:val="20"/>
              </w:rPr>
              <w:t>202,722</w:t>
            </w:r>
          </w:p>
        </w:tc>
      </w:tr>
      <w:tr w:rsidR="00F32C39" w:rsidRPr="00FD7909" w14:paraId="15239D85" w14:textId="77777777" w:rsidTr="00EE3131">
        <w:tc>
          <w:tcPr>
            <w:tcW w:w="2552" w:type="dxa"/>
            <w:shd w:val="clear" w:color="auto" w:fill="auto"/>
          </w:tcPr>
          <w:p w14:paraId="0BD2E8FC" w14:textId="0BC5F126" w:rsidR="00F32C39" w:rsidRDefault="00F32C39" w:rsidP="005240FA">
            <w:pPr>
              <w:spacing w:before="40" w:after="40"/>
              <w:rPr>
                <w:rFonts w:ascii="Arial Narrow" w:hAnsi="Arial Narrow"/>
                <w:sz w:val="20"/>
              </w:rPr>
            </w:pPr>
            <w:r>
              <w:rPr>
                <w:rFonts w:ascii="Arial Narrow" w:hAnsi="Arial Narrow"/>
                <w:sz w:val="20"/>
              </w:rPr>
              <w:t xml:space="preserve">2TMSS </w:t>
            </w:r>
            <w:r w:rsidR="00D560ED">
              <w:rPr>
                <w:rFonts w:ascii="Arial Narrow" w:hAnsi="Arial Narrow"/>
                <w:sz w:val="20"/>
              </w:rPr>
              <w:t xml:space="preserve">services </w:t>
            </w:r>
            <w:r>
              <w:rPr>
                <w:rFonts w:ascii="Arial Narrow" w:hAnsi="Arial Narrow"/>
                <w:sz w:val="20"/>
              </w:rPr>
              <w:t>(32%)</w:t>
            </w:r>
          </w:p>
        </w:tc>
        <w:tc>
          <w:tcPr>
            <w:tcW w:w="1053" w:type="dxa"/>
            <w:shd w:val="clear" w:color="auto" w:fill="auto"/>
            <w:vAlign w:val="center"/>
          </w:tcPr>
          <w:p w14:paraId="3540D4FA"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86</w:t>
            </w:r>
            <w:r>
              <w:rPr>
                <w:rFonts w:ascii="Arial Narrow" w:hAnsi="Arial Narrow"/>
                <w:sz w:val="20"/>
              </w:rPr>
              <w:t>,</w:t>
            </w:r>
            <w:r w:rsidRPr="00EE33B1">
              <w:rPr>
                <w:rFonts w:ascii="Arial Narrow" w:hAnsi="Arial Narrow"/>
                <w:sz w:val="20"/>
              </w:rPr>
              <w:t>004</w:t>
            </w:r>
          </w:p>
        </w:tc>
        <w:tc>
          <w:tcPr>
            <w:tcW w:w="1053" w:type="dxa"/>
            <w:shd w:val="clear" w:color="auto" w:fill="auto"/>
            <w:vAlign w:val="center"/>
          </w:tcPr>
          <w:p w14:paraId="133754F6"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87</w:t>
            </w:r>
            <w:r>
              <w:rPr>
                <w:rFonts w:ascii="Arial Narrow" w:hAnsi="Arial Narrow"/>
                <w:sz w:val="20"/>
              </w:rPr>
              <w:t>,</w:t>
            </w:r>
            <w:r w:rsidRPr="00EE33B1">
              <w:rPr>
                <w:rFonts w:ascii="Arial Narrow" w:hAnsi="Arial Narrow"/>
                <w:sz w:val="20"/>
              </w:rPr>
              <w:t>414</w:t>
            </w:r>
          </w:p>
        </w:tc>
        <w:tc>
          <w:tcPr>
            <w:tcW w:w="1053" w:type="dxa"/>
            <w:shd w:val="clear" w:color="auto" w:fill="auto"/>
            <w:vAlign w:val="center"/>
          </w:tcPr>
          <w:p w14:paraId="4CC3288C"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88</w:t>
            </w:r>
            <w:r>
              <w:rPr>
                <w:rFonts w:ascii="Arial Narrow" w:hAnsi="Arial Narrow"/>
                <w:sz w:val="20"/>
              </w:rPr>
              <w:t>,</w:t>
            </w:r>
            <w:r w:rsidRPr="00EE33B1">
              <w:rPr>
                <w:rFonts w:ascii="Arial Narrow" w:hAnsi="Arial Narrow"/>
                <w:sz w:val="20"/>
              </w:rPr>
              <w:t>930</w:t>
            </w:r>
          </w:p>
        </w:tc>
        <w:tc>
          <w:tcPr>
            <w:tcW w:w="1053" w:type="dxa"/>
            <w:shd w:val="clear" w:color="auto" w:fill="auto"/>
            <w:vAlign w:val="center"/>
          </w:tcPr>
          <w:p w14:paraId="75F77220"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90</w:t>
            </w:r>
            <w:r>
              <w:rPr>
                <w:rFonts w:ascii="Arial Narrow" w:hAnsi="Arial Narrow"/>
                <w:sz w:val="20"/>
              </w:rPr>
              <w:t>,</w:t>
            </w:r>
            <w:r w:rsidRPr="00EE33B1">
              <w:rPr>
                <w:rFonts w:ascii="Arial Narrow" w:hAnsi="Arial Narrow"/>
                <w:sz w:val="20"/>
              </w:rPr>
              <w:t>528</w:t>
            </w:r>
          </w:p>
        </w:tc>
        <w:tc>
          <w:tcPr>
            <w:tcW w:w="1053" w:type="dxa"/>
            <w:shd w:val="clear" w:color="auto" w:fill="auto"/>
            <w:vAlign w:val="center"/>
          </w:tcPr>
          <w:p w14:paraId="30E22BB7"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92</w:t>
            </w:r>
            <w:r>
              <w:rPr>
                <w:rFonts w:ascii="Arial Narrow" w:hAnsi="Arial Narrow"/>
                <w:sz w:val="20"/>
              </w:rPr>
              <w:t>,</w:t>
            </w:r>
            <w:r w:rsidRPr="00EE33B1">
              <w:rPr>
                <w:rFonts w:ascii="Arial Narrow" w:hAnsi="Arial Narrow"/>
                <w:sz w:val="20"/>
              </w:rPr>
              <w:t>208</w:t>
            </w:r>
          </w:p>
        </w:tc>
        <w:tc>
          <w:tcPr>
            <w:tcW w:w="1053" w:type="dxa"/>
            <w:shd w:val="clear" w:color="auto" w:fill="auto"/>
            <w:vAlign w:val="center"/>
          </w:tcPr>
          <w:p w14:paraId="6FB3C925" w14:textId="77777777" w:rsidR="00F32C39" w:rsidRPr="00823060" w:rsidRDefault="00F32C39" w:rsidP="005240FA">
            <w:pPr>
              <w:spacing w:before="40" w:after="40"/>
              <w:jc w:val="center"/>
              <w:rPr>
                <w:rFonts w:ascii="Arial Narrow" w:hAnsi="Arial Narrow"/>
                <w:sz w:val="20"/>
              </w:rPr>
            </w:pPr>
            <w:r w:rsidRPr="00EE33B1">
              <w:rPr>
                <w:rFonts w:ascii="Arial Narrow" w:hAnsi="Arial Narrow"/>
                <w:sz w:val="20"/>
              </w:rPr>
              <w:t>93</w:t>
            </w:r>
            <w:r>
              <w:rPr>
                <w:rFonts w:ascii="Arial Narrow" w:hAnsi="Arial Narrow"/>
                <w:sz w:val="20"/>
              </w:rPr>
              <w:t>,</w:t>
            </w:r>
            <w:r w:rsidRPr="00EE33B1">
              <w:rPr>
                <w:rFonts w:ascii="Arial Narrow" w:hAnsi="Arial Narrow"/>
                <w:sz w:val="20"/>
              </w:rPr>
              <w:t>852</w:t>
            </w:r>
          </w:p>
        </w:tc>
        <w:tc>
          <w:tcPr>
            <w:tcW w:w="1053" w:type="dxa"/>
            <w:shd w:val="clear" w:color="auto" w:fill="auto"/>
            <w:vAlign w:val="center"/>
          </w:tcPr>
          <w:p w14:paraId="5F387D16" w14:textId="77777777" w:rsidR="00F32C39" w:rsidRPr="00823060" w:rsidRDefault="00F32C39" w:rsidP="005240FA">
            <w:pPr>
              <w:spacing w:before="40" w:after="40"/>
              <w:jc w:val="center"/>
              <w:rPr>
                <w:rFonts w:ascii="Arial Narrow" w:hAnsi="Arial Narrow"/>
                <w:sz w:val="20"/>
              </w:rPr>
            </w:pPr>
            <w:r>
              <w:rPr>
                <w:rFonts w:ascii="Arial Narrow" w:hAnsi="Arial Narrow"/>
                <w:sz w:val="20"/>
              </w:rPr>
              <w:t>95,398</w:t>
            </w:r>
          </w:p>
        </w:tc>
      </w:tr>
      <w:tr w:rsidR="00F32C39" w:rsidRPr="00FD7909" w14:paraId="60B02624" w14:textId="77777777" w:rsidTr="00EE3131">
        <w:tc>
          <w:tcPr>
            <w:tcW w:w="2552" w:type="dxa"/>
            <w:shd w:val="clear" w:color="auto" w:fill="auto"/>
          </w:tcPr>
          <w:p w14:paraId="125EB9B5" w14:textId="34F589A3" w:rsidR="00F32C39" w:rsidRPr="00FD7909" w:rsidRDefault="00F32C39" w:rsidP="00D560ED">
            <w:pPr>
              <w:spacing w:before="40" w:after="40"/>
              <w:rPr>
                <w:rFonts w:ascii="Arial Narrow" w:hAnsi="Arial Narrow"/>
                <w:sz w:val="20"/>
              </w:rPr>
            </w:pPr>
            <w:r>
              <w:rPr>
                <w:rFonts w:ascii="Arial Narrow" w:hAnsi="Arial Narrow"/>
                <w:sz w:val="20"/>
              </w:rPr>
              <w:t xml:space="preserve">Number of screening </w:t>
            </w:r>
            <w:r w:rsidR="00D560ED">
              <w:rPr>
                <w:rFonts w:ascii="Arial Narrow" w:hAnsi="Arial Narrow"/>
                <w:sz w:val="20"/>
              </w:rPr>
              <w:t>services</w:t>
            </w:r>
            <w:r>
              <w:rPr>
                <w:rFonts w:ascii="Arial Narrow" w:hAnsi="Arial Narrow"/>
                <w:sz w:val="20"/>
              </w:rPr>
              <w:t xml:space="preserve"> (uptake rate 83%</w:t>
            </w:r>
            <w:r w:rsidR="00F055F6">
              <w:rPr>
                <w:rFonts w:ascii="Arial Narrow" w:hAnsi="Arial Narrow"/>
                <w:sz w:val="20"/>
              </w:rPr>
              <w:t>,</w:t>
            </w:r>
            <w:r>
              <w:rPr>
                <w:rFonts w:ascii="Arial Narrow" w:hAnsi="Arial Narrow"/>
                <w:sz w:val="20"/>
              </w:rPr>
              <w:t xml:space="preserve"> Hui (2016)</w:t>
            </w:r>
          </w:p>
        </w:tc>
        <w:tc>
          <w:tcPr>
            <w:tcW w:w="1053" w:type="dxa"/>
            <w:shd w:val="clear" w:color="auto" w:fill="auto"/>
            <w:vAlign w:val="center"/>
          </w:tcPr>
          <w:p w14:paraId="570705AE"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268</w:t>
            </w:r>
            <w:r>
              <w:rPr>
                <w:rFonts w:ascii="Arial Narrow" w:hAnsi="Arial Narrow"/>
                <w:sz w:val="20"/>
              </w:rPr>
              <w:t>,</w:t>
            </w:r>
            <w:r w:rsidRPr="00823060">
              <w:rPr>
                <w:rFonts w:ascii="Arial Narrow" w:hAnsi="Arial Narrow"/>
                <w:sz w:val="20"/>
              </w:rPr>
              <w:t>762</w:t>
            </w:r>
          </w:p>
        </w:tc>
        <w:tc>
          <w:tcPr>
            <w:tcW w:w="1053" w:type="dxa"/>
            <w:shd w:val="clear" w:color="auto" w:fill="auto"/>
            <w:vAlign w:val="center"/>
          </w:tcPr>
          <w:p w14:paraId="4371D581"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273</w:t>
            </w:r>
            <w:r>
              <w:rPr>
                <w:rFonts w:ascii="Arial Narrow" w:hAnsi="Arial Narrow"/>
                <w:sz w:val="20"/>
              </w:rPr>
              <w:t>,</w:t>
            </w:r>
            <w:r w:rsidRPr="00823060">
              <w:rPr>
                <w:rFonts w:ascii="Arial Narrow" w:hAnsi="Arial Narrow"/>
                <w:sz w:val="20"/>
              </w:rPr>
              <w:t>167</w:t>
            </w:r>
          </w:p>
        </w:tc>
        <w:tc>
          <w:tcPr>
            <w:tcW w:w="1053" w:type="dxa"/>
            <w:shd w:val="clear" w:color="auto" w:fill="auto"/>
            <w:vAlign w:val="center"/>
          </w:tcPr>
          <w:p w14:paraId="011881EB"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277</w:t>
            </w:r>
            <w:r>
              <w:rPr>
                <w:rFonts w:ascii="Arial Narrow" w:hAnsi="Arial Narrow"/>
                <w:sz w:val="20"/>
              </w:rPr>
              <w:t>,</w:t>
            </w:r>
            <w:r w:rsidRPr="00823060">
              <w:rPr>
                <w:rFonts w:ascii="Arial Narrow" w:hAnsi="Arial Narrow"/>
                <w:sz w:val="20"/>
              </w:rPr>
              <w:t>906</w:t>
            </w:r>
          </w:p>
        </w:tc>
        <w:tc>
          <w:tcPr>
            <w:tcW w:w="1053" w:type="dxa"/>
            <w:shd w:val="clear" w:color="auto" w:fill="auto"/>
            <w:vAlign w:val="center"/>
          </w:tcPr>
          <w:p w14:paraId="243CD5DC"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282</w:t>
            </w:r>
            <w:r>
              <w:rPr>
                <w:rFonts w:ascii="Arial Narrow" w:hAnsi="Arial Narrow"/>
                <w:sz w:val="20"/>
              </w:rPr>
              <w:t>,</w:t>
            </w:r>
            <w:r w:rsidRPr="00823060">
              <w:rPr>
                <w:rFonts w:ascii="Arial Narrow" w:hAnsi="Arial Narrow"/>
                <w:sz w:val="20"/>
              </w:rPr>
              <w:t>900</w:t>
            </w:r>
          </w:p>
        </w:tc>
        <w:tc>
          <w:tcPr>
            <w:tcW w:w="1053" w:type="dxa"/>
            <w:shd w:val="clear" w:color="auto" w:fill="auto"/>
            <w:vAlign w:val="center"/>
          </w:tcPr>
          <w:p w14:paraId="4CE52952"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288</w:t>
            </w:r>
            <w:r>
              <w:rPr>
                <w:rFonts w:ascii="Arial Narrow" w:hAnsi="Arial Narrow"/>
                <w:sz w:val="20"/>
              </w:rPr>
              <w:t>,</w:t>
            </w:r>
            <w:r w:rsidRPr="00823060">
              <w:rPr>
                <w:rFonts w:ascii="Arial Narrow" w:hAnsi="Arial Narrow"/>
                <w:sz w:val="20"/>
              </w:rPr>
              <w:t>150</w:t>
            </w:r>
          </w:p>
        </w:tc>
        <w:tc>
          <w:tcPr>
            <w:tcW w:w="1053" w:type="dxa"/>
            <w:shd w:val="clear" w:color="auto" w:fill="auto"/>
            <w:vAlign w:val="center"/>
          </w:tcPr>
          <w:p w14:paraId="0E6F1050" w14:textId="77777777" w:rsidR="00F32C39" w:rsidRPr="00823060" w:rsidRDefault="00F32C39" w:rsidP="005240FA">
            <w:pPr>
              <w:spacing w:before="40" w:after="40"/>
              <w:jc w:val="center"/>
              <w:rPr>
                <w:rFonts w:ascii="Arial Narrow" w:hAnsi="Arial Narrow"/>
                <w:sz w:val="20"/>
              </w:rPr>
            </w:pPr>
            <w:r w:rsidRPr="00823060">
              <w:rPr>
                <w:rFonts w:ascii="Arial Narrow" w:hAnsi="Arial Narrow"/>
                <w:sz w:val="20"/>
              </w:rPr>
              <w:t>293</w:t>
            </w:r>
            <w:r>
              <w:rPr>
                <w:rFonts w:ascii="Arial Narrow" w:hAnsi="Arial Narrow"/>
                <w:sz w:val="20"/>
              </w:rPr>
              <w:t>,</w:t>
            </w:r>
            <w:r w:rsidRPr="00823060">
              <w:rPr>
                <w:rFonts w:ascii="Arial Narrow" w:hAnsi="Arial Narrow"/>
                <w:sz w:val="20"/>
              </w:rPr>
              <w:t>289</w:t>
            </w:r>
          </w:p>
        </w:tc>
        <w:tc>
          <w:tcPr>
            <w:tcW w:w="1053" w:type="dxa"/>
            <w:shd w:val="clear" w:color="auto" w:fill="auto"/>
            <w:vAlign w:val="center"/>
          </w:tcPr>
          <w:p w14:paraId="55D17CDE" w14:textId="77777777" w:rsidR="00F32C39" w:rsidRPr="00823060" w:rsidRDefault="00F32C39" w:rsidP="005240FA">
            <w:pPr>
              <w:spacing w:before="40" w:after="40"/>
              <w:jc w:val="center"/>
              <w:rPr>
                <w:rFonts w:ascii="Arial Narrow" w:hAnsi="Arial Narrow"/>
                <w:sz w:val="20"/>
              </w:rPr>
            </w:pPr>
            <w:r>
              <w:rPr>
                <w:rFonts w:ascii="Arial Narrow" w:hAnsi="Arial Narrow"/>
                <w:sz w:val="20"/>
              </w:rPr>
              <w:t>298,120</w:t>
            </w:r>
          </w:p>
        </w:tc>
      </w:tr>
      <w:tr w:rsidR="00F32C39" w:rsidRPr="00FD7909" w14:paraId="57AA2919" w14:textId="77777777" w:rsidTr="00EE3131">
        <w:tc>
          <w:tcPr>
            <w:tcW w:w="2552" w:type="dxa"/>
            <w:shd w:val="clear" w:color="auto" w:fill="auto"/>
          </w:tcPr>
          <w:p w14:paraId="60B41695" w14:textId="1A01AA4A" w:rsidR="00F32C39" w:rsidRDefault="00F32C39" w:rsidP="005240FA">
            <w:pPr>
              <w:spacing w:before="40" w:after="40"/>
              <w:rPr>
                <w:rFonts w:ascii="Arial Narrow" w:hAnsi="Arial Narrow"/>
                <w:sz w:val="20"/>
              </w:rPr>
            </w:pPr>
            <w:r>
              <w:rPr>
                <w:rFonts w:ascii="Arial Narrow" w:hAnsi="Arial Narrow"/>
                <w:sz w:val="20"/>
              </w:rPr>
              <w:t>Cost of CFTS*</w:t>
            </w:r>
            <w:r w:rsidR="00A26F2C">
              <w:rPr>
                <w:rFonts w:ascii="Arial Narrow" w:hAnsi="Arial Narrow"/>
                <w:sz w:val="20"/>
              </w:rPr>
              <w:t xml:space="preserve"> ($)</w:t>
            </w:r>
          </w:p>
        </w:tc>
        <w:tc>
          <w:tcPr>
            <w:tcW w:w="1053" w:type="dxa"/>
            <w:shd w:val="clear" w:color="auto" w:fill="auto"/>
            <w:vAlign w:val="center"/>
          </w:tcPr>
          <w:p w14:paraId="77D3345B"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17</w:t>
            </w:r>
            <w:r>
              <w:rPr>
                <w:rFonts w:ascii="Arial Narrow" w:hAnsi="Arial Narrow"/>
                <w:sz w:val="20"/>
              </w:rPr>
              <w:t>,</w:t>
            </w:r>
            <w:r w:rsidRPr="00EE33B1">
              <w:rPr>
                <w:rFonts w:ascii="Arial Narrow" w:hAnsi="Arial Narrow"/>
                <w:sz w:val="20"/>
              </w:rPr>
              <w:t>049</w:t>
            </w:r>
            <w:r>
              <w:rPr>
                <w:rFonts w:ascii="Arial Narrow" w:hAnsi="Arial Narrow"/>
                <w:sz w:val="20"/>
              </w:rPr>
              <w:t>,</w:t>
            </w:r>
            <w:r w:rsidRPr="00EE33B1">
              <w:rPr>
                <w:rFonts w:ascii="Arial Narrow" w:hAnsi="Arial Narrow"/>
                <w:sz w:val="20"/>
              </w:rPr>
              <w:t>052</w:t>
            </w:r>
          </w:p>
        </w:tc>
        <w:tc>
          <w:tcPr>
            <w:tcW w:w="1053" w:type="dxa"/>
            <w:shd w:val="clear" w:color="auto" w:fill="auto"/>
            <w:vAlign w:val="center"/>
          </w:tcPr>
          <w:p w14:paraId="7C8C8C47"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17</w:t>
            </w:r>
            <w:r>
              <w:rPr>
                <w:rFonts w:ascii="Arial Narrow" w:hAnsi="Arial Narrow"/>
                <w:sz w:val="20"/>
              </w:rPr>
              <w:t>,</w:t>
            </w:r>
            <w:r w:rsidRPr="00EE33B1">
              <w:rPr>
                <w:rFonts w:ascii="Arial Narrow" w:hAnsi="Arial Narrow"/>
                <w:sz w:val="20"/>
              </w:rPr>
              <w:t>328</w:t>
            </w:r>
            <w:r>
              <w:rPr>
                <w:rFonts w:ascii="Arial Narrow" w:hAnsi="Arial Narrow"/>
                <w:sz w:val="20"/>
              </w:rPr>
              <w:t>,</w:t>
            </w:r>
            <w:r w:rsidRPr="00EE33B1">
              <w:rPr>
                <w:rFonts w:ascii="Arial Narrow" w:hAnsi="Arial Narrow"/>
                <w:sz w:val="20"/>
              </w:rPr>
              <w:t>498</w:t>
            </w:r>
          </w:p>
        </w:tc>
        <w:tc>
          <w:tcPr>
            <w:tcW w:w="1053" w:type="dxa"/>
            <w:shd w:val="clear" w:color="auto" w:fill="auto"/>
            <w:vAlign w:val="center"/>
          </w:tcPr>
          <w:p w14:paraId="36EE7E7F"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17</w:t>
            </w:r>
            <w:r>
              <w:rPr>
                <w:rFonts w:ascii="Arial Narrow" w:hAnsi="Arial Narrow"/>
                <w:sz w:val="20"/>
              </w:rPr>
              <w:t>,</w:t>
            </w:r>
            <w:r w:rsidRPr="00EE33B1">
              <w:rPr>
                <w:rFonts w:ascii="Arial Narrow" w:hAnsi="Arial Narrow"/>
                <w:sz w:val="20"/>
              </w:rPr>
              <w:t>629</w:t>
            </w:r>
            <w:r>
              <w:rPr>
                <w:rFonts w:ascii="Arial Narrow" w:hAnsi="Arial Narrow"/>
                <w:sz w:val="20"/>
              </w:rPr>
              <w:t>,</w:t>
            </w:r>
            <w:r w:rsidRPr="00EE33B1">
              <w:rPr>
                <w:rFonts w:ascii="Arial Narrow" w:hAnsi="Arial Narrow"/>
                <w:sz w:val="20"/>
              </w:rPr>
              <w:t>106</w:t>
            </w:r>
          </w:p>
        </w:tc>
        <w:tc>
          <w:tcPr>
            <w:tcW w:w="1053" w:type="dxa"/>
            <w:shd w:val="clear" w:color="auto" w:fill="auto"/>
            <w:vAlign w:val="center"/>
          </w:tcPr>
          <w:p w14:paraId="7677ADF8"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17</w:t>
            </w:r>
            <w:r>
              <w:rPr>
                <w:rFonts w:ascii="Arial Narrow" w:hAnsi="Arial Narrow"/>
                <w:sz w:val="20"/>
              </w:rPr>
              <w:t>,</w:t>
            </w:r>
            <w:r w:rsidRPr="00EE33B1">
              <w:rPr>
                <w:rFonts w:ascii="Arial Narrow" w:hAnsi="Arial Narrow"/>
                <w:sz w:val="20"/>
              </w:rPr>
              <w:t>945</w:t>
            </w:r>
            <w:r>
              <w:rPr>
                <w:rFonts w:ascii="Arial Narrow" w:hAnsi="Arial Narrow"/>
                <w:sz w:val="20"/>
              </w:rPr>
              <w:t>,</w:t>
            </w:r>
            <w:r w:rsidRPr="00EE33B1">
              <w:rPr>
                <w:rFonts w:ascii="Arial Narrow" w:hAnsi="Arial Narrow"/>
                <w:sz w:val="20"/>
              </w:rPr>
              <w:t>903</w:t>
            </w:r>
          </w:p>
        </w:tc>
        <w:tc>
          <w:tcPr>
            <w:tcW w:w="1053" w:type="dxa"/>
            <w:shd w:val="clear" w:color="auto" w:fill="auto"/>
            <w:vAlign w:val="center"/>
          </w:tcPr>
          <w:p w14:paraId="6859E925"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18</w:t>
            </w:r>
            <w:r>
              <w:rPr>
                <w:rFonts w:ascii="Arial Narrow" w:hAnsi="Arial Narrow"/>
                <w:sz w:val="20"/>
              </w:rPr>
              <w:t>,</w:t>
            </w:r>
            <w:r w:rsidRPr="00EE33B1">
              <w:rPr>
                <w:rFonts w:ascii="Arial Narrow" w:hAnsi="Arial Narrow"/>
                <w:sz w:val="20"/>
              </w:rPr>
              <w:t>278</w:t>
            </w:r>
            <w:r>
              <w:rPr>
                <w:rFonts w:ascii="Arial Narrow" w:hAnsi="Arial Narrow"/>
                <w:sz w:val="20"/>
              </w:rPr>
              <w:t>,</w:t>
            </w:r>
            <w:r w:rsidRPr="00EE33B1">
              <w:rPr>
                <w:rFonts w:ascii="Arial Narrow" w:hAnsi="Arial Narrow"/>
                <w:sz w:val="20"/>
              </w:rPr>
              <w:t>939</w:t>
            </w:r>
          </w:p>
        </w:tc>
        <w:tc>
          <w:tcPr>
            <w:tcW w:w="1053" w:type="dxa"/>
            <w:shd w:val="clear" w:color="auto" w:fill="auto"/>
            <w:vAlign w:val="center"/>
          </w:tcPr>
          <w:p w14:paraId="5C521990"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18</w:t>
            </w:r>
            <w:r>
              <w:rPr>
                <w:rFonts w:ascii="Arial Narrow" w:hAnsi="Arial Narrow"/>
                <w:sz w:val="20"/>
              </w:rPr>
              <w:t>,</w:t>
            </w:r>
            <w:r w:rsidRPr="00EE33B1">
              <w:rPr>
                <w:rFonts w:ascii="Arial Narrow" w:hAnsi="Arial Narrow"/>
                <w:sz w:val="20"/>
              </w:rPr>
              <w:t>604</w:t>
            </w:r>
            <w:r>
              <w:rPr>
                <w:rFonts w:ascii="Arial Narrow" w:hAnsi="Arial Narrow"/>
                <w:sz w:val="20"/>
              </w:rPr>
              <w:t>,</w:t>
            </w:r>
            <w:r w:rsidRPr="00EE33B1">
              <w:rPr>
                <w:rFonts w:ascii="Arial Narrow" w:hAnsi="Arial Narrow"/>
                <w:sz w:val="20"/>
              </w:rPr>
              <w:t>934</w:t>
            </w:r>
          </w:p>
        </w:tc>
        <w:tc>
          <w:tcPr>
            <w:tcW w:w="1053" w:type="dxa"/>
            <w:shd w:val="clear" w:color="auto" w:fill="auto"/>
            <w:vAlign w:val="center"/>
          </w:tcPr>
          <w:p w14:paraId="54ABA372" w14:textId="77777777" w:rsidR="00F32C39" w:rsidRPr="00FD7909" w:rsidRDefault="00F32C39" w:rsidP="005240FA">
            <w:pPr>
              <w:spacing w:before="40" w:after="40"/>
              <w:jc w:val="center"/>
              <w:rPr>
                <w:rFonts w:ascii="Arial Narrow" w:hAnsi="Arial Narrow"/>
                <w:sz w:val="20"/>
              </w:rPr>
            </w:pPr>
            <w:r w:rsidRPr="002B4D4E">
              <w:rPr>
                <w:rFonts w:ascii="Arial Narrow" w:hAnsi="Arial Narrow"/>
                <w:sz w:val="20"/>
              </w:rPr>
              <w:t>18</w:t>
            </w:r>
            <w:r>
              <w:rPr>
                <w:rFonts w:ascii="Arial Narrow" w:hAnsi="Arial Narrow"/>
                <w:sz w:val="20"/>
              </w:rPr>
              <w:t>,</w:t>
            </w:r>
            <w:r w:rsidRPr="002B4D4E">
              <w:rPr>
                <w:rFonts w:ascii="Arial Narrow" w:hAnsi="Arial Narrow"/>
                <w:sz w:val="20"/>
              </w:rPr>
              <w:t>911</w:t>
            </w:r>
            <w:r>
              <w:rPr>
                <w:rFonts w:ascii="Arial Narrow" w:hAnsi="Arial Narrow"/>
                <w:sz w:val="20"/>
              </w:rPr>
              <w:t>,</w:t>
            </w:r>
            <w:r w:rsidRPr="002B4D4E">
              <w:rPr>
                <w:rFonts w:ascii="Arial Narrow" w:hAnsi="Arial Narrow"/>
                <w:sz w:val="20"/>
              </w:rPr>
              <w:t>391</w:t>
            </w:r>
          </w:p>
        </w:tc>
      </w:tr>
      <w:tr w:rsidR="00F32C39" w:rsidRPr="00FD7909" w14:paraId="34E17A4B" w14:textId="77777777" w:rsidTr="00EE3131">
        <w:tc>
          <w:tcPr>
            <w:tcW w:w="2552" w:type="dxa"/>
            <w:shd w:val="clear" w:color="auto" w:fill="auto"/>
          </w:tcPr>
          <w:p w14:paraId="35F7985F" w14:textId="6C6D5CB4" w:rsidR="00F32C39" w:rsidRDefault="00F32C39" w:rsidP="005240FA">
            <w:pPr>
              <w:spacing w:before="40" w:after="40"/>
              <w:rPr>
                <w:rFonts w:ascii="Arial Narrow" w:hAnsi="Arial Narrow"/>
                <w:sz w:val="20"/>
              </w:rPr>
            </w:pPr>
            <w:r>
              <w:rPr>
                <w:rFonts w:ascii="Arial Narrow" w:hAnsi="Arial Narrow"/>
                <w:sz w:val="20"/>
              </w:rPr>
              <w:t>Cost of 2TMSS*</w:t>
            </w:r>
            <w:r w:rsidR="00A26F2C">
              <w:rPr>
                <w:rFonts w:ascii="Arial Narrow" w:hAnsi="Arial Narrow"/>
                <w:sz w:val="20"/>
              </w:rPr>
              <w:t xml:space="preserve"> ($)</w:t>
            </w:r>
          </w:p>
        </w:tc>
        <w:tc>
          <w:tcPr>
            <w:tcW w:w="1053" w:type="dxa"/>
            <w:shd w:val="clear" w:color="auto" w:fill="auto"/>
            <w:vAlign w:val="center"/>
          </w:tcPr>
          <w:p w14:paraId="769D4AC0"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038</w:t>
            </w:r>
            <w:r>
              <w:rPr>
                <w:rFonts w:ascii="Arial Narrow" w:hAnsi="Arial Narrow"/>
                <w:sz w:val="20"/>
              </w:rPr>
              <w:t>,</w:t>
            </w:r>
            <w:r w:rsidRPr="00EE33B1">
              <w:rPr>
                <w:rFonts w:ascii="Arial Narrow" w:hAnsi="Arial Narrow"/>
                <w:sz w:val="20"/>
              </w:rPr>
              <w:t>955</w:t>
            </w:r>
          </w:p>
        </w:tc>
        <w:tc>
          <w:tcPr>
            <w:tcW w:w="1053" w:type="dxa"/>
            <w:shd w:val="clear" w:color="auto" w:fill="auto"/>
            <w:vAlign w:val="center"/>
          </w:tcPr>
          <w:p w14:paraId="0B49AA94"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105</w:t>
            </w:r>
            <w:r>
              <w:rPr>
                <w:rFonts w:ascii="Arial Narrow" w:hAnsi="Arial Narrow"/>
                <w:sz w:val="20"/>
              </w:rPr>
              <w:t>,</w:t>
            </w:r>
            <w:r w:rsidRPr="00EE33B1">
              <w:rPr>
                <w:rFonts w:ascii="Arial Narrow" w:hAnsi="Arial Narrow"/>
                <w:sz w:val="20"/>
              </w:rPr>
              <w:t>157</w:t>
            </w:r>
          </w:p>
        </w:tc>
        <w:tc>
          <w:tcPr>
            <w:tcW w:w="1053" w:type="dxa"/>
            <w:shd w:val="clear" w:color="auto" w:fill="auto"/>
            <w:vAlign w:val="center"/>
          </w:tcPr>
          <w:p w14:paraId="2421A8F0"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176</w:t>
            </w:r>
            <w:r>
              <w:rPr>
                <w:rFonts w:ascii="Arial Narrow" w:hAnsi="Arial Narrow"/>
                <w:sz w:val="20"/>
              </w:rPr>
              <w:t>,</w:t>
            </w:r>
            <w:r w:rsidRPr="00EE33B1">
              <w:rPr>
                <w:rFonts w:ascii="Arial Narrow" w:hAnsi="Arial Narrow"/>
                <w:sz w:val="20"/>
              </w:rPr>
              <w:t>371</w:t>
            </w:r>
          </w:p>
        </w:tc>
        <w:tc>
          <w:tcPr>
            <w:tcW w:w="1053" w:type="dxa"/>
            <w:shd w:val="clear" w:color="auto" w:fill="auto"/>
            <w:vAlign w:val="center"/>
          </w:tcPr>
          <w:p w14:paraId="3A5AC95E"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251</w:t>
            </w:r>
            <w:r>
              <w:rPr>
                <w:rFonts w:ascii="Arial Narrow" w:hAnsi="Arial Narrow"/>
                <w:sz w:val="20"/>
              </w:rPr>
              <w:t>,</w:t>
            </w:r>
            <w:r w:rsidRPr="00EE33B1">
              <w:rPr>
                <w:rFonts w:ascii="Arial Narrow" w:hAnsi="Arial Narrow"/>
                <w:sz w:val="20"/>
              </w:rPr>
              <w:t>421</w:t>
            </w:r>
          </w:p>
        </w:tc>
        <w:tc>
          <w:tcPr>
            <w:tcW w:w="1053" w:type="dxa"/>
            <w:shd w:val="clear" w:color="auto" w:fill="auto"/>
            <w:vAlign w:val="center"/>
          </w:tcPr>
          <w:p w14:paraId="47EBEE3E"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330</w:t>
            </w:r>
            <w:r>
              <w:rPr>
                <w:rFonts w:ascii="Arial Narrow" w:hAnsi="Arial Narrow"/>
                <w:sz w:val="20"/>
              </w:rPr>
              <w:t>,</w:t>
            </w:r>
            <w:r w:rsidRPr="00EE33B1">
              <w:rPr>
                <w:rFonts w:ascii="Arial Narrow" w:hAnsi="Arial Narrow"/>
                <w:sz w:val="20"/>
              </w:rPr>
              <w:t>318</w:t>
            </w:r>
          </w:p>
        </w:tc>
        <w:tc>
          <w:tcPr>
            <w:tcW w:w="1053" w:type="dxa"/>
            <w:shd w:val="clear" w:color="auto" w:fill="auto"/>
            <w:vAlign w:val="center"/>
          </w:tcPr>
          <w:p w14:paraId="411FAB39" w14:textId="77777777" w:rsidR="00F32C39" w:rsidRPr="00FD7909" w:rsidRDefault="00F32C39" w:rsidP="005240FA">
            <w:pPr>
              <w:spacing w:before="40" w:after="40"/>
              <w:jc w:val="center"/>
              <w:rPr>
                <w:rFonts w:ascii="Arial Narrow" w:hAnsi="Arial Narrow"/>
                <w:sz w:val="20"/>
              </w:rPr>
            </w:pPr>
            <w:r w:rsidRPr="00EE33B1">
              <w:rPr>
                <w:rFonts w:ascii="Arial Narrow" w:hAnsi="Arial Narrow"/>
                <w:sz w:val="20"/>
              </w:rPr>
              <w:t>4</w:t>
            </w:r>
            <w:r>
              <w:rPr>
                <w:rFonts w:ascii="Arial Narrow" w:hAnsi="Arial Narrow"/>
                <w:sz w:val="20"/>
              </w:rPr>
              <w:t>,</w:t>
            </w:r>
            <w:r w:rsidRPr="00EE33B1">
              <w:rPr>
                <w:rFonts w:ascii="Arial Narrow" w:hAnsi="Arial Narrow"/>
                <w:sz w:val="20"/>
              </w:rPr>
              <w:t>407</w:t>
            </w:r>
            <w:r>
              <w:rPr>
                <w:rFonts w:ascii="Arial Narrow" w:hAnsi="Arial Narrow"/>
                <w:sz w:val="20"/>
              </w:rPr>
              <w:t>,</w:t>
            </w:r>
            <w:r w:rsidRPr="00EE33B1">
              <w:rPr>
                <w:rFonts w:ascii="Arial Narrow" w:hAnsi="Arial Narrow"/>
                <w:sz w:val="20"/>
              </w:rPr>
              <w:t>547</w:t>
            </w:r>
          </w:p>
        </w:tc>
        <w:tc>
          <w:tcPr>
            <w:tcW w:w="1053" w:type="dxa"/>
            <w:shd w:val="clear" w:color="auto" w:fill="auto"/>
            <w:vAlign w:val="center"/>
          </w:tcPr>
          <w:p w14:paraId="76F8765B" w14:textId="77777777" w:rsidR="00F32C39" w:rsidRPr="00FD7909" w:rsidRDefault="00F32C39" w:rsidP="005240FA">
            <w:pPr>
              <w:spacing w:before="40" w:after="40"/>
              <w:jc w:val="center"/>
              <w:rPr>
                <w:rFonts w:ascii="Arial Narrow" w:hAnsi="Arial Narrow"/>
                <w:sz w:val="20"/>
              </w:rPr>
            </w:pPr>
            <w:r w:rsidRPr="002B4D4E">
              <w:rPr>
                <w:rFonts w:ascii="Arial Narrow" w:hAnsi="Arial Narrow"/>
                <w:sz w:val="20"/>
              </w:rPr>
              <w:t>4</w:t>
            </w:r>
            <w:r>
              <w:rPr>
                <w:rFonts w:ascii="Arial Narrow" w:hAnsi="Arial Narrow"/>
                <w:sz w:val="20"/>
              </w:rPr>
              <w:t>,</w:t>
            </w:r>
            <w:r w:rsidRPr="002B4D4E">
              <w:rPr>
                <w:rFonts w:ascii="Arial Narrow" w:hAnsi="Arial Narrow"/>
                <w:sz w:val="20"/>
              </w:rPr>
              <w:t>480</w:t>
            </w:r>
            <w:r>
              <w:rPr>
                <w:rFonts w:ascii="Arial Narrow" w:hAnsi="Arial Narrow"/>
                <w:sz w:val="20"/>
              </w:rPr>
              <w:t>,</w:t>
            </w:r>
            <w:r w:rsidRPr="002B4D4E">
              <w:rPr>
                <w:rFonts w:ascii="Arial Narrow" w:hAnsi="Arial Narrow"/>
                <w:sz w:val="20"/>
              </w:rPr>
              <w:t>147</w:t>
            </w:r>
          </w:p>
        </w:tc>
      </w:tr>
      <w:tr w:rsidR="00F32C39" w:rsidRPr="002B4D4E" w14:paraId="79FE9DA4" w14:textId="77777777" w:rsidTr="00EE3131">
        <w:tc>
          <w:tcPr>
            <w:tcW w:w="2552" w:type="dxa"/>
            <w:shd w:val="clear" w:color="auto" w:fill="auto"/>
          </w:tcPr>
          <w:p w14:paraId="491D6530" w14:textId="3990AF92" w:rsidR="00F32C39" w:rsidRDefault="00F32C39" w:rsidP="005240FA">
            <w:pPr>
              <w:spacing w:before="40" w:after="40"/>
              <w:rPr>
                <w:rFonts w:ascii="Arial Narrow" w:hAnsi="Arial Narrow"/>
                <w:sz w:val="20"/>
              </w:rPr>
            </w:pPr>
            <w:r w:rsidRPr="00F106F8">
              <w:rPr>
                <w:rFonts w:ascii="Arial Narrow" w:hAnsi="Arial Narrow"/>
                <w:i/>
                <w:sz w:val="20"/>
              </w:rPr>
              <w:t>Total cost of CFTS/2TMSS</w:t>
            </w:r>
            <w:r>
              <w:rPr>
                <w:rFonts w:ascii="Arial Narrow" w:hAnsi="Arial Narrow"/>
                <w:i/>
                <w:sz w:val="20"/>
              </w:rPr>
              <w:t>*</w:t>
            </w:r>
            <w:r w:rsidR="00A26F2C">
              <w:rPr>
                <w:rFonts w:ascii="Arial Narrow" w:hAnsi="Arial Narrow"/>
                <w:sz w:val="20"/>
              </w:rPr>
              <w:t xml:space="preserve"> ($)</w:t>
            </w:r>
          </w:p>
        </w:tc>
        <w:tc>
          <w:tcPr>
            <w:tcW w:w="1053" w:type="dxa"/>
            <w:shd w:val="clear" w:color="auto" w:fill="auto"/>
            <w:vAlign w:val="center"/>
          </w:tcPr>
          <w:p w14:paraId="07BFC965"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21</w:t>
            </w:r>
            <w:r>
              <w:rPr>
                <w:rFonts w:ascii="Arial Narrow" w:hAnsi="Arial Narrow"/>
                <w:sz w:val="20"/>
              </w:rPr>
              <w:t>,</w:t>
            </w:r>
            <w:r w:rsidRPr="00ED6F4A">
              <w:rPr>
                <w:rFonts w:ascii="Arial Narrow" w:hAnsi="Arial Narrow"/>
                <w:sz w:val="20"/>
              </w:rPr>
              <w:t>088</w:t>
            </w:r>
            <w:r>
              <w:rPr>
                <w:rFonts w:ascii="Arial Narrow" w:hAnsi="Arial Narrow"/>
                <w:sz w:val="20"/>
              </w:rPr>
              <w:t>,</w:t>
            </w:r>
            <w:r w:rsidRPr="00ED6F4A">
              <w:rPr>
                <w:rFonts w:ascii="Arial Narrow" w:hAnsi="Arial Narrow"/>
                <w:sz w:val="20"/>
              </w:rPr>
              <w:t>007</w:t>
            </w:r>
          </w:p>
        </w:tc>
        <w:tc>
          <w:tcPr>
            <w:tcW w:w="1053" w:type="dxa"/>
            <w:shd w:val="clear" w:color="auto" w:fill="auto"/>
            <w:vAlign w:val="center"/>
          </w:tcPr>
          <w:p w14:paraId="639DCAD5"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21</w:t>
            </w:r>
            <w:r>
              <w:rPr>
                <w:rFonts w:ascii="Arial Narrow" w:hAnsi="Arial Narrow"/>
                <w:sz w:val="20"/>
              </w:rPr>
              <w:t>,</w:t>
            </w:r>
            <w:r w:rsidRPr="00ED6F4A">
              <w:rPr>
                <w:rFonts w:ascii="Arial Narrow" w:hAnsi="Arial Narrow"/>
                <w:sz w:val="20"/>
              </w:rPr>
              <w:t>433</w:t>
            </w:r>
            <w:r>
              <w:rPr>
                <w:rFonts w:ascii="Arial Narrow" w:hAnsi="Arial Narrow"/>
                <w:sz w:val="20"/>
              </w:rPr>
              <w:t>,</w:t>
            </w:r>
            <w:r w:rsidRPr="00ED6F4A">
              <w:rPr>
                <w:rFonts w:ascii="Arial Narrow" w:hAnsi="Arial Narrow"/>
                <w:sz w:val="20"/>
              </w:rPr>
              <w:t>655</w:t>
            </w:r>
          </w:p>
        </w:tc>
        <w:tc>
          <w:tcPr>
            <w:tcW w:w="1053" w:type="dxa"/>
            <w:shd w:val="clear" w:color="auto" w:fill="auto"/>
            <w:vAlign w:val="center"/>
          </w:tcPr>
          <w:p w14:paraId="377B2E7D"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21</w:t>
            </w:r>
            <w:r>
              <w:rPr>
                <w:rFonts w:ascii="Arial Narrow" w:hAnsi="Arial Narrow"/>
                <w:sz w:val="20"/>
              </w:rPr>
              <w:t>,</w:t>
            </w:r>
            <w:r w:rsidRPr="00ED6F4A">
              <w:rPr>
                <w:rFonts w:ascii="Arial Narrow" w:hAnsi="Arial Narrow"/>
                <w:sz w:val="20"/>
              </w:rPr>
              <w:t>805</w:t>
            </w:r>
            <w:r>
              <w:rPr>
                <w:rFonts w:ascii="Arial Narrow" w:hAnsi="Arial Narrow"/>
                <w:sz w:val="20"/>
              </w:rPr>
              <w:t>,</w:t>
            </w:r>
            <w:r w:rsidRPr="00ED6F4A">
              <w:rPr>
                <w:rFonts w:ascii="Arial Narrow" w:hAnsi="Arial Narrow"/>
                <w:sz w:val="20"/>
              </w:rPr>
              <w:t>477</w:t>
            </w:r>
          </w:p>
        </w:tc>
        <w:tc>
          <w:tcPr>
            <w:tcW w:w="1053" w:type="dxa"/>
            <w:shd w:val="clear" w:color="auto" w:fill="auto"/>
            <w:vAlign w:val="center"/>
          </w:tcPr>
          <w:p w14:paraId="0BB33479"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22</w:t>
            </w:r>
            <w:r>
              <w:rPr>
                <w:rFonts w:ascii="Arial Narrow" w:hAnsi="Arial Narrow"/>
                <w:sz w:val="20"/>
              </w:rPr>
              <w:t>,</w:t>
            </w:r>
            <w:r w:rsidRPr="00ED6F4A">
              <w:rPr>
                <w:rFonts w:ascii="Arial Narrow" w:hAnsi="Arial Narrow"/>
                <w:sz w:val="20"/>
              </w:rPr>
              <w:t>197</w:t>
            </w:r>
            <w:r>
              <w:rPr>
                <w:rFonts w:ascii="Arial Narrow" w:hAnsi="Arial Narrow"/>
                <w:sz w:val="20"/>
              </w:rPr>
              <w:t>,</w:t>
            </w:r>
            <w:r w:rsidRPr="00ED6F4A">
              <w:rPr>
                <w:rFonts w:ascii="Arial Narrow" w:hAnsi="Arial Narrow"/>
                <w:sz w:val="20"/>
              </w:rPr>
              <w:t>324</w:t>
            </w:r>
          </w:p>
        </w:tc>
        <w:tc>
          <w:tcPr>
            <w:tcW w:w="1053" w:type="dxa"/>
            <w:shd w:val="clear" w:color="auto" w:fill="auto"/>
            <w:vAlign w:val="center"/>
          </w:tcPr>
          <w:p w14:paraId="74F0CF3C"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22</w:t>
            </w:r>
            <w:r>
              <w:rPr>
                <w:rFonts w:ascii="Arial Narrow" w:hAnsi="Arial Narrow"/>
                <w:sz w:val="20"/>
              </w:rPr>
              <w:t>,</w:t>
            </w:r>
            <w:r w:rsidRPr="00ED6F4A">
              <w:rPr>
                <w:rFonts w:ascii="Arial Narrow" w:hAnsi="Arial Narrow"/>
                <w:sz w:val="20"/>
              </w:rPr>
              <w:t>609</w:t>
            </w:r>
            <w:r>
              <w:rPr>
                <w:rFonts w:ascii="Arial Narrow" w:hAnsi="Arial Narrow"/>
                <w:sz w:val="20"/>
              </w:rPr>
              <w:t>,</w:t>
            </w:r>
            <w:r w:rsidRPr="00ED6F4A">
              <w:rPr>
                <w:rFonts w:ascii="Arial Narrow" w:hAnsi="Arial Narrow"/>
                <w:sz w:val="20"/>
              </w:rPr>
              <w:t>258</w:t>
            </w:r>
          </w:p>
        </w:tc>
        <w:tc>
          <w:tcPr>
            <w:tcW w:w="1053" w:type="dxa"/>
            <w:shd w:val="clear" w:color="auto" w:fill="auto"/>
            <w:vAlign w:val="center"/>
          </w:tcPr>
          <w:p w14:paraId="554B235C"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23</w:t>
            </w:r>
            <w:r>
              <w:rPr>
                <w:rFonts w:ascii="Arial Narrow" w:hAnsi="Arial Narrow"/>
                <w:sz w:val="20"/>
              </w:rPr>
              <w:t>,</w:t>
            </w:r>
            <w:r w:rsidRPr="00ED6F4A">
              <w:rPr>
                <w:rFonts w:ascii="Arial Narrow" w:hAnsi="Arial Narrow"/>
                <w:sz w:val="20"/>
              </w:rPr>
              <w:t>012</w:t>
            </w:r>
            <w:r>
              <w:rPr>
                <w:rFonts w:ascii="Arial Narrow" w:hAnsi="Arial Narrow"/>
                <w:sz w:val="20"/>
              </w:rPr>
              <w:t>,</w:t>
            </w:r>
            <w:r w:rsidRPr="00ED6F4A">
              <w:rPr>
                <w:rFonts w:ascii="Arial Narrow" w:hAnsi="Arial Narrow"/>
                <w:sz w:val="20"/>
              </w:rPr>
              <w:t>481</w:t>
            </w:r>
          </w:p>
        </w:tc>
        <w:tc>
          <w:tcPr>
            <w:tcW w:w="1053" w:type="dxa"/>
            <w:shd w:val="clear" w:color="auto" w:fill="auto"/>
            <w:vAlign w:val="center"/>
          </w:tcPr>
          <w:p w14:paraId="3E987649" w14:textId="77777777" w:rsidR="00F32C39" w:rsidRPr="00FD7909" w:rsidRDefault="00F32C39" w:rsidP="005240FA">
            <w:pPr>
              <w:spacing w:before="40" w:after="40"/>
              <w:jc w:val="center"/>
              <w:rPr>
                <w:rFonts w:ascii="Arial Narrow" w:hAnsi="Arial Narrow"/>
                <w:sz w:val="20"/>
              </w:rPr>
            </w:pPr>
            <w:r w:rsidRPr="002B4D4E">
              <w:rPr>
                <w:rFonts w:ascii="Arial Narrow" w:hAnsi="Arial Narrow"/>
                <w:sz w:val="20"/>
              </w:rPr>
              <w:t>23</w:t>
            </w:r>
            <w:r>
              <w:rPr>
                <w:rFonts w:ascii="Arial Narrow" w:hAnsi="Arial Narrow"/>
                <w:sz w:val="20"/>
              </w:rPr>
              <w:t>,</w:t>
            </w:r>
            <w:r w:rsidRPr="002B4D4E">
              <w:rPr>
                <w:rFonts w:ascii="Arial Narrow" w:hAnsi="Arial Narrow"/>
                <w:sz w:val="20"/>
              </w:rPr>
              <w:t>391</w:t>
            </w:r>
            <w:r>
              <w:rPr>
                <w:rFonts w:ascii="Arial Narrow" w:hAnsi="Arial Narrow"/>
                <w:sz w:val="20"/>
              </w:rPr>
              <w:t>,</w:t>
            </w:r>
            <w:r w:rsidRPr="002B4D4E">
              <w:rPr>
                <w:rFonts w:ascii="Arial Narrow" w:hAnsi="Arial Narrow"/>
                <w:sz w:val="20"/>
              </w:rPr>
              <w:t>539</w:t>
            </w:r>
          </w:p>
        </w:tc>
      </w:tr>
      <w:tr w:rsidR="00F32C39" w:rsidRPr="00FD7909" w14:paraId="2B99FB42" w14:textId="77777777" w:rsidTr="00EE3131">
        <w:tc>
          <w:tcPr>
            <w:tcW w:w="2552" w:type="dxa"/>
            <w:shd w:val="clear" w:color="auto" w:fill="auto"/>
          </w:tcPr>
          <w:p w14:paraId="5B57B579" w14:textId="1E5ED6AC" w:rsidR="00F32C39" w:rsidRDefault="00F32C39" w:rsidP="005240FA">
            <w:pPr>
              <w:spacing w:before="40" w:after="40"/>
              <w:rPr>
                <w:rFonts w:ascii="Arial Narrow" w:hAnsi="Arial Narrow"/>
                <w:sz w:val="20"/>
              </w:rPr>
            </w:pPr>
            <w:r>
              <w:rPr>
                <w:rFonts w:ascii="Arial Narrow" w:hAnsi="Arial Narrow"/>
                <w:sz w:val="20"/>
              </w:rPr>
              <w:t>Cost of invasive procedures (IPT*)</w:t>
            </w:r>
            <w:r w:rsidR="00A26F2C">
              <w:rPr>
                <w:rFonts w:ascii="Arial Narrow" w:hAnsi="Arial Narrow"/>
                <w:sz w:val="20"/>
              </w:rPr>
              <w:t xml:space="preserve"> </w:t>
            </w:r>
            <w:r w:rsidR="00FD5E84" w:rsidRPr="00FD5E84">
              <w:rPr>
                <w:rFonts w:ascii="Arial Narrow" w:hAnsi="Arial Narrow"/>
                <w:i/>
                <w:sz w:val="20"/>
              </w:rPr>
              <w:t>constant trend</w:t>
            </w:r>
            <w:r w:rsidR="00FD5E84">
              <w:rPr>
                <w:rFonts w:ascii="Arial Narrow" w:hAnsi="Arial Narrow"/>
                <w:sz w:val="20"/>
              </w:rPr>
              <w:t xml:space="preserve"> </w:t>
            </w:r>
            <w:r w:rsidR="00A26F2C">
              <w:rPr>
                <w:rFonts w:ascii="Arial Narrow" w:hAnsi="Arial Narrow"/>
                <w:sz w:val="20"/>
              </w:rPr>
              <w:t>($)</w:t>
            </w:r>
          </w:p>
        </w:tc>
        <w:tc>
          <w:tcPr>
            <w:tcW w:w="1053" w:type="dxa"/>
            <w:shd w:val="clear" w:color="auto" w:fill="auto"/>
            <w:vAlign w:val="center"/>
          </w:tcPr>
          <w:p w14:paraId="4ED9D885"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165456F0"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3C97E8E3"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2ACE330B"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4388FA06"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78EC8787" w14:textId="77777777" w:rsidR="00F32C39" w:rsidRPr="00ED6F4A"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c>
          <w:tcPr>
            <w:tcW w:w="1053" w:type="dxa"/>
            <w:shd w:val="clear" w:color="auto" w:fill="auto"/>
            <w:vAlign w:val="center"/>
          </w:tcPr>
          <w:p w14:paraId="25182D99" w14:textId="77777777" w:rsidR="00F32C39" w:rsidRPr="002B4D4E" w:rsidRDefault="00F32C39" w:rsidP="005240FA">
            <w:pPr>
              <w:spacing w:before="40" w:after="40"/>
              <w:jc w:val="center"/>
              <w:rPr>
                <w:rFonts w:ascii="Arial Narrow" w:hAnsi="Arial Narrow"/>
                <w:sz w:val="20"/>
              </w:rPr>
            </w:pPr>
            <w:r w:rsidRPr="00C74849">
              <w:rPr>
                <w:rFonts w:ascii="Arial Narrow" w:hAnsi="Arial Narrow"/>
                <w:color w:val="000000"/>
                <w:sz w:val="20"/>
              </w:rPr>
              <w:t>1</w:t>
            </w:r>
            <w:r>
              <w:rPr>
                <w:rFonts w:ascii="Arial Narrow" w:hAnsi="Arial Narrow"/>
                <w:color w:val="000000"/>
                <w:sz w:val="20"/>
              </w:rPr>
              <w:t>,</w:t>
            </w:r>
            <w:r w:rsidRPr="00C74849">
              <w:rPr>
                <w:rFonts w:ascii="Arial Narrow" w:hAnsi="Arial Narrow"/>
                <w:color w:val="000000"/>
                <w:sz w:val="20"/>
              </w:rPr>
              <w:t>750</w:t>
            </w:r>
            <w:r>
              <w:rPr>
                <w:rFonts w:ascii="Arial Narrow" w:hAnsi="Arial Narrow"/>
                <w:color w:val="000000"/>
                <w:sz w:val="20"/>
              </w:rPr>
              <w:t>,</w:t>
            </w:r>
            <w:r w:rsidRPr="00C74849">
              <w:rPr>
                <w:rFonts w:ascii="Arial Narrow" w:hAnsi="Arial Narrow"/>
                <w:color w:val="000000"/>
                <w:sz w:val="20"/>
              </w:rPr>
              <w:t>766</w:t>
            </w:r>
          </w:p>
        </w:tc>
      </w:tr>
      <w:tr w:rsidR="00F32C39" w:rsidRPr="00FD7909" w14:paraId="4A08F4FA" w14:textId="77777777" w:rsidTr="00EE3131">
        <w:tc>
          <w:tcPr>
            <w:tcW w:w="2552" w:type="dxa"/>
            <w:shd w:val="clear" w:color="auto" w:fill="auto"/>
          </w:tcPr>
          <w:p w14:paraId="4D48E10D" w14:textId="46FDF10D" w:rsidR="00F32C39" w:rsidRDefault="00F32C39" w:rsidP="00EE3131">
            <w:pPr>
              <w:spacing w:before="40" w:after="40"/>
              <w:rPr>
                <w:rFonts w:ascii="Arial Narrow" w:hAnsi="Arial Narrow"/>
                <w:sz w:val="20"/>
              </w:rPr>
            </w:pPr>
            <w:r w:rsidRPr="00F106F8">
              <w:rPr>
                <w:rFonts w:ascii="Arial Narrow" w:hAnsi="Arial Narrow"/>
                <w:i/>
                <w:sz w:val="20"/>
              </w:rPr>
              <w:t>Total cost of CFTS/2TMSS</w:t>
            </w:r>
            <w:r>
              <w:rPr>
                <w:rFonts w:ascii="Arial Narrow" w:hAnsi="Arial Narrow"/>
                <w:i/>
                <w:sz w:val="20"/>
              </w:rPr>
              <w:t>*+IPT*</w:t>
            </w:r>
            <w:r w:rsidR="003B0BBA">
              <w:rPr>
                <w:rFonts w:ascii="Arial Narrow" w:hAnsi="Arial Narrow"/>
                <w:sz w:val="20"/>
              </w:rPr>
              <w:t xml:space="preserve"> </w:t>
            </w:r>
            <w:r w:rsidR="003B0BBA" w:rsidRPr="00FD5E84">
              <w:rPr>
                <w:rFonts w:ascii="Arial Narrow" w:hAnsi="Arial Narrow"/>
                <w:i/>
                <w:sz w:val="20"/>
              </w:rPr>
              <w:t>constant trend</w:t>
            </w:r>
            <w:r w:rsidR="003B0BBA">
              <w:rPr>
                <w:rFonts w:ascii="Arial Narrow" w:hAnsi="Arial Narrow"/>
                <w:sz w:val="20"/>
              </w:rPr>
              <w:t xml:space="preserve"> ($)</w:t>
            </w:r>
          </w:p>
        </w:tc>
        <w:tc>
          <w:tcPr>
            <w:tcW w:w="1053" w:type="dxa"/>
            <w:shd w:val="clear" w:color="auto" w:fill="auto"/>
            <w:vAlign w:val="center"/>
          </w:tcPr>
          <w:p w14:paraId="7FEE93E6" w14:textId="3AE9193D"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22</w:t>
            </w:r>
            <w:r>
              <w:rPr>
                <w:rFonts w:ascii="Arial Narrow" w:hAnsi="Arial Narrow"/>
                <w:color w:val="000000"/>
                <w:sz w:val="20"/>
              </w:rPr>
              <w:t>,</w:t>
            </w:r>
            <w:r w:rsidRPr="001A1A02">
              <w:rPr>
                <w:rFonts w:ascii="Arial Narrow" w:hAnsi="Arial Narrow"/>
                <w:color w:val="000000"/>
                <w:sz w:val="20"/>
              </w:rPr>
              <w:t>838</w:t>
            </w:r>
            <w:r>
              <w:rPr>
                <w:rFonts w:ascii="Arial Narrow" w:hAnsi="Arial Narrow"/>
                <w:color w:val="000000"/>
                <w:sz w:val="20"/>
              </w:rPr>
              <w:t>,</w:t>
            </w:r>
            <w:r w:rsidRPr="001A1A02">
              <w:rPr>
                <w:rFonts w:ascii="Arial Narrow" w:hAnsi="Arial Narrow"/>
                <w:color w:val="000000"/>
                <w:sz w:val="20"/>
              </w:rPr>
              <w:t>773</w:t>
            </w:r>
          </w:p>
        </w:tc>
        <w:tc>
          <w:tcPr>
            <w:tcW w:w="1053" w:type="dxa"/>
            <w:shd w:val="clear" w:color="auto" w:fill="auto"/>
            <w:vAlign w:val="center"/>
          </w:tcPr>
          <w:p w14:paraId="7EACD922" w14:textId="21543D3D"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23</w:t>
            </w:r>
            <w:r>
              <w:rPr>
                <w:rFonts w:ascii="Arial Narrow" w:hAnsi="Arial Narrow"/>
                <w:color w:val="000000"/>
                <w:sz w:val="20"/>
              </w:rPr>
              <w:t>,</w:t>
            </w:r>
            <w:r w:rsidRPr="001A1A02">
              <w:rPr>
                <w:rFonts w:ascii="Arial Narrow" w:hAnsi="Arial Narrow"/>
                <w:color w:val="000000"/>
                <w:sz w:val="20"/>
              </w:rPr>
              <w:t>184</w:t>
            </w:r>
            <w:r>
              <w:rPr>
                <w:rFonts w:ascii="Arial Narrow" w:hAnsi="Arial Narrow"/>
                <w:color w:val="000000"/>
                <w:sz w:val="20"/>
              </w:rPr>
              <w:t>,</w:t>
            </w:r>
            <w:r w:rsidRPr="001A1A02">
              <w:rPr>
                <w:rFonts w:ascii="Arial Narrow" w:hAnsi="Arial Narrow"/>
                <w:color w:val="000000"/>
                <w:sz w:val="20"/>
              </w:rPr>
              <w:t>421</w:t>
            </w:r>
          </w:p>
        </w:tc>
        <w:tc>
          <w:tcPr>
            <w:tcW w:w="1053" w:type="dxa"/>
            <w:shd w:val="clear" w:color="auto" w:fill="auto"/>
            <w:vAlign w:val="center"/>
          </w:tcPr>
          <w:p w14:paraId="4812F3D9" w14:textId="590B8DE3"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23</w:t>
            </w:r>
            <w:r>
              <w:rPr>
                <w:rFonts w:ascii="Arial Narrow" w:hAnsi="Arial Narrow"/>
                <w:color w:val="000000"/>
                <w:sz w:val="20"/>
              </w:rPr>
              <w:t>,</w:t>
            </w:r>
            <w:r w:rsidRPr="001A1A02">
              <w:rPr>
                <w:rFonts w:ascii="Arial Narrow" w:hAnsi="Arial Narrow"/>
                <w:color w:val="000000"/>
                <w:sz w:val="20"/>
              </w:rPr>
              <w:t>556</w:t>
            </w:r>
            <w:r>
              <w:rPr>
                <w:rFonts w:ascii="Arial Narrow" w:hAnsi="Arial Narrow"/>
                <w:color w:val="000000"/>
                <w:sz w:val="20"/>
              </w:rPr>
              <w:t>,</w:t>
            </w:r>
            <w:r w:rsidRPr="001A1A02">
              <w:rPr>
                <w:rFonts w:ascii="Arial Narrow" w:hAnsi="Arial Narrow"/>
                <w:color w:val="000000"/>
                <w:sz w:val="20"/>
              </w:rPr>
              <w:t>244</w:t>
            </w:r>
          </w:p>
        </w:tc>
        <w:tc>
          <w:tcPr>
            <w:tcW w:w="1053" w:type="dxa"/>
            <w:shd w:val="clear" w:color="auto" w:fill="auto"/>
            <w:vAlign w:val="center"/>
          </w:tcPr>
          <w:p w14:paraId="1A21A779" w14:textId="46F584BC"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23</w:t>
            </w:r>
            <w:r>
              <w:rPr>
                <w:rFonts w:ascii="Arial Narrow" w:hAnsi="Arial Narrow"/>
                <w:color w:val="000000"/>
                <w:sz w:val="20"/>
              </w:rPr>
              <w:t>,</w:t>
            </w:r>
            <w:r w:rsidRPr="001A1A02">
              <w:rPr>
                <w:rFonts w:ascii="Arial Narrow" w:hAnsi="Arial Narrow"/>
                <w:color w:val="000000"/>
                <w:sz w:val="20"/>
              </w:rPr>
              <w:t>948</w:t>
            </w:r>
            <w:r>
              <w:rPr>
                <w:rFonts w:ascii="Arial Narrow" w:hAnsi="Arial Narrow"/>
                <w:color w:val="000000"/>
                <w:sz w:val="20"/>
              </w:rPr>
              <w:t>,</w:t>
            </w:r>
            <w:r w:rsidRPr="001A1A02">
              <w:rPr>
                <w:rFonts w:ascii="Arial Narrow" w:hAnsi="Arial Narrow"/>
                <w:color w:val="000000"/>
                <w:sz w:val="20"/>
              </w:rPr>
              <w:t>090</w:t>
            </w:r>
          </w:p>
        </w:tc>
        <w:tc>
          <w:tcPr>
            <w:tcW w:w="1053" w:type="dxa"/>
            <w:shd w:val="clear" w:color="auto" w:fill="auto"/>
            <w:vAlign w:val="center"/>
          </w:tcPr>
          <w:p w14:paraId="1822860E" w14:textId="2F5D19CC"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24</w:t>
            </w:r>
            <w:r>
              <w:rPr>
                <w:rFonts w:ascii="Arial Narrow" w:hAnsi="Arial Narrow"/>
                <w:color w:val="000000"/>
                <w:sz w:val="20"/>
              </w:rPr>
              <w:t>,</w:t>
            </w:r>
            <w:r w:rsidRPr="001A1A02">
              <w:rPr>
                <w:rFonts w:ascii="Arial Narrow" w:hAnsi="Arial Narrow"/>
                <w:color w:val="000000"/>
                <w:sz w:val="20"/>
              </w:rPr>
              <w:t>360</w:t>
            </w:r>
            <w:r>
              <w:rPr>
                <w:rFonts w:ascii="Arial Narrow" w:hAnsi="Arial Narrow"/>
                <w:color w:val="000000"/>
                <w:sz w:val="20"/>
              </w:rPr>
              <w:t>,</w:t>
            </w:r>
            <w:r w:rsidRPr="001A1A02">
              <w:rPr>
                <w:rFonts w:ascii="Arial Narrow" w:hAnsi="Arial Narrow"/>
                <w:color w:val="000000"/>
                <w:sz w:val="20"/>
              </w:rPr>
              <w:t>024</w:t>
            </w:r>
          </w:p>
        </w:tc>
        <w:tc>
          <w:tcPr>
            <w:tcW w:w="1053" w:type="dxa"/>
            <w:shd w:val="clear" w:color="auto" w:fill="auto"/>
            <w:vAlign w:val="center"/>
          </w:tcPr>
          <w:p w14:paraId="7F7D8A4B" w14:textId="34FBB842"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24</w:t>
            </w:r>
            <w:r>
              <w:rPr>
                <w:rFonts w:ascii="Arial Narrow" w:hAnsi="Arial Narrow"/>
                <w:color w:val="000000"/>
                <w:sz w:val="20"/>
              </w:rPr>
              <w:t>,</w:t>
            </w:r>
            <w:r w:rsidRPr="001A1A02">
              <w:rPr>
                <w:rFonts w:ascii="Arial Narrow" w:hAnsi="Arial Narrow"/>
                <w:color w:val="000000"/>
                <w:sz w:val="20"/>
              </w:rPr>
              <w:t>763</w:t>
            </w:r>
            <w:r>
              <w:rPr>
                <w:rFonts w:ascii="Arial Narrow" w:hAnsi="Arial Narrow"/>
                <w:color w:val="000000"/>
                <w:sz w:val="20"/>
              </w:rPr>
              <w:t>,</w:t>
            </w:r>
            <w:r w:rsidRPr="001A1A02">
              <w:rPr>
                <w:rFonts w:ascii="Arial Narrow" w:hAnsi="Arial Narrow"/>
                <w:color w:val="000000"/>
                <w:sz w:val="20"/>
              </w:rPr>
              <w:t>248</w:t>
            </w:r>
          </w:p>
        </w:tc>
        <w:tc>
          <w:tcPr>
            <w:tcW w:w="1053" w:type="dxa"/>
            <w:shd w:val="clear" w:color="auto" w:fill="auto"/>
            <w:vAlign w:val="center"/>
          </w:tcPr>
          <w:p w14:paraId="0E2F5CD4" w14:textId="5D67927A" w:rsidR="00F32C39" w:rsidRPr="001A1A02" w:rsidRDefault="00F32C39" w:rsidP="005240FA">
            <w:pPr>
              <w:spacing w:before="40" w:after="40"/>
              <w:jc w:val="center"/>
              <w:rPr>
                <w:rFonts w:ascii="Arial Narrow" w:hAnsi="Arial Narrow"/>
                <w:sz w:val="20"/>
              </w:rPr>
            </w:pPr>
            <w:r w:rsidRPr="001A1A02">
              <w:rPr>
                <w:rFonts w:ascii="Arial Narrow" w:hAnsi="Arial Narrow"/>
                <w:color w:val="000000"/>
                <w:sz w:val="20"/>
              </w:rPr>
              <w:t>25</w:t>
            </w:r>
            <w:r>
              <w:rPr>
                <w:rFonts w:ascii="Arial Narrow" w:hAnsi="Arial Narrow"/>
                <w:color w:val="000000"/>
                <w:sz w:val="20"/>
              </w:rPr>
              <w:t>,</w:t>
            </w:r>
            <w:r w:rsidRPr="001A1A02">
              <w:rPr>
                <w:rFonts w:ascii="Arial Narrow" w:hAnsi="Arial Narrow"/>
                <w:color w:val="000000"/>
                <w:sz w:val="20"/>
              </w:rPr>
              <w:t>142</w:t>
            </w:r>
            <w:r>
              <w:rPr>
                <w:rFonts w:ascii="Arial Narrow" w:hAnsi="Arial Narrow"/>
                <w:color w:val="000000"/>
                <w:sz w:val="20"/>
              </w:rPr>
              <w:t>,</w:t>
            </w:r>
            <w:r w:rsidRPr="001A1A02">
              <w:rPr>
                <w:rFonts w:ascii="Arial Narrow" w:hAnsi="Arial Narrow"/>
                <w:color w:val="000000"/>
                <w:sz w:val="20"/>
              </w:rPr>
              <w:t>305</w:t>
            </w:r>
          </w:p>
        </w:tc>
      </w:tr>
      <w:tr w:rsidR="00F32C39" w:rsidRPr="00FD7909" w14:paraId="05E805A4" w14:textId="77777777" w:rsidTr="00EE3131">
        <w:tc>
          <w:tcPr>
            <w:tcW w:w="2552" w:type="dxa"/>
            <w:shd w:val="clear" w:color="auto" w:fill="auto"/>
          </w:tcPr>
          <w:p w14:paraId="28AB18E3" w14:textId="4E0AD433" w:rsidR="00F32C39" w:rsidRDefault="00F32C39" w:rsidP="005240FA">
            <w:pPr>
              <w:spacing w:before="40" w:after="40"/>
              <w:rPr>
                <w:rFonts w:ascii="Arial Narrow" w:hAnsi="Arial Narrow"/>
                <w:sz w:val="20"/>
              </w:rPr>
            </w:pPr>
            <w:r>
              <w:rPr>
                <w:rFonts w:ascii="Arial Narrow" w:hAnsi="Arial Narrow"/>
                <w:sz w:val="20"/>
              </w:rPr>
              <w:t>Cost of NIPT*</w:t>
            </w:r>
            <w:r w:rsidR="00A26F2C">
              <w:rPr>
                <w:rFonts w:ascii="Arial Narrow" w:hAnsi="Arial Narrow"/>
                <w:sz w:val="20"/>
              </w:rPr>
              <w:t xml:space="preserve"> ($)</w:t>
            </w:r>
          </w:p>
        </w:tc>
        <w:tc>
          <w:tcPr>
            <w:tcW w:w="1053" w:type="dxa"/>
            <w:shd w:val="clear" w:color="auto" w:fill="auto"/>
            <w:vAlign w:val="center"/>
          </w:tcPr>
          <w:p w14:paraId="46E6726A"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91</w:t>
            </w:r>
            <w:r>
              <w:rPr>
                <w:rFonts w:ascii="Arial Narrow" w:hAnsi="Arial Narrow"/>
                <w:sz w:val="20"/>
              </w:rPr>
              <w:t>,</w:t>
            </w:r>
            <w:r w:rsidRPr="00ED6F4A">
              <w:rPr>
                <w:rFonts w:ascii="Arial Narrow" w:hAnsi="Arial Narrow"/>
                <w:sz w:val="20"/>
              </w:rPr>
              <w:t>379</w:t>
            </w:r>
            <w:r>
              <w:rPr>
                <w:rFonts w:ascii="Arial Narrow" w:hAnsi="Arial Narrow"/>
                <w:sz w:val="20"/>
              </w:rPr>
              <w:t>,</w:t>
            </w:r>
            <w:r w:rsidRPr="00ED6F4A">
              <w:rPr>
                <w:rFonts w:ascii="Arial Narrow" w:hAnsi="Arial Narrow"/>
                <w:sz w:val="20"/>
              </w:rPr>
              <w:t>080</w:t>
            </w:r>
          </w:p>
        </w:tc>
        <w:tc>
          <w:tcPr>
            <w:tcW w:w="1053" w:type="dxa"/>
            <w:shd w:val="clear" w:color="auto" w:fill="auto"/>
            <w:vAlign w:val="center"/>
          </w:tcPr>
          <w:p w14:paraId="11C01DF5"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92</w:t>
            </w:r>
            <w:r>
              <w:rPr>
                <w:rFonts w:ascii="Arial Narrow" w:hAnsi="Arial Narrow"/>
                <w:sz w:val="20"/>
              </w:rPr>
              <w:t>,</w:t>
            </w:r>
            <w:r w:rsidRPr="00ED6F4A">
              <w:rPr>
                <w:rFonts w:ascii="Arial Narrow" w:hAnsi="Arial Narrow"/>
                <w:sz w:val="20"/>
              </w:rPr>
              <w:t>876</w:t>
            </w:r>
            <w:r>
              <w:rPr>
                <w:rFonts w:ascii="Arial Narrow" w:hAnsi="Arial Narrow"/>
                <w:sz w:val="20"/>
              </w:rPr>
              <w:t>,</w:t>
            </w:r>
            <w:r w:rsidRPr="00ED6F4A">
              <w:rPr>
                <w:rFonts w:ascii="Arial Narrow" w:hAnsi="Arial Narrow"/>
                <w:sz w:val="20"/>
              </w:rPr>
              <w:t>848</w:t>
            </w:r>
          </w:p>
        </w:tc>
        <w:tc>
          <w:tcPr>
            <w:tcW w:w="1053" w:type="dxa"/>
            <w:shd w:val="clear" w:color="auto" w:fill="auto"/>
            <w:vAlign w:val="center"/>
          </w:tcPr>
          <w:p w14:paraId="124A047E"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94</w:t>
            </w:r>
            <w:r>
              <w:rPr>
                <w:rFonts w:ascii="Arial Narrow" w:hAnsi="Arial Narrow"/>
                <w:sz w:val="20"/>
              </w:rPr>
              <w:t>,</w:t>
            </w:r>
            <w:r w:rsidRPr="00ED6F4A">
              <w:rPr>
                <w:rFonts w:ascii="Arial Narrow" w:hAnsi="Arial Narrow"/>
                <w:sz w:val="20"/>
              </w:rPr>
              <w:t>488</w:t>
            </w:r>
            <w:r>
              <w:rPr>
                <w:rFonts w:ascii="Arial Narrow" w:hAnsi="Arial Narrow"/>
                <w:sz w:val="20"/>
              </w:rPr>
              <w:t>,</w:t>
            </w:r>
            <w:r w:rsidRPr="00ED6F4A">
              <w:rPr>
                <w:rFonts w:ascii="Arial Narrow" w:hAnsi="Arial Narrow"/>
                <w:sz w:val="20"/>
              </w:rPr>
              <w:t>040</w:t>
            </w:r>
          </w:p>
        </w:tc>
        <w:tc>
          <w:tcPr>
            <w:tcW w:w="1053" w:type="dxa"/>
            <w:shd w:val="clear" w:color="auto" w:fill="auto"/>
            <w:vAlign w:val="center"/>
          </w:tcPr>
          <w:p w14:paraId="3C9B0A00"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96</w:t>
            </w:r>
            <w:r>
              <w:rPr>
                <w:rFonts w:ascii="Arial Narrow" w:hAnsi="Arial Narrow"/>
                <w:sz w:val="20"/>
              </w:rPr>
              <w:t>,</w:t>
            </w:r>
            <w:r w:rsidRPr="00ED6F4A">
              <w:rPr>
                <w:rFonts w:ascii="Arial Narrow" w:hAnsi="Arial Narrow"/>
                <w:sz w:val="20"/>
              </w:rPr>
              <w:t>186</w:t>
            </w:r>
            <w:r>
              <w:rPr>
                <w:rFonts w:ascii="Arial Narrow" w:hAnsi="Arial Narrow"/>
                <w:sz w:val="20"/>
              </w:rPr>
              <w:t>,</w:t>
            </w:r>
            <w:r w:rsidRPr="00ED6F4A">
              <w:rPr>
                <w:rFonts w:ascii="Arial Narrow" w:hAnsi="Arial Narrow"/>
                <w:sz w:val="20"/>
              </w:rPr>
              <w:t>000</w:t>
            </w:r>
          </w:p>
        </w:tc>
        <w:tc>
          <w:tcPr>
            <w:tcW w:w="1053" w:type="dxa"/>
            <w:shd w:val="clear" w:color="auto" w:fill="auto"/>
            <w:vAlign w:val="center"/>
          </w:tcPr>
          <w:p w14:paraId="22DB6CA1"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97</w:t>
            </w:r>
            <w:r>
              <w:rPr>
                <w:rFonts w:ascii="Arial Narrow" w:hAnsi="Arial Narrow"/>
                <w:sz w:val="20"/>
              </w:rPr>
              <w:t>,</w:t>
            </w:r>
            <w:r w:rsidRPr="00ED6F4A">
              <w:rPr>
                <w:rFonts w:ascii="Arial Narrow" w:hAnsi="Arial Narrow"/>
                <w:sz w:val="20"/>
              </w:rPr>
              <w:t>971</w:t>
            </w:r>
            <w:r>
              <w:rPr>
                <w:rFonts w:ascii="Arial Narrow" w:hAnsi="Arial Narrow"/>
                <w:sz w:val="20"/>
              </w:rPr>
              <w:t>,</w:t>
            </w:r>
            <w:r w:rsidRPr="00ED6F4A">
              <w:rPr>
                <w:rFonts w:ascii="Arial Narrow" w:hAnsi="Arial Narrow"/>
                <w:sz w:val="20"/>
              </w:rPr>
              <w:t>000</w:t>
            </w:r>
          </w:p>
        </w:tc>
        <w:tc>
          <w:tcPr>
            <w:tcW w:w="1053" w:type="dxa"/>
            <w:shd w:val="clear" w:color="auto" w:fill="auto"/>
            <w:vAlign w:val="center"/>
          </w:tcPr>
          <w:p w14:paraId="56E33308" w14:textId="77777777" w:rsidR="00F32C39" w:rsidRPr="00FD7909" w:rsidRDefault="00F32C39" w:rsidP="005240FA">
            <w:pPr>
              <w:spacing w:before="40" w:after="40"/>
              <w:jc w:val="center"/>
              <w:rPr>
                <w:rFonts w:ascii="Arial Narrow" w:hAnsi="Arial Narrow"/>
                <w:sz w:val="20"/>
              </w:rPr>
            </w:pPr>
            <w:r w:rsidRPr="00ED6F4A">
              <w:rPr>
                <w:rFonts w:ascii="Arial Narrow" w:hAnsi="Arial Narrow"/>
                <w:sz w:val="20"/>
              </w:rPr>
              <w:t>99</w:t>
            </w:r>
            <w:r>
              <w:rPr>
                <w:rFonts w:ascii="Arial Narrow" w:hAnsi="Arial Narrow"/>
                <w:sz w:val="20"/>
              </w:rPr>
              <w:t>,</w:t>
            </w:r>
            <w:r w:rsidRPr="00ED6F4A">
              <w:rPr>
                <w:rFonts w:ascii="Arial Narrow" w:hAnsi="Arial Narrow"/>
                <w:sz w:val="20"/>
              </w:rPr>
              <w:t>718</w:t>
            </w:r>
            <w:r>
              <w:rPr>
                <w:rFonts w:ascii="Arial Narrow" w:hAnsi="Arial Narrow"/>
                <w:sz w:val="20"/>
              </w:rPr>
              <w:t>,</w:t>
            </w:r>
            <w:r w:rsidRPr="00ED6F4A">
              <w:rPr>
                <w:rFonts w:ascii="Arial Narrow" w:hAnsi="Arial Narrow"/>
                <w:sz w:val="20"/>
              </w:rPr>
              <w:t>260</w:t>
            </w:r>
          </w:p>
        </w:tc>
        <w:tc>
          <w:tcPr>
            <w:tcW w:w="1053" w:type="dxa"/>
            <w:shd w:val="clear" w:color="auto" w:fill="auto"/>
            <w:vAlign w:val="center"/>
          </w:tcPr>
          <w:p w14:paraId="65298BE0" w14:textId="77777777" w:rsidR="00F32C39" w:rsidRPr="00FD7909" w:rsidRDefault="00F32C39" w:rsidP="005240FA">
            <w:pPr>
              <w:spacing w:before="40" w:after="40"/>
              <w:jc w:val="center"/>
              <w:rPr>
                <w:rFonts w:ascii="Arial Narrow" w:hAnsi="Arial Narrow"/>
                <w:sz w:val="20"/>
              </w:rPr>
            </w:pPr>
            <w:r w:rsidRPr="002B4D4E">
              <w:rPr>
                <w:rFonts w:ascii="Arial Narrow" w:hAnsi="Arial Narrow"/>
                <w:sz w:val="20"/>
              </w:rPr>
              <w:t>101</w:t>
            </w:r>
            <w:r>
              <w:rPr>
                <w:rFonts w:ascii="Arial Narrow" w:hAnsi="Arial Narrow"/>
                <w:sz w:val="20"/>
              </w:rPr>
              <w:t>,</w:t>
            </w:r>
            <w:r w:rsidRPr="002B4D4E">
              <w:rPr>
                <w:rFonts w:ascii="Arial Narrow" w:hAnsi="Arial Narrow"/>
                <w:sz w:val="20"/>
              </w:rPr>
              <w:t>360</w:t>
            </w:r>
            <w:r>
              <w:rPr>
                <w:rFonts w:ascii="Arial Narrow" w:hAnsi="Arial Narrow"/>
                <w:sz w:val="20"/>
              </w:rPr>
              <w:t>,</w:t>
            </w:r>
            <w:r w:rsidRPr="002B4D4E">
              <w:rPr>
                <w:rFonts w:ascii="Arial Narrow" w:hAnsi="Arial Narrow"/>
                <w:sz w:val="20"/>
              </w:rPr>
              <w:t>800</w:t>
            </w:r>
          </w:p>
        </w:tc>
      </w:tr>
      <w:tr w:rsidR="004973CD" w:rsidRPr="00FD7909" w14:paraId="2F823EEA" w14:textId="77777777" w:rsidTr="00EE3131">
        <w:tc>
          <w:tcPr>
            <w:tcW w:w="2552" w:type="dxa"/>
            <w:shd w:val="clear" w:color="auto" w:fill="auto"/>
          </w:tcPr>
          <w:p w14:paraId="4B019F52" w14:textId="30FA50B8" w:rsidR="004973CD" w:rsidRDefault="004973CD" w:rsidP="008E289A">
            <w:pPr>
              <w:spacing w:before="40" w:after="40"/>
              <w:rPr>
                <w:rFonts w:ascii="Arial Narrow" w:hAnsi="Arial Narrow"/>
                <w:sz w:val="20"/>
              </w:rPr>
            </w:pPr>
            <w:r>
              <w:rPr>
                <w:rFonts w:ascii="Arial Narrow" w:hAnsi="Arial Narrow"/>
                <w:sz w:val="20"/>
              </w:rPr>
              <w:t xml:space="preserve">Cost of US* </w:t>
            </w:r>
            <w:r w:rsidR="008E289A">
              <w:rPr>
                <w:rFonts w:ascii="Arial Narrow" w:hAnsi="Arial Narrow"/>
                <w:sz w:val="20"/>
              </w:rPr>
              <w:t xml:space="preserve">in CFTS </w:t>
            </w:r>
            <w:r>
              <w:rPr>
                <w:rFonts w:ascii="Arial Narrow" w:hAnsi="Arial Narrow"/>
                <w:sz w:val="20"/>
              </w:rPr>
              <w:t>($)</w:t>
            </w:r>
          </w:p>
        </w:tc>
        <w:tc>
          <w:tcPr>
            <w:tcW w:w="1053" w:type="dxa"/>
            <w:shd w:val="clear" w:color="auto" w:fill="auto"/>
            <w:vAlign w:val="bottom"/>
          </w:tcPr>
          <w:p w14:paraId="1849EAFA" w14:textId="7A00E803"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15</w:t>
            </w:r>
            <w:r>
              <w:rPr>
                <w:rFonts w:ascii="Arial Narrow" w:hAnsi="Arial Narrow"/>
                <w:color w:val="000000"/>
                <w:sz w:val="20"/>
              </w:rPr>
              <w:t>,</w:t>
            </w:r>
            <w:r w:rsidRPr="00A0291A">
              <w:rPr>
                <w:rFonts w:ascii="Arial Narrow" w:hAnsi="Arial Narrow"/>
                <w:color w:val="000000"/>
                <w:sz w:val="20"/>
              </w:rPr>
              <w:t>991</w:t>
            </w:r>
            <w:r>
              <w:rPr>
                <w:rFonts w:ascii="Arial Narrow" w:hAnsi="Arial Narrow"/>
                <w:color w:val="000000"/>
                <w:sz w:val="20"/>
              </w:rPr>
              <w:t>,</w:t>
            </w:r>
            <w:r w:rsidRPr="00A0291A">
              <w:rPr>
                <w:rFonts w:ascii="Arial Narrow" w:hAnsi="Arial Narrow"/>
                <w:color w:val="000000"/>
                <w:sz w:val="20"/>
              </w:rPr>
              <w:t>339</w:t>
            </w:r>
          </w:p>
        </w:tc>
        <w:tc>
          <w:tcPr>
            <w:tcW w:w="1053" w:type="dxa"/>
            <w:shd w:val="clear" w:color="auto" w:fill="auto"/>
            <w:vAlign w:val="bottom"/>
          </w:tcPr>
          <w:p w14:paraId="66C838A8" w14:textId="0FD1B65A"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16</w:t>
            </w:r>
            <w:r>
              <w:rPr>
                <w:rFonts w:ascii="Arial Narrow" w:hAnsi="Arial Narrow"/>
                <w:color w:val="000000"/>
                <w:sz w:val="20"/>
              </w:rPr>
              <w:t>,</w:t>
            </w:r>
            <w:r w:rsidRPr="00A0291A">
              <w:rPr>
                <w:rFonts w:ascii="Arial Narrow" w:hAnsi="Arial Narrow"/>
                <w:color w:val="000000"/>
                <w:sz w:val="20"/>
              </w:rPr>
              <w:t>253</w:t>
            </w:r>
            <w:r>
              <w:rPr>
                <w:rFonts w:ascii="Arial Narrow" w:hAnsi="Arial Narrow"/>
                <w:color w:val="000000"/>
                <w:sz w:val="20"/>
              </w:rPr>
              <w:t>,</w:t>
            </w:r>
            <w:r w:rsidRPr="00A0291A">
              <w:rPr>
                <w:rFonts w:ascii="Arial Narrow" w:hAnsi="Arial Narrow"/>
                <w:color w:val="000000"/>
                <w:sz w:val="20"/>
              </w:rPr>
              <w:t>448</w:t>
            </w:r>
          </w:p>
        </w:tc>
        <w:tc>
          <w:tcPr>
            <w:tcW w:w="1053" w:type="dxa"/>
            <w:shd w:val="clear" w:color="auto" w:fill="auto"/>
            <w:vAlign w:val="bottom"/>
          </w:tcPr>
          <w:p w14:paraId="2A327BF2" w14:textId="7B4D4686"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16</w:t>
            </w:r>
            <w:r>
              <w:rPr>
                <w:rFonts w:ascii="Arial Narrow" w:hAnsi="Arial Narrow"/>
                <w:color w:val="000000"/>
                <w:sz w:val="20"/>
              </w:rPr>
              <w:t>,</w:t>
            </w:r>
            <w:r w:rsidRPr="00A0291A">
              <w:rPr>
                <w:rFonts w:ascii="Arial Narrow" w:hAnsi="Arial Narrow"/>
                <w:color w:val="000000"/>
                <w:sz w:val="20"/>
              </w:rPr>
              <w:t>535</w:t>
            </w:r>
            <w:r>
              <w:rPr>
                <w:rFonts w:ascii="Arial Narrow" w:hAnsi="Arial Narrow"/>
                <w:color w:val="000000"/>
                <w:sz w:val="20"/>
              </w:rPr>
              <w:t>,</w:t>
            </w:r>
            <w:r w:rsidRPr="00A0291A">
              <w:rPr>
                <w:rFonts w:ascii="Arial Narrow" w:hAnsi="Arial Narrow"/>
                <w:color w:val="000000"/>
                <w:sz w:val="20"/>
              </w:rPr>
              <w:t>407</w:t>
            </w:r>
          </w:p>
        </w:tc>
        <w:tc>
          <w:tcPr>
            <w:tcW w:w="1053" w:type="dxa"/>
            <w:shd w:val="clear" w:color="auto" w:fill="auto"/>
            <w:vAlign w:val="bottom"/>
          </w:tcPr>
          <w:p w14:paraId="6DC9B081" w14:textId="5E978CD9"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16</w:t>
            </w:r>
            <w:r>
              <w:rPr>
                <w:rFonts w:ascii="Arial Narrow" w:hAnsi="Arial Narrow"/>
                <w:color w:val="000000"/>
                <w:sz w:val="20"/>
              </w:rPr>
              <w:t>,</w:t>
            </w:r>
            <w:r w:rsidRPr="00A0291A">
              <w:rPr>
                <w:rFonts w:ascii="Arial Narrow" w:hAnsi="Arial Narrow"/>
                <w:color w:val="000000"/>
                <w:sz w:val="20"/>
              </w:rPr>
              <w:t>832</w:t>
            </w:r>
            <w:r>
              <w:rPr>
                <w:rFonts w:ascii="Arial Narrow" w:hAnsi="Arial Narrow"/>
                <w:color w:val="000000"/>
                <w:sz w:val="20"/>
              </w:rPr>
              <w:t>,</w:t>
            </w:r>
            <w:r w:rsidRPr="00A0291A">
              <w:rPr>
                <w:rFonts w:ascii="Arial Narrow" w:hAnsi="Arial Narrow"/>
                <w:color w:val="000000"/>
                <w:sz w:val="20"/>
              </w:rPr>
              <w:t>550</w:t>
            </w:r>
          </w:p>
        </w:tc>
        <w:tc>
          <w:tcPr>
            <w:tcW w:w="1053" w:type="dxa"/>
            <w:shd w:val="clear" w:color="auto" w:fill="auto"/>
            <w:vAlign w:val="bottom"/>
          </w:tcPr>
          <w:p w14:paraId="6D852A8A" w14:textId="77033892"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17</w:t>
            </w:r>
            <w:r>
              <w:rPr>
                <w:rFonts w:ascii="Arial Narrow" w:hAnsi="Arial Narrow"/>
                <w:color w:val="000000"/>
                <w:sz w:val="20"/>
              </w:rPr>
              <w:t>,</w:t>
            </w:r>
            <w:r w:rsidRPr="00A0291A">
              <w:rPr>
                <w:rFonts w:ascii="Arial Narrow" w:hAnsi="Arial Narrow"/>
                <w:color w:val="000000"/>
                <w:sz w:val="20"/>
              </w:rPr>
              <w:t>144</w:t>
            </w:r>
            <w:r>
              <w:rPr>
                <w:rFonts w:ascii="Arial Narrow" w:hAnsi="Arial Narrow"/>
                <w:color w:val="000000"/>
                <w:sz w:val="20"/>
              </w:rPr>
              <w:t>,</w:t>
            </w:r>
            <w:r w:rsidRPr="00A0291A">
              <w:rPr>
                <w:rFonts w:ascii="Arial Narrow" w:hAnsi="Arial Narrow"/>
                <w:color w:val="000000"/>
                <w:sz w:val="20"/>
              </w:rPr>
              <w:t>925</w:t>
            </w:r>
          </w:p>
        </w:tc>
        <w:tc>
          <w:tcPr>
            <w:tcW w:w="1053" w:type="dxa"/>
            <w:shd w:val="clear" w:color="auto" w:fill="auto"/>
            <w:vAlign w:val="bottom"/>
          </w:tcPr>
          <w:p w14:paraId="28BDDCB5" w14:textId="519E2DC7"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17</w:t>
            </w:r>
            <w:r>
              <w:rPr>
                <w:rFonts w:ascii="Arial Narrow" w:hAnsi="Arial Narrow"/>
                <w:color w:val="000000"/>
                <w:sz w:val="20"/>
              </w:rPr>
              <w:t>,</w:t>
            </w:r>
            <w:r w:rsidRPr="00A0291A">
              <w:rPr>
                <w:rFonts w:ascii="Arial Narrow" w:hAnsi="Arial Narrow"/>
                <w:color w:val="000000"/>
                <w:sz w:val="20"/>
              </w:rPr>
              <w:t>450</w:t>
            </w:r>
            <w:r>
              <w:rPr>
                <w:rFonts w:ascii="Arial Narrow" w:hAnsi="Arial Narrow"/>
                <w:color w:val="000000"/>
                <w:sz w:val="20"/>
              </w:rPr>
              <w:t>,</w:t>
            </w:r>
            <w:r w:rsidRPr="00A0291A">
              <w:rPr>
                <w:rFonts w:ascii="Arial Narrow" w:hAnsi="Arial Narrow"/>
                <w:color w:val="000000"/>
                <w:sz w:val="20"/>
              </w:rPr>
              <w:t>696</w:t>
            </w:r>
          </w:p>
        </w:tc>
        <w:tc>
          <w:tcPr>
            <w:tcW w:w="1053" w:type="dxa"/>
            <w:shd w:val="clear" w:color="auto" w:fill="auto"/>
            <w:vAlign w:val="bottom"/>
          </w:tcPr>
          <w:p w14:paraId="16C8C6E0" w14:textId="3C4F0522" w:rsidR="004973CD" w:rsidRDefault="004973CD" w:rsidP="004973CD">
            <w:pPr>
              <w:spacing w:before="40" w:after="40"/>
              <w:jc w:val="center"/>
              <w:rPr>
                <w:rFonts w:ascii="Arial Narrow" w:hAnsi="Arial Narrow" w:cs="Calibri"/>
                <w:color w:val="000000"/>
                <w:sz w:val="20"/>
              </w:rPr>
            </w:pPr>
            <w:r w:rsidRPr="00A0291A">
              <w:rPr>
                <w:rFonts w:ascii="Arial Narrow" w:hAnsi="Arial Narrow"/>
                <w:color w:val="000000"/>
                <w:sz w:val="20"/>
              </w:rPr>
              <w:t>17</w:t>
            </w:r>
            <w:r>
              <w:rPr>
                <w:rFonts w:ascii="Arial Narrow" w:hAnsi="Arial Narrow"/>
                <w:color w:val="000000"/>
                <w:sz w:val="20"/>
              </w:rPr>
              <w:t>,</w:t>
            </w:r>
            <w:r w:rsidRPr="00A0291A">
              <w:rPr>
                <w:rFonts w:ascii="Arial Narrow" w:hAnsi="Arial Narrow"/>
                <w:color w:val="000000"/>
                <w:sz w:val="20"/>
              </w:rPr>
              <w:t>738</w:t>
            </w:r>
            <w:r>
              <w:rPr>
                <w:rFonts w:ascii="Arial Narrow" w:hAnsi="Arial Narrow"/>
                <w:color w:val="000000"/>
                <w:sz w:val="20"/>
              </w:rPr>
              <w:t>,</w:t>
            </w:r>
            <w:r w:rsidRPr="00A0291A">
              <w:rPr>
                <w:rFonts w:ascii="Arial Narrow" w:hAnsi="Arial Narrow"/>
                <w:color w:val="000000"/>
                <w:sz w:val="20"/>
              </w:rPr>
              <w:t>140</w:t>
            </w:r>
          </w:p>
        </w:tc>
      </w:tr>
      <w:tr w:rsidR="004973CD" w:rsidRPr="00FD7909" w14:paraId="63DDB586" w14:textId="77777777" w:rsidTr="00EE3131">
        <w:tc>
          <w:tcPr>
            <w:tcW w:w="2552" w:type="dxa"/>
            <w:shd w:val="clear" w:color="auto" w:fill="auto"/>
          </w:tcPr>
          <w:p w14:paraId="27911FC9" w14:textId="33A8FD98" w:rsidR="004973CD" w:rsidRDefault="004973CD" w:rsidP="004973CD">
            <w:pPr>
              <w:spacing w:before="40" w:after="40"/>
              <w:rPr>
                <w:rFonts w:ascii="Arial Narrow" w:hAnsi="Arial Narrow"/>
                <w:sz w:val="20"/>
              </w:rPr>
            </w:pPr>
            <w:r>
              <w:rPr>
                <w:rFonts w:ascii="Arial Narrow" w:hAnsi="Arial Narrow"/>
                <w:sz w:val="20"/>
              </w:rPr>
              <w:t xml:space="preserve">Cost of invasive procedures (IPT*) </w:t>
            </w:r>
            <w:r w:rsidRPr="001C2D66">
              <w:rPr>
                <w:rFonts w:ascii="Arial Narrow" w:hAnsi="Arial Narrow"/>
                <w:i/>
                <w:sz w:val="20"/>
              </w:rPr>
              <w:t>declining trend</w:t>
            </w:r>
            <w:r>
              <w:rPr>
                <w:rFonts w:ascii="Arial Narrow" w:hAnsi="Arial Narrow"/>
                <w:sz w:val="20"/>
              </w:rPr>
              <w:t xml:space="preserve"> ($)</w:t>
            </w:r>
          </w:p>
        </w:tc>
        <w:tc>
          <w:tcPr>
            <w:tcW w:w="1053" w:type="dxa"/>
            <w:shd w:val="clear" w:color="auto" w:fill="auto"/>
            <w:vAlign w:val="center"/>
          </w:tcPr>
          <w:p w14:paraId="057D3113"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2</w:t>
            </w:r>
            <w:r>
              <w:rPr>
                <w:rFonts w:ascii="Arial Narrow" w:hAnsi="Arial Narrow"/>
                <w:color w:val="000000"/>
                <w:sz w:val="20"/>
              </w:rPr>
              <w:t>,</w:t>
            </w:r>
            <w:r w:rsidRPr="00082D23">
              <w:rPr>
                <w:rFonts w:ascii="Arial Narrow" w:hAnsi="Arial Narrow"/>
                <w:color w:val="000000"/>
                <w:sz w:val="20"/>
              </w:rPr>
              <w:t>059</w:t>
            </w:r>
            <w:r>
              <w:rPr>
                <w:rFonts w:ascii="Arial Narrow" w:hAnsi="Arial Narrow"/>
                <w:color w:val="000000"/>
                <w:sz w:val="20"/>
              </w:rPr>
              <w:t>,</w:t>
            </w:r>
            <w:r w:rsidRPr="00082D23">
              <w:rPr>
                <w:rFonts w:ascii="Arial Narrow" w:hAnsi="Arial Narrow"/>
                <w:color w:val="000000"/>
                <w:sz w:val="20"/>
              </w:rPr>
              <w:t>725</w:t>
            </w:r>
          </w:p>
        </w:tc>
        <w:tc>
          <w:tcPr>
            <w:tcW w:w="1053" w:type="dxa"/>
            <w:shd w:val="clear" w:color="auto" w:fill="auto"/>
            <w:vAlign w:val="center"/>
          </w:tcPr>
          <w:p w14:paraId="2ED04B38"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1</w:t>
            </w:r>
            <w:r>
              <w:rPr>
                <w:rFonts w:ascii="Arial Narrow" w:hAnsi="Arial Narrow"/>
                <w:color w:val="000000"/>
                <w:sz w:val="20"/>
              </w:rPr>
              <w:t>,</w:t>
            </w:r>
            <w:r w:rsidRPr="00082D23">
              <w:rPr>
                <w:rFonts w:ascii="Arial Narrow" w:hAnsi="Arial Narrow"/>
                <w:color w:val="000000"/>
                <w:sz w:val="20"/>
              </w:rPr>
              <w:t>853</w:t>
            </w:r>
            <w:r>
              <w:rPr>
                <w:rFonts w:ascii="Arial Narrow" w:hAnsi="Arial Narrow"/>
                <w:color w:val="000000"/>
                <w:sz w:val="20"/>
              </w:rPr>
              <w:t>,</w:t>
            </w:r>
            <w:r w:rsidRPr="00082D23">
              <w:rPr>
                <w:rFonts w:ascii="Arial Narrow" w:hAnsi="Arial Narrow"/>
                <w:color w:val="000000"/>
                <w:sz w:val="20"/>
              </w:rPr>
              <w:t>753</w:t>
            </w:r>
          </w:p>
        </w:tc>
        <w:tc>
          <w:tcPr>
            <w:tcW w:w="1053" w:type="dxa"/>
            <w:shd w:val="clear" w:color="auto" w:fill="auto"/>
            <w:vAlign w:val="center"/>
          </w:tcPr>
          <w:p w14:paraId="07E2685B"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1</w:t>
            </w:r>
            <w:r>
              <w:rPr>
                <w:rFonts w:ascii="Arial Narrow" w:hAnsi="Arial Narrow"/>
                <w:color w:val="000000"/>
                <w:sz w:val="20"/>
              </w:rPr>
              <w:t>,</w:t>
            </w:r>
            <w:r w:rsidRPr="00082D23">
              <w:rPr>
                <w:rFonts w:ascii="Arial Narrow" w:hAnsi="Arial Narrow"/>
                <w:color w:val="000000"/>
                <w:sz w:val="20"/>
              </w:rPr>
              <w:t>647</w:t>
            </w:r>
            <w:r>
              <w:rPr>
                <w:rFonts w:ascii="Arial Narrow" w:hAnsi="Arial Narrow"/>
                <w:color w:val="000000"/>
                <w:sz w:val="20"/>
              </w:rPr>
              <w:t>,</w:t>
            </w:r>
            <w:r w:rsidRPr="00082D23">
              <w:rPr>
                <w:rFonts w:ascii="Arial Narrow" w:hAnsi="Arial Narrow"/>
                <w:color w:val="000000"/>
                <w:sz w:val="20"/>
              </w:rPr>
              <w:t>780</w:t>
            </w:r>
          </w:p>
        </w:tc>
        <w:tc>
          <w:tcPr>
            <w:tcW w:w="1053" w:type="dxa"/>
            <w:shd w:val="clear" w:color="auto" w:fill="auto"/>
            <w:vAlign w:val="center"/>
          </w:tcPr>
          <w:p w14:paraId="13CA29B4"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1</w:t>
            </w:r>
            <w:r>
              <w:rPr>
                <w:rFonts w:ascii="Arial Narrow" w:hAnsi="Arial Narrow"/>
                <w:color w:val="000000"/>
                <w:sz w:val="20"/>
              </w:rPr>
              <w:t>,</w:t>
            </w:r>
            <w:r w:rsidRPr="00082D23">
              <w:rPr>
                <w:rFonts w:ascii="Arial Narrow" w:hAnsi="Arial Narrow"/>
                <w:color w:val="000000"/>
                <w:sz w:val="20"/>
              </w:rPr>
              <w:t>441</w:t>
            </w:r>
            <w:r>
              <w:rPr>
                <w:rFonts w:ascii="Arial Narrow" w:hAnsi="Arial Narrow"/>
                <w:color w:val="000000"/>
                <w:sz w:val="20"/>
              </w:rPr>
              <w:t>,</w:t>
            </w:r>
            <w:r w:rsidRPr="00082D23">
              <w:rPr>
                <w:rFonts w:ascii="Arial Narrow" w:hAnsi="Arial Narrow"/>
                <w:color w:val="000000"/>
                <w:sz w:val="20"/>
              </w:rPr>
              <w:t>808</w:t>
            </w:r>
          </w:p>
        </w:tc>
        <w:tc>
          <w:tcPr>
            <w:tcW w:w="1053" w:type="dxa"/>
            <w:shd w:val="clear" w:color="auto" w:fill="auto"/>
            <w:vAlign w:val="center"/>
          </w:tcPr>
          <w:p w14:paraId="4DAE8C2C"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1</w:t>
            </w:r>
            <w:r>
              <w:rPr>
                <w:rFonts w:ascii="Arial Narrow" w:hAnsi="Arial Narrow"/>
                <w:color w:val="000000"/>
                <w:sz w:val="20"/>
              </w:rPr>
              <w:t>,</w:t>
            </w:r>
            <w:r w:rsidRPr="00082D23">
              <w:rPr>
                <w:rFonts w:ascii="Arial Narrow" w:hAnsi="Arial Narrow"/>
                <w:color w:val="000000"/>
                <w:sz w:val="20"/>
              </w:rPr>
              <w:t>132</w:t>
            </w:r>
            <w:r>
              <w:rPr>
                <w:rFonts w:ascii="Arial Narrow" w:hAnsi="Arial Narrow"/>
                <w:color w:val="000000"/>
                <w:sz w:val="20"/>
              </w:rPr>
              <w:t>,</w:t>
            </w:r>
            <w:r w:rsidRPr="00082D23">
              <w:rPr>
                <w:rFonts w:ascii="Arial Narrow" w:hAnsi="Arial Narrow"/>
                <w:color w:val="000000"/>
                <w:sz w:val="20"/>
              </w:rPr>
              <w:t>849</w:t>
            </w:r>
          </w:p>
        </w:tc>
        <w:tc>
          <w:tcPr>
            <w:tcW w:w="1053" w:type="dxa"/>
            <w:shd w:val="clear" w:color="auto" w:fill="auto"/>
            <w:vAlign w:val="center"/>
          </w:tcPr>
          <w:p w14:paraId="3C444D26"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720</w:t>
            </w:r>
            <w:r>
              <w:rPr>
                <w:rFonts w:ascii="Arial Narrow" w:hAnsi="Arial Narrow"/>
                <w:color w:val="000000"/>
                <w:sz w:val="20"/>
              </w:rPr>
              <w:t>,</w:t>
            </w:r>
            <w:r w:rsidRPr="00082D23">
              <w:rPr>
                <w:rFonts w:ascii="Arial Narrow" w:hAnsi="Arial Narrow"/>
                <w:color w:val="000000"/>
                <w:sz w:val="20"/>
              </w:rPr>
              <w:t>90</w:t>
            </w:r>
            <w:r>
              <w:rPr>
                <w:rFonts w:ascii="Arial Narrow" w:hAnsi="Arial Narrow"/>
                <w:color w:val="000000"/>
                <w:sz w:val="20"/>
              </w:rPr>
              <w:t>4</w:t>
            </w:r>
          </w:p>
        </w:tc>
        <w:tc>
          <w:tcPr>
            <w:tcW w:w="1053" w:type="dxa"/>
            <w:shd w:val="clear" w:color="auto" w:fill="auto"/>
            <w:vAlign w:val="center"/>
          </w:tcPr>
          <w:p w14:paraId="23508A7D" w14:textId="77777777" w:rsidR="004973CD" w:rsidRPr="001A1A02" w:rsidRDefault="004973CD" w:rsidP="004973CD">
            <w:pPr>
              <w:spacing w:before="40" w:after="40"/>
              <w:jc w:val="center"/>
              <w:rPr>
                <w:rFonts w:ascii="Arial Narrow" w:hAnsi="Arial Narrow"/>
                <w:color w:val="000000"/>
                <w:sz w:val="20"/>
              </w:rPr>
            </w:pPr>
            <w:r w:rsidRPr="00082D23">
              <w:rPr>
                <w:rFonts w:ascii="Arial Narrow" w:hAnsi="Arial Narrow"/>
                <w:color w:val="000000"/>
                <w:sz w:val="20"/>
              </w:rPr>
              <w:t>411</w:t>
            </w:r>
            <w:r>
              <w:rPr>
                <w:rFonts w:ascii="Arial Narrow" w:hAnsi="Arial Narrow"/>
                <w:color w:val="000000"/>
                <w:sz w:val="20"/>
              </w:rPr>
              <w:t>,</w:t>
            </w:r>
            <w:r w:rsidRPr="00082D23">
              <w:rPr>
                <w:rFonts w:ascii="Arial Narrow" w:hAnsi="Arial Narrow"/>
                <w:color w:val="000000"/>
                <w:sz w:val="20"/>
              </w:rPr>
              <w:t>945</w:t>
            </w:r>
          </w:p>
        </w:tc>
      </w:tr>
      <w:tr w:rsidR="004973CD" w:rsidRPr="00FD7909" w14:paraId="5F60FA55" w14:textId="77777777" w:rsidTr="00EE3131">
        <w:tc>
          <w:tcPr>
            <w:tcW w:w="2552" w:type="dxa"/>
            <w:shd w:val="clear" w:color="auto" w:fill="auto"/>
          </w:tcPr>
          <w:p w14:paraId="2015512D" w14:textId="519348C1" w:rsidR="004973CD" w:rsidRDefault="004973CD" w:rsidP="004973CD">
            <w:pPr>
              <w:spacing w:before="40" w:after="40"/>
              <w:rPr>
                <w:rFonts w:ascii="Arial Narrow" w:hAnsi="Arial Narrow"/>
                <w:sz w:val="20"/>
              </w:rPr>
            </w:pPr>
            <w:r>
              <w:rPr>
                <w:rFonts w:ascii="Arial Narrow" w:hAnsi="Arial Narrow"/>
                <w:sz w:val="20"/>
              </w:rPr>
              <w:t>Total cost of NIPT</w:t>
            </w:r>
            <w:r w:rsidR="008E289A">
              <w:rPr>
                <w:rFonts w:ascii="Arial Narrow" w:hAnsi="Arial Narrow"/>
                <w:sz w:val="20"/>
              </w:rPr>
              <w:t>*</w:t>
            </w:r>
            <w:r>
              <w:rPr>
                <w:rFonts w:ascii="Arial Narrow" w:hAnsi="Arial Narrow"/>
                <w:sz w:val="20"/>
              </w:rPr>
              <w:t>+US*+</w:t>
            </w:r>
            <w:r w:rsidR="008E289A">
              <w:rPr>
                <w:rFonts w:ascii="Arial Narrow" w:hAnsi="Arial Narrow"/>
                <w:sz w:val="20"/>
              </w:rPr>
              <w:t>2TMSS*</w:t>
            </w:r>
            <w:r w:rsidR="00EE3131">
              <w:rPr>
                <w:rFonts w:ascii="Arial Narrow" w:hAnsi="Arial Narrow"/>
                <w:sz w:val="20"/>
              </w:rPr>
              <w:t xml:space="preserve"> +</w:t>
            </w:r>
            <w:r>
              <w:rPr>
                <w:rFonts w:ascii="Arial Narrow" w:hAnsi="Arial Narrow"/>
                <w:sz w:val="20"/>
              </w:rPr>
              <w:t xml:space="preserve">IPT* </w:t>
            </w:r>
            <w:r w:rsidRPr="00E01D28">
              <w:rPr>
                <w:rFonts w:ascii="Arial Narrow" w:hAnsi="Arial Narrow"/>
                <w:i/>
                <w:sz w:val="20"/>
              </w:rPr>
              <w:t>declining</w:t>
            </w:r>
            <w:r>
              <w:rPr>
                <w:rFonts w:ascii="Arial Narrow" w:hAnsi="Arial Narrow"/>
                <w:i/>
                <w:sz w:val="20"/>
              </w:rPr>
              <w:t xml:space="preserve"> trend</w:t>
            </w:r>
            <w:r>
              <w:rPr>
                <w:rFonts w:ascii="Arial Narrow" w:hAnsi="Arial Narrow"/>
                <w:sz w:val="20"/>
              </w:rPr>
              <w:t xml:space="preserve"> ($)</w:t>
            </w:r>
          </w:p>
        </w:tc>
        <w:tc>
          <w:tcPr>
            <w:tcW w:w="1053" w:type="dxa"/>
            <w:shd w:val="clear" w:color="auto" w:fill="auto"/>
            <w:vAlign w:val="center"/>
          </w:tcPr>
          <w:p w14:paraId="6CD7E7F6" w14:textId="3188313C" w:rsidR="004973CD" w:rsidRDefault="004973CD" w:rsidP="00EE3131">
            <w:pPr>
              <w:spacing w:before="40" w:after="40"/>
              <w:jc w:val="center"/>
              <w:rPr>
                <w:rFonts w:ascii="Arial Narrow" w:hAnsi="Arial Narrow" w:cs="Calibri"/>
                <w:color w:val="000000"/>
                <w:sz w:val="20"/>
              </w:rPr>
            </w:pPr>
            <w:r w:rsidRPr="00227F2C">
              <w:rPr>
                <w:rFonts w:ascii="Arial Narrow" w:hAnsi="Arial Narrow"/>
                <w:color w:val="000000"/>
                <w:sz w:val="20"/>
              </w:rPr>
              <w:t>1</w:t>
            </w:r>
            <w:r w:rsidR="00EE3131">
              <w:rPr>
                <w:rFonts w:ascii="Arial Narrow" w:hAnsi="Arial Narrow"/>
                <w:color w:val="000000"/>
                <w:sz w:val="20"/>
              </w:rPr>
              <w:t>13</w:t>
            </w:r>
            <w:r>
              <w:rPr>
                <w:rFonts w:ascii="Arial Narrow" w:hAnsi="Arial Narrow"/>
                <w:color w:val="000000"/>
                <w:sz w:val="20"/>
              </w:rPr>
              <w:t>,</w:t>
            </w:r>
            <w:r w:rsidRPr="00227F2C">
              <w:rPr>
                <w:rFonts w:ascii="Arial Narrow" w:hAnsi="Arial Narrow"/>
                <w:color w:val="000000"/>
                <w:sz w:val="20"/>
              </w:rPr>
              <w:t>4</w:t>
            </w:r>
            <w:r w:rsidR="00EE3131">
              <w:rPr>
                <w:rFonts w:ascii="Arial Narrow" w:hAnsi="Arial Narrow"/>
                <w:color w:val="000000"/>
                <w:sz w:val="20"/>
              </w:rPr>
              <w:t>69</w:t>
            </w:r>
            <w:r>
              <w:rPr>
                <w:rFonts w:ascii="Arial Narrow" w:hAnsi="Arial Narrow"/>
                <w:color w:val="000000"/>
                <w:sz w:val="20"/>
              </w:rPr>
              <w:t>,</w:t>
            </w:r>
            <w:r w:rsidR="00EE3131">
              <w:rPr>
                <w:rFonts w:ascii="Arial Narrow" w:hAnsi="Arial Narrow"/>
                <w:color w:val="000000"/>
                <w:sz w:val="20"/>
              </w:rPr>
              <w:t>099</w:t>
            </w:r>
          </w:p>
        </w:tc>
        <w:tc>
          <w:tcPr>
            <w:tcW w:w="1053" w:type="dxa"/>
            <w:shd w:val="clear" w:color="auto" w:fill="auto"/>
            <w:vAlign w:val="center"/>
          </w:tcPr>
          <w:p w14:paraId="31EAC68C" w14:textId="5E6A4B43" w:rsidR="004973CD" w:rsidRDefault="004973CD" w:rsidP="00EE3131">
            <w:pPr>
              <w:spacing w:before="40" w:after="40"/>
              <w:jc w:val="center"/>
              <w:rPr>
                <w:rFonts w:ascii="Arial Narrow" w:hAnsi="Arial Narrow" w:cs="Calibri"/>
                <w:color w:val="000000"/>
                <w:sz w:val="20"/>
              </w:rPr>
            </w:pPr>
            <w:r w:rsidRPr="00227F2C">
              <w:rPr>
                <w:rFonts w:ascii="Arial Narrow" w:hAnsi="Arial Narrow"/>
                <w:color w:val="000000"/>
                <w:sz w:val="20"/>
              </w:rPr>
              <w:t>11</w:t>
            </w:r>
            <w:r w:rsidR="00EE3131">
              <w:rPr>
                <w:rFonts w:ascii="Arial Narrow" w:hAnsi="Arial Narrow"/>
                <w:color w:val="000000"/>
                <w:sz w:val="20"/>
              </w:rPr>
              <w:t>5</w:t>
            </w:r>
            <w:r>
              <w:rPr>
                <w:rFonts w:ascii="Arial Narrow" w:hAnsi="Arial Narrow"/>
                <w:color w:val="000000"/>
                <w:sz w:val="20"/>
              </w:rPr>
              <w:t>,</w:t>
            </w:r>
            <w:r w:rsidR="00EE3131">
              <w:rPr>
                <w:rFonts w:ascii="Arial Narrow" w:hAnsi="Arial Narrow"/>
                <w:color w:val="000000"/>
                <w:sz w:val="20"/>
              </w:rPr>
              <w:t>08</w:t>
            </w:r>
            <w:r w:rsidRPr="00227F2C">
              <w:rPr>
                <w:rFonts w:ascii="Arial Narrow" w:hAnsi="Arial Narrow"/>
                <w:color w:val="000000"/>
                <w:sz w:val="20"/>
              </w:rPr>
              <w:t>9</w:t>
            </w:r>
            <w:r>
              <w:rPr>
                <w:rFonts w:ascii="Arial Narrow" w:hAnsi="Arial Narrow"/>
                <w:color w:val="000000"/>
                <w:sz w:val="20"/>
              </w:rPr>
              <w:t>,</w:t>
            </w:r>
            <w:r w:rsidR="00EE3131">
              <w:rPr>
                <w:rFonts w:ascii="Arial Narrow" w:hAnsi="Arial Narrow"/>
                <w:color w:val="000000"/>
                <w:sz w:val="20"/>
              </w:rPr>
              <w:t>2</w:t>
            </w:r>
            <w:r w:rsidRPr="00227F2C">
              <w:rPr>
                <w:rFonts w:ascii="Arial Narrow" w:hAnsi="Arial Narrow"/>
                <w:color w:val="000000"/>
                <w:sz w:val="20"/>
              </w:rPr>
              <w:t>0</w:t>
            </w:r>
            <w:r w:rsidR="00EE3131">
              <w:rPr>
                <w:rFonts w:ascii="Arial Narrow" w:hAnsi="Arial Narrow"/>
                <w:color w:val="000000"/>
                <w:sz w:val="20"/>
              </w:rPr>
              <w:t>6</w:t>
            </w:r>
          </w:p>
        </w:tc>
        <w:tc>
          <w:tcPr>
            <w:tcW w:w="1053" w:type="dxa"/>
            <w:shd w:val="clear" w:color="auto" w:fill="auto"/>
            <w:vAlign w:val="center"/>
          </w:tcPr>
          <w:p w14:paraId="16CFBE35" w14:textId="2DE0A7FE" w:rsidR="004973CD" w:rsidRDefault="004973CD" w:rsidP="00EE3131">
            <w:pPr>
              <w:spacing w:before="40" w:after="40"/>
              <w:jc w:val="center"/>
              <w:rPr>
                <w:rFonts w:ascii="Arial Narrow" w:hAnsi="Arial Narrow" w:cs="Calibri"/>
                <w:color w:val="000000"/>
                <w:sz w:val="20"/>
              </w:rPr>
            </w:pPr>
            <w:r w:rsidRPr="00227F2C">
              <w:rPr>
                <w:rFonts w:ascii="Arial Narrow" w:hAnsi="Arial Narrow"/>
                <w:color w:val="000000"/>
                <w:sz w:val="20"/>
              </w:rPr>
              <w:t>11</w:t>
            </w:r>
            <w:r w:rsidR="00EE3131">
              <w:rPr>
                <w:rFonts w:ascii="Arial Narrow" w:hAnsi="Arial Narrow"/>
                <w:color w:val="000000"/>
                <w:sz w:val="20"/>
              </w:rPr>
              <w:t>6</w:t>
            </w:r>
            <w:r>
              <w:rPr>
                <w:rFonts w:ascii="Arial Narrow" w:hAnsi="Arial Narrow"/>
                <w:color w:val="000000"/>
                <w:sz w:val="20"/>
              </w:rPr>
              <w:t>,</w:t>
            </w:r>
            <w:r w:rsidR="00EE3131">
              <w:rPr>
                <w:rFonts w:ascii="Arial Narrow" w:hAnsi="Arial Narrow"/>
                <w:color w:val="000000"/>
                <w:sz w:val="20"/>
              </w:rPr>
              <w:t>84</w:t>
            </w:r>
            <w:r w:rsidRPr="00227F2C">
              <w:rPr>
                <w:rFonts w:ascii="Arial Narrow" w:hAnsi="Arial Narrow"/>
                <w:color w:val="000000"/>
                <w:sz w:val="20"/>
              </w:rPr>
              <w:t>7</w:t>
            </w:r>
            <w:r>
              <w:rPr>
                <w:rFonts w:ascii="Arial Narrow" w:hAnsi="Arial Narrow"/>
                <w:color w:val="000000"/>
                <w:sz w:val="20"/>
              </w:rPr>
              <w:t>,</w:t>
            </w:r>
            <w:r w:rsidR="00EE3131">
              <w:rPr>
                <w:rFonts w:ascii="Arial Narrow" w:hAnsi="Arial Narrow"/>
                <w:color w:val="000000"/>
                <w:sz w:val="20"/>
              </w:rPr>
              <w:t>598</w:t>
            </w:r>
          </w:p>
        </w:tc>
        <w:tc>
          <w:tcPr>
            <w:tcW w:w="1053" w:type="dxa"/>
            <w:shd w:val="clear" w:color="auto" w:fill="auto"/>
            <w:vAlign w:val="center"/>
          </w:tcPr>
          <w:p w14:paraId="3AC0A676" w14:textId="30B46426" w:rsidR="004973CD" w:rsidRDefault="004973CD" w:rsidP="004E4A55">
            <w:pPr>
              <w:spacing w:before="40" w:after="40"/>
              <w:jc w:val="center"/>
              <w:rPr>
                <w:rFonts w:ascii="Arial Narrow" w:hAnsi="Arial Narrow" w:cs="Calibri"/>
                <w:color w:val="000000"/>
                <w:sz w:val="20"/>
              </w:rPr>
            </w:pPr>
            <w:r w:rsidRPr="00227F2C">
              <w:rPr>
                <w:rFonts w:ascii="Arial Narrow" w:hAnsi="Arial Narrow"/>
                <w:color w:val="000000"/>
                <w:sz w:val="20"/>
              </w:rPr>
              <w:t>11</w:t>
            </w:r>
            <w:r w:rsidR="004E4A55">
              <w:rPr>
                <w:rFonts w:ascii="Arial Narrow" w:hAnsi="Arial Narrow"/>
                <w:color w:val="000000"/>
                <w:sz w:val="20"/>
              </w:rPr>
              <w:t>8</w:t>
            </w:r>
            <w:r>
              <w:rPr>
                <w:rFonts w:ascii="Arial Narrow" w:hAnsi="Arial Narrow"/>
                <w:color w:val="000000"/>
                <w:sz w:val="20"/>
              </w:rPr>
              <w:t>,</w:t>
            </w:r>
            <w:r w:rsidR="004E4A55">
              <w:rPr>
                <w:rFonts w:ascii="Arial Narrow" w:hAnsi="Arial Narrow"/>
                <w:color w:val="000000"/>
                <w:sz w:val="20"/>
              </w:rPr>
              <w:t>711</w:t>
            </w:r>
            <w:r>
              <w:rPr>
                <w:rFonts w:ascii="Arial Narrow" w:hAnsi="Arial Narrow"/>
                <w:color w:val="000000"/>
                <w:sz w:val="20"/>
              </w:rPr>
              <w:t>,</w:t>
            </w:r>
            <w:r w:rsidR="004E4A55">
              <w:rPr>
                <w:rFonts w:ascii="Arial Narrow" w:hAnsi="Arial Narrow"/>
                <w:color w:val="000000"/>
                <w:sz w:val="20"/>
              </w:rPr>
              <w:t>779</w:t>
            </w:r>
          </w:p>
        </w:tc>
        <w:tc>
          <w:tcPr>
            <w:tcW w:w="1053" w:type="dxa"/>
            <w:shd w:val="clear" w:color="auto" w:fill="auto"/>
            <w:vAlign w:val="center"/>
          </w:tcPr>
          <w:p w14:paraId="0BBEC0FB" w14:textId="635DB044" w:rsidR="004973CD" w:rsidRDefault="004973CD" w:rsidP="004E4A55">
            <w:pPr>
              <w:spacing w:before="40" w:after="40"/>
              <w:jc w:val="center"/>
              <w:rPr>
                <w:rFonts w:ascii="Arial Narrow" w:hAnsi="Arial Narrow" w:cs="Calibri"/>
                <w:color w:val="000000"/>
                <w:sz w:val="20"/>
              </w:rPr>
            </w:pPr>
            <w:r w:rsidRPr="00227F2C">
              <w:rPr>
                <w:rFonts w:ascii="Arial Narrow" w:hAnsi="Arial Narrow"/>
                <w:color w:val="000000"/>
                <w:sz w:val="20"/>
              </w:rPr>
              <w:t>1</w:t>
            </w:r>
            <w:r w:rsidR="004E4A55">
              <w:rPr>
                <w:rFonts w:ascii="Arial Narrow" w:hAnsi="Arial Narrow"/>
                <w:color w:val="000000"/>
                <w:sz w:val="20"/>
              </w:rPr>
              <w:t>20</w:t>
            </w:r>
            <w:r>
              <w:rPr>
                <w:rFonts w:ascii="Arial Narrow" w:hAnsi="Arial Narrow"/>
                <w:color w:val="000000"/>
                <w:sz w:val="20"/>
              </w:rPr>
              <w:t>,</w:t>
            </w:r>
            <w:r w:rsidR="004E4A55">
              <w:rPr>
                <w:rFonts w:ascii="Arial Narrow" w:hAnsi="Arial Narrow"/>
                <w:color w:val="000000"/>
                <w:sz w:val="20"/>
              </w:rPr>
              <w:t>579</w:t>
            </w:r>
            <w:r>
              <w:rPr>
                <w:rFonts w:ascii="Arial Narrow" w:hAnsi="Arial Narrow"/>
                <w:color w:val="000000"/>
                <w:sz w:val="20"/>
              </w:rPr>
              <w:t>,</w:t>
            </w:r>
            <w:r w:rsidR="004E4A55">
              <w:rPr>
                <w:rFonts w:ascii="Arial Narrow" w:hAnsi="Arial Narrow"/>
                <w:color w:val="000000"/>
                <w:sz w:val="20"/>
              </w:rPr>
              <w:t>092</w:t>
            </w:r>
          </w:p>
        </w:tc>
        <w:tc>
          <w:tcPr>
            <w:tcW w:w="1053" w:type="dxa"/>
            <w:shd w:val="clear" w:color="auto" w:fill="auto"/>
            <w:vAlign w:val="center"/>
          </w:tcPr>
          <w:p w14:paraId="2FFE14EE" w14:textId="5406D53B" w:rsidR="004973CD" w:rsidRDefault="004973CD" w:rsidP="004E4A55">
            <w:pPr>
              <w:spacing w:before="40" w:after="40"/>
              <w:jc w:val="center"/>
              <w:rPr>
                <w:rFonts w:ascii="Arial Narrow" w:hAnsi="Arial Narrow" w:cs="Calibri"/>
                <w:color w:val="000000"/>
                <w:sz w:val="20"/>
              </w:rPr>
            </w:pPr>
            <w:r w:rsidRPr="00227F2C">
              <w:rPr>
                <w:rFonts w:ascii="Arial Narrow" w:hAnsi="Arial Narrow"/>
                <w:color w:val="000000"/>
                <w:sz w:val="20"/>
              </w:rPr>
              <w:t>1</w:t>
            </w:r>
            <w:r w:rsidR="004E4A55">
              <w:rPr>
                <w:rFonts w:ascii="Arial Narrow" w:hAnsi="Arial Narrow"/>
                <w:color w:val="000000"/>
                <w:sz w:val="20"/>
              </w:rPr>
              <w:t>22</w:t>
            </w:r>
            <w:r>
              <w:rPr>
                <w:rFonts w:ascii="Arial Narrow" w:hAnsi="Arial Narrow"/>
                <w:color w:val="000000"/>
                <w:sz w:val="20"/>
              </w:rPr>
              <w:t>,</w:t>
            </w:r>
            <w:r w:rsidR="004E4A55">
              <w:rPr>
                <w:rFonts w:ascii="Arial Narrow" w:hAnsi="Arial Narrow"/>
                <w:color w:val="000000"/>
                <w:sz w:val="20"/>
              </w:rPr>
              <w:t>2</w:t>
            </w:r>
            <w:r w:rsidRPr="00227F2C">
              <w:rPr>
                <w:rFonts w:ascii="Arial Narrow" w:hAnsi="Arial Narrow"/>
                <w:color w:val="000000"/>
                <w:sz w:val="20"/>
              </w:rPr>
              <w:t>9</w:t>
            </w:r>
            <w:r w:rsidR="004E4A55">
              <w:rPr>
                <w:rFonts w:ascii="Arial Narrow" w:hAnsi="Arial Narrow"/>
                <w:color w:val="000000"/>
                <w:sz w:val="20"/>
              </w:rPr>
              <w:t>7</w:t>
            </w:r>
            <w:r>
              <w:rPr>
                <w:rFonts w:ascii="Arial Narrow" w:hAnsi="Arial Narrow"/>
                <w:color w:val="000000"/>
                <w:sz w:val="20"/>
              </w:rPr>
              <w:t>,</w:t>
            </w:r>
            <w:r w:rsidR="004E4A55">
              <w:rPr>
                <w:rFonts w:ascii="Arial Narrow" w:hAnsi="Arial Narrow"/>
                <w:color w:val="000000"/>
                <w:sz w:val="20"/>
              </w:rPr>
              <w:t>406</w:t>
            </w:r>
          </w:p>
        </w:tc>
        <w:tc>
          <w:tcPr>
            <w:tcW w:w="1053" w:type="dxa"/>
            <w:shd w:val="clear" w:color="auto" w:fill="auto"/>
            <w:vAlign w:val="center"/>
          </w:tcPr>
          <w:p w14:paraId="4175CDB2" w14:textId="25297DDC" w:rsidR="004973CD" w:rsidRDefault="004973CD" w:rsidP="0053585D">
            <w:pPr>
              <w:spacing w:before="40" w:after="40"/>
              <w:jc w:val="center"/>
              <w:rPr>
                <w:rFonts w:ascii="Arial Narrow" w:hAnsi="Arial Narrow" w:cs="Calibri"/>
                <w:color w:val="000000"/>
                <w:sz w:val="20"/>
              </w:rPr>
            </w:pPr>
            <w:r w:rsidRPr="00227F2C">
              <w:rPr>
                <w:rFonts w:ascii="Arial Narrow" w:hAnsi="Arial Narrow"/>
                <w:color w:val="000000"/>
                <w:sz w:val="20"/>
              </w:rPr>
              <w:t>1</w:t>
            </w:r>
            <w:r w:rsidR="0053585D">
              <w:rPr>
                <w:rFonts w:ascii="Arial Narrow" w:hAnsi="Arial Narrow"/>
                <w:color w:val="000000"/>
                <w:sz w:val="20"/>
              </w:rPr>
              <w:t>23</w:t>
            </w:r>
            <w:r>
              <w:rPr>
                <w:rFonts w:ascii="Arial Narrow" w:hAnsi="Arial Narrow"/>
                <w:color w:val="000000"/>
                <w:sz w:val="20"/>
              </w:rPr>
              <w:t>,</w:t>
            </w:r>
            <w:r w:rsidR="0053585D">
              <w:rPr>
                <w:rFonts w:ascii="Arial Narrow" w:hAnsi="Arial Narrow"/>
                <w:color w:val="000000"/>
                <w:sz w:val="20"/>
              </w:rPr>
              <w:t>99</w:t>
            </w:r>
            <w:r w:rsidRPr="00227F2C">
              <w:rPr>
                <w:rFonts w:ascii="Arial Narrow" w:hAnsi="Arial Narrow"/>
                <w:color w:val="000000"/>
                <w:sz w:val="20"/>
              </w:rPr>
              <w:t>1</w:t>
            </w:r>
            <w:r>
              <w:rPr>
                <w:rFonts w:ascii="Arial Narrow" w:hAnsi="Arial Narrow"/>
                <w:color w:val="000000"/>
                <w:sz w:val="20"/>
              </w:rPr>
              <w:t>,</w:t>
            </w:r>
            <w:r w:rsidR="0053585D">
              <w:rPr>
                <w:rFonts w:ascii="Arial Narrow" w:hAnsi="Arial Narrow"/>
                <w:color w:val="000000"/>
                <w:sz w:val="20"/>
              </w:rPr>
              <w:t>032</w:t>
            </w:r>
          </w:p>
        </w:tc>
      </w:tr>
      <w:tr w:rsidR="004973CD" w:rsidRPr="00FD7909" w14:paraId="33189E4B" w14:textId="77777777" w:rsidTr="00EE3131">
        <w:tc>
          <w:tcPr>
            <w:tcW w:w="2552" w:type="dxa"/>
            <w:shd w:val="clear" w:color="auto" w:fill="auto"/>
          </w:tcPr>
          <w:p w14:paraId="2F845631" w14:textId="56EE2433" w:rsidR="004973CD" w:rsidRDefault="004973CD" w:rsidP="0053585D">
            <w:pPr>
              <w:spacing w:before="40" w:after="40"/>
              <w:rPr>
                <w:rFonts w:ascii="Arial Narrow" w:hAnsi="Arial Narrow"/>
                <w:sz w:val="20"/>
              </w:rPr>
            </w:pPr>
            <w:r>
              <w:rPr>
                <w:rFonts w:ascii="Arial Narrow" w:hAnsi="Arial Narrow"/>
                <w:sz w:val="20"/>
              </w:rPr>
              <w:t>Incremental cost of NIPT</w:t>
            </w:r>
            <w:r w:rsidR="008E289A">
              <w:rPr>
                <w:rFonts w:ascii="Arial Narrow" w:hAnsi="Arial Narrow"/>
                <w:sz w:val="20"/>
              </w:rPr>
              <w:t>*</w:t>
            </w:r>
            <w:r w:rsidR="0053585D">
              <w:rPr>
                <w:rFonts w:ascii="Arial Narrow" w:hAnsi="Arial Narrow"/>
                <w:sz w:val="20"/>
              </w:rPr>
              <w:t xml:space="preserve"> to </w:t>
            </w:r>
            <w:r>
              <w:rPr>
                <w:rFonts w:ascii="Arial Narrow" w:hAnsi="Arial Narrow"/>
                <w:sz w:val="20"/>
              </w:rPr>
              <w:t xml:space="preserve">US* </w:t>
            </w:r>
            <w:r w:rsidR="00EE3131">
              <w:rPr>
                <w:rFonts w:ascii="Arial Narrow" w:hAnsi="Arial Narrow"/>
                <w:sz w:val="20"/>
              </w:rPr>
              <w:t>+</w:t>
            </w:r>
            <w:r w:rsidR="008E289A">
              <w:rPr>
                <w:rFonts w:ascii="Arial Narrow" w:hAnsi="Arial Narrow"/>
                <w:sz w:val="20"/>
              </w:rPr>
              <w:t>2TMSS*</w:t>
            </w:r>
            <w:r>
              <w:rPr>
                <w:rFonts w:ascii="Arial Narrow" w:hAnsi="Arial Narrow"/>
                <w:sz w:val="20"/>
              </w:rPr>
              <w:t>+IPT*</w:t>
            </w:r>
            <w:r w:rsidR="0053585D">
              <w:rPr>
                <w:rFonts w:ascii="Arial Narrow" w:hAnsi="Arial Narrow"/>
                <w:sz w:val="20"/>
              </w:rPr>
              <w:t>,</w:t>
            </w:r>
            <w:r>
              <w:rPr>
                <w:rFonts w:ascii="Arial Narrow" w:hAnsi="Arial Narrow"/>
                <w:sz w:val="20"/>
              </w:rPr>
              <w:t xml:space="preserve"> </w:t>
            </w:r>
            <w:r w:rsidR="008E289A">
              <w:rPr>
                <w:rFonts w:ascii="Arial Narrow" w:hAnsi="Arial Narrow"/>
                <w:sz w:val="20"/>
              </w:rPr>
              <w:t xml:space="preserve">i.e. </w:t>
            </w:r>
            <w:r>
              <w:rPr>
                <w:rFonts w:ascii="Arial Narrow" w:hAnsi="Arial Narrow"/>
                <w:sz w:val="20"/>
              </w:rPr>
              <w:t xml:space="preserve">replacing </w:t>
            </w:r>
            <w:r w:rsidR="0053585D">
              <w:rPr>
                <w:rFonts w:ascii="Arial Narrow" w:hAnsi="Arial Narrow"/>
                <w:sz w:val="20"/>
              </w:rPr>
              <w:t xml:space="preserve">all </w:t>
            </w:r>
            <w:r>
              <w:rPr>
                <w:rFonts w:ascii="Arial Narrow" w:hAnsi="Arial Narrow"/>
                <w:sz w:val="20"/>
              </w:rPr>
              <w:t>biochemistry of CFTS</w:t>
            </w:r>
            <w:r w:rsidR="0053585D">
              <w:rPr>
                <w:rFonts w:ascii="Arial Narrow" w:hAnsi="Arial Narrow"/>
                <w:sz w:val="20"/>
              </w:rPr>
              <w:t xml:space="preserve"> ($</w:t>
            </w:r>
            <w:r>
              <w:rPr>
                <w:rFonts w:ascii="Arial Narrow" w:hAnsi="Arial Narrow"/>
                <w:sz w:val="20"/>
              </w:rPr>
              <w:t>)</w:t>
            </w:r>
          </w:p>
        </w:tc>
        <w:tc>
          <w:tcPr>
            <w:tcW w:w="1053" w:type="dxa"/>
            <w:shd w:val="clear" w:color="auto" w:fill="auto"/>
            <w:vAlign w:val="center"/>
          </w:tcPr>
          <w:p w14:paraId="02EB67B4" w14:textId="7AE4CA6D" w:rsidR="004973CD" w:rsidRDefault="00EE3131" w:rsidP="00EE3131">
            <w:pPr>
              <w:spacing w:before="40" w:after="40"/>
              <w:jc w:val="center"/>
              <w:rPr>
                <w:rFonts w:ascii="Arial Narrow" w:hAnsi="Arial Narrow" w:cs="Calibri"/>
                <w:color w:val="000000"/>
                <w:sz w:val="20"/>
              </w:rPr>
            </w:pPr>
            <w:r>
              <w:rPr>
                <w:rFonts w:ascii="Arial Narrow" w:hAnsi="Arial Narrow"/>
                <w:sz w:val="20"/>
              </w:rPr>
              <w:t>90</w:t>
            </w:r>
            <w:r w:rsidR="004973CD" w:rsidRPr="00E01D28">
              <w:rPr>
                <w:rFonts w:ascii="Arial Narrow" w:hAnsi="Arial Narrow"/>
                <w:sz w:val="20"/>
              </w:rPr>
              <w:t>,</w:t>
            </w:r>
            <w:r>
              <w:rPr>
                <w:rFonts w:ascii="Arial Narrow" w:hAnsi="Arial Narrow"/>
                <w:sz w:val="20"/>
              </w:rPr>
              <w:t>630</w:t>
            </w:r>
            <w:r w:rsidR="004973CD" w:rsidRPr="00E01D28">
              <w:rPr>
                <w:rFonts w:ascii="Arial Narrow" w:hAnsi="Arial Narrow"/>
                <w:sz w:val="20"/>
              </w:rPr>
              <w:t>,3</w:t>
            </w:r>
            <w:r>
              <w:rPr>
                <w:rFonts w:ascii="Arial Narrow" w:hAnsi="Arial Narrow"/>
                <w:sz w:val="20"/>
              </w:rPr>
              <w:t>26</w:t>
            </w:r>
          </w:p>
        </w:tc>
        <w:tc>
          <w:tcPr>
            <w:tcW w:w="1053" w:type="dxa"/>
            <w:shd w:val="clear" w:color="auto" w:fill="auto"/>
            <w:vAlign w:val="center"/>
          </w:tcPr>
          <w:p w14:paraId="1BF605F6" w14:textId="7905919F" w:rsidR="004973CD" w:rsidRDefault="00EE3131" w:rsidP="00EE3131">
            <w:pPr>
              <w:spacing w:before="40" w:after="40"/>
              <w:jc w:val="center"/>
              <w:rPr>
                <w:rFonts w:ascii="Arial Narrow" w:hAnsi="Arial Narrow" w:cs="Calibri"/>
                <w:color w:val="000000"/>
                <w:sz w:val="20"/>
              </w:rPr>
            </w:pPr>
            <w:r>
              <w:rPr>
                <w:rFonts w:ascii="Arial Narrow" w:hAnsi="Arial Narrow"/>
                <w:sz w:val="20"/>
              </w:rPr>
              <w:t>91</w:t>
            </w:r>
            <w:r w:rsidR="004973CD" w:rsidRPr="00E01D28">
              <w:rPr>
                <w:rFonts w:ascii="Arial Narrow" w:hAnsi="Arial Narrow"/>
                <w:sz w:val="20"/>
              </w:rPr>
              <w:t>,9</w:t>
            </w:r>
            <w:r>
              <w:rPr>
                <w:rFonts w:ascii="Arial Narrow" w:hAnsi="Arial Narrow"/>
                <w:sz w:val="20"/>
              </w:rPr>
              <w:t>04</w:t>
            </w:r>
            <w:r w:rsidR="004973CD" w:rsidRPr="00E01D28">
              <w:rPr>
                <w:rFonts w:ascii="Arial Narrow" w:hAnsi="Arial Narrow"/>
                <w:sz w:val="20"/>
              </w:rPr>
              <w:t>,</w:t>
            </w:r>
            <w:r>
              <w:rPr>
                <w:rFonts w:ascii="Arial Narrow" w:hAnsi="Arial Narrow"/>
                <w:sz w:val="20"/>
              </w:rPr>
              <w:t>7</w:t>
            </w:r>
            <w:r w:rsidR="004973CD" w:rsidRPr="00E01D28">
              <w:rPr>
                <w:rFonts w:ascii="Arial Narrow" w:hAnsi="Arial Narrow"/>
                <w:sz w:val="20"/>
              </w:rPr>
              <w:t>8</w:t>
            </w:r>
            <w:r>
              <w:rPr>
                <w:rFonts w:ascii="Arial Narrow" w:hAnsi="Arial Narrow"/>
                <w:sz w:val="20"/>
              </w:rPr>
              <w:t>5</w:t>
            </w:r>
          </w:p>
        </w:tc>
        <w:tc>
          <w:tcPr>
            <w:tcW w:w="1053" w:type="dxa"/>
            <w:shd w:val="clear" w:color="auto" w:fill="auto"/>
            <w:vAlign w:val="center"/>
          </w:tcPr>
          <w:p w14:paraId="484F703B" w14:textId="237476BF" w:rsidR="004973CD" w:rsidRDefault="004973CD" w:rsidP="00EE3131">
            <w:pPr>
              <w:spacing w:before="40" w:after="40"/>
              <w:jc w:val="center"/>
              <w:rPr>
                <w:rFonts w:ascii="Arial Narrow" w:hAnsi="Arial Narrow" w:cs="Calibri"/>
                <w:color w:val="000000"/>
                <w:sz w:val="20"/>
              </w:rPr>
            </w:pPr>
            <w:r w:rsidRPr="00E01D28">
              <w:rPr>
                <w:rFonts w:ascii="Arial Narrow" w:hAnsi="Arial Narrow"/>
                <w:sz w:val="20"/>
              </w:rPr>
              <w:t>9</w:t>
            </w:r>
            <w:r w:rsidR="00EE3131">
              <w:rPr>
                <w:rFonts w:ascii="Arial Narrow" w:hAnsi="Arial Narrow"/>
                <w:sz w:val="20"/>
              </w:rPr>
              <w:t>3</w:t>
            </w:r>
            <w:r w:rsidRPr="00E01D28">
              <w:rPr>
                <w:rFonts w:ascii="Arial Narrow" w:hAnsi="Arial Narrow"/>
                <w:sz w:val="20"/>
              </w:rPr>
              <w:t>,</w:t>
            </w:r>
            <w:r w:rsidR="00EE3131">
              <w:rPr>
                <w:rFonts w:ascii="Arial Narrow" w:hAnsi="Arial Narrow"/>
                <w:sz w:val="20"/>
              </w:rPr>
              <w:t>29</w:t>
            </w:r>
            <w:r w:rsidRPr="00E01D28">
              <w:rPr>
                <w:rFonts w:ascii="Arial Narrow" w:hAnsi="Arial Narrow"/>
                <w:sz w:val="20"/>
              </w:rPr>
              <w:t>1,3</w:t>
            </w:r>
            <w:r w:rsidR="00EE3131">
              <w:rPr>
                <w:rFonts w:ascii="Arial Narrow" w:hAnsi="Arial Narrow"/>
                <w:sz w:val="20"/>
              </w:rPr>
              <w:t>54</w:t>
            </w:r>
          </w:p>
        </w:tc>
        <w:tc>
          <w:tcPr>
            <w:tcW w:w="1053" w:type="dxa"/>
            <w:shd w:val="clear" w:color="auto" w:fill="auto"/>
            <w:vAlign w:val="center"/>
          </w:tcPr>
          <w:p w14:paraId="2A916B51" w14:textId="19F09A98" w:rsidR="004973CD" w:rsidRDefault="004973CD" w:rsidP="004E4A55">
            <w:pPr>
              <w:spacing w:before="40" w:after="40"/>
              <w:jc w:val="center"/>
              <w:rPr>
                <w:rFonts w:ascii="Arial Narrow" w:hAnsi="Arial Narrow" w:cs="Calibri"/>
                <w:color w:val="000000"/>
                <w:sz w:val="20"/>
              </w:rPr>
            </w:pPr>
            <w:r w:rsidRPr="00E01D28">
              <w:rPr>
                <w:rFonts w:ascii="Arial Narrow" w:hAnsi="Arial Narrow"/>
                <w:sz w:val="20"/>
              </w:rPr>
              <w:t>9</w:t>
            </w:r>
            <w:r w:rsidR="004E4A55">
              <w:rPr>
                <w:rFonts w:ascii="Arial Narrow" w:hAnsi="Arial Narrow"/>
                <w:sz w:val="20"/>
              </w:rPr>
              <w:t>4</w:t>
            </w:r>
            <w:r w:rsidRPr="00E01D28">
              <w:rPr>
                <w:rFonts w:ascii="Arial Narrow" w:hAnsi="Arial Narrow"/>
                <w:sz w:val="20"/>
              </w:rPr>
              <w:t>,</w:t>
            </w:r>
            <w:r w:rsidR="004E4A55">
              <w:rPr>
                <w:rFonts w:ascii="Arial Narrow" w:hAnsi="Arial Narrow"/>
                <w:sz w:val="20"/>
              </w:rPr>
              <w:t>763</w:t>
            </w:r>
            <w:r w:rsidRPr="00E01D28">
              <w:rPr>
                <w:rFonts w:ascii="Arial Narrow" w:hAnsi="Arial Narrow"/>
                <w:sz w:val="20"/>
              </w:rPr>
              <w:t>,6</w:t>
            </w:r>
            <w:r w:rsidR="004E4A55">
              <w:rPr>
                <w:rFonts w:ascii="Arial Narrow" w:hAnsi="Arial Narrow"/>
                <w:sz w:val="20"/>
              </w:rPr>
              <w:t>88</w:t>
            </w:r>
          </w:p>
        </w:tc>
        <w:tc>
          <w:tcPr>
            <w:tcW w:w="1053" w:type="dxa"/>
            <w:shd w:val="clear" w:color="auto" w:fill="auto"/>
            <w:vAlign w:val="center"/>
          </w:tcPr>
          <w:p w14:paraId="27CEBAC6" w14:textId="01618882" w:rsidR="004973CD" w:rsidRDefault="004973CD" w:rsidP="004E4A55">
            <w:pPr>
              <w:spacing w:before="40" w:after="40"/>
              <w:jc w:val="center"/>
              <w:rPr>
                <w:rFonts w:ascii="Arial Narrow" w:hAnsi="Arial Narrow" w:cs="Calibri"/>
                <w:color w:val="000000"/>
                <w:sz w:val="20"/>
              </w:rPr>
            </w:pPr>
            <w:r w:rsidRPr="00E01D28">
              <w:rPr>
                <w:rFonts w:ascii="Arial Narrow" w:hAnsi="Arial Narrow"/>
                <w:sz w:val="20"/>
              </w:rPr>
              <w:t>9</w:t>
            </w:r>
            <w:r w:rsidR="004E4A55">
              <w:rPr>
                <w:rFonts w:ascii="Arial Narrow" w:hAnsi="Arial Narrow"/>
                <w:sz w:val="20"/>
              </w:rPr>
              <w:t>6</w:t>
            </w:r>
            <w:r w:rsidRPr="00E01D28">
              <w:rPr>
                <w:rFonts w:ascii="Arial Narrow" w:hAnsi="Arial Narrow"/>
                <w:sz w:val="20"/>
              </w:rPr>
              <w:t>,</w:t>
            </w:r>
            <w:r w:rsidR="004E4A55">
              <w:rPr>
                <w:rFonts w:ascii="Arial Narrow" w:hAnsi="Arial Narrow"/>
                <w:sz w:val="20"/>
              </w:rPr>
              <w:t>219</w:t>
            </w:r>
            <w:r w:rsidRPr="00E01D28">
              <w:rPr>
                <w:rFonts w:ascii="Arial Narrow" w:hAnsi="Arial Narrow"/>
                <w:sz w:val="20"/>
              </w:rPr>
              <w:t>,0</w:t>
            </w:r>
            <w:r w:rsidR="004E4A55">
              <w:rPr>
                <w:rFonts w:ascii="Arial Narrow" w:hAnsi="Arial Narrow"/>
                <w:sz w:val="20"/>
              </w:rPr>
              <w:t>68</w:t>
            </w:r>
          </w:p>
        </w:tc>
        <w:tc>
          <w:tcPr>
            <w:tcW w:w="1053" w:type="dxa"/>
            <w:shd w:val="clear" w:color="auto" w:fill="auto"/>
            <w:vAlign w:val="center"/>
          </w:tcPr>
          <w:p w14:paraId="40E0082F" w14:textId="2E8FDF18" w:rsidR="004973CD" w:rsidRDefault="004973CD" w:rsidP="004E4A55">
            <w:pPr>
              <w:spacing w:before="40" w:after="40"/>
              <w:jc w:val="center"/>
              <w:rPr>
                <w:rFonts w:ascii="Arial Narrow" w:hAnsi="Arial Narrow" w:cs="Calibri"/>
                <w:color w:val="000000"/>
                <w:sz w:val="20"/>
              </w:rPr>
            </w:pPr>
            <w:r w:rsidRPr="00E01D28">
              <w:rPr>
                <w:rFonts w:ascii="Arial Narrow" w:hAnsi="Arial Narrow"/>
                <w:sz w:val="20"/>
              </w:rPr>
              <w:t>9</w:t>
            </w:r>
            <w:r w:rsidR="004E4A55">
              <w:rPr>
                <w:rFonts w:ascii="Arial Narrow" w:hAnsi="Arial Narrow"/>
                <w:sz w:val="20"/>
              </w:rPr>
              <w:t>7</w:t>
            </w:r>
            <w:r w:rsidRPr="00E01D28">
              <w:rPr>
                <w:rFonts w:ascii="Arial Narrow" w:hAnsi="Arial Narrow"/>
                <w:sz w:val="20"/>
              </w:rPr>
              <w:t>,</w:t>
            </w:r>
            <w:r w:rsidR="004E4A55">
              <w:rPr>
                <w:rFonts w:ascii="Arial Narrow" w:hAnsi="Arial Narrow"/>
                <w:sz w:val="20"/>
              </w:rPr>
              <w:t>534</w:t>
            </w:r>
            <w:r w:rsidRPr="00E01D28">
              <w:rPr>
                <w:rFonts w:ascii="Arial Narrow" w:hAnsi="Arial Narrow"/>
                <w:sz w:val="20"/>
              </w:rPr>
              <w:t>,1</w:t>
            </w:r>
            <w:r w:rsidR="004E4A55">
              <w:rPr>
                <w:rFonts w:ascii="Arial Narrow" w:hAnsi="Arial Narrow"/>
                <w:sz w:val="20"/>
              </w:rPr>
              <w:t>59</w:t>
            </w:r>
          </w:p>
        </w:tc>
        <w:tc>
          <w:tcPr>
            <w:tcW w:w="1053" w:type="dxa"/>
            <w:shd w:val="clear" w:color="auto" w:fill="auto"/>
            <w:vAlign w:val="center"/>
          </w:tcPr>
          <w:p w14:paraId="6DA6CD23" w14:textId="4FEE1047" w:rsidR="004973CD" w:rsidRDefault="004973CD" w:rsidP="0053585D">
            <w:pPr>
              <w:spacing w:before="40" w:after="40"/>
              <w:jc w:val="center"/>
              <w:rPr>
                <w:rFonts w:ascii="Arial Narrow" w:hAnsi="Arial Narrow" w:cs="Calibri"/>
                <w:color w:val="000000"/>
                <w:sz w:val="20"/>
              </w:rPr>
            </w:pPr>
            <w:r w:rsidRPr="00E01D28">
              <w:rPr>
                <w:rFonts w:ascii="Arial Narrow" w:hAnsi="Arial Narrow"/>
                <w:sz w:val="20"/>
              </w:rPr>
              <w:t>9</w:t>
            </w:r>
            <w:r w:rsidR="0053585D">
              <w:rPr>
                <w:rFonts w:ascii="Arial Narrow" w:hAnsi="Arial Narrow"/>
                <w:sz w:val="20"/>
              </w:rPr>
              <w:t>8</w:t>
            </w:r>
            <w:r w:rsidRPr="00E01D28">
              <w:rPr>
                <w:rFonts w:ascii="Arial Narrow" w:hAnsi="Arial Narrow"/>
                <w:sz w:val="20"/>
              </w:rPr>
              <w:t>,</w:t>
            </w:r>
            <w:r w:rsidR="0053585D">
              <w:rPr>
                <w:rFonts w:ascii="Arial Narrow" w:hAnsi="Arial Narrow"/>
                <w:sz w:val="20"/>
              </w:rPr>
              <w:t>84</w:t>
            </w:r>
            <w:r w:rsidRPr="00E01D28">
              <w:rPr>
                <w:rFonts w:ascii="Arial Narrow" w:hAnsi="Arial Narrow"/>
                <w:sz w:val="20"/>
              </w:rPr>
              <w:t>8,</w:t>
            </w:r>
            <w:r w:rsidR="0053585D">
              <w:rPr>
                <w:rFonts w:ascii="Arial Narrow" w:hAnsi="Arial Narrow"/>
                <w:sz w:val="20"/>
              </w:rPr>
              <w:t>727</w:t>
            </w:r>
          </w:p>
        </w:tc>
      </w:tr>
    </w:tbl>
    <w:p w14:paraId="4E49454D" w14:textId="14A53B14" w:rsidR="00F32C39" w:rsidRDefault="00F32C39" w:rsidP="00F32C39">
      <w:pPr>
        <w:keepNext/>
        <w:keepLines/>
        <w:tabs>
          <w:tab w:val="left" w:pos="284"/>
        </w:tabs>
        <w:rPr>
          <w:rFonts w:ascii="Arial Narrow" w:hAnsi="Arial Narrow"/>
          <w:sz w:val="18"/>
          <w:szCs w:val="18"/>
        </w:rPr>
      </w:pPr>
      <w:r w:rsidRPr="00467205">
        <w:rPr>
          <w:rFonts w:ascii="Arial Narrow" w:hAnsi="Arial Narrow"/>
          <w:sz w:val="18"/>
          <w:szCs w:val="18"/>
        </w:rPr>
        <w:t>*</w:t>
      </w:r>
      <w:r>
        <w:rPr>
          <w:rFonts w:ascii="Arial Narrow" w:hAnsi="Arial Narrow"/>
          <w:sz w:val="18"/>
          <w:szCs w:val="18"/>
        </w:rPr>
        <w:tab/>
      </w:r>
      <w:r w:rsidRPr="00467205">
        <w:rPr>
          <w:rFonts w:ascii="Arial Narrow" w:hAnsi="Arial Narrow"/>
          <w:sz w:val="18"/>
          <w:szCs w:val="18"/>
        </w:rPr>
        <w:t>85% of the total</w:t>
      </w:r>
    </w:p>
    <w:p w14:paraId="21D83034" w14:textId="11047678" w:rsidR="008E289A" w:rsidRDefault="008E289A" w:rsidP="00F32C39">
      <w:pPr>
        <w:keepNext/>
        <w:keepLines/>
        <w:tabs>
          <w:tab w:val="left" w:pos="284"/>
        </w:tabs>
        <w:rPr>
          <w:rFonts w:ascii="Arial Narrow" w:hAnsi="Arial Narrow"/>
          <w:sz w:val="18"/>
          <w:szCs w:val="18"/>
        </w:rPr>
      </w:pPr>
      <w:r w:rsidRPr="008E289A">
        <w:rPr>
          <w:rFonts w:ascii="Arial Narrow" w:hAnsi="Arial Narrow"/>
          <w:sz w:val="18"/>
          <w:szCs w:val="18"/>
        </w:rPr>
        <w:t>CFTS = combined first trimester screening; 2TMSS = second trimester maternal serum testing; NIPT = non-invasive prenatal testing;</w:t>
      </w:r>
      <w:r>
        <w:rPr>
          <w:rFonts w:ascii="Arial Narrow" w:hAnsi="Arial Narrow"/>
          <w:sz w:val="18"/>
          <w:szCs w:val="18"/>
        </w:rPr>
        <w:t xml:space="preserve"> US=ultrasound</w:t>
      </w:r>
    </w:p>
    <w:p w14:paraId="6BF48598" w14:textId="62493385" w:rsidR="00F32C39" w:rsidRDefault="00F32C39" w:rsidP="00F32C39">
      <w:pPr>
        <w:keepNext/>
        <w:keepLines/>
        <w:tabs>
          <w:tab w:val="left" w:pos="284"/>
        </w:tabs>
        <w:rPr>
          <w:rFonts w:ascii="Arial Narrow" w:hAnsi="Arial Narrow"/>
          <w:sz w:val="18"/>
          <w:szCs w:val="18"/>
        </w:rPr>
      </w:pPr>
      <w:r>
        <w:rPr>
          <w:rFonts w:ascii="Arial Narrow" w:hAnsi="Arial Narrow"/>
          <w:sz w:val="18"/>
          <w:szCs w:val="18"/>
        </w:rPr>
        <w:t>Source: Table</w:t>
      </w:r>
      <w:r w:rsidR="00FF0ECF">
        <w:rPr>
          <w:rFonts w:ascii="Arial Narrow" w:hAnsi="Arial Narrow"/>
          <w:sz w:val="18"/>
          <w:szCs w:val="18"/>
        </w:rPr>
        <w:t>s</w:t>
      </w:r>
      <w:r>
        <w:rPr>
          <w:rFonts w:ascii="Arial Narrow" w:hAnsi="Arial Narrow"/>
          <w:sz w:val="18"/>
          <w:szCs w:val="18"/>
        </w:rPr>
        <w:t xml:space="preserve"> 21</w:t>
      </w:r>
      <w:r w:rsidR="00FF0ECF">
        <w:rPr>
          <w:rFonts w:ascii="Arial Narrow" w:hAnsi="Arial Narrow"/>
          <w:sz w:val="18"/>
          <w:szCs w:val="18"/>
        </w:rPr>
        <w:t xml:space="preserve"> and 22</w:t>
      </w:r>
      <w:r>
        <w:rPr>
          <w:rFonts w:ascii="Arial Narrow" w:hAnsi="Arial Narrow"/>
          <w:sz w:val="18"/>
          <w:szCs w:val="18"/>
        </w:rPr>
        <w:t>, pp43-4</w:t>
      </w:r>
      <w:r w:rsidR="00FF0ECF">
        <w:rPr>
          <w:rFonts w:ascii="Arial Narrow" w:hAnsi="Arial Narrow"/>
          <w:sz w:val="18"/>
          <w:szCs w:val="18"/>
        </w:rPr>
        <w:t>5</w:t>
      </w:r>
      <w:r>
        <w:rPr>
          <w:rFonts w:ascii="Arial Narrow" w:hAnsi="Arial Narrow"/>
          <w:sz w:val="18"/>
          <w:szCs w:val="18"/>
        </w:rPr>
        <w:t xml:space="preserve"> of </w:t>
      </w:r>
      <w:r w:rsidR="007F66D8" w:rsidRPr="007F66D8">
        <w:rPr>
          <w:rFonts w:ascii="Arial Narrow" w:hAnsi="Arial Narrow"/>
          <w:sz w:val="18"/>
          <w:szCs w:val="18"/>
        </w:rPr>
        <w:t>2</w:t>
      </w:r>
      <w:r w:rsidR="007F66D8">
        <w:rPr>
          <w:rFonts w:ascii="Arial Narrow" w:hAnsi="Arial Narrow"/>
          <w:sz w:val="18"/>
          <w:szCs w:val="18"/>
          <w:vertAlign w:val="superscript"/>
        </w:rPr>
        <w:t>nd</w:t>
      </w:r>
      <w:r w:rsidR="007F66D8" w:rsidRPr="007F66D8">
        <w:rPr>
          <w:rFonts w:ascii="Arial Narrow" w:hAnsi="Arial Narrow"/>
          <w:sz w:val="18"/>
          <w:szCs w:val="18"/>
        </w:rPr>
        <w:t xml:space="preserve"> </w:t>
      </w:r>
      <w:r>
        <w:rPr>
          <w:rFonts w:ascii="Arial Narrow" w:hAnsi="Arial Narrow"/>
          <w:sz w:val="18"/>
          <w:szCs w:val="18"/>
        </w:rPr>
        <w:t>CA</w:t>
      </w:r>
    </w:p>
    <w:p w14:paraId="1EB60445" w14:textId="7CE91388" w:rsidR="00F32C39" w:rsidRPr="00FF4681" w:rsidRDefault="00F32C39" w:rsidP="00F055F6">
      <w:pPr>
        <w:tabs>
          <w:tab w:val="left" w:pos="284"/>
        </w:tabs>
        <w:rPr>
          <w:rFonts w:ascii="Arial Narrow" w:hAnsi="Arial Narrow"/>
          <w:i/>
          <w:sz w:val="18"/>
          <w:szCs w:val="18"/>
        </w:rPr>
      </w:pPr>
      <w:r w:rsidRPr="00FF4681">
        <w:rPr>
          <w:rFonts w:ascii="Arial Narrow" w:hAnsi="Arial Narrow"/>
          <w:i/>
          <w:sz w:val="18"/>
          <w:szCs w:val="18"/>
        </w:rPr>
        <w:t xml:space="preserve">Note the declining trend relates to the reduction in the rate of invasive diagnostic procedures since the introduction of self-funded NIPT; Although there is no direct evidence of NIPT resulting in decreases in the number of invasive procedures, the estimates range from 39.6% (based on the State of Victoria data) to over 50% (based on the Canadian and Dutch data). (p4, </w:t>
      </w:r>
      <w:r w:rsidR="007F66D8" w:rsidRPr="007F66D8">
        <w:rPr>
          <w:rFonts w:ascii="Arial Narrow" w:hAnsi="Arial Narrow"/>
          <w:i/>
          <w:sz w:val="18"/>
          <w:szCs w:val="18"/>
        </w:rPr>
        <w:t>2</w:t>
      </w:r>
      <w:r w:rsidR="007F66D8" w:rsidRPr="007F66D8">
        <w:rPr>
          <w:rFonts w:ascii="Arial Narrow" w:hAnsi="Arial Narrow"/>
          <w:i/>
          <w:sz w:val="18"/>
          <w:szCs w:val="18"/>
          <w:vertAlign w:val="superscript"/>
        </w:rPr>
        <w:t>nd</w:t>
      </w:r>
      <w:r w:rsidR="007F66D8">
        <w:rPr>
          <w:rFonts w:ascii="Arial Narrow" w:hAnsi="Arial Narrow"/>
          <w:i/>
          <w:sz w:val="18"/>
          <w:szCs w:val="18"/>
        </w:rPr>
        <w:t xml:space="preserve"> </w:t>
      </w:r>
      <w:r w:rsidRPr="00FF4681">
        <w:rPr>
          <w:rFonts w:ascii="Arial Narrow" w:hAnsi="Arial Narrow"/>
          <w:i/>
          <w:sz w:val="18"/>
          <w:szCs w:val="18"/>
        </w:rPr>
        <w:t>CA)</w:t>
      </w:r>
    </w:p>
    <w:p w14:paraId="5771F0D3" w14:textId="77777777" w:rsidR="00A37C79" w:rsidRPr="00F715D1" w:rsidRDefault="00A37C79" w:rsidP="00A37C79">
      <w:pPr>
        <w:pStyle w:val="Heading1"/>
      </w:pPr>
      <w:r w:rsidRPr="00F715D1">
        <w:t>Key issues from ESC for MSAC</w:t>
      </w:r>
    </w:p>
    <w:tbl>
      <w:tblPr>
        <w:tblStyle w:val="TableGrid1"/>
        <w:tblW w:w="0" w:type="auto"/>
        <w:tblLook w:val="04A0" w:firstRow="1" w:lastRow="0" w:firstColumn="1" w:lastColumn="0" w:noHBand="0" w:noVBand="1"/>
        <w:tblCaption w:val="14. Key issues from ESC for MSAC"/>
      </w:tblPr>
      <w:tblGrid>
        <w:gridCol w:w="2518"/>
        <w:gridCol w:w="6498"/>
      </w:tblGrid>
      <w:tr w:rsidR="00611E88" w:rsidRPr="0024210E" w14:paraId="051541E6" w14:textId="77777777" w:rsidTr="00611E88">
        <w:trPr>
          <w:tblHeader/>
        </w:trPr>
        <w:tc>
          <w:tcPr>
            <w:tcW w:w="2518" w:type="dxa"/>
          </w:tcPr>
          <w:p w14:paraId="4930A2F2" w14:textId="77777777" w:rsidR="00611E88" w:rsidRPr="00574C0F" w:rsidRDefault="00611E88" w:rsidP="005240FA">
            <w:pPr>
              <w:keepNext/>
              <w:spacing w:before="60" w:after="60"/>
              <w:rPr>
                <w:b/>
                <w:bCs/>
                <w:color w:val="000000"/>
                <w:sz w:val="21"/>
                <w:szCs w:val="21"/>
              </w:rPr>
            </w:pPr>
            <w:r w:rsidRPr="00574C0F">
              <w:rPr>
                <w:b/>
                <w:bCs/>
                <w:color w:val="000000"/>
                <w:sz w:val="21"/>
                <w:szCs w:val="21"/>
              </w:rPr>
              <w:t>ESC key issue</w:t>
            </w:r>
          </w:p>
        </w:tc>
        <w:tc>
          <w:tcPr>
            <w:tcW w:w="6498" w:type="dxa"/>
          </w:tcPr>
          <w:p w14:paraId="69E80503" w14:textId="77777777" w:rsidR="00611E88" w:rsidRPr="00574C0F" w:rsidRDefault="00611E88" w:rsidP="005240FA">
            <w:pPr>
              <w:keepNext/>
              <w:spacing w:before="60" w:after="60"/>
              <w:rPr>
                <w:b/>
                <w:bCs/>
                <w:color w:val="000000"/>
                <w:sz w:val="21"/>
                <w:szCs w:val="21"/>
              </w:rPr>
            </w:pPr>
            <w:r w:rsidRPr="00574C0F">
              <w:rPr>
                <w:b/>
                <w:bCs/>
                <w:color w:val="000000"/>
                <w:sz w:val="21"/>
                <w:szCs w:val="21"/>
              </w:rPr>
              <w:t>ESC advice to MSA</w:t>
            </w:r>
            <w:bookmarkStart w:id="7" w:name="Editing"/>
            <w:bookmarkEnd w:id="7"/>
            <w:r w:rsidRPr="00574C0F">
              <w:rPr>
                <w:b/>
                <w:bCs/>
                <w:color w:val="000000"/>
                <w:sz w:val="21"/>
                <w:szCs w:val="21"/>
              </w:rPr>
              <w:t>C</w:t>
            </w:r>
          </w:p>
        </w:tc>
      </w:tr>
      <w:tr w:rsidR="00611E88" w:rsidRPr="0024210E" w14:paraId="71392293" w14:textId="77777777" w:rsidTr="005240FA">
        <w:tc>
          <w:tcPr>
            <w:tcW w:w="2518" w:type="dxa"/>
          </w:tcPr>
          <w:p w14:paraId="1B8DC70F" w14:textId="77777777" w:rsidR="00611E88" w:rsidRPr="00574C0F" w:rsidRDefault="00611E88" w:rsidP="005240FA">
            <w:pPr>
              <w:keepNext/>
              <w:spacing w:before="60" w:after="60"/>
              <w:rPr>
                <w:color w:val="000000"/>
                <w:sz w:val="21"/>
                <w:szCs w:val="21"/>
              </w:rPr>
            </w:pPr>
            <w:r w:rsidRPr="00574C0F">
              <w:rPr>
                <w:color w:val="000000"/>
                <w:sz w:val="21"/>
                <w:szCs w:val="21"/>
              </w:rPr>
              <w:t>Likely level of NIPT uptake</w:t>
            </w:r>
          </w:p>
        </w:tc>
        <w:tc>
          <w:tcPr>
            <w:tcW w:w="6498" w:type="dxa"/>
          </w:tcPr>
          <w:p w14:paraId="291A4E43" w14:textId="77777777" w:rsidR="00611E88" w:rsidRPr="00574C0F" w:rsidRDefault="00611E88" w:rsidP="005240FA">
            <w:pPr>
              <w:keepNext/>
              <w:spacing w:before="60" w:after="60"/>
              <w:rPr>
                <w:color w:val="000000"/>
                <w:sz w:val="21"/>
                <w:szCs w:val="21"/>
              </w:rPr>
            </w:pPr>
            <w:r w:rsidRPr="00574C0F">
              <w:rPr>
                <w:color w:val="000000"/>
                <w:sz w:val="21"/>
                <w:szCs w:val="21"/>
              </w:rPr>
              <w:t>Using data from Western Australia, South Australia and Victoria, 80–85% appears likely, but is uncertain.</w:t>
            </w:r>
          </w:p>
        </w:tc>
      </w:tr>
      <w:tr w:rsidR="00611E88" w:rsidRPr="0024210E" w14:paraId="4EC57E7F" w14:textId="77777777" w:rsidTr="005240FA">
        <w:tc>
          <w:tcPr>
            <w:tcW w:w="2518" w:type="dxa"/>
          </w:tcPr>
          <w:p w14:paraId="37F0511F" w14:textId="77777777" w:rsidR="00611E88" w:rsidRPr="00574C0F" w:rsidRDefault="00611E88" w:rsidP="005240FA">
            <w:pPr>
              <w:keepNext/>
              <w:spacing w:before="60" w:after="60"/>
              <w:rPr>
                <w:color w:val="000000"/>
                <w:sz w:val="21"/>
                <w:szCs w:val="21"/>
              </w:rPr>
            </w:pPr>
            <w:r w:rsidRPr="00574C0F">
              <w:rPr>
                <w:color w:val="000000"/>
                <w:sz w:val="21"/>
                <w:szCs w:val="21"/>
              </w:rPr>
              <w:t>Specificity and sensitivity of the test</w:t>
            </w:r>
          </w:p>
        </w:tc>
        <w:tc>
          <w:tcPr>
            <w:tcW w:w="6498" w:type="dxa"/>
          </w:tcPr>
          <w:p w14:paraId="1964E582" w14:textId="2F775D48" w:rsidR="00611E88" w:rsidRPr="00574C0F" w:rsidRDefault="00611E88" w:rsidP="00886D2D">
            <w:pPr>
              <w:keepNext/>
              <w:spacing w:before="60" w:after="60"/>
              <w:rPr>
                <w:color w:val="000000"/>
                <w:sz w:val="21"/>
                <w:szCs w:val="21"/>
              </w:rPr>
            </w:pPr>
            <w:r w:rsidRPr="00574C0F">
              <w:rPr>
                <w:color w:val="000000"/>
                <w:sz w:val="21"/>
                <w:szCs w:val="21"/>
              </w:rPr>
              <w:t>The combination of combined first trimester screen (CFTS)/ second trimester maternal serum screening (2T</w:t>
            </w:r>
            <w:r w:rsidR="00886D2D">
              <w:rPr>
                <w:color w:val="000000"/>
                <w:sz w:val="21"/>
                <w:szCs w:val="21"/>
              </w:rPr>
              <w:t>MS</w:t>
            </w:r>
            <w:r w:rsidRPr="00574C0F">
              <w:rPr>
                <w:color w:val="000000"/>
                <w:sz w:val="21"/>
                <w:szCs w:val="21"/>
              </w:rPr>
              <w:t>S) and non-invasive prenatal testing (NIPT) has superior sensitivity but inferior specificity for trisomy risk assessment and diagnosis compared to CFTS/2T</w:t>
            </w:r>
            <w:r w:rsidR="00886D2D">
              <w:rPr>
                <w:color w:val="000000"/>
                <w:sz w:val="21"/>
                <w:szCs w:val="21"/>
              </w:rPr>
              <w:t>MS</w:t>
            </w:r>
            <w:r w:rsidRPr="00574C0F">
              <w:rPr>
                <w:color w:val="000000"/>
                <w:sz w:val="21"/>
                <w:szCs w:val="21"/>
              </w:rPr>
              <w:t>S</w:t>
            </w:r>
            <w:r>
              <w:rPr>
                <w:color w:val="000000"/>
                <w:sz w:val="21"/>
                <w:szCs w:val="21"/>
              </w:rPr>
              <w:t xml:space="preserve"> alone</w:t>
            </w:r>
            <w:r w:rsidRPr="00574C0F">
              <w:rPr>
                <w:color w:val="000000"/>
                <w:sz w:val="21"/>
                <w:szCs w:val="21"/>
              </w:rPr>
              <w:t xml:space="preserve"> (for trisomy risk assessment), which are acceptable for prenatal testing.</w:t>
            </w:r>
          </w:p>
        </w:tc>
      </w:tr>
      <w:tr w:rsidR="00611E88" w:rsidRPr="0024210E" w14:paraId="2FAD7D74" w14:textId="77777777" w:rsidTr="005240FA">
        <w:tc>
          <w:tcPr>
            <w:tcW w:w="2518" w:type="dxa"/>
          </w:tcPr>
          <w:p w14:paraId="0992B8EA" w14:textId="77777777" w:rsidR="00611E88" w:rsidRPr="00574C0F" w:rsidRDefault="00611E88" w:rsidP="005240FA">
            <w:pPr>
              <w:keepNext/>
              <w:spacing w:before="60" w:after="60"/>
              <w:rPr>
                <w:color w:val="000000"/>
                <w:sz w:val="21"/>
                <w:szCs w:val="21"/>
              </w:rPr>
            </w:pPr>
            <w:r>
              <w:rPr>
                <w:color w:val="000000"/>
                <w:sz w:val="21"/>
                <w:szCs w:val="21"/>
              </w:rPr>
              <w:t>Interpretation of NIPT</w:t>
            </w:r>
          </w:p>
        </w:tc>
        <w:tc>
          <w:tcPr>
            <w:tcW w:w="6498" w:type="dxa"/>
          </w:tcPr>
          <w:p w14:paraId="5CCC9643" w14:textId="42EF68AE" w:rsidR="00611E88" w:rsidRPr="00574C0F" w:rsidRDefault="00611E88" w:rsidP="00886D2D">
            <w:pPr>
              <w:keepNext/>
              <w:spacing w:before="60" w:after="60"/>
              <w:rPr>
                <w:color w:val="000000"/>
                <w:sz w:val="21"/>
                <w:szCs w:val="21"/>
              </w:rPr>
            </w:pPr>
            <w:r>
              <w:rPr>
                <w:color w:val="000000"/>
                <w:sz w:val="21"/>
                <w:szCs w:val="21"/>
              </w:rPr>
              <w:t>Results of NIPT need to be communicated in such a way that it is not interpreted as a diagnostic test. Similar to CFTS/2T</w:t>
            </w:r>
            <w:r w:rsidR="00886D2D">
              <w:rPr>
                <w:color w:val="000000"/>
                <w:sz w:val="21"/>
                <w:szCs w:val="21"/>
              </w:rPr>
              <w:t>MS</w:t>
            </w:r>
            <w:r>
              <w:rPr>
                <w:color w:val="000000"/>
                <w:sz w:val="21"/>
                <w:szCs w:val="21"/>
              </w:rPr>
              <w:t>S it should be regarded as a screening test thus requiring referral to invasive prenatal testing (IPT) as necessary to inform clinical decision making.</w:t>
            </w:r>
          </w:p>
        </w:tc>
      </w:tr>
      <w:tr w:rsidR="00611E88" w:rsidRPr="0024210E" w14:paraId="7DB0204D" w14:textId="77777777" w:rsidTr="005240FA">
        <w:tc>
          <w:tcPr>
            <w:tcW w:w="2518" w:type="dxa"/>
          </w:tcPr>
          <w:p w14:paraId="2DB2A14F" w14:textId="77777777" w:rsidR="00611E88" w:rsidRPr="00574C0F" w:rsidRDefault="00611E88" w:rsidP="005240FA">
            <w:pPr>
              <w:keepNext/>
              <w:spacing w:before="60" w:after="60"/>
              <w:rPr>
                <w:color w:val="000000"/>
                <w:sz w:val="21"/>
                <w:szCs w:val="21"/>
              </w:rPr>
            </w:pPr>
            <w:r w:rsidRPr="00574C0F">
              <w:rPr>
                <w:color w:val="000000"/>
                <w:sz w:val="21"/>
                <w:szCs w:val="21"/>
              </w:rPr>
              <w:t>Cost-effectiveness of the test</w:t>
            </w:r>
          </w:p>
        </w:tc>
        <w:tc>
          <w:tcPr>
            <w:tcW w:w="6498" w:type="dxa"/>
          </w:tcPr>
          <w:p w14:paraId="38E32931" w14:textId="7F5AD9D2" w:rsidR="00611E88" w:rsidRPr="00574C0F" w:rsidRDefault="00611E88" w:rsidP="005240FA">
            <w:pPr>
              <w:keepNext/>
              <w:spacing w:before="60" w:after="60"/>
              <w:rPr>
                <w:color w:val="000000"/>
                <w:sz w:val="21"/>
                <w:szCs w:val="21"/>
              </w:rPr>
            </w:pPr>
            <w:r w:rsidRPr="00574C0F">
              <w:rPr>
                <w:color w:val="000000"/>
                <w:sz w:val="21"/>
                <w:szCs w:val="21"/>
              </w:rPr>
              <w:t xml:space="preserve">In </w:t>
            </w:r>
            <w:r w:rsidR="00F055F6" w:rsidRPr="00574C0F">
              <w:rPr>
                <w:color w:val="000000"/>
                <w:sz w:val="21"/>
                <w:szCs w:val="21"/>
              </w:rPr>
              <w:t>S</w:t>
            </w:r>
            <w:r w:rsidRPr="00574C0F">
              <w:rPr>
                <w:color w:val="000000"/>
                <w:sz w:val="21"/>
                <w:szCs w:val="21"/>
              </w:rPr>
              <w:t>cenario 1 (screening), the ICERs are $11</w:t>
            </w:r>
            <w:r w:rsidR="00DF0FD5">
              <w:rPr>
                <w:color w:val="000000"/>
                <w:sz w:val="21"/>
                <w:szCs w:val="21"/>
              </w:rPr>
              <w:t>3</w:t>
            </w:r>
            <w:r w:rsidRPr="00574C0F">
              <w:rPr>
                <w:color w:val="000000"/>
                <w:sz w:val="21"/>
                <w:szCs w:val="21"/>
              </w:rPr>
              <w:t>,000</w:t>
            </w:r>
            <w:r w:rsidR="00DF0FD5">
              <w:rPr>
                <w:color w:val="000000"/>
                <w:sz w:val="21"/>
                <w:szCs w:val="21"/>
              </w:rPr>
              <w:t xml:space="preserve"> for correctly identifying an additional trisomy case (true positive) and </w:t>
            </w:r>
            <w:r>
              <w:rPr>
                <w:color w:val="000000"/>
                <w:sz w:val="21"/>
                <w:szCs w:val="21"/>
              </w:rPr>
              <w:t>$</w:t>
            </w:r>
            <w:r w:rsidRPr="00574C0F">
              <w:rPr>
                <w:color w:val="000000"/>
                <w:sz w:val="21"/>
                <w:szCs w:val="21"/>
              </w:rPr>
              <w:t>375,000</w:t>
            </w:r>
            <w:r w:rsidR="00DF0FD5">
              <w:rPr>
                <w:color w:val="000000"/>
                <w:sz w:val="21"/>
                <w:szCs w:val="21"/>
              </w:rPr>
              <w:t xml:space="preserve"> for not missing one additional trisomy case (false negative)</w:t>
            </w:r>
            <w:r w:rsidRPr="00574C0F">
              <w:rPr>
                <w:color w:val="000000"/>
                <w:sz w:val="21"/>
                <w:szCs w:val="21"/>
              </w:rPr>
              <w:t xml:space="preserve">. In </w:t>
            </w:r>
            <w:r w:rsidR="00F055F6" w:rsidRPr="00574C0F">
              <w:rPr>
                <w:color w:val="000000"/>
                <w:sz w:val="21"/>
                <w:szCs w:val="21"/>
              </w:rPr>
              <w:t xml:space="preserve">Scenario </w:t>
            </w:r>
            <w:r w:rsidRPr="00574C0F">
              <w:rPr>
                <w:color w:val="000000"/>
                <w:sz w:val="21"/>
                <w:szCs w:val="21"/>
              </w:rPr>
              <w:t>2 (ultrasound), ultrasound is dominant.</w:t>
            </w:r>
          </w:p>
        </w:tc>
      </w:tr>
      <w:tr w:rsidR="00611E88" w:rsidRPr="0024210E" w14:paraId="5EF116D4" w14:textId="77777777" w:rsidTr="005240FA">
        <w:tc>
          <w:tcPr>
            <w:tcW w:w="2518" w:type="dxa"/>
          </w:tcPr>
          <w:p w14:paraId="68D43291" w14:textId="77777777" w:rsidR="00611E88" w:rsidRPr="00574C0F" w:rsidRDefault="00611E88" w:rsidP="005240FA">
            <w:pPr>
              <w:keepNext/>
              <w:spacing w:before="60" w:after="60"/>
              <w:rPr>
                <w:color w:val="000000"/>
                <w:sz w:val="21"/>
                <w:szCs w:val="21"/>
              </w:rPr>
            </w:pPr>
            <w:r w:rsidRPr="00574C0F">
              <w:rPr>
                <w:color w:val="000000"/>
                <w:sz w:val="21"/>
                <w:szCs w:val="21"/>
              </w:rPr>
              <w:t>Uncertainty regarding the budget implications</w:t>
            </w:r>
          </w:p>
        </w:tc>
        <w:tc>
          <w:tcPr>
            <w:tcW w:w="6498" w:type="dxa"/>
          </w:tcPr>
          <w:p w14:paraId="2FA4C39C" w14:textId="77777777" w:rsidR="00611E88" w:rsidRPr="00574C0F" w:rsidRDefault="00611E88" w:rsidP="005240FA">
            <w:pPr>
              <w:keepNext/>
              <w:spacing w:before="60" w:after="60"/>
              <w:rPr>
                <w:color w:val="000000"/>
                <w:sz w:val="21"/>
                <w:szCs w:val="21"/>
              </w:rPr>
            </w:pPr>
            <w:r w:rsidRPr="00574C0F">
              <w:rPr>
                <w:color w:val="000000"/>
                <w:sz w:val="21"/>
                <w:szCs w:val="21"/>
              </w:rPr>
              <w:t>Considerable uncertainty exists around the financial implications.</w:t>
            </w:r>
          </w:p>
        </w:tc>
      </w:tr>
    </w:tbl>
    <w:p w14:paraId="104D61F8" w14:textId="3976B522" w:rsidR="00611E88" w:rsidRPr="0024210E" w:rsidRDefault="00611E88" w:rsidP="00F055F6">
      <w:pPr>
        <w:spacing w:before="240" w:after="240"/>
        <w:rPr>
          <w:color w:val="000000"/>
        </w:rPr>
      </w:pPr>
      <w:r w:rsidRPr="0024210E">
        <w:rPr>
          <w:color w:val="000000"/>
        </w:rPr>
        <w:t xml:space="preserve">ESC noted that the combination of </w:t>
      </w:r>
      <w:r w:rsidRPr="00574C0F">
        <w:rPr>
          <w:color w:val="000000"/>
        </w:rPr>
        <w:t>combined first trimester screen (</w:t>
      </w:r>
      <w:r w:rsidRPr="0024210E">
        <w:rPr>
          <w:color w:val="000000"/>
        </w:rPr>
        <w:t>CFTS</w:t>
      </w:r>
      <w:r>
        <w:rPr>
          <w:color w:val="000000"/>
        </w:rPr>
        <w:t>)</w:t>
      </w:r>
      <w:r w:rsidRPr="0024210E">
        <w:rPr>
          <w:color w:val="000000"/>
        </w:rPr>
        <w:t>/</w:t>
      </w:r>
      <w:r w:rsidRPr="00574C0F">
        <w:rPr>
          <w:color w:val="000000"/>
        </w:rPr>
        <w:t xml:space="preserve"> second trimester maternal serum screening (</w:t>
      </w:r>
      <w:r w:rsidRPr="0024210E">
        <w:rPr>
          <w:color w:val="000000"/>
        </w:rPr>
        <w:t>2T</w:t>
      </w:r>
      <w:r w:rsidR="00886D2D">
        <w:rPr>
          <w:color w:val="000000"/>
        </w:rPr>
        <w:t>MS</w:t>
      </w:r>
      <w:r w:rsidRPr="0024210E">
        <w:rPr>
          <w:color w:val="000000"/>
        </w:rPr>
        <w:t>S</w:t>
      </w:r>
      <w:r>
        <w:rPr>
          <w:color w:val="000000"/>
        </w:rPr>
        <w:t>)</w:t>
      </w:r>
      <w:r w:rsidRPr="0024210E">
        <w:rPr>
          <w:color w:val="000000"/>
        </w:rPr>
        <w:t xml:space="preserve"> and </w:t>
      </w:r>
      <w:r>
        <w:rPr>
          <w:color w:val="000000"/>
        </w:rPr>
        <w:t>non-invasive prenatal testing (</w:t>
      </w:r>
      <w:r w:rsidRPr="0024210E">
        <w:rPr>
          <w:color w:val="000000"/>
        </w:rPr>
        <w:t>NIPT</w:t>
      </w:r>
      <w:r>
        <w:rPr>
          <w:color w:val="000000"/>
        </w:rPr>
        <w:t>)</w:t>
      </w:r>
      <w:r w:rsidRPr="0024210E">
        <w:rPr>
          <w:color w:val="000000"/>
        </w:rPr>
        <w:t xml:space="preserve"> has superior sensitivity but inferior specificity (compared with CFTS/2T</w:t>
      </w:r>
      <w:r w:rsidR="00886D2D">
        <w:rPr>
          <w:color w:val="000000"/>
        </w:rPr>
        <w:t>MS</w:t>
      </w:r>
      <w:r w:rsidRPr="0024210E">
        <w:rPr>
          <w:color w:val="000000"/>
        </w:rPr>
        <w:t>S</w:t>
      </w:r>
      <w:r>
        <w:rPr>
          <w:color w:val="000000"/>
        </w:rPr>
        <w:t xml:space="preserve"> alone</w:t>
      </w:r>
      <w:r w:rsidRPr="0024210E">
        <w:rPr>
          <w:color w:val="000000"/>
        </w:rPr>
        <w:t>). ESC considered superior sensitivity to be more important for a screening test</w:t>
      </w:r>
      <w:r>
        <w:rPr>
          <w:color w:val="000000"/>
        </w:rPr>
        <w:t xml:space="preserve">, </w:t>
      </w:r>
      <w:r w:rsidR="00F055F6">
        <w:rPr>
          <w:color w:val="000000"/>
        </w:rPr>
        <w:t>because</w:t>
      </w:r>
      <w:r>
        <w:rPr>
          <w:color w:val="000000"/>
        </w:rPr>
        <w:t xml:space="preserve"> the purpose of screening is to minimise false negatives rather than false positives</w:t>
      </w:r>
      <w:r w:rsidRPr="0024210E">
        <w:rPr>
          <w:color w:val="000000"/>
        </w:rPr>
        <w:t>.</w:t>
      </w:r>
      <w:r w:rsidRPr="008D6197">
        <w:t xml:space="preserve"> </w:t>
      </w:r>
      <w:r>
        <w:t>However, ESC also questioned w</w:t>
      </w:r>
      <w:r w:rsidRPr="008D6197">
        <w:rPr>
          <w:color w:val="000000"/>
        </w:rPr>
        <w:t xml:space="preserve">hether NIPT </w:t>
      </w:r>
      <w:r>
        <w:rPr>
          <w:color w:val="000000"/>
        </w:rPr>
        <w:t>may be</w:t>
      </w:r>
      <w:r w:rsidRPr="008D6197">
        <w:rPr>
          <w:color w:val="000000"/>
        </w:rPr>
        <w:t xml:space="preserve"> </w:t>
      </w:r>
      <w:r>
        <w:rPr>
          <w:color w:val="000000"/>
        </w:rPr>
        <w:t xml:space="preserve">incorrectly interpreted by some parents and clinicians </w:t>
      </w:r>
      <w:r w:rsidRPr="008D6197">
        <w:rPr>
          <w:color w:val="000000"/>
        </w:rPr>
        <w:t xml:space="preserve">as a diagnostic test (and thus directly informing clinical decision making for the specified trisomies without referral for invasive prenatal testing [IPT] of amniocentesis or </w:t>
      </w:r>
      <w:r>
        <w:rPr>
          <w:color w:val="000000"/>
        </w:rPr>
        <w:t>chorionic</w:t>
      </w:r>
      <w:r w:rsidRPr="008D6197">
        <w:rPr>
          <w:color w:val="000000"/>
        </w:rPr>
        <w:t xml:space="preserve"> villus sampling)</w:t>
      </w:r>
      <w:r>
        <w:rPr>
          <w:color w:val="000000"/>
        </w:rPr>
        <w:t>. This is</w:t>
      </w:r>
      <w:r w:rsidRPr="008D6197">
        <w:rPr>
          <w:color w:val="000000"/>
        </w:rPr>
        <w:t xml:space="preserve"> in contrast to CFTS/2T</w:t>
      </w:r>
      <w:r w:rsidR="00886D2D">
        <w:rPr>
          <w:color w:val="000000"/>
        </w:rPr>
        <w:t>MS</w:t>
      </w:r>
      <w:r w:rsidRPr="008D6197">
        <w:rPr>
          <w:color w:val="000000"/>
        </w:rPr>
        <w:t xml:space="preserve">S </w:t>
      </w:r>
      <w:r>
        <w:rPr>
          <w:color w:val="000000"/>
        </w:rPr>
        <w:t>which is usually correctly</w:t>
      </w:r>
      <w:r w:rsidRPr="008D6197">
        <w:rPr>
          <w:color w:val="000000"/>
        </w:rPr>
        <w:t xml:space="preserve"> regarded as a screening test sufficient only to report age-adjusted risk of trisomies and thus requiring referral to IPT as necessary to inform clinical decision making.</w:t>
      </w:r>
    </w:p>
    <w:p w14:paraId="03B4298F" w14:textId="77777777" w:rsidR="00611E88" w:rsidRPr="0024210E" w:rsidRDefault="00611E88" w:rsidP="00611E88">
      <w:pPr>
        <w:keepNext/>
        <w:spacing w:after="120"/>
        <w:rPr>
          <w:color w:val="000000"/>
        </w:rPr>
      </w:pPr>
      <w:r w:rsidRPr="0024210E">
        <w:rPr>
          <w:color w:val="000000"/>
        </w:rPr>
        <w:t xml:space="preserve">ESC </w:t>
      </w:r>
      <w:r>
        <w:rPr>
          <w:color w:val="000000"/>
        </w:rPr>
        <w:t xml:space="preserve">also </w:t>
      </w:r>
      <w:r w:rsidRPr="0024210E">
        <w:rPr>
          <w:color w:val="000000"/>
        </w:rPr>
        <w:t xml:space="preserve">considered the effects of NIPT on </w:t>
      </w:r>
      <w:r>
        <w:rPr>
          <w:color w:val="000000"/>
        </w:rPr>
        <w:t>invasive prenatal testing (</w:t>
      </w:r>
      <w:r w:rsidRPr="0024210E">
        <w:rPr>
          <w:color w:val="000000"/>
        </w:rPr>
        <w:t>IPT</w:t>
      </w:r>
      <w:r>
        <w:rPr>
          <w:color w:val="000000"/>
        </w:rPr>
        <w:t>)</w:t>
      </w:r>
      <w:r w:rsidRPr="0024210E">
        <w:rPr>
          <w:color w:val="000000"/>
        </w:rPr>
        <w:t xml:space="preserve"> referral rates </w:t>
      </w:r>
      <w:r>
        <w:rPr>
          <w:color w:val="000000"/>
        </w:rPr>
        <w:t xml:space="preserve">for trisomies </w:t>
      </w:r>
      <w:r w:rsidRPr="0024210E">
        <w:rPr>
          <w:color w:val="000000"/>
        </w:rPr>
        <w:t>in two scenarios:</w:t>
      </w:r>
    </w:p>
    <w:p w14:paraId="31AB0AD9" w14:textId="77777777" w:rsidR="00611E88" w:rsidRPr="0024210E" w:rsidRDefault="00611E88" w:rsidP="00611E88">
      <w:pPr>
        <w:numPr>
          <w:ilvl w:val="0"/>
          <w:numId w:val="4"/>
        </w:numPr>
        <w:spacing w:after="240"/>
        <w:contextualSpacing/>
        <w:rPr>
          <w:color w:val="000000"/>
        </w:rPr>
      </w:pPr>
      <w:r w:rsidRPr="0024210E">
        <w:rPr>
          <w:color w:val="000000"/>
        </w:rPr>
        <w:t>NIPT replacing CFTS/2TMSS</w:t>
      </w:r>
    </w:p>
    <w:p w14:paraId="09CBEDA5" w14:textId="27DE32F3" w:rsidR="00611E88" w:rsidRPr="00A22894" w:rsidRDefault="00611E88" w:rsidP="00611E88">
      <w:pPr>
        <w:numPr>
          <w:ilvl w:val="0"/>
          <w:numId w:val="4"/>
        </w:numPr>
        <w:spacing w:after="240"/>
        <w:ind w:left="777" w:hanging="357"/>
        <w:rPr>
          <w:color w:val="000000"/>
        </w:rPr>
      </w:pPr>
      <w:r w:rsidRPr="0024210E">
        <w:rPr>
          <w:color w:val="000000"/>
        </w:rPr>
        <w:t xml:space="preserve">NIPT replacing </w:t>
      </w:r>
      <w:r>
        <w:rPr>
          <w:color w:val="000000"/>
        </w:rPr>
        <w:t xml:space="preserve">the first trimester </w:t>
      </w:r>
      <w:r w:rsidRPr="0024210E">
        <w:rPr>
          <w:color w:val="000000"/>
        </w:rPr>
        <w:t xml:space="preserve">biochemical assays, but </w:t>
      </w:r>
      <w:r>
        <w:rPr>
          <w:color w:val="000000"/>
        </w:rPr>
        <w:t xml:space="preserve">retaining the first trimester </w:t>
      </w:r>
      <w:r w:rsidRPr="0024210E">
        <w:rPr>
          <w:color w:val="000000"/>
        </w:rPr>
        <w:t>ultrasound</w:t>
      </w:r>
      <w:r>
        <w:rPr>
          <w:color w:val="000000"/>
        </w:rPr>
        <w:t xml:space="preserve"> in order to assess the risk of medical conditions other than trisomies</w:t>
      </w:r>
      <w:r w:rsidRPr="0024210E">
        <w:rPr>
          <w:color w:val="000000"/>
        </w:rPr>
        <w:t>.</w:t>
      </w:r>
    </w:p>
    <w:p w14:paraId="6F687901" w14:textId="674BD11E" w:rsidR="00611E88" w:rsidRDefault="00611E88" w:rsidP="00611E88">
      <w:pPr>
        <w:spacing w:after="240"/>
        <w:rPr>
          <w:color w:val="000000"/>
        </w:rPr>
      </w:pPr>
      <w:r>
        <w:rPr>
          <w:color w:val="000000"/>
        </w:rPr>
        <w:t xml:space="preserve">In the two scenarios, it </w:t>
      </w:r>
      <w:r w:rsidR="00F055F6">
        <w:rPr>
          <w:color w:val="000000"/>
        </w:rPr>
        <w:t>wa</w:t>
      </w:r>
      <w:r>
        <w:rPr>
          <w:color w:val="000000"/>
        </w:rPr>
        <w:t>s assumed that a positive NIPT identifying one of the three trisomies tested for w</w:t>
      </w:r>
      <w:r w:rsidR="00F055F6">
        <w:rPr>
          <w:color w:val="000000"/>
        </w:rPr>
        <w:t>ould</w:t>
      </w:r>
      <w:r>
        <w:rPr>
          <w:color w:val="000000"/>
        </w:rPr>
        <w:t xml:space="preserve"> be followed by a confirmatory IPT.</w:t>
      </w:r>
    </w:p>
    <w:p w14:paraId="15F6FFB2" w14:textId="62A259E4" w:rsidR="00611E88" w:rsidRPr="0024210E" w:rsidRDefault="00611E88" w:rsidP="00611E88">
      <w:pPr>
        <w:spacing w:after="240"/>
        <w:rPr>
          <w:color w:val="000000"/>
        </w:rPr>
      </w:pPr>
      <w:r w:rsidRPr="0024210E">
        <w:rPr>
          <w:color w:val="000000"/>
        </w:rPr>
        <w:t xml:space="preserve">ESC considered </w:t>
      </w:r>
      <w:r w:rsidR="00F055F6" w:rsidRPr="0024210E">
        <w:rPr>
          <w:color w:val="000000"/>
        </w:rPr>
        <w:t>S</w:t>
      </w:r>
      <w:r w:rsidRPr="0024210E">
        <w:rPr>
          <w:color w:val="000000"/>
        </w:rPr>
        <w:t>cenario 1 to be unrealistic, as guidelines and expert opinion do not support replacing ultrasound with NIPT</w:t>
      </w:r>
      <w:r>
        <w:rPr>
          <w:color w:val="000000"/>
        </w:rPr>
        <w:t xml:space="preserve"> as ultrasound may detect important structural abnormalities that are unrelated to trisomy 21, 18 or 13. The 2TMSS also screens for the risk of abdominal wall and neural tube defects in addition to risk of trisomies and so is not </w:t>
      </w:r>
      <w:r w:rsidR="00807B7D">
        <w:rPr>
          <w:color w:val="000000"/>
        </w:rPr>
        <w:t>entir</w:t>
      </w:r>
      <w:r w:rsidR="007936AD">
        <w:rPr>
          <w:color w:val="000000"/>
        </w:rPr>
        <w:t>ely</w:t>
      </w:r>
      <w:r>
        <w:rPr>
          <w:color w:val="000000"/>
        </w:rPr>
        <w:t xml:space="preserve"> substitutable by NIPT</w:t>
      </w:r>
      <w:r w:rsidRPr="0024210E">
        <w:rPr>
          <w:color w:val="000000"/>
        </w:rPr>
        <w:t xml:space="preserve">. ESC considered </w:t>
      </w:r>
      <w:r w:rsidR="00F055F6" w:rsidRPr="0024210E">
        <w:rPr>
          <w:color w:val="000000"/>
        </w:rPr>
        <w:t>S</w:t>
      </w:r>
      <w:r w:rsidRPr="0024210E">
        <w:rPr>
          <w:color w:val="000000"/>
        </w:rPr>
        <w:t>cenario 2 to be more plausible, as some guidelines and expert advice suggest that NIPT could replace</w:t>
      </w:r>
      <w:r>
        <w:rPr>
          <w:color w:val="000000"/>
        </w:rPr>
        <w:t xml:space="preserve"> </w:t>
      </w:r>
      <w:r w:rsidRPr="0024210E">
        <w:rPr>
          <w:color w:val="000000"/>
        </w:rPr>
        <w:t>biochemical testing</w:t>
      </w:r>
      <w:r>
        <w:rPr>
          <w:color w:val="000000"/>
        </w:rPr>
        <w:t xml:space="preserve"> for trisomies 21, 18 and 13.</w:t>
      </w:r>
    </w:p>
    <w:p w14:paraId="3FBC0B88" w14:textId="77777777" w:rsidR="00611E88" w:rsidRPr="0024210E" w:rsidRDefault="00611E88" w:rsidP="00611E88">
      <w:pPr>
        <w:spacing w:after="240"/>
        <w:rPr>
          <w:color w:val="000000"/>
        </w:rPr>
      </w:pPr>
      <w:r w:rsidRPr="0024210E">
        <w:rPr>
          <w:color w:val="000000"/>
        </w:rPr>
        <w:t>Data from Victoria, overseas, the stakeholders meeting and randomised controlled trials suggest that introducing NIPT would result in a 40% to 89% reduction in IPT referrals, although ESC noted the populations for each data source were different. Thus, the predicted reduction in IPT rates remains uncertain.</w:t>
      </w:r>
    </w:p>
    <w:p w14:paraId="2C133F44" w14:textId="0D90D303" w:rsidR="00611E88" w:rsidRPr="0024210E" w:rsidRDefault="00611E88" w:rsidP="00611E88">
      <w:pPr>
        <w:spacing w:after="240"/>
        <w:rPr>
          <w:color w:val="000000"/>
        </w:rPr>
      </w:pPr>
      <w:r w:rsidRPr="0024210E">
        <w:rPr>
          <w:color w:val="000000"/>
        </w:rPr>
        <w:t xml:space="preserve">ESC noted the stakeholders’ strong preference for universal NIPT </w:t>
      </w:r>
      <w:r>
        <w:rPr>
          <w:color w:val="000000"/>
        </w:rPr>
        <w:t>testing</w:t>
      </w:r>
      <w:r w:rsidRPr="0024210E">
        <w:rPr>
          <w:color w:val="000000"/>
        </w:rPr>
        <w:t xml:space="preserve"> over contingent screening, but noted the high </w:t>
      </w:r>
      <w:r w:rsidR="008E289A">
        <w:rPr>
          <w:color w:val="000000"/>
        </w:rPr>
        <w:t xml:space="preserve">incremental </w:t>
      </w:r>
      <w:r w:rsidRPr="0024210E">
        <w:rPr>
          <w:color w:val="000000"/>
        </w:rPr>
        <w:t xml:space="preserve">financial cost of an NIPT </w:t>
      </w:r>
      <w:r>
        <w:rPr>
          <w:color w:val="000000"/>
        </w:rPr>
        <w:t>testing</w:t>
      </w:r>
      <w:r w:rsidRPr="0024210E">
        <w:rPr>
          <w:color w:val="000000"/>
        </w:rPr>
        <w:t xml:space="preserve"> program ($9</w:t>
      </w:r>
      <w:r w:rsidR="00A30D2A">
        <w:rPr>
          <w:color w:val="000000"/>
        </w:rPr>
        <w:t>3</w:t>
      </w:r>
      <w:r w:rsidRPr="0024210E">
        <w:rPr>
          <w:color w:val="000000"/>
        </w:rPr>
        <w:t>.</w:t>
      </w:r>
      <w:r w:rsidR="00A30D2A">
        <w:rPr>
          <w:color w:val="000000"/>
        </w:rPr>
        <w:t>3</w:t>
      </w:r>
      <w:r w:rsidRPr="0024210E">
        <w:rPr>
          <w:color w:val="000000"/>
        </w:rPr>
        <w:t>–9</w:t>
      </w:r>
      <w:r w:rsidR="0053585D">
        <w:rPr>
          <w:color w:val="000000"/>
        </w:rPr>
        <w:t>8</w:t>
      </w:r>
      <w:r w:rsidRPr="0024210E">
        <w:rPr>
          <w:color w:val="000000"/>
        </w:rPr>
        <w:t>.</w:t>
      </w:r>
      <w:r w:rsidR="0053585D">
        <w:rPr>
          <w:color w:val="000000"/>
        </w:rPr>
        <w:t>8</w:t>
      </w:r>
      <w:r w:rsidRPr="0024210E">
        <w:rPr>
          <w:color w:val="000000"/>
        </w:rPr>
        <w:t xml:space="preserve"> million each year over 5 years for </w:t>
      </w:r>
      <w:r w:rsidR="005D5829">
        <w:rPr>
          <w:color w:val="000000"/>
        </w:rPr>
        <w:t>an assumed uptake rate of 83%</w:t>
      </w:r>
      <w:r w:rsidR="008E289A">
        <w:rPr>
          <w:color w:val="000000"/>
        </w:rPr>
        <w:t>, full replacement of the biochemistry component of CFTS, and a declining trend in IPT rates</w:t>
      </w:r>
      <w:r w:rsidRPr="0024210E">
        <w:rPr>
          <w:color w:val="000000"/>
        </w:rPr>
        <w:t xml:space="preserve">). ESC noted Roche’s preference for contingency </w:t>
      </w:r>
      <w:r>
        <w:rPr>
          <w:color w:val="000000"/>
        </w:rPr>
        <w:t>testing</w:t>
      </w:r>
      <w:r w:rsidRPr="0024210E">
        <w:rPr>
          <w:color w:val="000000"/>
        </w:rPr>
        <w:t xml:space="preserve"> to be included in the application.</w:t>
      </w:r>
    </w:p>
    <w:p w14:paraId="796EEBE4" w14:textId="77777777" w:rsidR="00611E88" w:rsidRDefault="00611E88" w:rsidP="00611E88">
      <w:pPr>
        <w:spacing w:after="240"/>
        <w:rPr>
          <w:color w:val="000000"/>
        </w:rPr>
      </w:pPr>
      <w:r w:rsidRPr="0024210E">
        <w:rPr>
          <w:color w:val="000000"/>
        </w:rPr>
        <w:t>ESC noted the two financial impacts presented, and the uncertainty associated with the possible increase in referrals due to MBS listing of NIPT and clinical advice acting on the highest risk result from either of the screening tests. ESC also noted that costs associated with obstetrician consultations, terminations, miscarriages, invasive procedure-related complications or any other medical services were not included in the calculations.</w:t>
      </w:r>
    </w:p>
    <w:p w14:paraId="2F5C8204" w14:textId="07FBD104" w:rsidR="00611E88" w:rsidRPr="0024210E" w:rsidRDefault="00611E88" w:rsidP="00611E88">
      <w:pPr>
        <w:spacing w:after="240"/>
        <w:rPr>
          <w:color w:val="000000"/>
        </w:rPr>
      </w:pPr>
      <w:r w:rsidRPr="0024210E">
        <w:rPr>
          <w:color w:val="000000"/>
        </w:rPr>
        <w:t>ESC noted the consumer feedback regarding the application, in particular, concern from Down Syndrome Australia and a parent about the ethical issues of universal screening</w:t>
      </w:r>
      <w:r>
        <w:rPr>
          <w:color w:val="000000"/>
        </w:rPr>
        <w:t xml:space="preserve"> (see Section 1</w:t>
      </w:r>
      <w:r w:rsidR="005D5829">
        <w:rPr>
          <w:color w:val="000000"/>
        </w:rPr>
        <w:t>5</w:t>
      </w:r>
      <w:r>
        <w:rPr>
          <w:color w:val="000000"/>
        </w:rPr>
        <w:t>, “Other significant considerations”, below).</w:t>
      </w:r>
    </w:p>
    <w:p w14:paraId="0AF4946B" w14:textId="441E73EA" w:rsidR="00611E88" w:rsidRPr="0024210E" w:rsidRDefault="00611E88" w:rsidP="00611E88">
      <w:pPr>
        <w:spacing w:after="240"/>
        <w:rPr>
          <w:color w:val="000000"/>
        </w:rPr>
      </w:pPr>
      <w:r w:rsidRPr="0024210E">
        <w:rPr>
          <w:color w:val="000000"/>
        </w:rPr>
        <w:t xml:space="preserve">ESC noted that, overall, this </w:t>
      </w:r>
      <w:r w:rsidR="00ED3017">
        <w:t>2</w:t>
      </w:r>
      <w:r w:rsidR="00ED3017" w:rsidRPr="00ED3017">
        <w:rPr>
          <w:vertAlign w:val="superscript"/>
        </w:rPr>
        <w:t>nd</w:t>
      </w:r>
      <w:r w:rsidR="00ED3017">
        <w:t xml:space="preserve"> CA</w:t>
      </w:r>
      <w:r w:rsidR="00ED3017" w:rsidRPr="0024210E">
        <w:rPr>
          <w:color w:val="000000"/>
        </w:rPr>
        <w:t xml:space="preserve"> </w:t>
      </w:r>
      <w:r w:rsidRPr="0024210E">
        <w:rPr>
          <w:color w:val="000000"/>
        </w:rPr>
        <w:t xml:space="preserve">addressed most of MSAC’s concerns from the first </w:t>
      </w:r>
      <w:r w:rsidR="00ED3017">
        <w:rPr>
          <w:color w:val="000000"/>
        </w:rPr>
        <w:t>CA</w:t>
      </w:r>
      <w:r w:rsidRPr="0024210E">
        <w:rPr>
          <w:color w:val="000000"/>
        </w:rPr>
        <w:t xml:space="preserve">, but considerable uncertainty remains regarding the proposed place of NIPT in the clinical algorithm, the likely </w:t>
      </w:r>
      <w:r>
        <w:rPr>
          <w:color w:val="000000"/>
        </w:rPr>
        <w:t>extent</w:t>
      </w:r>
      <w:r w:rsidRPr="0024210E">
        <w:rPr>
          <w:color w:val="000000"/>
        </w:rPr>
        <w:t xml:space="preserve"> of NIPT uptake, the </w:t>
      </w:r>
      <w:r>
        <w:rPr>
          <w:color w:val="000000"/>
        </w:rPr>
        <w:t xml:space="preserve">extent of </w:t>
      </w:r>
      <w:r w:rsidRPr="0024210E">
        <w:rPr>
          <w:color w:val="000000"/>
        </w:rPr>
        <w:t xml:space="preserve">reduction in IPT rates and </w:t>
      </w:r>
      <w:r>
        <w:rPr>
          <w:color w:val="000000"/>
        </w:rPr>
        <w:t xml:space="preserve">the size of </w:t>
      </w:r>
      <w:r w:rsidRPr="0024210E">
        <w:rPr>
          <w:color w:val="000000"/>
        </w:rPr>
        <w:t>the budget implications.</w:t>
      </w:r>
    </w:p>
    <w:p w14:paraId="63EE92DA" w14:textId="77777777" w:rsidR="00A37C79" w:rsidRPr="00F715D1" w:rsidRDefault="00A37C79" w:rsidP="00A37C79">
      <w:pPr>
        <w:pStyle w:val="Heading1"/>
      </w:pPr>
      <w:r w:rsidRPr="00F715D1">
        <w:t>Other significant factors</w:t>
      </w:r>
    </w:p>
    <w:p w14:paraId="5284A80F" w14:textId="062307B2" w:rsidR="00F32C39" w:rsidRPr="00E62150" w:rsidRDefault="00F32C39" w:rsidP="00F32C39">
      <w:pPr>
        <w:rPr>
          <w:bCs/>
        </w:rPr>
      </w:pPr>
      <w:r w:rsidRPr="00E62150">
        <w:rPr>
          <w:bCs/>
        </w:rPr>
        <w:t xml:space="preserve">The health utilities for terminating a pregnancy, having (or not having) a child with </w:t>
      </w:r>
      <w:r>
        <w:rPr>
          <w:bCs/>
        </w:rPr>
        <w:t>one of</w:t>
      </w:r>
      <w:r w:rsidRPr="00E62150">
        <w:rPr>
          <w:bCs/>
        </w:rPr>
        <w:t xml:space="preserve"> the trisomies 21, 18 or 13, and the duration of psychological outcomes related to test or pregnancy loss are not known, and so it is difficult to weigh up the relative value of these outcomes. There are significant ethical considerations to prenatal genetic testing that </w:t>
      </w:r>
      <w:r>
        <w:rPr>
          <w:bCs/>
        </w:rPr>
        <w:t xml:space="preserve">should </w:t>
      </w:r>
      <w:r w:rsidRPr="00E62150">
        <w:rPr>
          <w:bCs/>
        </w:rPr>
        <w:t>inform</w:t>
      </w:r>
      <w:r>
        <w:rPr>
          <w:bCs/>
        </w:rPr>
        <w:t xml:space="preserve"> any</w:t>
      </w:r>
      <w:r w:rsidRPr="00E62150">
        <w:rPr>
          <w:bCs/>
        </w:rPr>
        <w:t xml:space="preserve"> decision for voluntary termination of a fetus with trisomy 21, 18 or 13. There </w:t>
      </w:r>
      <w:r w:rsidR="00807B7D">
        <w:rPr>
          <w:bCs/>
        </w:rPr>
        <w:t>remains</w:t>
      </w:r>
      <w:r w:rsidRPr="00E62150">
        <w:rPr>
          <w:bCs/>
        </w:rPr>
        <w:t xml:space="preserve"> a need for adequate pre- and post-test counselling to ensure the decision is informed and that psychological support is available. There is also the potential for increased stigmatisation of people with trisomies 21, 18 or 13 and their families with the use of </w:t>
      </w:r>
      <w:r>
        <w:rPr>
          <w:bCs/>
        </w:rPr>
        <w:t>NIPT. This concern was based on consumer input from Down Syndrome Australia and a parent.</w:t>
      </w:r>
    </w:p>
    <w:p w14:paraId="463032BF" w14:textId="77777777" w:rsidR="00A37C79" w:rsidRPr="00F715D1" w:rsidRDefault="00A37C79" w:rsidP="00A37C79">
      <w:pPr>
        <w:pStyle w:val="Heading1"/>
      </w:pPr>
      <w:r w:rsidRPr="00F715D1">
        <w:t>Applicant’s comments on MSAC’s Public Summary Document</w:t>
      </w:r>
    </w:p>
    <w:p w14:paraId="4217A76C" w14:textId="6684B349" w:rsidR="00A37C79" w:rsidRPr="00E14E9F" w:rsidRDefault="00662316" w:rsidP="00A37C79">
      <w:pPr>
        <w:spacing w:after="240"/>
        <w:rPr>
          <w:szCs w:val="24"/>
        </w:rPr>
      </w:pPr>
      <w:r w:rsidRPr="00E14E9F">
        <w:rPr>
          <w:szCs w:val="24"/>
        </w:rPr>
        <w:t>The RCPA had no comment.</w:t>
      </w:r>
    </w:p>
    <w:p w14:paraId="3C24CE8B" w14:textId="77777777" w:rsidR="00695A76" w:rsidRDefault="00D841C5" w:rsidP="00A37C79">
      <w:pPr>
        <w:spacing w:after="240"/>
      </w:pPr>
      <w:r>
        <w:t>Roche is disappointed with the conclusion that the lack of cost-effectiveness precludes funding of non-invasive prenatal testing (NIPT) and is concerned about the implications this has for the equity of care for pregnant women across Australia. MSAC has previously accepted the efficacy and comparative superiority of NIPT when compared with the comparator, ultrasound (US) and biochemical (MSS) tests. MSAC’s conclusion regarding cost-effectiveness is based on flawed modelling and does not addr</w:t>
      </w:r>
      <w:r w:rsidR="00695A76">
        <w:t>ess the original ratified PICO.</w:t>
      </w:r>
    </w:p>
    <w:p w14:paraId="29C4BACA" w14:textId="77777777" w:rsidR="00695A76" w:rsidRDefault="00D841C5" w:rsidP="00A37C79">
      <w:pPr>
        <w:spacing w:after="240"/>
      </w:pPr>
      <w:r>
        <w:t>1) MSAC refers to the need for conventional tests to be retained on the MBS despite the use of NIPT, without acknowledging that the reasons for doing so are not related to the purpose of NIPT. If NIPT places a woman at low risk of the trisomies specified in the PICO, there is no clinical indication to perform MSS or US for that purpose; however, there may be reasons to perform these tests for other purposes. MSAC has gone beyond the scope of the PICO by comparing NIPT to detect three trisomies and convention</w:t>
      </w:r>
      <w:r w:rsidR="00695A76">
        <w:t>al tests used for any purpose.</w:t>
      </w:r>
    </w:p>
    <w:p w14:paraId="363BD714" w14:textId="77777777" w:rsidR="00695A76" w:rsidRDefault="00D841C5" w:rsidP="00A37C79">
      <w:pPr>
        <w:spacing w:after="240"/>
      </w:pPr>
      <w:r>
        <w:t xml:space="preserve">2) The ratified PICO specified that contingent screening be considered, stating that “The intermediate risk threshold of ≥1 in 300 is to be used as a base case, with sensitivity analysis performed using different definitions of low, intermediate and high risk. This sensitivity analysis should include defining intermediate risk as between 1:10”. </w:t>
      </w:r>
      <w:r w:rsidR="00695A76">
        <w:t>This analysis was not actioned.</w:t>
      </w:r>
    </w:p>
    <w:p w14:paraId="2247B611" w14:textId="54E37CE9" w:rsidR="00662316" w:rsidRPr="005A4362" w:rsidRDefault="00D841C5" w:rsidP="00A37C79">
      <w:pPr>
        <w:spacing w:after="240"/>
        <w:rPr>
          <w:color w:val="00B0F0"/>
          <w:szCs w:val="24"/>
        </w:rPr>
      </w:pPr>
      <w:r>
        <w:t>Roche has repeatedly raised these and other concerns over the four year duration of this application. The outcome is that MSAC has only assessed the most costly 'universal' model. Roche respectfully requests in view of procedural fairness that MSAC is given the opportunity to assess the models of care and purpose of testing as agreed with the a</w:t>
      </w:r>
      <w:r w:rsidR="00E14E9F">
        <w:t>pplicants in the ratified PICO.</w:t>
      </w:r>
    </w:p>
    <w:p w14:paraId="207EB281" w14:textId="0F362053" w:rsidR="00A37C79" w:rsidRPr="00F715D1" w:rsidRDefault="00A37C79" w:rsidP="00A37C79">
      <w:pPr>
        <w:pStyle w:val="Heading1"/>
      </w:pPr>
      <w:r w:rsidRPr="00F715D1">
        <w:t>Further information on MSAC</w:t>
      </w:r>
    </w:p>
    <w:p w14:paraId="11A84717" w14:textId="5898A0A9" w:rsidR="00280050" w:rsidRPr="00A96845" w:rsidRDefault="00A37C79" w:rsidP="00A96845">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280050" w:rsidRPr="00A96845" w:rsidSect="005240FA">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4B910" w16cid:durableId="21DFD6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FD2C" w14:textId="77777777" w:rsidR="00D841C5" w:rsidRDefault="00D841C5">
      <w:r>
        <w:separator/>
      </w:r>
    </w:p>
  </w:endnote>
  <w:endnote w:type="continuationSeparator" w:id="0">
    <w:p w14:paraId="6D289564" w14:textId="77777777" w:rsidR="00D841C5" w:rsidRDefault="00D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E595" w14:textId="77777777" w:rsidR="00B31F83" w:rsidRDefault="00B3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5C7E3FB" w14:textId="2909BEBB" w:rsidR="00D841C5" w:rsidRDefault="00D841C5">
        <w:pPr>
          <w:pStyle w:val="Footer"/>
          <w:jc w:val="right"/>
        </w:pPr>
        <w:r>
          <w:fldChar w:fldCharType="begin"/>
        </w:r>
        <w:r>
          <w:instrText xml:space="preserve"> PAGE   \* MERGEFORMAT </w:instrText>
        </w:r>
        <w:r>
          <w:fldChar w:fldCharType="separate"/>
        </w:r>
        <w:r w:rsidR="00B31F83">
          <w:rPr>
            <w:noProof/>
          </w:rPr>
          <w:t>1</w:t>
        </w:r>
        <w:r>
          <w:rPr>
            <w:noProof/>
          </w:rPr>
          <w:fldChar w:fldCharType="end"/>
        </w:r>
      </w:p>
    </w:sdtContent>
  </w:sdt>
  <w:p w14:paraId="0081DBF6" w14:textId="77777777" w:rsidR="00D841C5" w:rsidRDefault="00D84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5DA7" w14:textId="77777777" w:rsidR="00B31F83" w:rsidRDefault="00B3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8C15" w14:textId="77777777" w:rsidR="00D841C5" w:rsidRDefault="00D841C5">
      <w:r>
        <w:separator/>
      </w:r>
    </w:p>
  </w:footnote>
  <w:footnote w:type="continuationSeparator" w:id="0">
    <w:p w14:paraId="066EB147" w14:textId="77777777" w:rsidR="00D841C5" w:rsidRDefault="00D841C5">
      <w:r>
        <w:continuationSeparator/>
      </w:r>
    </w:p>
  </w:footnote>
  <w:footnote w:id="1">
    <w:p w14:paraId="74255F8F" w14:textId="77777777" w:rsidR="00D841C5" w:rsidRDefault="00D841C5" w:rsidP="00F32C39">
      <w:pPr>
        <w:pStyle w:val="FootnoteText"/>
      </w:pPr>
      <w:r>
        <w:rPr>
          <w:rStyle w:val="FootnoteReference"/>
        </w:rPr>
        <w:footnoteRef/>
      </w:r>
      <w:r>
        <w:t xml:space="preserve"> The Royal Australian and New Zealand College of Obstetricians and Gynaecologists (RANZCOG) 2018 Guidelines provide a consensus-based recommendation: “Diagnostic testing with amniocentesis or chorionic villus sampling should be recommended prior to definitive management decisions (e.g. termination of pregnancy) in cases of “increased chance” screening results, including cfDNA-based screening (RANZCOG 2018, p12).</w:t>
      </w:r>
    </w:p>
  </w:footnote>
  <w:footnote w:id="2">
    <w:p w14:paraId="58CFF6FF" w14:textId="77777777" w:rsidR="00D841C5" w:rsidRDefault="00D841C5" w:rsidP="00F32C39">
      <w:pPr>
        <w:pStyle w:val="FootnoteText"/>
      </w:pPr>
      <w:r>
        <w:rPr>
          <w:rStyle w:val="FootnoteReference"/>
        </w:rPr>
        <w:footnoteRef/>
      </w:r>
      <w:r>
        <w:t xml:space="preserve"> The Stakeholder meeting noted that </w:t>
      </w:r>
      <w:r w:rsidRPr="000628DC">
        <w:rPr>
          <w:i/>
        </w:rPr>
        <w:t>“…NIPT does not replace invasive testing – amniocentesis or CVS will still be recommended for women”</w:t>
      </w:r>
      <w:r>
        <w:t xml:space="preserve"> (Stakeholder Meeting Minutes Nov 2018, p4).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42AA" w14:textId="77777777" w:rsidR="00B31F83" w:rsidRDefault="00B31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F55" w14:textId="77777777" w:rsidR="00B31F83" w:rsidRDefault="00B31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3031" w14:textId="77777777" w:rsidR="00B31F83" w:rsidRDefault="00B31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C44084"/>
    <w:multiLevelType w:val="hybridMultilevel"/>
    <w:tmpl w:val="9816FD94"/>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 w15:restartNumberingAfterBreak="0">
    <w:nsid w:val="194D6001"/>
    <w:multiLevelType w:val="hybridMultilevel"/>
    <w:tmpl w:val="BBBC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5523E"/>
    <w:multiLevelType w:val="hybridMultilevel"/>
    <w:tmpl w:val="D1900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17D34"/>
    <w:multiLevelType w:val="hybridMultilevel"/>
    <w:tmpl w:val="1C4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194469"/>
    <w:multiLevelType w:val="hybridMultilevel"/>
    <w:tmpl w:val="8300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533EAC"/>
    <w:multiLevelType w:val="hybridMultilevel"/>
    <w:tmpl w:val="3C0ADE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9"/>
    <w:rsid w:val="0001145D"/>
    <w:rsid w:val="0003519A"/>
    <w:rsid w:val="00040527"/>
    <w:rsid w:val="000419D7"/>
    <w:rsid w:val="0004782E"/>
    <w:rsid w:val="000538A3"/>
    <w:rsid w:val="00057DB8"/>
    <w:rsid w:val="00092A4C"/>
    <w:rsid w:val="000A2160"/>
    <w:rsid w:val="000A29AF"/>
    <w:rsid w:val="000B0CE3"/>
    <w:rsid w:val="000B45BC"/>
    <w:rsid w:val="000C3A0E"/>
    <w:rsid w:val="000E16C5"/>
    <w:rsid w:val="000E6235"/>
    <w:rsid w:val="000F4913"/>
    <w:rsid w:val="000F68A6"/>
    <w:rsid w:val="00130508"/>
    <w:rsid w:val="00145F66"/>
    <w:rsid w:val="00187D3A"/>
    <w:rsid w:val="001C0A6F"/>
    <w:rsid w:val="001F08BC"/>
    <w:rsid w:val="001F2DEA"/>
    <w:rsid w:val="001F3EEB"/>
    <w:rsid w:val="00205353"/>
    <w:rsid w:val="00226018"/>
    <w:rsid w:val="00231E20"/>
    <w:rsid w:val="00241E85"/>
    <w:rsid w:val="0025049E"/>
    <w:rsid w:val="0025682E"/>
    <w:rsid w:val="00280050"/>
    <w:rsid w:val="002A43DC"/>
    <w:rsid w:val="002B01F8"/>
    <w:rsid w:val="002B668E"/>
    <w:rsid w:val="0034327F"/>
    <w:rsid w:val="00343522"/>
    <w:rsid w:val="00345D74"/>
    <w:rsid w:val="0035455D"/>
    <w:rsid w:val="00383A22"/>
    <w:rsid w:val="003A2E35"/>
    <w:rsid w:val="003B0BBA"/>
    <w:rsid w:val="003E2252"/>
    <w:rsid w:val="00411697"/>
    <w:rsid w:val="0042285F"/>
    <w:rsid w:val="00437181"/>
    <w:rsid w:val="004973CD"/>
    <w:rsid w:val="004A1AFC"/>
    <w:rsid w:val="004B7006"/>
    <w:rsid w:val="004D5ECD"/>
    <w:rsid w:val="004D6B5F"/>
    <w:rsid w:val="004E4A55"/>
    <w:rsid w:val="004F0C24"/>
    <w:rsid w:val="004F19F2"/>
    <w:rsid w:val="00505B31"/>
    <w:rsid w:val="005240FA"/>
    <w:rsid w:val="0053585D"/>
    <w:rsid w:val="00573EF0"/>
    <w:rsid w:val="005B1903"/>
    <w:rsid w:val="005C09F1"/>
    <w:rsid w:val="005D0FB4"/>
    <w:rsid w:val="005D5829"/>
    <w:rsid w:val="005F7A40"/>
    <w:rsid w:val="00601A1A"/>
    <w:rsid w:val="00607352"/>
    <w:rsid w:val="00611E88"/>
    <w:rsid w:val="006376D0"/>
    <w:rsid w:val="00637F97"/>
    <w:rsid w:val="00662316"/>
    <w:rsid w:val="006865B2"/>
    <w:rsid w:val="00695A76"/>
    <w:rsid w:val="0069704E"/>
    <w:rsid w:val="006F1F00"/>
    <w:rsid w:val="00722525"/>
    <w:rsid w:val="00732A99"/>
    <w:rsid w:val="00745318"/>
    <w:rsid w:val="007479CB"/>
    <w:rsid w:val="007812DC"/>
    <w:rsid w:val="007936AD"/>
    <w:rsid w:val="007A10CA"/>
    <w:rsid w:val="007D7EDD"/>
    <w:rsid w:val="007F66D8"/>
    <w:rsid w:val="008011AE"/>
    <w:rsid w:val="00807B7D"/>
    <w:rsid w:val="00815939"/>
    <w:rsid w:val="00816EF6"/>
    <w:rsid w:val="0081712F"/>
    <w:rsid w:val="00820AF9"/>
    <w:rsid w:val="00825394"/>
    <w:rsid w:val="008413FD"/>
    <w:rsid w:val="00847F80"/>
    <w:rsid w:val="00886D2D"/>
    <w:rsid w:val="00894F24"/>
    <w:rsid w:val="008C2EA3"/>
    <w:rsid w:val="008D3E31"/>
    <w:rsid w:val="008E289A"/>
    <w:rsid w:val="008F074D"/>
    <w:rsid w:val="00961C99"/>
    <w:rsid w:val="00971E55"/>
    <w:rsid w:val="00984D6F"/>
    <w:rsid w:val="009C7693"/>
    <w:rsid w:val="00A04FED"/>
    <w:rsid w:val="00A26F2C"/>
    <w:rsid w:val="00A30D2A"/>
    <w:rsid w:val="00A31502"/>
    <w:rsid w:val="00A37C79"/>
    <w:rsid w:val="00A41563"/>
    <w:rsid w:val="00A56696"/>
    <w:rsid w:val="00A66763"/>
    <w:rsid w:val="00A74945"/>
    <w:rsid w:val="00A96845"/>
    <w:rsid w:val="00AA4890"/>
    <w:rsid w:val="00AB2A50"/>
    <w:rsid w:val="00AB33BD"/>
    <w:rsid w:val="00AC3307"/>
    <w:rsid w:val="00AD17A5"/>
    <w:rsid w:val="00AE6DF0"/>
    <w:rsid w:val="00B25151"/>
    <w:rsid w:val="00B26E61"/>
    <w:rsid w:val="00B31F83"/>
    <w:rsid w:val="00B45A8C"/>
    <w:rsid w:val="00BF1D88"/>
    <w:rsid w:val="00C3311E"/>
    <w:rsid w:val="00C559FF"/>
    <w:rsid w:val="00C72A5A"/>
    <w:rsid w:val="00CD21E3"/>
    <w:rsid w:val="00D35963"/>
    <w:rsid w:val="00D560ED"/>
    <w:rsid w:val="00D768E6"/>
    <w:rsid w:val="00D841C5"/>
    <w:rsid w:val="00DF0FD5"/>
    <w:rsid w:val="00DF5B25"/>
    <w:rsid w:val="00E14E9F"/>
    <w:rsid w:val="00E34626"/>
    <w:rsid w:val="00E57AFF"/>
    <w:rsid w:val="00E61FA7"/>
    <w:rsid w:val="00E640D7"/>
    <w:rsid w:val="00E76525"/>
    <w:rsid w:val="00E8304C"/>
    <w:rsid w:val="00E84C6F"/>
    <w:rsid w:val="00E97BE1"/>
    <w:rsid w:val="00ED3017"/>
    <w:rsid w:val="00EE3131"/>
    <w:rsid w:val="00EE6999"/>
    <w:rsid w:val="00F055F6"/>
    <w:rsid w:val="00F13F13"/>
    <w:rsid w:val="00F14D6C"/>
    <w:rsid w:val="00F16E77"/>
    <w:rsid w:val="00F26852"/>
    <w:rsid w:val="00F27FE0"/>
    <w:rsid w:val="00F32C39"/>
    <w:rsid w:val="00F3598B"/>
    <w:rsid w:val="00F3724D"/>
    <w:rsid w:val="00F65A4A"/>
    <w:rsid w:val="00F77DCF"/>
    <w:rsid w:val="00F8775A"/>
    <w:rsid w:val="00F9569A"/>
    <w:rsid w:val="00F96AC5"/>
    <w:rsid w:val="00FB111A"/>
    <w:rsid w:val="00FB132B"/>
    <w:rsid w:val="00FD5E84"/>
    <w:rsid w:val="00FF0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4F4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7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A37C7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F32C39"/>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7C79"/>
    <w:rPr>
      <w:rFonts w:ascii="Arial" w:eastAsia="Times New Roman" w:hAnsi="Arial"/>
      <w:b/>
      <w:bCs/>
      <w:szCs w:val="28"/>
      <w:lang w:eastAsia="en-AU"/>
    </w:rPr>
  </w:style>
  <w:style w:type="character" w:styleId="Hyperlink">
    <w:name w:val="Hyperlink"/>
    <w:basedOn w:val="DefaultParagraphFont"/>
    <w:uiPriority w:val="99"/>
    <w:rsid w:val="00A37C7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A37C79"/>
    <w:pPr>
      <w:ind w:left="720"/>
      <w:contextualSpacing/>
    </w:pPr>
  </w:style>
  <w:style w:type="paragraph" w:styleId="Footer">
    <w:name w:val="footer"/>
    <w:basedOn w:val="Normal"/>
    <w:link w:val="FooterChar"/>
    <w:uiPriority w:val="99"/>
    <w:rsid w:val="00A37C79"/>
    <w:pPr>
      <w:tabs>
        <w:tab w:val="center" w:pos="4513"/>
        <w:tab w:val="right" w:pos="9026"/>
      </w:tabs>
    </w:pPr>
  </w:style>
  <w:style w:type="character" w:customStyle="1" w:styleId="FooterChar">
    <w:name w:val="Footer Char"/>
    <w:basedOn w:val="DefaultParagraphFont"/>
    <w:link w:val="Footer"/>
    <w:uiPriority w:val="99"/>
    <w:rsid w:val="00A37C79"/>
    <w:rPr>
      <w:rFonts w:eastAsia="Times New Roman"/>
      <w:szCs w:val="20"/>
      <w:lang w:eastAsia="en-AU"/>
    </w:rPr>
  </w:style>
  <w:style w:type="paragraph" w:customStyle="1" w:styleId="Default">
    <w:name w:val="Default"/>
    <w:rsid w:val="00A37C7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A37C7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A37C7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A37C7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A37C79"/>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F32C39"/>
    <w:rPr>
      <w:rFonts w:eastAsiaTheme="majorEastAsia" w:cstheme="majorBidi"/>
      <w:i/>
      <w:szCs w:val="26"/>
      <w:lang w:eastAsia="en-AU"/>
    </w:rPr>
  </w:style>
  <w:style w:type="table" w:styleId="TableGrid">
    <w:name w:val="Table Grid"/>
    <w:aliases w:val="Summary box,Table Gridbeth,RTI AMCP Table,new style,ASD Table"/>
    <w:basedOn w:val="TableNormal"/>
    <w:uiPriority w:val="39"/>
    <w:rsid w:val="00F3598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1E8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611E88"/>
    <w:rPr>
      <w:rFonts w:eastAsia="Times New Roman"/>
      <w:szCs w:val="20"/>
      <w:lang w:eastAsia="en-AU"/>
    </w:rPr>
  </w:style>
  <w:style w:type="paragraph" w:customStyle="1" w:styleId="Tabletext">
    <w:name w:val="Table text"/>
    <w:basedOn w:val="Normal"/>
    <w:link w:val="TabletextChar"/>
    <w:qFormat/>
    <w:rsid w:val="00611E88"/>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611E88"/>
    <w:rPr>
      <w:rFonts w:ascii="Arial Narrow" w:eastAsia="Times New Roman" w:hAnsi="Arial Narrow"/>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611E88"/>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611E88"/>
    <w:rPr>
      <w:rFonts w:ascii="Arial Narrow" w:eastAsia="Times New Roman" w:hAnsi="Arial Narrow" w:cs="Arial"/>
      <w:b/>
      <w:bCs/>
      <w:iCs/>
      <w:sz w:val="20"/>
      <w:szCs w:val="20"/>
    </w:rPr>
  </w:style>
  <w:style w:type="paragraph" w:customStyle="1" w:styleId="TFAbbrevs18">
    <w:name w:val="TFAbbrevs+18"/>
    <w:basedOn w:val="Normal"/>
    <w:next w:val="Normal"/>
    <w:qFormat/>
    <w:rsid w:val="00611E88"/>
    <w:pPr>
      <w:keepNext/>
      <w:keepLines/>
      <w:spacing w:after="360"/>
    </w:pPr>
    <w:rPr>
      <w:rFonts w:ascii="Arial Narrow" w:hAnsi="Arial Narrow"/>
      <w:color w:val="000000"/>
      <w:sz w:val="18"/>
      <w:szCs w:val="18"/>
    </w:rPr>
  </w:style>
  <w:style w:type="paragraph" w:styleId="FootnoteText">
    <w:name w:val="footnote text"/>
    <w:basedOn w:val="Normal"/>
    <w:link w:val="FootnoteTextChar"/>
    <w:semiHidden/>
    <w:rsid w:val="00F32C39"/>
    <w:rPr>
      <w:sz w:val="20"/>
    </w:rPr>
  </w:style>
  <w:style w:type="character" w:customStyle="1" w:styleId="FootnoteTextChar">
    <w:name w:val="Footnote Text Char"/>
    <w:basedOn w:val="DefaultParagraphFont"/>
    <w:link w:val="FootnoteText"/>
    <w:semiHidden/>
    <w:rsid w:val="00F32C39"/>
    <w:rPr>
      <w:rFonts w:eastAsia="Times New Roman"/>
      <w:sz w:val="20"/>
      <w:szCs w:val="20"/>
      <w:lang w:eastAsia="en-AU"/>
    </w:rPr>
  </w:style>
  <w:style w:type="character" w:styleId="FootnoteReference">
    <w:name w:val="footnote reference"/>
    <w:basedOn w:val="DefaultParagraphFont"/>
    <w:semiHidden/>
    <w:rsid w:val="00F32C39"/>
    <w:rPr>
      <w:vertAlign w:val="superscript"/>
    </w:rPr>
  </w:style>
  <w:style w:type="paragraph" w:customStyle="1" w:styleId="TableText0">
    <w:name w:val="Table Text"/>
    <w:basedOn w:val="Normal"/>
    <w:link w:val="TableTextChar0"/>
    <w:qFormat/>
    <w:rsid w:val="00F32C39"/>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F32C39"/>
    <w:rPr>
      <w:rFonts w:ascii="Arial Narrow" w:eastAsia="Times New Roman" w:hAnsi="Arial Narrow" w:cs="Tahoma"/>
      <w:sz w:val="20"/>
      <w:szCs w:val="22"/>
    </w:rPr>
  </w:style>
  <w:style w:type="paragraph" w:customStyle="1" w:styleId="TableHeading">
    <w:name w:val="TableHeading"/>
    <w:basedOn w:val="Normal"/>
    <w:link w:val="TableHeadingChar"/>
    <w:qFormat/>
    <w:rsid w:val="00F32C39"/>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F32C39"/>
    <w:rPr>
      <w:rFonts w:ascii="Arial Narrow" w:eastAsia="Times New Roman" w:hAnsi="Arial Narrow" w:cs="Tahoma"/>
      <w:b/>
      <w:noProof/>
      <w:sz w:val="20"/>
      <w:szCs w:val="20"/>
      <w:lang w:eastAsia="en-AU"/>
    </w:rPr>
  </w:style>
  <w:style w:type="character" w:styleId="CommentReference">
    <w:name w:val="annotation reference"/>
    <w:basedOn w:val="DefaultParagraphFont"/>
    <w:uiPriority w:val="99"/>
    <w:semiHidden/>
    <w:unhideWhenUsed/>
    <w:rsid w:val="000A29AF"/>
    <w:rPr>
      <w:sz w:val="16"/>
      <w:szCs w:val="16"/>
    </w:rPr>
  </w:style>
  <w:style w:type="paragraph" w:styleId="CommentText">
    <w:name w:val="annotation text"/>
    <w:basedOn w:val="Normal"/>
    <w:link w:val="CommentTextChar"/>
    <w:uiPriority w:val="99"/>
    <w:semiHidden/>
    <w:unhideWhenUsed/>
    <w:rsid w:val="000A29AF"/>
    <w:rPr>
      <w:sz w:val="20"/>
    </w:rPr>
  </w:style>
  <w:style w:type="character" w:customStyle="1" w:styleId="CommentTextChar">
    <w:name w:val="Comment Text Char"/>
    <w:basedOn w:val="DefaultParagraphFont"/>
    <w:link w:val="CommentText"/>
    <w:uiPriority w:val="99"/>
    <w:semiHidden/>
    <w:rsid w:val="000A29A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29AF"/>
    <w:rPr>
      <w:b/>
      <w:bCs/>
    </w:rPr>
  </w:style>
  <w:style w:type="character" w:customStyle="1" w:styleId="CommentSubjectChar">
    <w:name w:val="Comment Subject Char"/>
    <w:basedOn w:val="CommentTextChar"/>
    <w:link w:val="CommentSubject"/>
    <w:uiPriority w:val="99"/>
    <w:semiHidden/>
    <w:rsid w:val="000A29AF"/>
    <w:rPr>
      <w:rFonts w:eastAsia="Times New Roman"/>
      <w:b/>
      <w:bCs/>
      <w:sz w:val="20"/>
      <w:szCs w:val="20"/>
      <w:lang w:eastAsia="en-AU"/>
    </w:rPr>
  </w:style>
  <w:style w:type="paragraph" w:styleId="BalloonText">
    <w:name w:val="Balloon Text"/>
    <w:basedOn w:val="Normal"/>
    <w:link w:val="BalloonTextChar"/>
    <w:uiPriority w:val="99"/>
    <w:semiHidden/>
    <w:unhideWhenUsed/>
    <w:rsid w:val="000A2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AF"/>
    <w:rPr>
      <w:rFonts w:ascii="Segoe UI" w:eastAsia="Times New Roman" w:hAnsi="Segoe UI" w:cs="Segoe UI"/>
      <w:sz w:val="18"/>
      <w:szCs w:val="18"/>
      <w:lang w:eastAsia="en-AU"/>
    </w:rPr>
  </w:style>
  <w:style w:type="paragraph" w:customStyle="1" w:styleId="BoxText">
    <w:name w:val="BoxText"/>
    <w:basedOn w:val="Normal"/>
    <w:qFormat/>
    <w:rsid w:val="00F9569A"/>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Heading">
    <w:name w:val="BoxHeading"/>
    <w:basedOn w:val="BoxText"/>
    <w:rsid w:val="00F9569A"/>
    <w:pPr>
      <w:keepNext/>
      <w:spacing w:before="120" w:after="60"/>
    </w:pPr>
    <w:rPr>
      <w:b/>
      <w:bCs/>
    </w:rPr>
  </w:style>
  <w:style w:type="paragraph" w:customStyle="1" w:styleId="BulletBeforeDash">
    <w:name w:val="BulletBeforeDash"/>
    <w:basedOn w:val="Normal"/>
    <w:rsid w:val="00F9569A"/>
    <w:pPr>
      <w:numPr>
        <w:numId w:val="10"/>
      </w:numPr>
      <w:ind w:left="720"/>
    </w:pPr>
    <w:rPr>
      <w:color w:val="000000"/>
    </w:rPr>
  </w:style>
  <w:style w:type="paragraph" w:customStyle="1" w:styleId="Bullet">
    <w:name w:val="Bullet"/>
    <w:basedOn w:val="BulletBeforeDash"/>
    <w:qFormat/>
    <w:rsid w:val="00F9569A"/>
    <w:pPr>
      <w:spacing w:after="120"/>
    </w:pPr>
  </w:style>
  <w:style w:type="paragraph" w:customStyle="1" w:styleId="BulletLast">
    <w:name w:val="BulletLast"/>
    <w:basedOn w:val="Bullet"/>
    <w:qFormat/>
    <w:rsid w:val="00F9569A"/>
    <w:pPr>
      <w:spacing w:after="240"/>
    </w:pPr>
  </w:style>
  <w:style w:type="paragraph" w:customStyle="1" w:styleId="NormalBeforeBullet">
    <w:name w:val="NormalBeforeBullet"/>
    <w:basedOn w:val="Normal"/>
    <w:qFormat/>
    <w:rsid w:val="00F9569A"/>
    <w:pPr>
      <w:keepNext/>
      <w:spacing w:after="120"/>
    </w:pPr>
    <w:rPr>
      <w:color w:val="000000"/>
    </w:rPr>
  </w:style>
  <w:style w:type="paragraph" w:styleId="Header">
    <w:name w:val="header"/>
    <w:basedOn w:val="Normal"/>
    <w:link w:val="HeaderChar"/>
    <w:uiPriority w:val="99"/>
    <w:unhideWhenUsed/>
    <w:rsid w:val="00145F66"/>
    <w:pPr>
      <w:tabs>
        <w:tab w:val="center" w:pos="4513"/>
        <w:tab w:val="right" w:pos="9026"/>
      </w:tabs>
    </w:pPr>
  </w:style>
  <w:style w:type="character" w:customStyle="1" w:styleId="HeaderChar">
    <w:name w:val="Header Char"/>
    <w:basedOn w:val="DefaultParagraphFont"/>
    <w:link w:val="Header"/>
    <w:uiPriority w:val="99"/>
    <w:rsid w:val="00145F66"/>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492-publ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internet/msac/publishing.nsf/Content/1492-publ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2A6B-F6D6-4310-8B74-2C489E95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6961</Words>
  <Characters>39683</Characters>
  <Application>Microsoft Office Word</Application>
  <DocSecurity>0</DocSecurity>
  <Lines>330</Lines>
  <Paragraphs>93</Paragraphs>
  <ScaleCrop>false</ScaleCrop>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1492 - NIPT - Final PSD</dc:title>
  <dc:subject/>
  <dc:creator/>
  <cp:keywords/>
  <dc:description/>
  <cp:lastModifiedBy/>
  <cp:revision>1</cp:revision>
  <dcterms:created xsi:type="dcterms:W3CDTF">2020-03-31T03:17:00Z</dcterms:created>
  <dcterms:modified xsi:type="dcterms:W3CDTF">2020-03-31T03:17:00Z</dcterms:modified>
</cp:coreProperties>
</file>