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637AED">
        <w:rPr>
          <w:rFonts w:ascii="Arial" w:hAnsi="Arial" w:cs="Arial"/>
          <w:b/>
          <w:sz w:val="52"/>
          <w:szCs w:val="52"/>
        </w:rPr>
        <w:t xml:space="preserve">1492 – </w:t>
      </w:r>
      <w:r w:rsidR="00637AED" w:rsidRPr="00637AED">
        <w:rPr>
          <w:rFonts w:ascii="Arial" w:hAnsi="Arial" w:cs="Arial"/>
          <w:b/>
          <w:sz w:val="52"/>
          <w:szCs w:val="52"/>
        </w:rPr>
        <w:t>Noninvasive prenatal testing</w:t>
      </w:r>
      <w:bookmarkStart w:id="0" w:name="_GoBack"/>
      <w:bookmarkEnd w:id="0"/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37AED">
        <w:rPr>
          <w:b w:val="0"/>
        </w:rPr>
      </w:r>
      <w:r w:rsidR="00637A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637AED" w:rsidRPr="00637AED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37AED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722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2018-03-22T03:06:00Z</dcterms:created>
  <dcterms:modified xsi:type="dcterms:W3CDTF">2018-03-22T03:06:00Z</dcterms:modified>
</cp:coreProperties>
</file>