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C8CFF" w14:textId="40752D0E" w:rsidR="006271C5" w:rsidRPr="00707064" w:rsidRDefault="00E33233" w:rsidP="006271C5">
      <w:pPr>
        <w:spacing w:after="240"/>
        <w:jc w:val="center"/>
        <w:rPr>
          <w:b/>
          <w:i/>
          <w:szCs w:val="24"/>
          <w:highlight w:val="yellow"/>
        </w:rPr>
      </w:pPr>
      <w:r>
        <w:rPr>
          <w:b/>
          <w:i/>
          <w:szCs w:val="24"/>
        </w:rPr>
        <w:t>68</w:t>
      </w:r>
      <w:r w:rsidR="006271C5">
        <w:rPr>
          <w:rFonts w:ascii="Arial" w:hAnsi="Arial" w:cs="Arial"/>
          <w:b/>
          <w:noProof/>
          <w:color w:val="000080"/>
          <w:sz w:val="28"/>
          <w:szCs w:val="28"/>
        </w:rPr>
        <w:drawing>
          <wp:inline distT="0" distB="0" distL="0" distR="0" wp14:anchorId="1CA220CA" wp14:editId="12D09591">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D4A0B58" w14:textId="77777777" w:rsidR="006271C5" w:rsidRPr="00F715D1" w:rsidRDefault="006271C5" w:rsidP="006271C5">
      <w:pPr>
        <w:pStyle w:val="Title"/>
        <w:tabs>
          <w:tab w:val="left" w:pos="1926"/>
          <w:tab w:val="center" w:pos="4513"/>
        </w:tabs>
        <w:jc w:val="left"/>
      </w:pPr>
      <w:r>
        <w:tab/>
      </w:r>
      <w:r>
        <w:tab/>
      </w:r>
      <w:r w:rsidRPr="00F715D1">
        <w:t>Public Summary Document</w:t>
      </w:r>
    </w:p>
    <w:p w14:paraId="1F456B50" w14:textId="68752A8F" w:rsidR="006B241A" w:rsidRPr="006271C5" w:rsidRDefault="006271C5" w:rsidP="006271C5">
      <w:pPr>
        <w:pStyle w:val="Subtitle"/>
      </w:pPr>
      <w:r>
        <w:t xml:space="preserve">Application </w:t>
      </w:r>
      <w:r w:rsidR="00FE0511" w:rsidRPr="006271C5">
        <w:t>1632 – PSMA PET/CT imaging for informing treatment of patients with prostate cancer</w:t>
      </w:r>
    </w:p>
    <w:p w14:paraId="19F250D7" w14:textId="2E19AFDB" w:rsidR="00EE6EE6" w:rsidRPr="006271C5" w:rsidRDefault="00EE6EE6" w:rsidP="006271C5">
      <w:pPr>
        <w:tabs>
          <w:tab w:val="left" w:pos="3686"/>
        </w:tabs>
        <w:spacing w:after="240"/>
        <w:rPr>
          <w:rFonts w:ascii="Arial" w:hAnsi="Arial" w:cs="Arial"/>
          <w:b/>
          <w:szCs w:val="24"/>
        </w:rPr>
      </w:pPr>
      <w:r w:rsidRPr="006271C5">
        <w:rPr>
          <w:rFonts w:ascii="Arial" w:hAnsi="Arial" w:cs="Arial"/>
          <w:b/>
          <w:szCs w:val="24"/>
        </w:rPr>
        <w:t xml:space="preserve">Applicant: </w:t>
      </w:r>
      <w:r w:rsidR="006271C5" w:rsidRPr="006271C5">
        <w:rPr>
          <w:rFonts w:ascii="Arial" w:hAnsi="Arial" w:cs="Arial"/>
          <w:b/>
          <w:szCs w:val="24"/>
        </w:rPr>
        <w:t xml:space="preserve">Australian Association of Nuclear Medicine Specialists </w:t>
      </w:r>
      <w:r w:rsidR="006271C5">
        <w:rPr>
          <w:rFonts w:ascii="Arial" w:hAnsi="Arial" w:cs="Arial"/>
          <w:b/>
          <w:szCs w:val="24"/>
        </w:rPr>
        <w:t xml:space="preserve">(AANMS) and </w:t>
      </w:r>
      <w:proofErr w:type="spellStart"/>
      <w:r w:rsidRPr="006271C5">
        <w:rPr>
          <w:rFonts w:ascii="Arial" w:hAnsi="Arial" w:cs="Arial"/>
          <w:b/>
          <w:szCs w:val="24"/>
        </w:rPr>
        <w:t>Cyclotek</w:t>
      </w:r>
      <w:proofErr w:type="spellEnd"/>
      <w:r w:rsidRPr="006271C5">
        <w:rPr>
          <w:rFonts w:ascii="Arial" w:hAnsi="Arial" w:cs="Arial"/>
          <w:b/>
          <w:szCs w:val="24"/>
        </w:rPr>
        <w:t xml:space="preserve"> (Aust) Pty Ltd</w:t>
      </w:r>
    </w:p>
    <w:p w14:paraId="453299BA" w14:textId="161589F6" w:rsidR="00065623" w:rsidRPr="006271C5" w:rsidRDefault="00676C49" w:rsidP="006271C5">
      <w:pPr>
        <w:tabs>
          <w:tab w:val="left" w:pos="3686"/>
        </w:tabs>
        <w:spacing w:after="240"/>
        <w:rPr>
          <w:rFonts w:ascii="Arial" w:hAnsi="Arial" w:cs="Arial"/>
          <w:b/>
          <w:szCs w:val="24"/>
        </w:rPr>
      </w:pPr>
      <w:r w:rsidRPr="006271C5">
        <w:rPr>
          <w:rFonts w:ascii="Arial" w:hAnsi="Arial" w:cs="Arial"/>
          <w:b/>
          <w:szCs w:val="24"/>
        </w:rPr>
        <w:t xml:space="preserve">Date of </w:t>
      </w:r>
      <w:r w:rsidR="006271C5">
        <w:rPr>
          <w:rFonts w:ascii="Arial" w:hAnsi="Arial" w:cs="Arial"/>
          <w:b/>
          <w:szCs w:val="24"/>
        </w:rPr>
        <w:t>MSAC</w:t>
      </w:r>
      <w:r w:rsidRPr="006271C5">
        <w:rPr>
          <w:rFonts w:ascii="Arial" w:hAnsi="Arial" w:cs="Arial"/>
          <w:b/>
          <w:szCs w:val="24"/>
        </w:rPr>
        <w:t xml:space="preserve"> </w:t>
      </w:r>
      <w:r w:rsidR="00065623" w:rsidRPr="006271C5">
        <w:rPr>
          <w:rFonts w:ascii="Arial" w:hAnsi="Arial" w:cs="Arial"/>
          <w:b/>
          <w:szCs w:val="24"/>
        </w:rPr>
        <w:t>consideration:</w:t>
      </w:r>
      <w:r w:rsidR="00471BF1" w:rsidRPr="006271C5">
        <w:rPr>
          <w:rFonts w:ascii="Arial" w:hAnsi="Arial" w:cs="Arial"/>
          <w:b/>
          <w:szCs w:val="24"/>
        </w:rPr>
        <w:t xml:space="preserve"> </w:t>
      </w:r>
      <w:r w:rsidR="000E158C">
        <w:rPr>
          <w:rFonts w:ascii="Arial" w:hAnsi="Arial" w:cs="Arial"/>
          <w:b/>
          <w:szCs w:val="24"/>
        </w:rPr>
        <w:t>MSAC 82</w:t>
      </w:r>
      <w:r w:rsidR="000E158C" w:rsidRPr="00425371">
        <w:rPr>
          <w:rFonts w:ascii="Arial" w:hAnsi="Arial" w:cs="Arial"/>
          <w:b/>
          <w:szCs w:val="24"/>
          <w:vertAlign w:val="superscript"/>
        </w:rPr>
        <w:t>nd</w:t>
      </w:r>
      <w:r w:rsidR="000E158C">
        <w:rPr>
          <w:rFonts w:ascii="Arial" w:hAnsi="Arial" w:cs="Arial"/>
          <w:b/>
          <w:szCs w:val="24"/>
        </w:rPr>
        <w:t xml:space="preserve"> Meeting, </w:t>
      </w:r>
      <w:r w:rsidR="006271C5">
        <w:rPr>
          <w:rFonts w:ascii="Arial" w:hAnsi="Arial" w:cs="Arial"/>
          <w:b/>
          <w:szCs w:val="24"/>
        </w:rPr>
        <w:t>29-30 July</w:t>
      </w:r>
      <w:r w:rsidR="008273AE" w:rsidRPr="006271C5">
        <w:rPr>
          <w:rFonts w:ascii="Arial" w:hAnsi="Arial" w:cs="Arial"/>
          <w:b/>
          <w:szCs w:val="24"/>
        </w:rPr>
        <w:t xml:space="preserve"> 2021</w:t>
      </w:r>
    </w:p>
    <w:p w14:paraId="0FE66F58" w14:textId="38182DEA" w:rsidR="00A21488" w:rsidRPr="006271C5" w:rsidRDefault="006271C5" w:rsidP="006271C5">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608A48B3" w14:textId="5063F8F6" w:rsidR="00576ED3" w:rsidRPr="006271C5" w:rsidRDefault="00065623" w:rsidP="006271C5">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Purpose of application</w:t>
      </w:r>
    </w:p>
    <w:p w14:paraId="0590270C" w14:textId="56C597B8" w:rsidR="00122E42" w:rsidRDefault="00122E42" w:rsidP="006271C5">
      <w:pPr>
        <w:spacing w:before="240"/>
      </w:pPr>
      <w:bookmarkStart w:id="0" w:name="_Toc395200740"/>
      <w:r>
        <w:t xml:space="preserve">An Applicant Developed Assessment Report (ADAR) requesting Medicare Benefits Schedule (MBS) listing of prostate-specific membrane antigen (PSMA) positron emission tomography (PET)/computed tomography (CT) for informing treatment of patients with prostate cancer was received from the Australian Association of Nuclear Medicine Specialists </w:t>
      </w:r>
      <w:r w:rsidR="006271C5">
        <w:t xml:space="preserve">(AANMS) </w:t>
      </w:r>
      <w:r>
        <w:t xml:space="preserve">and </w:t>
      </w:r>
      <w:proofErr w:type="spellStart"/>
      <w:r>
        <w:t>Cyclotek</w:t>
      </w:r>
      <w:proofErr w:type="spellEnd"/>
      <w:r>
        <w:t xml:space="preserve"> (AUST) Pty Ltd</w:t>
      </w:r>
      <w:r w:rsidRPr="006E0071">
        <w:t xml:space="preserve"> by the Department of Health.</w:t>
      </w:r>
    </w:p>
    <w:bookmarkEnd w:id="0"/>
    <w:p w14:paraId="044DE433" w14:textId="77777777" w:rsidR="006271C5" w:rsidRPr="006271C5" w:rsidRDefault="006271C5" w:rsidP="006271C5">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MSAC’s advice to the Minister</w:t>
      </w:r>
    </w:p>
    <w:p w14:paraId="1E48ECFF" w14:textId="680E1BA6" w:rsidR="00705ABE" w:rsidRDefault="00705ABE" w:rsidP="005E5A22">
      <w:r w:rsidRPr="00705ABE">
        <w:t xml:space="preserve">After considering the strength of the available evidence in relation to comparative safety, clinical effectiveness and cost-effectiveness, MSAC supported </w:t>
      </w:r>
      <w:r w:rsidR="0086223C">
        <w:t xml:space="preserve">the </w:t>
      </w:r>
      <w:r w:rsidRPr="00705ABE">
        <w:t>creation of new Medicare Benefits Schedule (MBS) items for prostate-specific membrane antigen (PSMA) positron emission tomography (PET)/computed tomography (CT) for informing treatment of patients with prostate cancer. MSAC advised that PSMA PET/CT had at least non-inferior safety and superior effectiveness in terms of superior diagnostic accuracy and clinical utility; in particular, its ability to change management intent compared with conventional imaging in the initial staging and restaging of prostate cancer. In addition, MSAC advised that PSMA PET/CT had acceptable cost-effectiveness and financial impact.</w:t>
      </w:r>
    </w:p>
    <w:p w14:paraId="29644629" w14:textId="509BB322" w:rsidR="0043363E" w:rsidRDefault="0043363E" w:rsidP="003E0C21">
      <w:pPr>
        <w:pStyle w:val="NormalBeforeBullet"/>
        <w:spacing w:before="240"/>
      </w:pPr>
      <w:r>
        <w:lastRenderedPageBreak/>
        <w:t>The MSAC</w:t>
      </w:r>
      <w:r w:rsidR="0086223C">
        <w:t>-</w:t>
      </w:r>
      <w:r>
        <w:t xml:space="preserve">supported </w:t>
      </w:r>
      <w:r w:rsidR="0086223C">
        <w:t xml:space="preserve">MBS </w:t>
      </w:r>
      <w:r>
        <w:t>item</w:t>
      </w:r>
      <w:r w:rsidR="0086223C">
        <w:t>s</w:t>
      </w:r>
      <w:r>
        <w:t xml:space="preserve"> are provided below:</w:t>
      </w:r>
    </w:p>
    <w:tbl>
      <w:tblPr>
        <w:tblStyle w:val="TableGrid1"/>
        <w:tblW w:w="5000" w:type="pct"/>
        <w:tblLook w:val="04A0" w:firstRow="1" w:lastRow="0" w:firstColumn="1" w:lastColumn="0" w:noHBand="0" w:noVBand="1"/>
        <w:tblDescription w:val="MSAC supported MBS item"/>
      </w:tblPr>
      <w:tblGrid>
        <w:gridCol w:w="9016"/>
      </w:tblGrid>
      <w:tr w:rsidR="00D314D3" w:rsidRPr="00D33FC3" w14:paraId="523ECA96" w14:textId="77777777" w:rsidTr="00854FCB">
        <w:trPr>
          <w:cnfStyle w:val="100000000000" w:firstRow="1" w:lastRow="0" w:firstColumn="0" w:lastColumn="0" w:oddVBand="0" w:evenVBand="0" w:oddHBand="0" w:evenHBand="0" w:firstRowFirstColumn="0" w:firstRowLastColumn="0" w:lastRowFirstColumn="0" w:lastRowLastColumn="0"/>
        </w:trPr>
        <w:tc>
          <w:tcPr>
            <w:tcW w:w="5000" w:type="pct"/>
          </w:tcPr>
          <w:p w14:paraId="18D5843D" w14:textId="77777777" w:rsidR="00D314D3" w:rsidRPr="00D33FC3" w:rsidRDefault="00D314D3" w:rsidP="0086223C">
            <w:pPr>
              <w:pStyle w:val="Tabletextright"/>
              <w:jc w:val="left"/>
              <w:rPr>
                <w:sz w:val="24"/>
              </w:rPr>
            </w:pPr>
            <w:r w:rsidRPr="00183E4D">
              <w:t xml:space="preserve">Category </w:t>
            </w:r>
            <w:r>
              <w:t>5 – Diagnostic Imaging Services</w:t>
            </w:r>
          </w:p>
        </w:tc>
      </w:tr>
      <w:tr w:rsidR="00D314D3" w14:paraId="4DAB2AF2" w14:textId="77777777" w:rsidTr="00854FCB">
        <w:tc>
          <w:tcPr>
            <w:tcW w:w="5000" w:type="pct"/>
          </w:tcPr>
          <w:p w14:paraId="4DEEBFB2" w14:textId="77777777" w:rsidR="00D314D3" w:rsidRPr="00D314D3" w:rsidRDefault="00D314D3" w:rsidP="0086223C">
            <w:pPr>
              <w:pStyle w:val="TableText0"/>
            </w:pPr>
            <w:r w:rsidRPr="00D314D3">
              <w:t>MBS [item number]</w:t>
            </w:r>
          </w:p>
          <w:p w14:paraId="23904BEC" w14:textId="7BFF79FD" w:rsidR="00D314D3" w:rsidRDefault="00D314D3" w:rsidP="0086223C">
            <w:pPr>
              <w:pStyle w:val="Tabletext"/>
            </w:pPr>
            <w:r>
              <w:t>Whole body p</w:t>
            </w:r>
            <w:r w:rsidRPr="00D314D3">
              <w:t xml:space="preserve">rostate-specific membrane antigen (PSMA) </w:t>
            </w:r>
            <w:r w:rsidRPr="0086223C">
              <w:t>positron emission tomography (PET)/computerised tomography (CT) study</w:t>
            </w:r>
            <w:r w:rsidRPr="00D314D3">
              <w:t xml:space="preserve">, performed for the </w:t>
            </w:r>
            <w:r w:rsidRPr="0086223C">
              <w:t xml:space="preserve">initial staging </w:t>
            </w:r>
            <w:r w:rsidRPr="00D314D3">
              <w:t>of intermediate- to high-risk prostate adenocarcinoma, for a previously untreated patient who is otherwise considered suitable for locoregional therapy with curative intent.</w:t>
            </w:r>
          </w:p>
          <w:p w14:paraId="5B3CFC62" w14:textId="6325DFBB" w:rsidR="00D314D3" w:rsidRPr="0086223C" w:rsidRDefault="00D314D3" w:rsidP="003E0C21">
            <w:pPr>
              <w:pStyle w:val="Tabletext"/>
              <w:spacing w:before="240"/>
            </w:pPr>
            <w:r>
              <w:t>Applicable only once per lifetime</w:t>
            </w:r>
          </w:p>
        </w:tc>
      </w:tr>
      <w:tr w:rsidR="00D314D3" w14:paraId="753C8637" w14:textId="77777777" w:rsidTr="00854FCB">
        <w:tc>
          <w:tcPr>
            <w:tcW w:w="5000" w:type="pct"/>
          </w:tcPr>
          <w:p w14:paraId="3A9B5C9B" w14:textId="77777777" w:rsidR="00D314D3" w:rsidRDefault="00D314D3" w:rsidP="0086223C">
            <w:pPr>
              <w:pStyle w:val="Tabletext"/>
              <w:rPr>
                <w:sz w:val="24"/>
              </w:rPr>
            </w:pPr>
            <w:r w:rsidRPr="00C03585">
              <w:t>Fee:</w:t>
            </w:r>
            <w:r w:rsidRPr="00765A67">
              <w:t xml:space="preserve"> $</w:t>
            </w:r>
            <w:r>
              <w:t>1400</w:t>
            </w:r>
          </w:p>
        </w:tc>
      </w:tr>
      <w:tr w:rsidR="00D314D3" w14:paraId="3883FF2A" w14:textId="77777777" w:rsidTr="00854FCB">
        <w:tc>
          <w:tcPr>
            <w:tcW w:w="5000" w:type="pct"/>
          </w:tcPr>
          <w:p w14:paraId="38D0ACDA" w14:textId="7E5743F4" w:rsidR="00D314D3" w:rsidRPr="00C03585" w:rsidRDefault="00D314D3" w:rsidP="00D314D3">
            <w:pPr>
              <w:pStyle w:val="Tabletext"/>
            </w:pPr>
            <w:r w:rsidRPr="00183E4D">
              <w:t xml:space="preserve">Category </w:t>
            </w:r>
            <w:r>
              <w:t>5 – Diagnostic Imaging Services</w:t>
            </w:r>
          </w:p>
        </w:tc>
      </w:tr>
      <w:tr w:rsidR="00D314D3" w14:paraId="6FCCD179" w14:textId="77777777" w:rsidTr="00854FCB">
        <w:tc>
          <w:tcPr>
            <w:tcW w:w="5000" w:type="pct"/>
          </w:tcPr>
          <w:p w14:paraId="1F8D13F5" w14:textId="77777777" w:rsidR="00D314D3" w:rsidRPr="00D314D3" w:rsidRDefault="00D314D3" w:rsidP="00D314D3">
            <w:pPr>
              <w:pStyle w:val="TableText0"/>
            </w:pPr>
            <w:r w:rsidRPr="00D314D3">
              <w:t>MBS [item number]</w:t>
            </w:r>
          </w:p>
          <w:p w14:paraId="0243615E" w14:textId="4AC7E8BA" w:rsidR="00D314D3" w:rsidRPr="00D314D3" w:rsidRDefault="00D314D3" w:rsidP="00D314D3">
            <w:pPr>
              <w:pStyle w:val="TableText0"/>
            </w:pPr>
            <w:r>
              <w:t>Whole body p</w:t>
            </w:r>
            <w:r w:rsidRPr="00D314D3">
              <w:t>rostate-specific membrane antigen (PSMA)</w:t>
            </w:r>
            <w:r>
              <w:t xml:space="preserve"> </w:t>
            </w:r>
            <w:r w:rsidRPr="0086223C">
              <w:t xml:space="preserve">positron emission tomography (PET)/computerised tomography (CT) study, </w:t>
            </w:r>
            <w:r w:rsidRPr="00D314D3">
              <w:t xml:space="preserve">performed for the restaging of recurrent prostate adenocarcinoma, for a patient who has undergone prior locoregional therapy and who is otherwise considered suitable for further </w:t>
            </w:r>
            <w:r w:rsidRPr="00D314D3">
              <w:rPr>
                <w:u w:color="FF0000"/>
              </w:rPr>
              <w:t xml:space="preserve">locoregional </w:t>
            </w:r>
            <w:r w:rsidRPr="00D314D3">
              <w:t>therapy to</w:t>
            </w:r>
            <w:r w:rsidRPr="0086223C">
              <w:t xml:space="preserve"> determine appropriate therapeutic pathways and timing of treatment initiation.</w:t>
            </w:r>
          </w:p>
          <w:p w14:paraId="6DFB11F0" w14:textId="77777777" w:rsidR="00D314D3" w:rsidRPr="0086223C" w:rsidRDefault="00D314D3" w:rsidP="00D314D3">
            <w:pPr>
              <w:pStyle w:val="TableText0"/>
            </w:pPr>
            <w:r w:rsidRPr="0086223C">
              <w:t>This includes patients with:</w:t>
            </w:r>
          </w:p>
          <w:p w14:paraId="53EC0645" w14:textId="5F745432" w:rsidR="00D314D3" w:rsidRDefault="00D314D3" w:rsidP="00D314D3">
            <w:pPr>
              <w:pStyle w:val="TableText0"/>
              <w:numPr>
                <w:ilvl w:val="0"/>
                <w:numId w:val="17"/>
              </w:numPr>
            </w:pPr>
            <w:r w:rsidRPr="0086223C">
              <w:t>a prostate-specific antigen (PSA) increase of 2 ng/ml above the nadir after external beam radiotherapy (EBRT),</w:t>
            </w:r>
            <w:r w:rsidRPr="0086223C" w:rsidDel="009C0163">
              <w:t xml:space="preserve"> </w:t>
            </w:r>
            <w:r w:rsidRPr="0086223C">
              <w:t>or</w:t>
            </w:r>
          </w:p>
          <w:p w14:paraId="1E8C55F3" w14:textId="141672CC" w:rsidR="00E96BEF" w:rsidRDefault="00D314D3" w:rsidP="003E0C21">
            <w:pPr>
              <w:pStyle w:val="TableText0"/>
              <w:numPr>
                <w:ilvl w:val="0"/>
                <w:numId w:val="17"/>
              </w:numPr>
              <w:spacing w:before="240"/>
              <w:ind w:left="714" w:hanging="357"/>
            </w:pPr>
            <w:r w:rsidRPr="0086223C">
              <w:t>failure of PSA to fall to undetectable levels or rising serum PSA after radical prostatectomy</w:t>
            </w:r>
            <w:r w:rsidR="0086223C">
              <w:t>.</w:t>
            </w:r>
          </w:p>
          <w:p w14:paraId="73F0968F" w14:textId="08DF5C05" w:rsidR="00E96BEF" w:rsidRPr="00183E4D" w:rsidRDefault="00E96BEF" w:rsidP="0086223C">
            <w:pPr>
              <w:pStyle w:val="TableText0"/>
            </w:pPr>
            <w:r>
              <w:t>Applicable only twice per lifetime</w:t>
            </w:r>
          </w:p>
        </w:tc>
      </w:tr>
      <w:tr w:rsidR="00D314D3" w14:paraId="51343C40" w14:textId="77777777" w:rsidTr="00854FCB">
        <w:tc>
          <w:tcPr>
            <w:tcW w:w="5000" w:type="pct"/>
          </w:tcPr>
          <w:p w14:paraId="353F1C7A" w14:textId="5BF84B79" w:rsidR="00D314D3" w:rsidRDefault="00D314D3" w:rsidP="00D314D3">
            <w:pPr>
              <w:pStyle w:val="TableText0"/>
            </w:pPr>
            <w:r w:rsidRPr="00C03585">
              <w:t xml:space="preserve">Fee: </w:t>
            </w:r>
            <w:r>
              <w:t>$1400</w:t>
            </w:r>
          </w:p>
        </w:tc>
      </w:tr>
    </w:tbl>
    <w:p w14:paraId="56C61906" w14:textId="77777777" w:rsidR="0043363E" w:rsidRPr="00705ABE" w:rsidRDefault="0043363E" w:rsidP="0086223C">
      <w:pPr>
        <w:pStyle w:val="NormalBeforeBullet"/>
        <w:keepNext w:val="0"/>
      </w:pPr>
    </w:p>
    <w:p w14:paraId="6EB8A669" w14:textId="77777777" w:rsidR="00705ABE" w:rsidRPr="004B4E1B" w:rsidRDefault="00705ABE" w:rsidP="004B4E1B">
      <w:pPr>
        <w:keepNext/>
        <w:pBdr>
          <w:top w:val="single" w:sz="4" w:space="1" w:color="auto"/>
          <w:left w:val="single" w:sz="4" w:space="4" w:color="auto"/>
          <w:bottom w:val="single" w:sz="4" w:space="7" w:color="auto"/>
          <w:right w:val="single" w:sz="4" w:space="4" w:color="auto"/>
        </w:pBdr>
        <w:spacing w:before="240" w:after="120"/>
        <w:outlineLvl w:val="1"/>
        <w:rPr>
          <w:b/>
          <w:bCs/>
          <w:iCs/>
          <w:szCs w:val="28"/>
        </w:rPr>
      </w:pPr>
      <w:r w:rsidRPr="004B4E1B">
        <w:rPr>
          <w:b/>
          <w:bCs/>
          <w:iCs/>
          <w:szCs w:val="28"/>
        </w:rPr>
        <w:t>Consumer summary</w:t>
      </w:r>
    </w:p>
    <w:p w14:paraId="3CD4F7B1" w14:textId="57C43761" w:rsidR="00705ABE" w:rsidRDefault="00705ABE" w:rsidP="004B4E1B">
      <w:pPr>
        <w:pBdr>
          <w:top w:val="single" w:sz="4" w:space="1" w:color="auto"/>
          <w:left w:val="single" w:sz="4" w:space="4" w:color="auto"/>
          <w:bottom w:val="single" w:sz="4" w:space="7" w:color="auto"/>
          <w:right w:val="single" w:sz="4" w:space="4" w:color="auto"/>
        </w:pBdr>
      </w:pPr>
      <w:r>
        <w:t xml:space="preserve">This application is from the Australian Association of Nuclear Medicine Specialists and </w:t>
      </w:r>
      <w:proofErr w:type="spellStart"/>
      <w:r>
        <w:t>Cyclotek</w:t>
      </w:r>
      <w:proofErr w:type="spellEnd"/>
      <w:r>
        <w:t xml:space="preserve"> </w:t>
      </w:r>
      <w:r w:rsidR="0086223C">
        <w:t xml:space="preserve">(Aust) Pty Ltd </w:t>
      </w:r>
      <w:r>
        <w:t>for listing prostate-specific membrane antigen (PSMA) positron emission tomography (PET)/computed tomography (CT) on the Medicare Benefits Schedule (MBS) for people with prostate cancer.</w:t>
      </w:r>
    </w:p>
    <w:p w14:paraId="512F0A5B" w14:textId="00340316" w:rsidR="00705ABE" w:rsidRDefault="00705ABE" w:rsidP="003E0C21">
      <w:pPr>
        <w:pBdr>
          <w:top w:val="single" w:sz="4" w:space="1" w:color="auto"/>
          <w:left w:val="single" w:sz="4" w:space="4" w:color="auto"/>
          <w:bottom w:val="single" w:sz="4" w:space="7" w:color="auto"/>
          <w:right w:val="single" w:sz="4" w:space="4" w:color="auto"/>
        </w:pBdr>
        <w:spacing w:before="240"/>
      </w:pPr>
      <w:r>
        <w:t xml:space="preserve">PSMA PET/CT is a type of whole-body scan that can detect prostate cancer. The patient is injected with molecules that spread around the body and bind to </w:t>
      </w:r>
      <w:r w:rsidR="0086223C">
        <w:t xml:space="preserve">cells affected by </w:t>
      </w:r>
      <w:r>
        <w:t>prostate cancer. These molecules then show up as bright spots on a scan wherever there is prostate cancer in the body. Knowing where the cancer is and whether it has spread can help doctors and patients make better decisions about treatment.</w:t>
      </w:r>
    </w:p>
    <w:p w14:paraId="14AD22B9" w14:textId="1A79FAEB" w:rsidR="00705ABE" w:rsidRDefault="00705ABE" w:rsidP="003E0C21">
      <w:pPr>
        <w:pBdr>
          <w:top w:val="single" w:sz="4" w:space="1" w:color="auto"/>
          <w:left w:val="single" w:sz="4" w:space="4" w:color="auto"/>
          <w:bottom w:val="single" w:sz="4" w:space="7" w:color="auto"/>
          <w:right w:val="single" w:sz="4" w:space="4" w:color="auto"/>
        </w:pBdr>
        <w:spacing w:before="240"/>
      </w:pPr>
      <w:r>
        <w:t xml:space="preserve">MSAC </w:t>
      </w:r>
      <w:r w:rsidR="0086223C">
        <w:t>concluded</w:t>
      </w:r>
      <w:r>
        <w:t xml:space="preserve"> that PSMA PET/CT is better at detecting prostate cancer </w:t>
      </w:r>
      <w:r w:rsidR="00EF15F9">
        <w:t xml:space="preserve">throughout the body </w:t>
      </w:r>
      <w:r>
        <w:t xml:space="preserve">than other types of scans. It is also just as safe as other types of scans. MSAC also </w:t>
      </w:r>
      <w:r w:rsidR="0086223C">
        <w:t>concluded</w:t>
      </w:r>
      <w:r>
        <w:t xml:space="preserve"> that the cost of PSMA PET/CT was acceptable.</w:t>
      </w:r>
    </w:p>
    <w:p w14:paraId="154E6E9D" w14:textId="4493CEE9" w:rsidR="00705ABE" w:rsidRDefault="00705ABE" w:rsidP="003E0C21">
      <w:pPr>
        <w:pBdr>
          <w:top w:val="single" w:sz="4" w:space="1" w:color="auto"/>
          <w:left w:val="single" w:sz="4" w:space="4" w:color="auto"/>
          <w:bottom w:val="single" w:sz="4" w:space="7" w:color="auto"/>
          <w:right w:val="single" w:sz="4" w:space="4" w:color="auto"/>
        </w:pBdr>
        <w:spacing w:before="240" w:after="120"/>
        <w:rPr>
          <w:b/>
          <w:bCs/>
        </w:rPr>
      </w:pPr>
      <w:r>
        <w:rPr>
          <w:b/>
          <w:bCs/>
        </w:rPr>
        <w:t>MSAC’s advice to the Commonwealth Minister for Health</w:t>
      </w:r>
    </w:p>
    <w:p w14:paraId="6532B5E2" w14:textId="549BCAB5" w:rsidR="00705ABE" w:rsidRDefault="00705ABE" w:rsidP="004B4E1B">
      <w:pPr>
        <w:pBdr>
          <w:top w:val="single" w:sz="4" w:space="1" w:color="auto"/>
          <w:left w:val="single" w:sz="4" w:space="4" w:color="auto"/>
          <w:bottom w:val="single" w:sz="4" w:space="7" w:color="auto"/>
          <w:right w:val="single" w:sz="4" w:space="4" w:color="auto"/>
        </w:pBdr>
        <w:spacing w:after="120"/>
      </w:pPr>
      <w:r>
        <w:t xml:space="preserve">MSAC supported MBS funding of PSMA PET/CT for people with prostate cancer because it is </w:t>
      </w:r>
      <w:r w:rsidR="0086223C">
        <w:t xml:space="preserve">comparatively </w:t>
      </w:r>
      <w:r>
        <w:t>safe</w:t>
      </w:r>
      <w:r w:rsidR="0086223C">
        <w:t xml:space="preserve"> and</w:t>
      </w:r>
      <w:r>
        <w:t xml:space="preserve"> effective and good value for money.</w:t>
      </w:r>
    </w:p>
    <w:p w14:paraId="193317DD" w14:textId="333BB4B5" w:rsidR="006271C5" w:rsidRPr="006271C5" w:rsidRDefault="006271C5" w:rsidP="006271C5">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Summary of consideration and rationale for MSAC’s advice</w:t>
      </w:r>
    </w:p>
    <w:p w14:paraId="4B18CDF4" w14:textId="735F5D70" w:rsidR="00705ABE" w:rsidRDefault="00705ABE" w:rsidP="00705ABE">
      <w:r>
        <w:t xml:space="preserve">MSAC noted the purpose of the application was to request MBS listing of PSMA PET/CT imaging for informing treatment of patients with prostate cancer. MSAC noted that the MBS Review Taskforce recommended that MSAC consider the inclusion of gallium-68 (68Ga)-PSMA PET/CT on the MBS, referring to the modality’s superiority over conventional </w:t>
      </w:r>
      <w:r>
        <w:lastRenderedPageBreak/>
        <w:t>imaging (CVI) for staging and restaging of prostate cancer, and its ability to change management intent for newly diagnosed and recurrent prostate cancer patients.</w:t>
      </w:r>
    </w:p>
    <w:p w14:paraId="3F2CC2D8" w14:textId="77777777" w:rsidR="00020D9F" w:rsidRDefault="00020D9F" w:rsidP="003E0C21">
      <w:pPr>
        <w:spacing w:before="240"/>
      </w:pPr>
      <w:r>
        <w:t>MSAC noted that the targeted consultation was largely in support of PSMA PET/CT, including the input received from a single consumer.</w:t>
      </w:r>
    </w:p>
    <w:p w14:paraId="11A1E43B" w14:textId="641FC465" w:rsidR="00705ABE" w:rsidRDefault="00705ABE" w:rsidP="003E0C21">
      <w:pPr>
        <w:pStyle w:val="NormalBeforeBullet"/>
        <w:spacing w:before="240"/>
      </w:pPr>
      <w:r>
        <w:t xml:space="preserve">MSAC noted the proposed item descriptors as presented in the applicant-developed assessment report (ADAR) and considered these to be </w:t>
      </w:r>
      <w:r w:rsidR="006C796C">
        <w:t xml:space="preserve">largely </w:t>
      </w:r>
      <w:r>
        <w:t>appropriate. MSAC noted the discussion at the Evaluation Sub-Committee (ESC) meeting on whether “CT” could be removed from “PET/CT” in the descriptor to be consistent with all other PET items and the fee reduced by $100, and allow</w:t>
      </w:r>
      <w:r w:rsidR="008770B6">
        <w:t xml:space="preserve">ance of </w:t>
      </w:r>
      <w:r>
        <w:t>co-claiming with MBS item 61505 where CT is performed. MSAC noted that PET and CT are listed separately on the MBS for historical reasons</w:t>
      </w:r>
      <w:r w:rsidR="00B61C0F">
        <w:t xml:space="preserve"> related to the separate development of the technologies. </w:t>
      </w:r>
      <w:r>
        <w:t xml:space="preserve">MSAC noted that, in current clinical practice, PET is never performed without CT (except for PET/MRI, which is rarely done), and that PET/CT is considered to be a single service, with both PET and CT being necessary components of the final scan. MSAC therefore concluded that the item descriptor should state “PET/CT”. However, MSAC </w:t>
      </w:r>
      <w:r w:rsidR="00020D9F">
        <w:t>advised</w:t>
      </w:r>
      <w:r>
        <w:t xml:space="preserve"> that alignment with existing MBS item descriptors was preferable for the following terms:</w:t>
      </w:r>
    </w:p>
    <w:p w14:paraId="0ABD7611" w14:textId="77777777" w:rsidR="00705ABE" w:rsidRDefault="00705ABE" w:rsidP="00705ABE">
      <w:pPr>
        <w:pStyle w:val="Bullet"/>
        <w:numPr>
          <w:ilvl w:val="0"/>
          <w:numId w:val="30"/>
        </w:numPr>
        <w:ind w:left="720"/>
      </w:pPr>
      <w:r>
        <w:t>“initial staging” should be used instead of “primary” or “N- and M-” staging</w:t>
      </w:r>
    </w:p>
    <w:p w14:paraId="21671A5B" w14:textId="77777777" w:rsidR="00705ABE" w:rsidRDefault="00705ABE" w:rsidP="00705ABE">
      <w:pPr>
        <w:pStyle w:val="BulletLast"/>
        <w:numPr>
          <w:ilvl w:val="0"/>
          <w:numId w:val="30"/>
        </w:numPr>
        <w:ind w:left="720"/>
      </w:pPr>
      <w:r>
        <w:t>“whole body” (i.e. specifying that PET/CT is a whole-body scan).</w:t>
      </w:r>
    </w:p>
    <w:p w14:paraId="0B6AE709" w14:textId="31BE388D" w:rsidR="00705ABE" w:rsidRDefault="00705ABE" w:rsidP="00705ABE">
      <w:r>
        <w:t xml:space="preserve">MSAC </w:t>
      </w:r>
      <w:r w:rsidR="00DC6BB2">
        <w:t xml:space="preserve">advised </w:t>
      </w:r>
      <w:r>
        <w:t xml:space="preserve">that the item for </w:t>
      </w:r>
      <w:r w:rsidR="00C046F4">
        <w:t xml:space="preserve">initial </w:t>
      </w:r>
      <w:r>
        <w:t xml:space="preserve">staging </w:t>
      </w:r>
      <w:r w:rsidR="00DC6BB2">
        <w:t xml:space="preserve">should be limited to </w:t>
      </w:r>
      <w:r>
        <w:t>once</w:t>
      </w:r>
      <w:r w:rsidR="00DC6BB2">
        <w:t xml:space="preserve"> per patient</w:t>
      </w:r>
      <w:r>
        <w:t xml:space="preserve">, but that the item for restaging </w:t>
      </w:r>
      <w:r w:rsidR="00FD3284">
        <w:t xml:space="preserve">may </w:t>
      </w:r>
      <w:r>
        <w:t>be used multiple times</w:t>
      </w:r>
      <w:r w:rsidR="00DC6BB2">
        <w:t xml:space="preserve">, and </w:t>
      </w:r>
      <w:r w:rsidR="00EF15F9">
        <w:t>potentially</w:t>
      </w:r>
      <w:r w:rsidR="00DC6BB2">
        <w:t xml:space="preserve"> extended to be used</w:t>
      </w:r>
      <w:r>
        <w:t xml:space="preserve"> for monitoring if not otherwise restricted. The Department informed MSAC that a similar </w:t>
      </w:r>
      <w:r w:rsidR="00DC6BB2">
        <w:t>application</w:t>
      </w:r>
      <w:r>
        <w:t xml:space="preserve"> for PSMA PET/CT for monitoring purposes was </w:t>
      </w:r>
      <w:r w:rsidR="00DC6BB2">
        <w:t xml:space="preserve">expected </w:t>
      </w:r>
      <w:r>
        <w:t xml:space="preserve">to be </w:t>
      </w:r>
      <w:r w:rsidR="00DC6BB2">
        <w:t>made</w:t>
      </w:r>
      <w:r>
        <w:t xml:space="preserve"> to MSAC in the next 2–3 years. MSAC noted that, given the </w:t>
      </w:r>
      <w:r w:rsidR="00B61C0F">
        <w:t xml:space="preserve">natural history </w:t>
      </w:r>
      <w:r>
        <w:t xml:space="preserve">of the disease, any </w:t>
      </w:r>
      <w:r w:rsidR="00DC6BB2">
        <w:t>patient</w:t>
      </w:r>
      <w:r>
        <w:t xml:space="preserve"> would be unlikely to require more than two restaging scans in the next 2–3 years. MSAC therefore </w:t>
      </w:r>
      <w:r w:rsidR="00DC6BB2">
        <w:t>advised</w:t>
      </w:r>
      <w:r>
        <w:t xml:space="preserve"> that the item for restaging should be restricted to twice per lifetime.</w:t>
      </w:r>
    </w:p>
    <w:p w14:paraId="1F2DECCF" w14:textId="0B96F96D" w:rsidR="00705ABE" w:rsidRDefault="00705ABE" w:rsidP="003E0C21">
      <w:pPr>
        <w:spacing w:before="240"/>
      </w:pPr>
      <w:r>
        <w:t xml:space="preserve">MSAC agreed with the </w:t>
      </w:r>
      <w:r w:rsidR="00DC6BB2">
        <w:t>C</w:t>
      </w:r>
      <w:r>
        <w:t xml:space="preserve">ommentary that the proposed fee was reasonable. MSAC noted the potential for continued out-of-pocket costs for consumers; however, </w:t>
      </w:r>
      <w:r w:rsidR="00DC6BB2">
        <w:t>MSAC</w:t>
      </w:r>
      <w:r>
        <w:t xml:space="preserve"> also noted that most service providers charge zero gap or a small gap for high-</w:t>
      </w:r>
      <w:r w:rsidR="00DC6BB2">
        <w:t>cost</w:t>
      </w:r>
      <w:r>
        <w:t xml:space="preserve"> imaging services.</w:t>
      </w:r>
      <w:r w:rsidR="00E33233" w:rsidRPr="00E33233">
        <w:t xml:space="preserve"> </w:t>
      </w:r>
      <w:r w:rsidR="00E33233">
        <w:t xml:space="preserve">MSAC further noted that, in response to requests from PASC and ESC, the pre-MSAC response provided a summary on the </w:t>
      </w:r>
      <w:r w:rsidR="00E33233" w:rsidRPr="00CF07FD">
        <w:t>ownership of intellectual property</w:t>
      </w:r>
      <w:r w:rsidR="00E33233">
        <w:t xml:space="preserve"> for the radiopharmaceutical tracers.</w:t>
      </w:r>
    </w:p>
    <w:p w14:paraId="3FE27EF1" w14:textId="77DAEC5F" w:rsidR="00705ABE" w:rsidDel="008B240F" w:rsidRDefault="00705ABE" w:rsidP="003E0C21">
      <w:pPr>
        <w:spacing w:before="240"/>
      </w:pPr>
      <w:r w:rsidDel="008B240F">
        <w:t>MSAC accepted the comparators of CT and/or whole-body bone scan (WBBS) and single photon emission computed tomography (SPECT)/CT (referred to as CVI).</w:t>
      </w:r>
      <w:r w:rsidR="000F102B">
        <w:t xml:space="preserve"> MSAC also accepted the</w:t>
      </w:r>
      <w:r w:rsidR="006C796C">
        <w:t xml:space="preserve"> ADAR’s</w:t>
      </w:r>
      <w:r w:rsidR="000F102B">
        <w:t xml:space="preserve"> alternative comparator of no imaging which was considered</w:t>
      </w:r>
      <w:r w:rsidR="006C796C">
        <w:t xml:space="preserve"> relevant</w:t>
      </w:r>
      <w:r w:rsidR="000F102B">
        <w:t xml:space="preserve"> for a subset of restaging patients with PSA levels less than 1.0 ng/</w:t>
      </w:r>
      <w:proofErr w:type="spellStart"/>
      <w:r w:rsidR="000F102B">
        <w:t>mL.</w:t>
      </w:r>
      <w:proofErr w:type="spellEnd"/>
    </w:p>
    <w:p w14:paraId="0529A584" w14:textId="386411F5" w:rsidR="001736C5" w:rsidRDefault="00705ABE" w:rsidP="003E0C21">
      <w:pPr>
        <w:spacing w:before="240"/>
      </w:pPr>
      <w:r>
        <w:t xml:space="preserve">MSAC </w:t>
      </w:r>
      <w:r w:rsidR="006C796C">
        <w:t xml:space="preserve">considered </w:t>
      </w:r>
      <w:r>
        <w:t>the data on comparative safety and accepted that PSMA PET/CT was at least non-inferior (and possibly superior) to CVI.</w:t>
      </w:r>
    </w:p>
    <w:p w14:paraId="3ECD5A3F" w14:textId="2C3A09D3" w:rsidR="001F733F" w:rsidRDefault="00705ABE" w:rsidP="003E0C21">
      <w:pPr>
        <w:spacing w:before="240"/>
      </w:pPr>
      <w:r>
        <w:t xml:space="preserve">MSAC </w:t>
      </w:r>
      <w:r w:rsidR="00281744">
        <w:t xml:space="preserve">considered </w:t>
      </w:r>
      <w:r>
        <w:t xml:space="preserve">the data on comparative effectiveness, including accuracy, clinical validity, clinical </w:t>
      </w:r>
      <w:proofErr w:type="gramStart"/>
      <w:r>
        <w:t>utility</w:t>
      </w:r>
      <w:proofErr w:type="gramEnd"/>
      <w:r>
        <w:t xml:space="preserve"> and therapeutic effectiveness</w:t>
      </w:r>
      <w:r w:rsidR="00281744">
        <w:t xml:space="preserve"> in both populations</w:t>
      </w:r>
      <w:r>
        <w:t xml:space="preserve">. </w:t>
      </w:r>
      <w:r w:rsidR="00F94F47">
        <w:t>For initial staging, MSAC noted that the ADAR</w:t>
      </w:r>
      <w:r w:rsidR="00DC6BB2">
        <w:t>’</w:t>
      </w:r>
      <w:r w:rsidR="00F94F47">
        <w:t xml:space="preserve">s clinical evidence </w:t>
      </w:r>
      <w:r w:rsidR="00776841">
        <w:t xml:space="preserve">primarily relied on </w:t>
      </w:r>
      <w:r w:rsidR="00F94F47" w:rsidRPr="00076524">
        <w:rPr>
          <w:color w:val="000000"/>
        </w:rPr>
        <w:t xml:space="preserve">a direct randomised controlled trial </w:t>
      </w:r>
      <w:r w:rsidR="00F94F47">
        <w:rPr>
          <w:color w:val="000000"/>
        </w:rPr>
        <w:t>(</w:t>
      </w:r>
      <w:proofErr w:type="spellStart"/>
      <w:r w:rsidR="00F94F47">
        <w:rPr>
          <w:color w:val="000000"/>
        </w:rPr>
        <w:t>ProPSMA</w:t>
      </w:r>
      <w:proofErr w:type="spellEnd"/>
      <w:r w:rsidR="00F94F47">
        <w:rPr>
          <w:color w:val="000000"/>
        </w:rPr>
        <w:t xml:space="preserve"> trial)</w:t>
      </w:r>
      <w:r w:rsidR="001F733F">
        <w:rPr>
          <w:color w:val="000000"/>
        </w:rPr>
        <w:t>. This trial provided convincing evidence of improved performance of PSMA PET/CT over CVI in terms of analytical validity, clinical validity and change in clinical management</w:t>
      </w:r>
      <w:r w:rsidR="00F94F47">
        <w:t>.</w:t>
      </w:r>
    </w:p>
    <w:p w14:paraId="10F09D71" w14:textId="67C7EF3E" w:rsidR="001F733F" w:rsidRDefault="00F94F47" w:rsidP="003E0C21">
      <w:pPr>
        <w:spacing w:before="240"/>
      </w:pPr>
      <w:r>
        <w:t>For restaging, MSAC noted there w</w:t>
      </w:r>
      <w:r w:rsidR="00DC6BB2">
        <w:t>as</w:t>
      </w:r>
      <w:r>
        <w:t xml:space="preserve"> no comparative stud</w:t>
      </w:r>
      <w:r w:rsidR="00DC6BB2">
        <w:t>y</w:t>
      </w:r>
      <w:r>
        <w:t xml:space="preserve"> of diagnostic accuracy, so the ADAR presented single-arm studies of PSMA PET/CT</w:t>
      </w:r>
      <w:r w:rsidR="00611D6E">
        <w:t xml:space="preserve"> only</w:t>
      </w:r>
      <w:r>
        <w:t xml:space="preserve">. In addition, MSAC noted that an Australian trial (IMPPORT trial) had been published since the ADAR literature search (but presented in the </w:t>
      </w:r>
      <w:r w:rsidR="00DC6BB2">
        <w:t>C</w:t>
      </w:r>
      <w:r>
        <w:t>ommentary and pre-ESC response), which found that PSMA PET/CT had superior accuracy over CVI, notably when both scans were performed during a single session, removing the risk of confounding due to time passing between scans. MSAC also noted the applicant included retrospective studies (in the pre-ESC response) to further validate its claim of superiority of PSMA PET/CT over CVI</w:t>
      </w:r>
      <w:r w:rsidR="00253ED9">
        <w:t xml:space="preserve"> in restaging</w:t>
      </w:r>
      <w:r>
        <w:t xml:space="preserve">. MSAC noted </w:t>
      </w:r>
      <w:r w:rsidR="006C796C">
        <w:t xml:space="preserve">that </w:t>
      </w:r>
      <w:r>
        <w:t xml:space="preserve">the pre-MSAC response assessed these additional studies as having a low to moderate risk of bias. </w:t>
      </w:r>
      <w:r w:rsidR="00AF349B">
        <w:t xml:space="preserve">MSAC noted the </w:t>
      </w:r>
      <w:r w:rsidR="0068509D">
        <w:t xml:space="preserve">34% to 77% </w:t>
      </w:r>
      <w:r w:rsidR="00AF349B">
        <w:t xml:space="preserve">participants who had a change in </w:t>
      </w:r>
      <w:r w:rsidR="001F733F">
        <w:t xml:space="preserve">clinical </w:t>
      </w:r>
      <w:r w:rsidR="00AF349B">
        <w:t xml:space="preserve">management after </w:t>
      </w:r>
      <w:r w:rsidR="0068509D">
        <w:t xml:space="preserve">PSMA </w:t>
      </w:r>
      <w:r w:rsidR="00AF349B">
        <w:t xml:space="preserve">PET/CT, indicating </w:t>
      </w:r>
      <w:r w:rsidR="0068509D">
        <w:t xml:space="preserve">some </w:t>
      </w:r>
      <w:r w:rsidR="00AF349B">
        <w:t>clinical utility</w:t>
      </w:r>
      <w:r w:rsidR="0068509D">
        <w:t xml:space="preserve">, but noted that </w:t>
      </w:r>
      <w:r w:rsidR="00732CA9">
        <w:t xml:space="preserve">these were </w:t>
      </w:r>
      <w:r w:rsidR="003B5175">
        <w:t>also not incremental results over the comparator</w:t>
      </w:r>
      <w:r w:rsidR="00AF349B">
        <w:t>.</w:t>
      </w:r>
    </w:p>
    <w:p w14:paraId="20878CBB" w14:textId="32F6FC01" w:rsidR="00705ABE" w:rsidRDefault="005B38FB" w:rsidP="003E0C21">
      <w:pPr>
        <w:spacing w:before="240"/>
      </w:pPr>
      <w:r>
        <w:t xml:space="preserve">For both initial staging and re-staging, </w:t>
      </w:r>
      <w:r w:rsidR="00705ABE">
        <w:t xml:space="preserve">MSAC </w:t>
      </w:r>
      <w:r w:rsidR="00AF349B">
        <w:t xml:space="preserve">also </w:t>
      </w:r>
      <w:r w:rsidR="00705ABE">
        <w:t xml:space="preserve">noted that </w:t>
      </w:r>
      <w:r w:rsidR="00281744">
        <w:t xml:space="preserve">limited </w:t>
      </w:r>
      <w:r w:rsidR="00705ABE">
        <w:t xml:space="preserve">data were presented on long-term oncological outcomes but considered it reasonable to assume that </w:t>
      </w:r>
      <w:r w:rsidR="008770B6">
        <w:t xml:space="preserve">accurately determining </w:t>
      </w:r>
      <w:proofErr w:type="gramStart"/>
      <w:r w:rsidR="008770B6">
        <w:t>whether or not</w:t>
      </w:r>
      <w:proofErr w:type="gramEnd"/>
      <w:r w:rsidR="008770B6">
        <w:t xml:space="preserve"> there is </w:t>
      </w:r>
      <w:r>
        <w:t xml:space="preserve">metastatic involvement </w:t>
      </w:r>
      <w:r w:rsidR="00705ABE">
        <w:t xml:space="preserve">would lead to </w:t>
      </w:r>
      <w:r>
        <w:t>improved</w:t>
      </w:r>
      <w:r w:rsidR="00705ABE">
        <w:t xml:space="preserve"> treatment.</w:t>
      </w:r>
      <w:r w:rsidR="00EF15F9">
        <w:t xml:space="preserve"> For initial staging, PSMA PET/CT avoids futile locoregional ablative therapy, and for re-staging, PSMA PET/CT better targets salvage radiotherapy to positive sites. MSAC accepted that these treatment improvements would likely lead to improved cancer outcomes.</w:t>
      </w:r>
    </w:p>
    <w:p w14:paraId="39B9000C" w14:textId="482E7C2B" w:rsidR="000F102B" w:rsidRDefault="000F102B" w:rsidP="003E0C21">
      <w:pPr>
        <w:spacing w:before="240"/>
      </w:pPr>
      <w:r>
        <w:t xml:space="preserve">Overall, MSAC agreed with ESC and considered that </w:t>
      </w:r>
      <w:r w:rsidR="006270B3">
        <w:t xml:space="preserve">the evidence for </w:t>
      </w:r>
      <w:r>
        <w:t xml:space="preserve">comparative effectiveness was more </w:t>
      </w:r>
      <w:r w:rsidR="006270B3">
        <w:t>convincing</w:t>
      </w:r>
      <w:r>
        <w:t xml:space="preserve"> for </w:t>
      </w:r>
      <w:r w:rsidR="00C046F4">
        <w:t>initial</w:t>
      </w:r>
      <w:r>
        <w:t xml:space="preserve"> staging </w:t>
      </w:r>
      <w:r w:rsidR="006270B3">
        <w:t>than</w:t>
      </w:r>
      <w:r>
        <w:t xml:space="preserve"> </w:t>
      </w:r>
      <w:r w:rsidR="008770B6">
        <w:t>for</w:t>
      </w:r>
      <w:r>
        <w:t xml:space="preserve"> </w:t>
      </w:r>
      <w:r w:rsidR="00611D6E">
        <w:t>re</w:t>
      </w:r>
      <w:r>
        <w:t>staging</w:t>
      </w:r>
      <w:r w:rsidR="00C046F4">
        <w:t xml:space="preserve"> of prostate cancer</w:t>
      </w:r>
      <w:r>
        <w:t>, but accepted that PSMA PET/CT</w:t>
      </w:r>
      <w:r w:rsidRPr="00705ABE">
        <w:t xml:space="preserve"> </w:t>
      </w:r>
      <w:r>
        <w:t>had</w:t>
      </w:r>
      <w:r w:rsidRPr="00705ABE">
        <w:t xml:space="preserve"> superior effectiveness in terms of superior diagnostic accuracy and clinical utility</w:t>
      </w:r>
      <w:r>
        <w:t xml:space="preserve"> </w:t>
      </w:r>
      <w:r w:rsidRPr="00705ABE">
        <w:t xml:space="preserve">compared with </w:t>
      </w:r>
      <w:r>
        <w:t>CVI</w:t>
      </w:r>
      <w:r w:rsidR="00C046F4">
        <w:t xml:space="preserve"> </w:t>
      </w:r>
      <w:r w:rsidR="006270B3">
        <w:t>for both purposes</w:t>
      </w:r>
      <w:r w:rsidRPr="00705ABE">
        <w:t>.</w:t>
      </w:r>
    </w:p>
    <w:p w14:paraId="011E77BE" w14:textId="3A5E543D" w:rsidR="006D6464" w:rsidRDefault="00705ABE" w:rsidP="003E0C21">
      <w:pPr>
        <w:spacing w:before="240"/>
      </w:pPr>
      <w:r>
        <w:t xml:space="preserve">MSAC reviewed the information on concordance </w:t>
      </w:r>
      <w:r w:rsidR="006270B3">
        <w:t>across Australian radio</w:t>
      </w:r>
      <w:r w:rsidR="00D20E63" w:rsidRPr="00A963EF">
        <w:t>pharmaceutical</w:t>
      </w:r>
      <w:r w:rsidR="00D20E63">
        <w:t xml:space="preserve"> </w:t>
      </w:r>
      <w:r w:rsidR="006270B3">
        <w:t xml:space="preserve">tracer options </w:t>
      </w:r>
      <w:r>
        <w:t>and considered that it was difficult to conclude whether the</w:t>
      </w:r>
      <w:r w:rsidR="00E052E3">
        <w:t>y</w:t>
      </w:r>
      <w:r>
        <w:t xml:space="preserve"> were clinically equivalent</w:t>
      </w:r>
      <w:r w:rsidR="00E052E3">
        <w:t xml:space="preserve"> due to the small sample size of or lack of a clear reference standard for the presented studies</w:t>
      </w:r>
      <w:r>
        <w:t xml:space="preserve">. </w:t>
      </w:r>
      <w:r w:rsidR="00E052E3">
        <w:t xml:space="preserve">However, </w:t>
      </w:r>
      <w:r>
        <w:t xml:space="preserve">MSAC </w:t>
      </w:r>
      <w:r w:rsidR="00C92789">
        <w:t xml:space="preserve">noted the applicant’s biological arguments in support of clinical equivalence based on the characteristics of the available options being small-molecule glutamate urea-based molecular inhibitors of the PSMA enzymatic site and </w:t>
      </w:r>
      <w:r w:rsidR="00E052E3">
        <w:t xml:space="preserve">acknowledged that these options were </w:t>
      </w:r>
      <w:r w:rsidR="00C92789">
        <w:t xml:space="preserve">being </w:t>
      </w:r>
      <w:r w:rsidR="00E052E3">
        <w:t>used interchangeably in practice</w:t>
      </w:r>
      <w:r w:rsidR="00776841">
        <w:t xml:space="preserve">. MSAC therefore advised </w:t>
      </w:r>
      <w:r>
        <w:t xml:space="preserve">that it would be preferable not to specify </w:t>
      </w:r>
      <w:r w:rsidR="00776841">
        <w:t xml:space="preserve">any </w:t>
      </w:r>
      <w:r w:rsidR="00E052E3">
        <w:t>radio</w:t>
      </w:r>
      <w:r w:rsidR="00D20E63" w:rsidRPr="00A963EF">
        <w:t>pharmaceutical</w:t>
      </w:r>
      <w:r w:rsidR="00D20E63">
        <w:t xml:space="preserve"> </w:t>
      </w:r>
      <w:r>
        <w:t>tracer</w:t>
      </w:r>
      <w:r w:rsidR="00776841">
        <w:t>s</w:t>
      </w:r>
      <w:r>
        <w:t xml:space="preserve"> in the </w:t>
      </w:r>
      <w:r w:rsidR="00D20E63">
        <w:t xml:space="preserve">MBS </w:t>
      </w:r>
      <w:r>
        <w:t>item descriptor</w:t>
      </w:r>
      <w:r w:rsidR="00D20E63">
        <w:t>s</w:t>
      </w:r>
      <w:r>
        <w:t xml:space="preserve">, to allow clinicians and nuclear medicine physicians the choice of </w:t>
      </w:r>
      <w:r w:rsidR="00E052E3">
        <w:t>radio</w:t>
      </w:r>
      <w:r w:rsidR="00D20E63" w:rsidRPr="00A963EF">
        <w:t>pharmaceutical</w:t>
      </w:r>
      <w:r w:rsidR="00D20E63">
        <w:t xml:space="preserve"> </w:t>
      </w:r>
      <w:r>
        <w:t xml:space="preserve">tracer, and to allow for any future improved </w:t>
      </w:r>
      <w:r w:rsidR="00D20E63">
        <w:t>radio</w:t>
      </w:r>
      <w:r w:rsidR="00D20E63" w:rsidRPr="00A963EF">
        <w:t>pharmaceutical</w:t>
      </w:r>
      <w:r w:rsidR="00D20E63">
        <w:t xml:space="preserve"> </w:t>
      </w:r>
      <w:r>
        <w:t xml:space="preserve">tracers to be used as well. </w:t>
      </w:r>
      <w:r w:rsidR="00D20E63">
        <w:t>Current radio</w:t>
      </w:r>
      <w:r w:rsidR="00D20E63" w:rsidRPr="00A963EF">
        <w:t>pharmaceutical</w:t>
      </w:r>
      <w:r w:rsidR="00D20E63">
        <w:t xml:space="preserve"> </w:t>
      </w:r>
      <w:r>
        <w:t xml:space="preserve">tracers could be mentioned in the </w:t>
      </w:r>
      <w:r w:rsidR="00C5507E">
        <w:t xml:space="preserve">explanatory </w:t>
      </w:r>
      <w:r>
        <w:t>notes for the item.</w:t>
      </w:r>
      <w:r w:rsidR="00CF07FD">
        <w:t xml:space="preserve"> </w:t>
      </w:r>
    </w:p>
    <w:p w14:paraId="15602C3C" w14:textId="30BB23B6" w:rsidR="00705ABE" w:rsidRDefault="00705ABE" w:rsidP="003E0C21">
      <w:pPr>
        <w:pStyle w:val="NormalBeforeBullet"/>
        <w:spacing w:before="240"/>
      </w:pPr>
      <w:r>
        <w:t>MSAC noted that the economic evaluation included several outcomes:</w:t>
      </w:r>
    </w:p>
    <w:p w14:paraId="258DA721" w14:textId="0C3D03C5" w:rsidR="00705ABE" w:rsidRDefault="00705ABE" w:rsidP="00705ABE">
      <w:pPr>
        <w:pStyle w:val="Bullet"/>
        <w:numPr>
          <w:ilvl w:val="0"/>
          <w:numId w:val="30"/>
        </w:numPr>
        <w:ind w:left="720"/>
      </w:pPr>
      <w:r>
        <w:t xml:space="preserve">cost per additional accurate diagnosis – incremental cost effectiveness ratio (ICER) of $185.82 for </w:t>
      </w:r>
      <w:r w:rsidR="00C046F4">
        <w:t xml:space="preserve">initial </w:t>
      </w:r>
      <w:r>
        <w:t>staging, weighted ICER</w:t>
      </w:r>
      <w:r w:rsidR="00F94F47">
        <w:rPr>
          <w:rStyle w:val="FootnoteReference"/>
        </w:rPr>
        <w:footnoteReference w:id="1"/>
      </w:r>
      <w:r>
        <w:t xml:space="preserve"> of $1,071.80 for restaging</w:t>
      </w:r>
    </w:p>
    <w:p w14:paraId="465172B5" w14:textId="1BC66626" w:rsidR="00705ABE" w:rsidRDefault="00705ABE" w:rsidP="00705ABE">
      <w:pPr>
        <w:pStyle w:val="Bullet"/>
        <w:numPr>
          <w:ilvl w:val="0"/>
          <w:numId w:val="30"/>
        </w:numPr>
        <w:ind w:left="720"/>
      </w:pPr>
      <w:r>
        <w:t xml:space="preserve">cost per futile treatment avoided – ICER of $603.46 for </w:t>
      </w:r>
      <w:r w:rsidR="00C046F4">
        <w:t xml:space="preserve">initial </w:t>
      </w:r>
      <w:r>
        <w:t>staging, weighted ICER of $1,386.03 for restaging</w:t>
      </w:r>
    </w:p>
    <w:p w14:paraId="3DAA5BCD" w14:textId="25498185" w:rsidR="00705ABE" w:rsidRDefault="00705ABE" w:rsidP="00705ABE">
      <w:pPr>
        <w:pStyle w:val="BulletLast"/>
        <w:numPr>
          <w:ilvl w:val="0"/>
          <w:numId w:val="30"/>
        </w:numPr>
        <w:ind w:left="720"/>
      </w:pPr>
      <w:r>
        <w:t xml:space="preserve">cost per quality-adjusted life year (QALY) gained – PSMA PET/CT was dominant for </w:t>
      </w:r>
      <w:r w:rsidR="00C046F4">
        <w:t xml:space="preserve">initial </w:t>
      </w:r>
      <w:r>
        <w:t>staging, weighted ICER $9,168 for restaging.</w:t>
      </w:r>
    </w:p>
    <w:p w14:paraId="1AD349B7" w14:textId="752C31B3" w:rsidR="0043363E" w:rsidRDefault="00705ABE" w:rsidP="0043363E">
      <w:r>
        <w:t xml:space="preserve">ESC had queried whether there would be any difference in test performance and clinical utility in </w:t>
      </w:r>
      <w:r w:rsidR="005E5A22">
        <w:t xml:space="preserve">patients with </w:t>
      </w:r>
      <w:r>
        <w:t>intermediate-risk cancer</w:t>
      </w:r>
      <w:r w:rsidR="005E5A22">
        <w:t xml:space="preserve"> (included in </w:t>
      </w:r>
      <w:r w:rsidR="00735E15">
        <w:t xml:space="preserve">the </w:t>
      </w:r>
      <w:r w:rsidR="005E5A22">
        <w:t xml:space="preserve">proposed MBS </w:t>
      </w:r>
      <w:r w:rsidR="00735E15">
        <w:t xml:space="preserve">initial staging </w:t>
      </w:r>
      <w:r w:rsidR="005E5A22">
        <w:t>population)</w:t>
      </w:r>
      <w:r>
        <w:t xml:space="preserve"> compared with </w:t>
      </w:r>
      <w:r w:rsidR="005E5A22">
        <w:t xml:space="preserve">patients with </w:t>
      </w:r>
      <w:r>
        <w:t>high-risk cancer</w:t>
      </w:r>
      <w:r w:rsidR="00813898">
        <w:t xml:space="preserve"> (predominant population</w:t>
      </w:r>
      <w:r>
        <w:t xml:space="preserve"> included in the </w:t>
      </w:r>
      <w:proofErr w:type="spellStart"/>
      <w:r>
        <w:t>proPSMA</w:t>
      </w:r>
      <w:proofErr w:type="spellEnd"/>
      <w:r>
        <w:t xml:space="preserve"> trial</w:t>
      </w:r>
      <w:r w:rsidR="00F94F47">
        <w:t>)</w:t>
      </w:r>
      <w:r>
        <w:t xml:space="preserve">. </w:t>
      </w:r>
      <w:r w:rsidR="00735E15">
        <w:t>MSAC noted that s</w:t>
      </w:r>
      <w:r>
        <w:t xml:space="preserve">ensitivity analyses </w:t>
      </w:r>
      <w:r w:rsidR="00665303">
        <w:t xml:space="preserve">performed </w:t>
      </w:r>
      <w:r>
        <w:t xml:space="preserve">in the pre-MSAC response showed that assuming lower sensitivity of </w:t>
      </w:r>
      <w:r w:rsidR="00C92789">
        <w:t xml:space="preserve">PSMA </w:t>
      </w:r>
      <w:r>
        <w:t xml:space="preserve">PET/CT for metastases or nodal involvement, and/or assuming lower frequency of metastases or nodal involvement had little effect on the ICER. </w:t>
      </w:r>
      <w:r w:rsidR="006D6464">
        <w:t xml:space="preserve">ESC </w:t>
      </w:r>
      <w:r w:rsidR="00735E15">
        <w:t xml:space="preserve">had </w:t>
      </w:r>
      <w:r w:rsidR="006D6464">
        <w:t>also queried the appropriateness of</w:t>
      </w:r>
      <w:r w:rsidR="006D6464" w:rsidRPr="003F7912">
        <w:t xml:space="preserve"> </w:t>
      </w:r>
      <w:r w:rsidR="006D6464">
        <w:t xml:space="preserve">several </w:t>
      </w:r>
      <w:r w:rsidR="006D6464" w:rsidRPr="003F7912">
        <w:t xml:space="preserve">utility values in the </w:t>
      </w:r>
      <w:r w:rsidR="00735E15">
        <w:t xml:space="preserve">economic </w:t>
      </w:r>
      <w:r w:rsidR="006D6464" w:rsidRPr="003F7912">
        <w:t>model</w:t>
      </w:r>
      <w:r w:rsidR="0043363E">
        <w:t xml:space="preserve">, in particular the disutility values applied for </w:t>
      </w:r>
      <w:r w:rsidR="001736C5">
        <w:t>incorrect diagnoses</w:t>
      </w:r>
      <w:r w:rsidR="0043363E">
        <w:t xml:space="preserve"> (false negative and false positive scans) and the duration</w:t>
      </w:r>
      <w:r w:rsidR="001736C5">
        <w:t xml:space="preserve"> they were applied</w:t>
      </w:r>
      <w:r w:rsidR="0043363E">
        <w:t xml:space="preserve">. </w:t>
      </w:r>
      <w:r>
        <w:t xml:space="preserve">MSAC noted that </w:t>
      </w:r>
      <w:proofErr w:type="spellStart"/>
      <w:r>
        <w:t>disutilities</w:t>
      </w:r>
      <w:proofErr w:type="spellEnd"/>
      <w:r>
        <w:t xml:space="preserve"> had been assigned in the ADAR based on actual disease state and diagnosis-based treatment, with effects lasting for 1 year, </w:t>
      </w:r>
      <w:r w:rsidR="005E5A22">
        <w:t xml:space="preserve">but that the pre-MSAC response provided </w:t>
      </w:r>
      <w:r w:rsidR="001736C5">
        <w:t>additional</w:t>
      </w:r>
      <w:r>
        <w:t xml:space="preserve"> sensitivity analyses on </w:t>
      </w:r>
      <w:r w:rsidR="005E5A22">
        <w:t xml:space="preserve">these model parameters </w:t>
      </w:r>
      <w:r w:rsidR="00F94F47">
        <w:t xml:space="preserve">showing they </w:t>
      </w:r>
      <w:r>
        <w:t>had little effect on the ICERs.</w:t>
      </w:r>
    </w:p>
    <w:p w14:paraId="474408E8" w14:textId="4448DC1B" w:rsidR="0043363E" w:rsidRDefault="0043363E" w:rsidP="0043363E">
      <w:r>
        <w:t xml:space="preserve">MSAC </w:t>
      </w:r>
      <w:r w:rsidR="00C92789">
        <w:t xml:space="preserve">considered that </w:t>
      </w:r>
      <w:r>
        <w:t>the applicant’s pre-MSAC response adequately addressed the areas of concern raised by ESC.</w:t>
      </w:r>
      <w:r w:rsidR="00C92789">
        <w:t xml:space="preserve"> </w:t>
      </w:r>
      <w:r w:rsidR="005C50D8">
        <w:t xml:space="preserve">Together with the reassurance provided by the other sensitivity analyses presented in the ADAR, </w:t>
      </w:r>
      <w:r w:rsidR="00C92789">
        <w:t xml:space="preserve">MSAC concluded that PSMA PET/CT was acceptably cost-effective for both initial staging </w:t>
      </w:r>
      <w:r w:rsidR="00371BC1">
        <w:t xml:space="preserve">(of both intermediate-risk and high-risk patients) </w:t>
      </w:r>
      <w:r w:rsidR="00C92789">
        <w:t>and re</w:t>
      </w:r>
      <w:r w:rsidR="006D55AF">
        <w:noBreakHyphen/>
      </w:r>
      <w:r w:rsidR="00C92789">
        <w:t>staging.</w:t>
      </w:r>
    </w:p>
    <w:p w14:paraId="05F0F298" w14:textId="1823030E" w:rsidR="00705ABE" w:rsidRDefault="00705ABE" w:rsidP="003E0C21">
      <w:pPr>
        <w:spacing w:before="240"/>
      </w:pPr>
      <w:r>
        <w:t xml:space="preserve">MSAC noted the financial impact, including the cost of PSMA PET/CT services, cost </w:t>
      </w:r>
      <w:r w:rsidR="006220FA">
        <w:t>offsets</w:t>
      </w:r>
      <w:r>
        <w:t xml:space="preserve"> from </w:t>
      </w:r>
      <w:r w:rsidR="005E5A22">
        <w:t xml:space="preserve">substituted </w:t>
      </w:r>
      <w:r>
        <w:t>CVI services and adjustment for the Greatest Permissible Gap. The net cost to the MBS was around $2.6 million to $2.9 million each year over 5 years.</w:t>
      </w:r>
      <w:r w:rsidR="0000726F">
        <w:t xml:space="preserve"> </w:t>
      </w:r>
      <w:r w:rsidR="0000726F" w:rsidRPr="00583377">
        <w:rPr>
          <w:iCs/>
        </w:rPr>
        <w:t>MSAC advised</w:t>
      </w:r>
      <w:r w:rsidR="0000726F">
        <w:rPr>
          <w:iCs/>
        </w:rPr>
        <w:t xml:space="preserve"> </w:t>
      </w:r>
      <w:r w:rsidR="0000726F" w:rsidRPr="00583377">
        <w:rPr>
          <w:iCs/>
        </w:rPr>
        <w:t xml:space="preserve">that </w:t>
      </w:r>
      <w:r w:rsidR="0000726F">
        <w:rPr>
          <w:iCs/>
        </w:rPr>
        <w:t xml:space="preserve">a </w:t>
      </w:r>
      <w:r w:rsidR="0000726F" w:rsidRPr="00583377">
        <w:rPr>
          <w:iCs/>
        </w:rPr>
        <w:t>review be conducted in 2 years</w:t>
      </w:r>
      <w:r w:rsidR="00253ED9">
        <w:rPr>
          <w:iCs/>
        </w:rPr>
        <w:t xml:space="preserve"> to </w:t>
      </w:r>
      <w:r w:rsidR="0038069B">
        <w:rPr>
          <w:iCs/>
        </w:rPr>
        <w:t>monitor</w:t>
      </w:r>
      <w:r w:rsidR="00253ED9">
        <w:rPr>
          <w:iCs/>
        </w:rPr>
        <w:t xml:space="preserve"> utilisation</w:t>
      </w:r>
      <w:r w:rsidR="0000726F">
        <w:rPr>
          <w:iCs/>
        </w:rPr>
        <w:t>.</w:t>
      </w:r>
    </w:p>
    <w:p w14:paraId="62EC1C0D" w14:textId="0EFEFFFA" w:rsidR="00122E42" w:rsidRPr="006271C5" w:rsidRDefault="00065623" w:rsidP="006271C5">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Background</w:t>
      </w:r>
    </w:p>
    <w:p w14:paraId="498B507A" w14:textId="7A86A152" w:rsidR="00122E42" w:rsidRDefault="00122E42" w:rsidP="00122E42">
      <w:pPr>
        <w:rPr>
          <w:szCs w:val="24"/>
        </w:rPr>
      </w:pPr>
      <w:r>
        <w:t xml:space="preserve">This </w:t>
      </w:r>
      <w:r w:rsidR="004C659B">
        <w:t>wa</w:t>
      </w:r>
      <w:r>
        <w:t xml:space="preserve">s the first submission for PSMA PET/CT for informing treatment of patients with prostate cancer. </w:t>
      </w:r>
      <w:r>
        <w:rPr>
          <w:szCs w:val="24"/>
        </w:rPr>
        <w:t>MSAC has not previously considered this application.</w:t>
      </w:r>
    </w:p>
    <w:p w14:paraId="7C6994E9" w14:textId="6B0F4CE3" w:rsidR="00B411FE" w:rsidRPr="006271C5" w:rsidRDefault="00122E42" w:rsidP="003E0C21">
      <w:pPr>
        <w:spacing w:before="240"/>
      </w:pPr>
      <w:r w:rsidRPr="00281E3E">
        <w:rPr>
          <w:color w:val="000000"/>
          <w:szCs w:val="24"/>
        </w:rPr>
        <w:t xml:space="preserve">The MBS Review Taskforce recommended that the Medical Services Advisory Committee (MSAC) consider the inclusion of gallium-68 (68Ga)-PSMA PET/CT on the MBS, referring to the modality’s superiority over </w:t>
      </w:r>
      <w:r w:rsidR="002C57B2">
        <w:rPr>
          <w:color w:val="000000"/>
          <w:szCs w:val="24"/>
        </w:rPr>
        <w:t>CVI</w:t>
      </w:r>
      <w:r w:rsidRPr="00281E3E">
        <w:rPr>
          <w:color w:val="000000"/>
          <w:szCs w:val="24"/>
        </w:rPr>
        <w:t xml:space="preserve"> for staging and restaging of prostate cancer and its ability to change management intent for newly diagnosed and recurrent prostate cancer patients</w:t>
      </w:r>
      <w:r>
        <w:rPr>
          <w:color w:val="000000"/>
          <w:szCs w:val="24"/>
        </w:rPr>
        <w:t>.</w:t>
      </w:r>
    </w:p>
    <w:p w14:paraId="33D0131A" w14:textId="6B7F35B5" w:rsidR="00BB26AB" w:rsidRPr="006271C5" w:rsidRDefault="00065623" w:rsidP="004C659B">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Prerequisites to implementation of any funding advice</w:t>
      </w:r>
    </w:p>
    <w:p w14:paraId="77D1E91E" w14:textId="1BAA6222" w:rsidR="006C499C" w:rsidRDefault="006C499C" w:rsidP="006C499C">
      <w:pPr>
        <w:pStyle w:val="Heading2"/>
      </w:pPr>
      <w:r>
        <w:t>PET/CT</w:t>
      </w:r>
    </w:p>
    <w:p w14:paraId="72836FF1" w14:textId="3EE3ED21" w:rsidR="006C499C" w:rsidRDefault="006C499C" w:rsidP="006C499C">
      <w:r>
        <w:t>The Ratified PICO note</w:t>
      </w:r>
      <w:r w:rsidR="004C659B">
        <w:t>d</w:t>
      </w:r>
      <w:r>
        <w:t xml:space="preserve"> that PET imaging is now almost always combined with CT, with scans collected using a single, hybrid PET/CT scanner (PICO Confirmation, p. 14). There are several hybrid PET/CT devices listed on the Australian Register of Therapeutic Goods (ARTG) (ARTG numbers: 343270, 324191, 296394, 292543, 271560, 144218 and 118077).</w:t>
      </w:r>
    </w:p>
    <w:p w14:paraId="65053E38" w14:textId="2B7F9FDC" w:rsidR="006C499C" w:rsidRDefault="006C499C" w:rsidP="003E0C21">
      <w:pPr>
        <w:pStyle w:val="Heading2"/>
        <w:spacing w:before="240"/>
      </w:pPr>
      <w:r>
        <w:t>PSMA</w:t>
      </w:r>
    </w:p>
    <w:p w14:paraId="2EF09CF9" w14:textId="69A14F13" w:rsidR="006C499C" w:rsidRPr="00B02E35" w:rsidRDefault="006C499C" w:rsidP="006C499C">
      <w:r w:rsidRPr="00A963EF">
        <w:t xml:space="preserve">PASC reported that the most widely used radiopharmaceutical tracer in PSMA PET/CT imaging for informing treatments of patients with prostate cancer is </w:t>
      </w:r>
      <w:r w:rsidRPr="00A963EF">
        <w:rPr>
          <w:vertAlign w:val="superscript"/>
        </w:rPr>
        <w:t>68</w:t>
      </w:r>
      <w:r w:rsidRPr="00A963EF">
        <w:t>Ga-PSMA-11.</w:t>
      </w:r>
      <w:r>
        <w:t xml:space="preserve"> Radiopharmaceuticals such as </w:t>
      </w:r>
      <w:r w:rsidRPr="00A963EF">
        <w:rPr>
          <w:vertAlign w:val="superscript"/>
        </w:rPr>
        <w:t>68</w:t>
      </w:r>
      <w:r w:rsidRPr="00A963EF">
        <w:t>Ga-PSMA-11</w:t>
      </w:r>
      <w:r>
        <w:t>, that are produced extemporaneously in a facility holding a GMP license (license to manufacture therapeutic goods)</w:t>
      </w:r>
      <w:r w:rsidR="004C659B">
        <w:t>,</w:t>
      </w:r>
      <w:r>
        <w:t xml:space="preserve"> are exempt from a requirement for ARTG listing under Schedule 5(6) and 8(2) of the Therapeutic Goods Regulations 1990 and part 3-3 of the Therapeutic Goods Act 1989.</w:t>
      </w:r>
      <w:r>
        <w:rPr>
          <w:rStyle w:val="FootnoteReference"/>
        </w:rPr>
        <w:footnoteReference w:id="2"/>
      </w:r>
    </w:p>
    <w:p w14:paraId="18C0F6EA" w14:textId="5A5540E5" w:rsidR="006C499C" w:rsidRPr="006271C5" w:rsidRDefault="00065623" w:rsidP="003B1B0E">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Proposal for public funding</w:t>
      </w:r>
      <w:bookmarkStart w:id="1" w:name="_Ref68611300"/>
      <w:bookmarkStart w:id="2" w:name="_Toc399251120"/>
      <w:bookmarkStart w:id="3" w:name="_Toc68674890"/>
      <w:bookmarkStart w:id="4" w:name="_Toc68703754"/>
      <w:bookmarkStart w:id="5" w:name="_Toc68674773"/>
    </w:p>
    <w:p w14:paraId="3AEECE9B" w14:textId="75B9AAAA" w:rsidR="008F4257" w:rsidRPr="00183E4D" w:rsidRDefault="006C499C" w:rsidP="00692054">
      <w:r>
        <w:t>The ADAR</w:t>
      </w:r>
      <w:r w:rsidR="004F2209">
        <w:t xml:space="preserve"> </w:t>
      </w:r>
      <w:r>
        <w:t>proposed radio</w:t>
      </w:r>
      <w:r w:rsidR="003B5175">
        <w:t xml:space="preserve">pharmaceutical </w:t>
      </w:r>
      <w:r>
        <w:t xml:space="preserve">tracer-agnostic MBS item descriptors for PSMA PET/CT in two distinct populations </w:t>
      </w:r>
      <w:r w:rsidR="004F2209">
        <w:t>as</w:t>
      </w:r>
      <w:r>
        <w:t xml:space="preserve"> summarised in </w:t>
      </w:r>
      <w:r w:rsidR="006729CC">
        <w:t>Table 1</w:t>
      </w:r>
      <w:r>
        <w:t xml:space="preserve"> (</w:t>
      </w:r>
      <w:r w:rsidR="008F4257">
        <w:t>Population 1</w:t>
      </w:r>
      <w:r>
        <w:t xml:space="preserve">) and </w:t>
      </w:r>
      <w:r>
        <w:fldChar w:fldCharType="begin"/>
      </w:r>
      <w:r>
        <w:instrText xml:space="preserve"> REF _Ref68611302 \h </w:instrText>
      </w:r>
      <w:r>
        <w:fldChar w:fldCharType="separate"/>
      </w:r>
      <w:r>
        <w:t xml:space="preserve">Table </w:t>
      </w:r>
      <w:r w:rsidR="006C5787">
        <w:t>2</w:t>
      </w:r>
      <w:r>
        <w:fldChar w:fldCharType="end"/>
      </w:r>
      <w:r>
        <w:t xml:space="preserve"> (</w:t>
      </w:r>
      <w:r w:rsidR="008F4257">
        <w:t>Population 2</w:t>
      </w:r>
      <w:r>
        <w:t>). Changes in the wording of the item descriptors in the ADAR from those used in the PICO Confirmati</w:t>
      </w:r>
      <w:r w:rsidR="006729CC">
        <w:t>on are marked up in red text.</w:t>
      </w:r>
    </w:p>
    <w:p w14:paraId="3E1413D9" w14:textId="3A441CD6" w:rsidR="006C499C" w:rsidRPr="00183E4D" w:rsidRDefault="006C499C" w:rsidP="006C499C">
      <w:pPr>
        <w:pStyle w:val="Caption"/>
      </w:pPr>
      <w:bookmarkStart w:id="6" w:name="_Ref70418103"/>
      <w:bookmarkStart w:id="7" w:name="_Toc71729642"/>
      <w:r>
        <w:t>Table</w:t>
      </w:r>
      <w:bookmarkEnd w:id="1"/>
      <w:bookmarkEnd w:id="2"/>
      <w:bookmarkEnd w:id="3"/>
      <w:bookmarkEnd w:id="4"/>
      <w:bookmarkEnd w:id="6"/>
      <w:r w:rsidR="00A27844">
        <w:t xml:space="preserve"> 1</w:t>
      </w:r>
      <w:r w:rsidR="00A27844">
        <w:tab/>
      </w:r>
      <w:r w:rsidRPr="00183E4D">
        <w:t xml:space="preserve">Proposed </w:t>
      </w:r>
      <w:r w:rsidRPr="003B0968">
        <w:t>MBS item</w:t>
      </w:r>
      <w:r w:rsidRPr="00183E4D">
        <w:t xml:space="preserve"> descriptor</w:t>
      </w:r>
      <w:r>
        <w:t xml:space="preserve"> for Population 1 (ADAR-proposed changes from PASC marked in red)</w:t>
      </w:r>
      <w:bookmarkEnd w:id="7"/>
    </w:p>
    <w:tbl>
      <w:tblPr>
        <w:tblStyle w:val="TableGrid1"/>
        <w:tblW w:w="5000" w:type="pct"/>
        <w:tblLook w:val="04A0" w:firstRow="1" w:lastRow="0" w:firstColumn="1" w:lastColumn="0" w:noHBand="0" w:noVBand="1"/>
        <w:tblCaption w:val="Table 1 Proposed MBS item descriptor for Population 1 (ADAR-proposed changes from PASC marked in red)"/>
        <w:tblDescription w:val="Proposed MBS item descriptor for Population 1"/>
      </w:tblPr>
      <w:tblGrid>
        <w:gridCol w:w="9016"/>
      </w:tblGrid>
      <w:tr w:rsidR="006C499C" w:rsidRPr="00D33FC3" w14:paraId="7550F2C8" w14:textId="77777777" w:rsidTr="00854FCB">
        <w:trPr>
          <w:cnfStyle w:val="100000000000" w:firstRow="1" w:lastRow="0" w:firstColumn="0" w:lastColumn="0" w:oddVBand="0" w:evenVBand="0" w:oddHBand="0" w:evenHBand="0" w:firstRowFirstColumn="0" w:firstRowLastColumn="0" w:lastRowFirstColumn="0" w:lastRowLastColumn="0"/>
        </w:trPr>
        <w:tc>
          <w:tcPr>
            <w:tcW w:w="5000" w:type="pct"/>
          </w:tcPr>
          <w:p w14:paraId="234A52A3" w14:textId="77777777" w:rsidR="006C499C" w:rsidRPr="00D33FC3" w:rsidRDefault="006C499C" w:rsidP="003B2D05">
            <w:pPr>
              <w:pStyle w:val="Tabletextright"/>
              <w:jc w:val="left"/>
              <w:rPr>
                <w:sz w:val="24"/>
              </w:rPr>
            </w:pPr>
            <w:r w:rsidRPr="00183E4D">
              <w:t xml:space="preserve">Category </w:t>
            </w:r>
            <w:r>
              <w:t>5 – Diagnostic Imaging Services</w:t>
            </w:r>
          </w:p>
        </w:tc>
      </w:tr>
      <w:tr w:rsidR="006C499C" w:rsidRPr="00C03585" w14:paraId="7836AEB2" w14:textId="77777777" w:rsidTr="00854FCB">
        <w:tc>
          <w:tcPr>
            <w:tcW w:w="5000" w:type="pct"/>
          </w:tcPr>
          <w:p w14:paraId="3D7ECC02" w14:textId="77777777" w:rsidR="006C499C" w:rsidRDefault="006C499C" w:rsidP="003B2D05">
            <w:pPr>
              <w:pStyle w:val="TableText0"/>
            </w:pPr>
            <w:r>
              <w:t>MBS [item number]</w:t>
            </w:r>
          </w:p>
          <w:p w14:paraId="44652B30" w14:textId="77777777" w:rsidR="006C499C" w:rsidRDefault="006C499C" w:rsidP="003B2D05">
            <w:pPr>
              <w:pStyle w:val="Tabletext"/>
              <w:rPr>
                <w:snapToGrid w:val="0"/>
                <w:sz w:val="24"/>
              </w:rPr>
            </w:pPr>
            <w:r w:rsidRPr="00765A67">
              <w:t>P</w:t>
            </w:r>
            <w:r>
              <w:t xml:space="preserve">rostate-specific membrane antigen (PSMA) </w:t>
            </w:r>
            <w:r w:rsidRPr="003702EF">
              <w:rPr>
                <w:strike/>
                <w:color w:val="FF0000"/>
              </w:rPr>
              <w:t>PET study</w:t>
            </w:r>
            <w:r w:rsidRPr="003702EF">
              <w:rPr>
                <w:color w:val="FF0000"/>
              </w:rPr>
              <w:t xml:space="preserve"> positron emission tomography (PET)/computerised tomography (CT) study</w:t>
            </w:r>
            <w:r w:rsidRPr="00765A67">
              <w:t xml:space="preserve">, performed for the </w:t>
            </w:r>
            <w:r w:rsidRPr="0040509C">
              <w:rPr>
                <w:strike/>
                <w:color w:val="FF0000"/>
              </w:rPr>
              <w:t>initial N- and M- staging</w:t>
            </w:r>
            <w:r w:rsidRPr="0040509C">
              <w:rPr>
                <w:color w:val="FF0000"/>
              </w:rPr>
              <w:t xml:space="preserve"> </w:t>
            </w:r>
            <w:r w:rsidRPr="005E1A43">
              <w:rPr>
                <w:color w:val="FF0000"/>
              </w:rPr>
              <w:t xml:space="preserve">primary staging </w:t>
            </w:r>
            <w:r w:rsidRPr="00765A67">
              <w:t>of intermediate</w:t>
            </w:r>
            <w:r>
              <w:t>-</w:t>
            </w:r>
            <w:r w:rsidRPr="00765A67">
              <w:t xml:space="preserve"> to high</w:t>
            </w:r>
            <w:r>
              <w:t>-</w:t>
            </w:r>
            <w:r w:rsidRPr="00765A67">
              <w:t>risk prostate adenocarcinoma, for a previously untreated patient who is otherwise considered suitable for locoregional therapy with curative intent</w:t>
            </w:r>
            <w:r>
              <w:t>.</w:t>
            </w:r>
          </w:p>
        </w:tc>
      </w:tr>
      <w:tr w:rsidR="006C499C" w:rsidRPr="00C03585" w14:paraId="6CAA113E" w14:textId="77777777" w:rsidTr="00854FCB">
        <w:tc>
          <w:tcPr>
            <w:tcW w:w="5000" w:type="pct"/>
          </w:tcPr>
          <w:p w14:paraId="64D8CFD5" w14:textId="38739F27" w:rsidR="006C499C" w:rsidRDefault="006C499C" w:rsidP="003B2D05">
            <w:pPr>
              <w:pStyle w:val="Tabletext"/>
              <w:rPr>
                <w:sz w:val="24"/>
              </w:rPr>
            </w:pPr>
            <w:r w:rsidRPr="00C03585">
              <w:t>Fee:</w:t>
            </w:r>
            <w:r w:rsidRPr="00765A67">
              <w:t xml:space="preserve"> $</w:t>
            </w:r>
            <w:r>
              <w:t>1400</w:t>
            </w:r>
          </w:p>
        </w:tc>
      </w:tr>
    </w:tbl>
    <w:p w14:paraId="536462D2" w14:textId="5406572D" w:rsidR="006C499C" w:rsidRDefault="006C499C" w:rsidP="006F02E2">
      <w:pPr>
        <w:pStyle w:val="Tablenotes"/>
      </w:pPr>
      <w:r w:rsidRPr="00BF18F2">
        <w:rPr>
          <w:b/>
        </w:rPr>
        <w:t>Source</w:t>
      </w:r>
      <w:r>
        <w:t xml:space="preserve">: Compiled from </w:t>
      </w:r>
      <w:r w:rsidRPr="00C03585">
        <w:t>Table</w:t>
      </w:r>
      <w:r>
        <w:t xml:space="preserve"> ES 2</w:t>
      </w:r>
      <w:r w:rsidRPr="00C03585">
        <w:t>, p</w:t>
      </w:r>
      <w:r>
        <w:t xml:space="preserve">26 </w:t>
      </w:r>
      <w:r w:rsidRPr="00C03585">
        <w:t xml:space="preserve">of the </w:t>
      </w:r>
      <w:r>
        <w:t>ADAR</w:t>
      </w:r>
    </w:p>
    <w:p w14:paraId="4D2FF053" w14:textId="79655A3E" w:rsidR="006C499C" w:rsidRDefault="006C499C" w:rsidP="003E0C21">
      <w:pPr>
        <w:pStyle w:val="Caption"/>
        <w:spacing w:before="240"/>
      </w:pPr>
      <w:bookmarkStart w:id="8" w:name="_Ref68611302"/>
      <w:bookmarkStart w:id="9" w:name="_Toc68674891"/>
      <w:bookmarkStart w:id="10" w:name="_Toc68703755"/>
      <w:bookmarkStart w:id="11" w:name="_Toc71729643"/>
      <w:r>
        <w:t xml:space="preserve">Table </w:t>
      </w:r>
      <w:bookmarkEnd w:id="8"/>
      <w:r w:rsidR="00A27844">
        <w:t>2</w:t>
      </w:r>
      <w:r w:rsidR="00A27844">
        <w:tab/>
      </w:r>
      <w:r>
        <w:t>Proposed MBS item descriptor for Population 2</w:t>
      </w:r>
      <w:bookmarkEnd w:id="9"/>
      <w:bookmarkEnd w:id="10"/>
      <w:r>
        <w:t xml:space="preserve"> (ADAR-proposed changes from PASC marked in red)</w:t>
      </w:r>
      <w:bookmarkEnd w:id="11"/>
    </w:p>
    <w:tbl>
      <w:tblPr>
        <w:tblStyle w:val="TableGrid1"/>
        <w:tblW w:w="5000" w:type="pct"/>
        <w:tblLook w:val="04A0" w:firstRow="1" w:lastRow="0" w:firstColumn="1" w:lastColumn="0" w:noHBand="0" w:noVBand="1"/>
        <w:tblCaption w:val="Table 2 Proposed MBS item descriptor for Population 2 (ADAR-proposed changes from PASC marked in red)"/>
        <w:tblDescription w:val="Proposed item descriptor for Population 2"/>
      </w:tblPr>
      <w:tblGrid>
        <w:gridCol w:w="9016"/>
      </w:tblGrid>
      <w:tr w:rsidR="006C499C" w:rsidRPr="00D33FC3" w14:paraId="42CF79A9" w14:textId="77777777" w:rsidTr="00854FCB">
        <w:trPr>
          <w:cnfStyle w:val="100000000000" w:firstRow="1" w:lastRow="0" w:firstColumn="0" w:lastColumn="0" w:oddVBand="0" w:evenVBand="0" w:oddHBand="0" w:evenHBand="0" w:firstRowFirstColumn="0" w:firstRowLastColumn="0" w:lastRowFirstColumn="0" w:lastRowLastColumn="0"/>
        </w:trPr>
        <w:tc>
          <w:tcPr>
            <w:tcW w:w="5000" w:type="pct"/>
          </w:tcPr>
          <w:p w14:paraId="4323786B" w14:textId="77777777" w:rsidR="006C499C" w:rsidRPr="00D33FC3" w:rsidRDefault="006C499C" w:rsidP="003B2D05">
            <w:pPr>
              <w:pStyle w:val="Tabletextright"/>
              <w:jc w:val="left"/>
              <w:rPr>
                <w:sz w:val="24"/>
              </w:rPr>
            </w:pPr>
            <w:r w:rsidRPr="00183E4D">
              <w:t xml:space="preserve">Category </w:t>
            </w:r>
            <w:r>
              <w:t>5 – Diagnostic Imaging Services</w:t>
            </w:r>
          </w:p>
        </w:tc>
      </w:tr>
      <w:tr w:rsidR="006C499C" w:rsidRPr="00C03585" w14:paraId="533561DB" w14:textId="77777777" w:rsidTr="00854FCB">
        <w:tc>
          <w:tcPr>
            <w:tcW w:w="5000" w:type="pct"/>
          </w:tcPr>
          <w:p w14:paraId="2C7B2B9A" w14:textId="77777777" w:rsidR="006C499C" w:rsidRDefault="006C499C" w:rsidP="003B2D05">
            <w:pPr>
              <w:pStyle w:val="TableText0"/>
            </w:pPr>
            <w:r>
              <w:t>MBS [item number]</w:t>
            </w:r>
          </w:p>
          <w:p w14:paraId="0C44794E" w14:textId="77777777" w:rsidR="006C499C" w:rsidRDefault="006C499C" w:rsidP="003B2D05">
            <w:pPr>
              <w:pStyle w:val="TableText0"/>
            </w:pPr>
            <w:r>
              <w:t xml:space="preserve">Prostate-specific membrane antigen (PSMA) </w:t>
            </w:r>
            <w:r w:rsidRPr="00B76CFB">
              <w:rPr>
                <w:strike/>
                <w:color w:val="FF0000"/>
              </w:rPr>
              <w:t>PET study</w:t>
            </w:r>
            <w:r w:rsidRPr="00B76CFB">
              <w:rPr>
                <w:color w:val="FF0000"/>
              </w:rPr>
              <w:t xml:space="preserve"> positron emission tomography (PET)/computerised tomography (CT) study, </w:t>
            </w:r>
            <w:r>
              <w:t xml:space="preserve">performed for the restaging of recurrent prostate adenocarcinoma, for a patient who has undergone prior locoregional therapy and who is otherwise considered suitable for further </w:t>
            </w:r>
            <w:r>
              <w:rPr>
                <w:u w:color="FF0000"/>
              </w:rPr>
              <w:t xml:space="preserve">locoregional </w:t>
            </w:r>
            <w:r w:rsidRPr="00765A67">
              <w:t>therapy</w:t>
            </w:r>
            <w:r>
              <w:t xml:space="preserve"> </w:t>
            </w:r>
            <w:r w:rsidRPr="00C8728F">
              <w:t>to</w:t>
            </w:r>
            <w:r w:rsidRPr="00CF695A">
              <w:rPr>
                <w:color w:val="FF0000"/>
              </w:rPr>
              <w:t xml:space="preserve"> </w:t>
            </w:r>
            <w:r w:rsidRPr="00CF695A">
              <w:rPr>
                <w:strike/>
                <w:color w:val="FF0000"/>
              </w:rPr>
              <w:t>delay systemic therapy</w:t>
            </w:r>
            <w:r w:rsidRPr="00CF695A">
              <w:rPr>
                <w:color w:val="FF0000"/>
              </w:rPr>
              <w:t xml:space="preserve"> </w:t>
            </w:r>
            <w:r w:rsidRPr="0040509C">
              <w:rPr>
                <w:color w:val="FF0000"/>
              </w:rPr>
              <w:t>determine appropriate therapeutic pathways and timing of treatment initiation.</w:t>
            </w:r>
          </w:p>
          <w:p w14:paraId="39EE6E51" w14:textId="77777777" w:rsidR="006C499C" w:rsidRPr="005E1A43" w:rsidRDefault="006C499C" w:rsidP="003B2D05">
            <w:pPr>
              <w:pStyle w:val="TableText0"/>
              <w:rPr>
                <w:color w:val="FF0000"/>
              </w:rPr>
            </w:pPr>
            <w:r w:rsidRPr="005E1A43">
              <w:rPr>
                <w:color w:val="FF0000"/>
              </w:rPr>
              <w:t>This includes patients with:</w:t>
            </w:r>
          </w:p>
          <w:p w14:paraId="0B0AF01F" w14:textId="6F331411" w:rsidR="006C499C" w:rsidRPr="005E1A43" w:rsidRDefault="006C499C" w:rsidP="006D55AF">
            <w:pPr>
              <w:pStyle w:val="TableText0"/>
              <w:numPr>
                <w:ilvl w:val="0"/>
                <w:numId w:val="31"/>
              </w:numPr>
              <w:rPr>
                <w:color w:val="FF0000"/>
              </w:rPr>
            </w:pPr>
            <w:r w:rsidRPr="005E1A43">
              <w:rPr>
                <w:color w:val="FF0000"/>
              </w:rPr>
              <w:t>a prostate-specific antigen (PSA) increase of 2</w:t>
            </w:r>
            <w:r w:rsidR="003B088B">
              <w:rPr>
                <w:color w:val="FF0000"/>
              </w:rPr>
              <w:t> </w:t>
            </w:r>
            <w:r w:rsidRPr="005E1A43">
              <w:rPr>
                <w:color w:val="FF0000"/>
              </w:rPr>
              <w:t>ng/ml above the nadir after external beam radiotherapy (EBRT),</w:t>
            </w:r>
            <w:r w:rsidRPr="005E1A43" w:rsidDel="009C0163">
              <w:rPr>
                <w:color w:val="FF0000"/>
              </w:rPr>
              <w:t xml:space="preserve"> </w:t>
            </w:r>
            <w:r w:rsidRPr="005E1A43">
              <w:rPr>
                <w:color w:val="FF0000"/>
              </w:rPr>
              <w:t>or</w:t>
            </w:r>
          </w:p>
          <w:p w14:paraId="3DAA8ECF" w14:textId="156FA378" w:rsidR="006C499C" w:rsidRDefault="006C499C" w:rsidP="006D55AF">
            <w:pPr>
              <w:pStyle w:val="TableText0"/>
              <w:numPr>
                <w:ilvl w:val="0"/>
                <w:numId w:val="31"/>
              </w:numPr>
              <w:rPr>
                <w:snapToGrid w:val="0"/>
                <w:sz w:val="24"/>
              </w:rPr>
            </w:pPr>
            <w:r w:rsidRPr="005E1A43">
              <w:rPr>
                <w:color w:val="FF0000"/>
              </w:rPr>
              <w:t>failure of PSA to fall to undetectable levels or rising serum PSA after radical prostatectomy</w:t>
            </w:r>
          </w:p>
        </w:tc>
      </w:tr>
      <w:tr w:rsidR="006C499C" w:rsidRPr="00C03585" w14:paraId="6041EFB7" w14:textId="77777777" w:rsidTr="00854FCB">
        <w:tc>
          <w:tcPr>
            <w:tcW w:w="5000" w:type="pct"/>
          </w:tcPr>
          <w:p w14:paraId="41F7F36A" w14:textId="77777777" w:rsidR="006C499C" w:rsidRDefault="006C499C" w:rsidP="003B2D05">
            <w:pPr>
              <w:pStyle w:val="Tabletext"/>
              <w:rPr>
                <w:sz w:val="24"/>
              </w:rPr>
            </w:pPr>
            <w:r w:rsidRPr="00C03585">
              <w:t xml:space="preserve">Fee: </w:t>
            </w:r>
            <w:r>
              <w:t>$1400</w:t>
            </w:r>
          </w:p>
        </w:tc>
      </w:tr>
    </w:tbl>
    <w:p w14:paraId="5C9620E3" w14:textId="77777777" w:rsidR="006C499C" w:rsidRPr="00CD3FE4" w:rsidRDefault="006C499C" w:rsidP="006F02E2">
      <w:pPr>
        <w:pStyle w:val="Tablenotes"/>
      </w:pPr>
      <w:r w:rsidRPr="00BF18F2">
        <w:rPr>
          <w:b/>
          <w:bCs/>
        </w:rPr>
        <w:t>Source</w:t>
      </w:r>
      <w:r>
        <w:t xml:space="preserve">: Compiled from </w:t>
      </w:r>
      <w:r w:rsidRPr="00C03585">
        <w:t>Table</w:t>
      </w:r>
      <w:r>
        <w:t xml:space="preserve"> ES 3</w:t>
      </w:r>
      <w:r w:rsidRPr="00C03585">
        <w:t>, p</w:t>
      </w:r>
      <w:r>
        <w:t xml:space="preserve">26 </w:t>
      </w:r>
      <w:r w:rsidRPr="00C03585">
        <w:t xml:space="preserve">of the </w:t>
      </w:r>
      <w:r>
        <w:t>ADAR</w:t>
      </w:r>
    </w:p>
    <w:bookmarkEnd w:id="5"/>
    <w:p w14:paraId="5F8E16C1" w14:textId="57673AF6" w:rsidR="008F4257" w:rsidRDefault="008F4257" w:rsidP="003E0C21">
      <w:pPr>
        <w:spacing w:before="240"/>
      </w:pPr>
      <w:r>
        <w:t>For population 1, PASC recommended changing the wording of the descriptor from ‘performed for the primary staging’ to ‘</w:t>
      </w:r>
      <w:r w:rsidRPr="00BB76B1">
        <w:t>perfor</w:t>
      </w:r>
      <w:r>
        <w:t xml:space="preserve">med for the initial (N- and M-) </w:t>
      </w:r>
      <w:r w:rsidRPr="00BB76B1">
        <w:t>staging</w:t>
      </w:r>
      <w:r>
        <w:t xml:space="preserve">’. In the ADAR the applicant notes that ‘primary staging’ is the terminology used in published </w:t>
      </w:r>
      <w:r w:rsidR="008947B2">
        <w:t>evidence and clinical settings.</w:t>
      </w:r>
    </w:p>
    <w:p w14:paraId="06E4513A" w14:textId="1F93F745" w:rsidR="008F4257" w:rsidRDefault="008F4257" w:rsidP="003E0C21">
      <w:pPr>
        <w:spacing w:before="240"/>
      </w:pPr>
      <w:r>
        <w:t>PASC was concerned that for population 2 there could be leakage to therapy monitoring. To reduce this</w:t>
      </w:r>
      <w:r w:rsidR="006220FA">
        <w:t>, PASC</w:t>
      </w:r>
      <w:r>
        <w:t xml:space="preserve"> suggested adding the phrase ‘to delay systemic therapy’ to the item descriptor. In the ADAR, the applicant suggests that ‘</w:t>
      </w:r>
      <w:r w:rsidRPr="00BB76B1">
        <w:t>to determine appropriate therapeutic pathways and</w:t>
      </w:r>
      <w:r>
        <w:t xml:space="preserve"> timing of treatment initiation’ is used instead, since the main aim of this service is to localise the site</w:t>
      </w:r>
      <w:r w:rsidRPr="00BB76B1">
        <w:t xml:space="preserve"> of recurrence and then offer optimal therapy including modalities that may delay disease progression which has the net effect of delaying systemic therapy.</w:t>
      </w:r>
    </w:p>
    <w:p w14:paraId="761B7446" w14:textId="3890804E" w:rsidR="008F4257" w:rsidRDefault="008F4257" w:rsidP="003E0C21">
      <w:pPr>
        <w:spacing w:before="240"/>
      </w:pPr>
      <w:r>
        <w:t xml:space="preserve">The </w:t>
      </w:r>
      <w:r w:rsidR="005D77C0">
        <w:t>C</w:t>
      </w:r>
      <w:r>
        <w:t>ommentary advised that it consulted with a</w:t>
      </w:r>
      <w:r w:rsidRPr="00CD4AA0">
        <w:t xml:space="preserve"> clinical expert </w:t>
      </w:r>
      <w:r>
        <w:t xml:space="preserve">who </w:t>
      </w:r>
      <w:r w:rsidRPr="00CD4AA0">
        <w:t>suggested that the second dot</w:t>
      </w:r>
      <w:r>
        <w:t>-</w:t>
      </w:r>
      <w:r w:rsidRPr="00CD4AA0">
        <w:t>point in the ADAR</w:t>
      </w:r>
      <w:r>
        <w:t xml:space="preserve"> proposed</w:t>
      </w:r>
      <w:r w:rsidRPr="00CD4AA0">
        <w:t xml:space="preserve"> MBS item descriptor for Population 2 be amended to include a minimum PSA level of 0.2</w:t>
      </w:r>
      <w:r>
        <w:t> </w:t>
      </w:r>
      <w:r w:rsidRPr="00CD4AA0">
        <w:t>ng/mL as a cut</w:t>
      </w:r>
      <w:r>
        <w:t>-</w:t>
      </w:r>
      <w:r w:rsidRPr="00CD4AA0">
        <w:t>off to signify biochemical recurrence after radical prostatectomy</w:t>
      </w:r>
      <w:r>
        <w:t xml:space="preserve">. However, </w:t>
      </w:r>
      <w:r w:rsidR="006D55AF">
        <w:t>i</w:t>
      </w:r>
      <w:r>
        <w:t>n the pre-ESC response, the applicant advised that it contacted</w:t>
      </w:r>
      <w:r w:rsidRPr="00763AED">
        <w:t xml:space="preserve"> clinical experts </w:t>
      </w:r>
      <w:r>
        <w:t xml:space="preserve">who </w:t>
      </w:r>
      <w:r w:rsidRPr="00763AED">
        <w:t>suggested that this is acceptable for patients treated with radiotherapy alone. After a radical prostatectomy, there should be no prostate tissue left and therefore, any rise is indicative of tumour recurrence. The co-sponsors oppose a threshold in this subgroup.</w:t>
      </w:r>
    </w:p>
    <w:p w14:paraId="0503CE3A" w14:textId="23C99A17" w:rsidR="008F4257" w:rsidRDefault="008F4257" w:rsidP="003E0C21">
      <w:pPr>
        <w:spacing w:before="240"/>
      </w:pPr>
      <w:r>
        <w:t xml:space="preserve">PASC advised that the applicant would need to </w:t>
      </w:r>
      <w:r w:rsidRPr="00AD3049">
        <w:t>demonstrate equivalence among tracers before a generic item descriptor could be considered appropriate, or els</w:t>
      </w:r>
      <w:r>
        <w:t>e the evidence-supported tracer</w:t>
      </w:r>
      <w:r w:rsidRPr="00AD3049">
        <w:t>s would need to be specified.</w:t>
      </w:r>
      <w:r>
        <w:t xml:space="preserve"> </w:t>
      </w:r>
    </w:p>
    <w:p w14:paraId="6936D6C1" w14:textId="4F112B47" w:rsidR="009D23DE" w:rsidRDefault="008F4257" w:rsidP="003E0C21">
      <w:pPr>
        <w:spacing w:before="240"/>
      </w:pPr>
      <w:r>
        <w:t>The proposed MBS fee for PSMA PET/CT for prostate cancer is $1,400.00. This proposed MBS fee is higher than all other PET items, with MBS fees ranging from $901.00 (item</w:t>
      </w:r>
      <w:r w:rsidR="00066693">
        <w:t> </w:t>
      </w:r>
      <w:r>
        <w:t>61538) to $1,053.00 (item 61647), and most PET items having an MBS fee of $953.00. The applicant suggests that the justification for this higher MBS fee is the higher cost of the PSMA radiopharmaceutical</w:t>
      </w:r>
      <w:r w:rsidR="003B5175">
        <w:t xml:space="preserve"> tracer</w:t>
      </w:r>
      <w:r>
        <w:t>s compared with</w:t>
      </w:r>
      <w:r w:rsidR="008947B2">
        <w:t xml:space="preserve"> FDG.</w:t>
      </w:r>
    </w:p>
    <w:p w14:paraId="5184F7D8" w14:textId="70B0A568" w:rsidR="00B411FE" w:rsidRPr="006271C5" w:rsidRDefault="00775963" w:rsidP="00B411FE">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 xml:space="preserve">Summary of </w:t>
      </w:r>
      <w:r w:rsidR="000C16FF" w:rsidRPr="006271C5">
        <w:rPr>
          <w:rFonts w:ascii="Arial" w:eastAsia="Times New Roman" w:hAnsi="Arial" w:cs="Times New Roman"/>
        </w:rPr>
        <w:t>public consultation feedback/consumer is</w:t>
      </w:r>
      <w:r w:rsidRPr="006271C5">
        <w:rPr>
          <w:rFonts w:ascii="Arial" w:eastAsia="Times New Roman" w:hAnsi="Arial" w:cs="Times New Roman"/>
        </w:rPr>
        <w:t>sues</w:t>
      </w:r>
    </w:p>
    <w:p w14:paraId="4A84ECBD" w14:textId="0C012DE8" w:rsidR="0096167A" w:rsidRDefault="0096167A" w:rsidP="0096167A">
      <w:pPr>
        <w:rPr>
          <w:szCs w:val="24"/>
        </w:rPr>
      </w:pPr>
      <w:r w:rsidRPr="0096167A">
        <w:rPr>
          <w:szCs w:val="24"/>
        </w:rPr>
        <w:t>Targeted consultation feedback was received fr</w:t>
      </w:r>
      <w:r>
        <w:rPr>
          <w:szCs w:val="24"/>
        </w:rPr>
        <w:t>om eight groups which included:</w:t>
      </w:r>
    </w:p>
    <w:p w14:paraId="687AFCE1" w14:textId="78C80C76" w:rsidR="0096167A" w:rsidRDefault="0096167A" w:rsidP="0096167A">
      <w:pPr>
        <w:pStyle w:val="ListParagraph"/>
        <w:numPr>
          <w:ilvl w:val="0"/>
          <w:numId w:val="19"/>
        </w:numPr>
        <w:rPr>
          <w:szCs w:val="24"/>
        </w:rPr>
      </w:pPr>
      <w:r w:rsidRPr="0096167A">
        <w:rPr>
          <w:szCs w:val="24"/>
        </w:rPr>
        <w:t>The Royal Australa</w:t>
      </w:r>
      <w:r>
        <w:rPr>
          <w:szCs w:val="24"/>
        </w:rPr>
        <w:t>sian College of Surgeons (RACS)</w:t>
      </w:r>
    </w:p>
    <w:p w14:paraId="514424FF" w14:textId="64E4EFAE" w:rsidR="0096167A" w:rsidRDefault="0096167A" w:rsidP="0096167A">
      <w:pPr>
        <w:pStyle w:val="ListParagraph"/>
        <w:numPr>
          <w:ilvl w:val="0"/>
          <w:numId w:val="19"/>
        </w:numPr>
        <w:rPr>
          <w:szCs w:val="24"/>
        </w:rPr>
      </w:pPr>
      <w:r w:rsidRPr="0096167A">
        <w:rPr>
          <w:szCs w:val="24"/>
        </w:rPr>
        <w:t>The Prostate Cancer</w:t>
      </w:r>
      <w:r>
        <w:rPr>
          <w:szCs w:val="24"/>
        </w:rPr>
        <w:t xml:space="preserve"> Foundation of Australia (PCFA)</w:t>
      </w:r>
    </w:p>
    <w:p w14:paraId="3E4C1BA2" w14:textId="5DC23169" w:rsidR="0096167A" w:rsidRDefault="0096167A" w:rsidP="0096167A">
      <w:pPr>
        <w:pStyle w:val="ListParagraph"/>
        <w:numPr>
          <w:ilvl w:val="0"/>
          <w:numId w:val="19"/>
        </w:numPr>
        <w:rPr>
          <w:szCs w:val="24"/>
        </w:rPr>
      </w:pPr>
      <w:r w:rsidRPr="0096167A">
        <w:rPr>
          <w:szCs w:val="24"/>
        </w:rPr>
        <w:t>The Clinical Oncology Society of Australia (COSA) with Australian and New Zealand Urogenital and Prostate Cancer Trials Group (ANZUP)</w:t>
      </w:r>
    </w:p>
    <w:p w14:paraId="08CCFD42" w14:textId="7E66C247" w:rsidR="0096167A" w:rsidRDefault="0096167A" w:rsidP="0096167A">
      <w:pPr>
        <w:pStyle w:val="ListParagraph"/>
        <w:numPr>
          <w:ilvl w:val="0"/>
          <w:numId w:val="19"/>
        </w:numPr>
        <w:rPr>
          <w:szCs w:val="24"/>
        </w:rPr>
      </w:pPr>
      <w:r w:rsidRPr="0096167A">
        <w:rPr>
          <w:szCs w:val="24"/>
        </w:rPr>
        <w:t xml:space="preserve">The Australian Society of Medical Imaging and Radiation Therapy </w:t>
      </w:r>
      <w:r>
        <w:rPr>
          <w:szCs w:val="24"/>
        </w:rPr>
        <w:t>(ASMIRT)</w:t>
      </w:r>
    </w:p>
    <w:p w14:paraId="3B1C7391" w14:textId="1A9DB218" w:rsidR="0096167A" w:rsidRDefault="0096167A" w:rsidP="0096167A">
      <w:pPr>
        <w:pStyle w:val="ListParagraph"/>
        <w:numPr>
          <w:ilvl w:val="0"/>
          <w:numId w:val="19"/>
        </w:numPr>
        <w:rPr>
          <w:szCs w:val="24"/>
        </w:rPr>
      </w:pPr>
      <w:r w:rsidRPr="0096167A">
        <w:rPr>
          <w:szCs w:val="24"/>
        </w:rPr>
        <w:t>The Australasian College of Physical Scientists and</w:t>
      </w:r>
      <w:r>
        <w:rPr>
          <w:szCs w:val="24"/>
        </w:rPr>
        <w:t xml:space="preserve"> Engineers in Medicine (ACPSEM)</w:t>
      </w:r>
    </w:p>
    <w:p w14:paraId="4D8A4A0E" w14:textId="1777672E" w:rsidR="0096167A" w:rsidRDefault="0096167A" w:rsidP="0096167A">
      <w:pPr>
        <w:pStyle w:val="ListParagraph"/>
        <w:numPr>
          <w:ilvl w:val="0"/>
          <w:numId w:val="19"/>
        </w:numPr>
        <w:rPr>
          <w:szCs w:val="24"/>
        </w:rPr>
      </w:pPr>
      <w:r w:rsidRPr="0096167A">
        <w:rPr>
          <w:szCs w:val="24"/>
        </w:rPr>
        <w:t>The Medical Onc</w:t>
      </w:r>
      <w:r>
        <w:rPr>
          <w:szCs w:val="24"/>
        </w:rPr>
        <w:t>ology Group if Australia (MOGA)</w:t>
      </w:r>
    </w:p>
    <w:p w14:paraId="4D47E6C2" w14:textId="01D89200" w:rsidR="0096167A" w:rsidRDefault="0096167A" w:rsidP="0096167A">
      <w:pPr>
        <w:pStyle w:val="ListParagraph"/>
        <w:numPr>
          <w:ilvl w:val="0"/>
          <w:numId w:val="19"/>
        </w:numPr>
        <w:rPr>
          <w:szCs w:val="24"/>
        </w:rPr>
      </w:pPr>
      <w:r w:rsidRPr="0096167A">
        <w:rPr>
          <w:szCs w:val="24"/>
        </w:rPr>
        <w:t>The Royal Australian and New Zealand C</w:t>
      </w:r>
      <w:r>
        <w:rPr>
          <w:szCs w:val="24"/>
        </w:rPr>
        <w:t>ollege of Radiologists (RANZCR)</w:t>
      </w:r>
    </w:p>
    <w:p w14:paraId="5A6C7AFD" w14:textId="3985CCB6" w:rsidR="0096167A" w:rsidRPr="0096167A" w:rsidRDefault="0096167A" w:rsidP="0096167A">
      <w:pPr>
        <w:pStyle w:val="ListParagraph"/>
        <w:numPr>
          <w:ilvl w:val="0"/>
          <w:numId w:val="19"/>
        </w:numPr>
        <w:rPr>
          <w:szCs w:val="24"/>
        </w:rPr>
      </w:pPr>
      <w:r w:rsidRPr="0096167A">
        <w:rPr>
          <w:szCs w:val="24"/>
        </w:rPr>
        <w:t>The Australian and New Zealand Society of Nuclear Medicine Limited (ANZSNM)</w:t>
      </w:r>
    </w:p>
    <w:p w14:paraId="0EB725F0" w14:textId="45840DA2" w:rsidR="0096167A" w:rsidRPr="0096167A" w:rsidRDefault="0096167A" w:rsidP="0096167A">
      <w:pPr>
        <w:rPr>
          <w:szCs w:val="24"/>
        </w:rPr>
      </w:pPr>
      <w:r w:rsidRPr="0096167A">
        <w:rPr>
          <w:szCs w:val="24"/>
        </w:rPr>
        <w:t xml:space="preserve">The groups were largely in support of the service. Refer to the </w:t>
      </w:r>
      <w:hyperlink r:id="rId10" w:history="1">
        <w:r w:rsidRPr="0096167A">
          <w:rPr>
            <w:rStyle w:val="Hyperlink"/>
            <w:szCs w:val="24"/>
          </w:rPr>
          <w:t>PICO confirmation</w:t>
        </w:r>
      </w:hyperlink>
      <w:r w:rsidR="008947B2">
        <w:rPr>
          <w:szCs w:val="24"/>
        </w:rPr>
        <w:t xml:space="preserve"> (pp. </w:t>
      </w:r>
      <w:r w:rsidRPr="0096167A">
        <w:rPr>
          <w:szCs w:val="24"/>
        </w:rPr>
        <w:t>29-30) for a more comprehensive summary of</w:t>
      </w:r>
      <w:r w:rsidR="006729CC">
        <w:rPr>
          <w:szCs w:val="24"/>
        </w:rPr>
        <w:t xml:space="preserve"> the</w:t>
      </w:r>
      <w:r w:rsidRPr="0096167A">
        <w:rPr>
          <w:szCs w:val="24"/>
        </w:rPr>
        <w:t xml:space="preserve"> targeted consultation.</w:t>
      </w:r>
    </w:p>
    <w:p w14:paraId="2FF939ED" w14:textId="1813DB9E" w:rsidR="0096167A" w:rsidRDefault="0096167A" w:rsidP="003E0C21">
      <w:pPr>
        <w:spacing w:before="240"/>
        <w:rPr>
          <w:szCs w:val="24"/>
        </w:rPr>
      </w:pPr>
      <w:r w:rsidRPr="0096167A">
        <w:rPr>
          <w:szCs w:val="24"/>
        </w:rPr>
        <w:t xml:space="preserve">Consultation feedback was also received from one individual consumer in support of the service. They stated that they have had a historical diagnosis and treatment for prostate </w:t>
      </w:r>
      <w:proofErr w:type="gramStart"/>
      <w:r w:rsidRPr="0096167A">
        <w:rPr>
          <w:szCs w:val="24"/>
        </w:rPr>
        <w:t>cancer, and</w:t>
      </w:r>
      <w:proofErr w:type="gramEnd"/>
      <w:r w:rsidRPr="0096167A">
        <w:rPr>
          <w:szCs w:val="24"/>
        </w:rPr>
        <w:t xml:space="preserve"> has subsequently received PSMA PET to identify any additional lesions for treatment. They considered that a more sensitive test that can more accurately diagnose metastatic disease will result in better treatment decisions made for patients. They noted that the significant out-of-pocket cost for this test is a barrier to access for many patients.</w:t>
      </w:r>
    </w:p>
    <w:p w14:paraId="4F74E31E" w14:textId="2EDBFD9F" w:rsidR="001D4A5F" w:rsidRPr="00B02E35" w:rsidRDefault="001D4A5F" w:rsidP="003E0C21">
      <w:pPr>
        <w:spacing w:before="240"/>
        <w:rPr>
          <w:szCs w:val="24"/>
        </w:rPr>
      </w:pPr>
      <w:r w:rsidRPr="001D4A5F">
        <w:rPr>
          <w:szCs w:val="24"/>
        </w:rPr>
        <w:t xml:space="preserve">Late consultation feedback was received from a radiopharmaceutical manufacturer in support of the benefit of </w:t>
      </w:r>
      <w:r w:rsidRPr="001D4A5F">
        <w:rPr>
          <w:bCs/>
          <w:szCs w:val="24"/>
          <w:vertAlign w:val="superscript"/>
        </w:rPr>
        <w:t>68</w:t>
      </w:r>
      <w:r w:rsidRPr="001D4A5F">
        <w:rPr>
          <w:bCs/>
          <w:szCs w:val="24"/>
        </w:rPr>
        <w:t>Ga-PSMA</w:t>
      </w:r>
      <w:r w:rsidR="005C50D8">
        <w:rPr>
          <w:bCs/>
          <w:szCs w:val="24"/>
        </w:rPr>
        <w:t xml:space="preserve"> </w:t>
      </w:r>
      <w:r w:rsidRPr="001D4A5F">
        <w:rPr>
          <w:bCs/>
          <w:szCs w:val="24"/>
        </w:rPr>
        <w:t xml:space="preserve">PET/CT imaging in men with prostate cancer. </w:t>
      </w:r>
      <w:r w:rsidRPr="001D4A5F">
        <w:rPr>
          <w:szCs w:val="24"/>
        </w:rPr>
        <w:t>Th</w:t>
      </w:r>
      <w:r w:rsidR="006220FA">
        <w:rPr>
          <w:szCs w:val="24"/>
        </w:rPr>
        <w:t>is feedback</w:t>
      </w:r>
      <w:r w:rsidRPr="001D4A5F">
        <w:rPr>
          <w:szCs w:val="24"/>
        </w:rPr>
        <w:t xml:space="preserve"> agreed with the comparators and the two populations proposed in the </w:t>
      </w:r>
      <w:proofErr w:type="gramStart"/>
      <w:r w:rsidRPr="001D4A5F">
        <w:rPr>
          <w:szCs w:val="24"/>
        </w:rPr>
        <w:t>application, but</w:t>
      </w:r>
      <w:proofErr w:type="gramEnd"/>
      <w:r w:rsidRPr="001D4A5F">
        <w:rPr>
          <w:szCs w:val="24"/>
        </w:rPr>
        <w:t xml:space="preserve"> did not agree with the proposed item descriptor and fee, </w:t>
      </w:r>
      <w:r w:rsidR="006220FA">
        <w:rPr>
          <w:szCs w:val="24"/>
        </w:rPr>
        <w:t>indicating that these</w:t>
      </w:r>
      <w:r w:rsidRPr="001D4A5F">
        <w:rPr>
          <w:szCs w:val="24"/>
        </w:rPr>
        <w:t xml:space="preserve"> should be specific to the radio</w:t>
      </w:r>
      <w:r w:rsidR="006220FA">
        <w:rPr>
          <w:szCs w:val="24"/>
        </w:rPr>
        <w:t xml:space="preserve">pharmaceutical </w:t>
      </w:r>
      <w:r w:rsidRPr="001D4A5F">
        <w:rPr>
          <w:szCs w:val="24"/>
        </w:rPr>
        <w:t xml:space="preserve">tracer </w:t>
      </w:r>
      <w:r w:rsidR="006220FA">
        <w:rPr>
          <w:szCs w:val="24"/>
        </w:rPr>
        <w:t xml:space="preserve">which </w:t>
      </w:r>
      <w:r w:rsidRPr="001D4A5F">
        <w:rPr>
          <w:szCs w:val="24"/>
        </w:rPr>
        <w:t>are not all equivalent</w:t>
      </w:r>
      <w:r>
        <w:rPr>
          <w:szCs w:val="24"/>
        </w:rPr>
        <w:t>.</w:t>
      </w:r>
    </w:p>
    <w:p w14:paraId="74AF67A5" w14:textId="51217F23" w:rsidR="00566DC3" w:rsidRPr="006271C5" w:rsidRDefault="00065623" w:rsidP="00B411FE">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Proposed intervention’s place in clinical management</w:t>
      </w:r>
    </w:p>
    <w:p w14:paraId="7DAB1163" w14:textId="77777777" w:rsidR="006271C5" w:rsidRDefault="006271C5" w:rsidP="006271C5">
      <w:pPr>
        <w:pStyle w:val="Heading2"/>
      </w:pPr>
      <w:r>
        <w:t>Description of proposed intervention</w:t>
      </w:r>
    </w:p>
    <w:p w14:paraId="526BC91A" w14:textId="1A7420DA" w:rsidR="006E52F2" w:rsidRPr="006E52F2" w:rsidRDefault="006271C5" w:rsidP="006E52F2">
      <w:r>
        <w:t>PSMA PET/CT is a non-invasive imaging procedure that involves the administration of one of several radiopharmaceutical</w:t>
      </w:r>
      <w:r w:rsidR="003B5175">
        <w:t xml:space="preserve"> tracer</w:t>
      </w:r>
      <w:r>
        <w:t>s that share the characteristic of highly specific binding to PSMA. PET imaging measures the biodistribution of an intravenously injected biological tracer labelled with a positron-emitting radionuclide. In this way, PET imaging can detect and quantify a biological process occurring within the body.</w:t>
      </w:r>
      <w:r w:rsidRPr="008F4257">
        <w:t xml:space="preserve"> </w:t>
      </w:r>
      <w:r>
        <w:t>Th</w:t>
      </w:r>
      <w:r w:rsidRPr="00AD3049">
        <w:t>e most widely used radiopharmaceutical tracer in cl</w:t>
      </w:r>
      <w:r>
        <w:t>inical practice in Australia</w:t>
      </w:r>
      <w:r w:rsidRPr="00AD3049">
        <w:t xml:space="preserve"> is 68Ga-PSMA-11.</w:t>
      </w:r>
      <w:r>
        <w:t xml:space="preserve"> The proposed service included PET in combination with CT.</w:t>
      </w:r>
      <w:r w:rsidR="006E52F2">
        <w:br w:type="page"/>
      </w:r>
    </w:p>
    <w:p w14:paraId="1EAE8AF7" w14:textId="49A17755" w:rsidR="006271C5" w:rsidRDefault="006271C5" w:rsidP="003E0C21">
      <w:pPr>
        <w:pStyle w:val="Heading2"/>
        <w:spacing w:before="240"/>
      </w:pPr>
      <w:r>
        <w:t>Description of medical condition(s)</w:t>
      </w:r>
    </w:p>
    <w:p w14:paraId="2915F2D5" w14:textId="77777777" w:rsidR="006271C5" w:rsidRDefault="006271C5" w:rsidP="006220FA">
      <w:pPr>
        <w:keepNext/>
      </w:pPr>
      <w:r>
        <w:t>There were two proposed populations:</w:t>
      </w:r>
    </w:p>
    <w:p w14:paraId="4A11ABB2" w14:textId="7CF0E0CD" w:rsidR="006271C5" w:rsidRDefault="006271C5" w:rsidP="006271C5">
      <w:pPr>
        <w:pStyle w:val="ListParagraph"/>
        <w:numPr>
          <w:ilvl w:val="0"/>
          <w:numId w:val="16"/>
        </w:numPr>
      </w:pPr>
      <w:r w:rsidRPr="00CB3124">
        <w:rPr>
          <w:b/>
          <w:bCs/>
          <w:iCs/>
        </w:rPr>
        <w:t>Population 1</w:t>
      </w:r>
      <w:r>
        <w:t>: as defined in the ADAR, included patients with biopsy-proven prostate adenocarcinoma with intermediate</w:t>
      </w:r>
      <w:r>
        <w:rPr>
          <w:rStyle w:val="FootnoteReference"/>
        </w:rPr>
        <w:footnoteReference w:id="3"/>
      </w:r>
      <w:r>
        <w:t>- or high-risk</w:t>
      </w:r>
      <w:r>
        <w:rPr>
          <w:rStyle w:val="FootnoteReference"/>
        </w:rPr>
        <w:footnoteReference w:id="4"/>
      </w:r>
      <w:r>
        <w:t xml:space="preserve"> features</w:t>
      </w:r>
      <w:r w:rsidRPr="001A3499">
        <w:t xml:space="preserve"> </w:t>
      </w:r>
      <w:r>
        <w:t>who have not undergone previous treatment but are considered suitable for locoregional therapy with a curative intent. In this population, PSMA PET/CT is used for primary staging. The ADAR changed the wording from ‘performed for the initial N- and M-staging’ (used in the PICO Confirmation and considered as the correct wording by PASC) to ‘used for primary staging’.</w:t>
      </w:r>
    </w:p>
    <w:p w14:paraId="22F4AF19" w14:textId="77777777" w:rsidR="006271C5" w:rsidRDefault="006271C5" w:rsidP="006271C5">
      <w:pPr>
        <w:pStyle w:val="ListParagraph"/>
        <w:numPr>
          <w:ilvl w:val="0"/>
          <w:numId w:val="16"/>
        </w:numPr>
      </w:pPr>
      <w:r w:rsidRPr="00CB3124">
        <w:rPr>
          <w:b/>
          <w:bCs/>
          <w:iCs/>
        </w:rPr>
        <w:t>Population 2</w:t>
      </w:r>
      <w:r>
        <w:t xml:space="preserve">: as defined in the ADAR, included patients with recurrent prostate adenocarcinoma for whom locoregional therapy is considered suitable </w:t>
      </w:r>
      <w:r w:rsidRPr="00873B54">
        <w:t xml:space="preserve">to </w:t>
      </w:r>
      <w:r w:rsidRPr="008012DE">
        <w:t xml:space="preserve">determine appropriate therapeutic pathways and timing of treatment initiation. For these </w:t>
      </w:r>
      <w:r>
        <w:t>patients, PSMA PET/CT is used to identify the location of the prostate cancer recurrence (e.g. BCR); in particular, for locating sites of metastatic disease to help guide treatment decisions. In the PICO Confirmation, the purpose given for PSMA PET/CT was ‘to delay systemic therapy’ instead of ‘to determine appropriate therapeutic pathways and timing of treatment initiation’.</w:t>
      </w:r>
    </w:p>
    <w:p w14:paraId="523D6106" w14:textId="1D1E50E5" w:rsidR="00406744" w:rsidRDefault="00A27844" w:rsidP="003E0C21">
      <w:pPr>
        <w:spacing w:before="240"/>
      </w:pPr>
      <w:r>
        <w:t xml:space="preserve">The current and proposed clinical management algorithms for Population 1 are shown in Figure 1 and Figure 2, respectively; and for Population 2 are shown in Figure 3 and Figure 4, respectively. In the </w:t>
      </w:r>
      <w:r w:rsidR="006B238C">
        <w:t>propose</w:t>
      </w:r>
      <w:r>
        <w:t>d clinical management algorithm for Population 1,</w:t>
      </w:r>
      <w:r w:rsidR="006B238C">
        <w:t xml:space="preserve"> patients will undergo PSMA PET/CT to determine nodal involvement or the presence of distant metastases (DM) in place of the comparator tests (CT and/or WBBS with SPECT/CT). In the proposed clinical management algorithm for </w:t>
      </w:r>
      <w:r>
        <w:t>Population 2</w:t>
      </w:r>
      <w:r w:rsidR="006B238C">
        <w:t xml:space="preserve"> (</w:t>
      </w:r>
      <w:r w:rsidR="006B238C">
        <w:fldChar w:fldCharType="begin"/>
      </w:r>
      <w:r w:rsidR="006B238C">
        <w:instrText xml:space="preserve"> REF _Ref67995584 \h </w:instrText>
      </w:r>
      <w:r w:rsidR="006B238C">
        <w:fldChar w:fldCharType="separate"/>
      </w:r>
      <w:r w:rsidR="006B238C">
        <w:t xml:space="preserve">Figure </w:t>
      </w:r>
      <w:r w:rsidR="006B238C">
        <w:rPr>
          <w:noProof/>
        </w:rPr>
        <w:t>2</w:t>
      </w:r>
      <w:r w:rsidR="006B238C">
        <w:fldChar w:fldCharType="end"/>
      </w:r>
      <w:r w:rsidR="006B238C">
        <w:t>), patients</w:t>
      </w:r>
      <w:r w:rsidR="006B238C" w:rsidDel="00B35FF8">
        <w:t xml:space="preserve"> </w:t>
      </w:r>
      <w:r w:rsidR="006B238C">
        <w:t xml:space="preserve">will undergo PSMA PET/CT to determine the presence of </w:t>
      </w:r>
      <w:proofErr w:type="spellStart"/>
      <w:r w:rsidR="006B238C">
        <w:t>extrapelvic</w:t>
      </w:r>
      <w:proofErr w:type="spellEnd"/>
      <w:r w:rsidR="006B238C">
        <w:t xml:space="preserve"> metastases, in place of comparator tests (CT and/or WBBS with SPECT/CT).</w:t>
      </w:r>
    </w:p>
    <w:p w14:paraId="7802B5FF" w14:textId="234DC3C8" w:rsidR="00406744" w:rsidRDefault="00406744" w:rsidP="00406744">
      <w:pPr>
        <w:pStyle w:val="Caption"/>
      </w:pPr>
      <w:bookmarkStart w:id="12" w:name="_Ref51941552"/>
      <w:bookmarkStart w:id="13" w:name="_Toc63861425"/>
      <w:bookmarkStart w:id="14" w:name="_Ref67928422"/>
      <w:bookmarkStart w:id="15" w:name="_Toc71025259"/>
      <w:bookmarkStart w:id="16" w:name="_Toc71729789"/>
      <w:r>
        <w:t xml:space="preserve">Figure </w:t>
      </w:r>
      <w:bookmarkEnd w:id="12"/>
      <w:r>
        <w:t>1</w:t>
      </w:r>
      <w:r>
        <w:tab/>
        <w:t xml:space="preserve">Current clinical management algorithm for the primary staging of intermediate- </w:t>
      </w:r>
      <w:r w:rsidR="009340F2">
        <w:t>or</w:t>
      </w:r>
      <w:r>
        <w:t xml:space="preserve"> high-risk patients</w:t>
      </w:r>
      <w:r w:rsidR="00194D62">
        <w:t xml:space="preserve"> </w:t>
      </w:r>
      <w:bookmarkEnd w:id="13"/>
      <w:r w:rsidR="009340F2">
        <w:t>(</w:t>
      </w:r>
      <w:r w:rsidR="003967F8">
        <w:t>Population 1)</w:t>
      </w:r>
    </w:p>
    <w:p w14:paraId="1B0CFB70" w14:textId="14212318" w:rsidR="00406744" w:rsidRDefault="00406744" w:rsidP="006F02E2">
      <w:pPr>
        <w:pStyle w:val="Tablenotes"/>
      </w:pPr>
      <w:r>
        <w:rPr>
          <w:noProof/>
          <w:lang w:eastAsia="en-AU"/>
        </w:rPr>
        <mc:AlternateContent>
          <mc:Choice Requires="wps">
            <w:drawing>
              <wp:anchor distT="45720" distB="45720" distL="114300" distR="114300" simplePos="0" relativeHeight="251659264" behindDoc="0" locked="0" layoutInCell="1" allowOverlap="1" wp14:anchorId="3D76D837" wp14:editId="13518DCD">
                <wp:simplePos x="0" y="0"/>
                <wp:positionH relativeFrom="column">
                  <wp:posOffset>4809744</wp:posOffset>
                </wp:positionH>
                <wp:positionV relativeFrom="paragraph">
                  <wp:posOffset>2129917</wp:posOffset>
                </wp:positionV>
                <wp:extent cx="190500" cy="2146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4630"/>
                        </a:xfrm>
                        <a:prstGeom prst="rect">
                          <a:avLst/>
                        </a:prstGeom>
                        <a:noFill/>
                        <a:ln w="9525">
                          <a:noFill/>
                          <a:miter lim="800000"/>
                          <a:headEnd/>
                          <a:tailEnd/>
                        </a:ln>
                      </wps:spPr>
                      <wps:txbx>
                        <w:txbxContent>
                          <w:p w14:paraId="19EC1CE2" w14:textId="77777777" w:rsidR="003E0C21" w:rsidRDefault="003E0C21" w:rsidP="00406744">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6D837" id="_x0000_t202" coordsize="21600,21600" o:spt="202" path="m,l,21600r21600,l21600,xe">
                <v:stroke joinstyle="miter"/>
                <v:path gradientshapeok="t" o:connecttype="rect"/>
              </v:shapetype>
              <v:shape id="Text Box 1" o:spid="_x0000_s1026" type="#_x0000_t202" alt="&quot;&quot;" style="position:absolute;margin-left:378.7pt;margin-top:167.7pt;width:15pt;height:1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" filled="f" stroked="f">
                <v:textbox>
                  <w:txbxContent>
                    <w:p w14:paraId="19EC1CE2" w14:textId="77777777" w:rsidR="003E0C21" w:rsidRDefault="003E0C21" w:rsidP="00406744">
                      <w:r>
                        <w:t>*</w:t>
                      </w:r>
                    </w:p>
                  </w:txbxContent>
                </v:textbox>
              </v:shape>
            </w:pict>
          </mc:Fallback>
        </mc:AlternateContent>
      </w:r>
      <w:r w:rsidR="0065539E" w:rsidRPr="0065539E">
        <w:rPr>
          <w:noProof/>
          <w:snapToGrid/>
        </w:rPr>
        <w:object w:dxaOrig="9850" w:dyaOrig="12010" w14:anchorId="4E127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sents current clinical management algorithm for the primary staging of intermediate- and high-risk patients, Population 1" style="width:452.25pt;height:549.75pt;mso-width-percent:0;mso-height-percent:0;mso-width-percent:0;mso-height-percent:0" o:ole="">
            <v:imagedata r:id="rId11" o:title=""/>
          </v:shape>
          <o:OLEObject Type="Embed" ProgID="Visio.Drawing.15" ShapeID="_x0000_i1025" DrawAspect="Content" ObjectID="_1696239146" r:id="rId12"/>
        </w:object>
      </w:r>
    </w:p>
    <w:p w14:paraId="5C16BEA5" w14:textId="69B44DD8" w:rsidR="00406744" w:rsidRDefault="00406744" w:rsidP="006F02E2">
      <w:pPr>
        <w:pStyle w:val="Tablenotes"/>
      </w:pPr>
      <w:r w:rsidRPr="00C36FC0">
        <w:t>Source</w:t>
      </w:r>
      <w:r>
        <w:t>: Ratified PICO, Figure 1 p24</w:t>
      </w:r>
    </w:p>
    <w:p w14:paraId="6F9C9A4D" w14:textId="77777777" w:rsidR="00406744" w:rsidRDefault="00406744" w:rsidP="006F02E2">
      <w:pPr>
        <w:pStyle w:val="Tablenotes"/>
      </w:pPr>
      <w:r w:rsidRPr="00C36FC0">
        <w:t>Abbreviations</w:t>
      </w:r>
      <w:r>
        <w:t>: ADT = androgen deprivation therapy; BCR = biochemical recurrence; CT = computed tomography; EBRT = external beam radiotherapy; PSA = prostate-specific antigen; SBR = stereotactic body radiotherapy; SPECT = single photon emission tomography; WBBS = whole body bone scan</w:t>
      </w:r>
    </w:p>
    <w:p w14:paraId="65D87E6C" w14:textId="77777777" w:rsidR="00406744" w:rsidRDefault="00406744" w:rsidP="006F02E2">
      <w:pPr>
        <w:pStyle w:val="Tablenotes"/>
      </w:pPr>
      <w:r>
        <w:t>*</w:t>
      </w:r>
      <w:proofErr w:type="spellStart"/>
      <w:r>
        <w:t>Extrapelvic</w:t>
      </w:r>
      <w:proofErr w:type="spellEnd"/>
      <w:r>
        <w:t xml:space="preserve"> refers to distant metastases</w:t>
      </w:r>
    </w:p>
    <w:p w14:paraId="48B660C6" w14:textId="7207E0FD" w:rsidR="00406744" w:rsidRDefault="00406744" w:rsidP="00406744">
      <w:pPr>
        <w:pStyle w:val="Caption"/>
      </w:pPr>
      <w:r>
        <w:t xml:space="preserve">Figure </w:t>
      </w:r>
      <w:bookmarkEnd w:id="14"/>
      <w:r>
        <w:t>2</w:t>
      </w:r>
      <w:r>
        <w:tab/>
        <w:t>Proposed clinical management algorithm for the primary staging of intermediate-</w:t>
      </w:r>
      <w:r w:rsidR="00194D62">
        <w:t xml:space="preserve"> or high-risk prostate cancer</w:t>
      </w:r>
      <w:bookmarkEnd w:id="15"/>
      <w:bookmarkEnd w:id="16"/>
      <w:r w:rsidR="003967F8">
        <w:t xml:space="preserve"> (Population 1)</w:t>
      </w:r>
    </w:p>
    <w:p w14:paraId="17AB72BC" w14:textId="77777777" w:rsidR="00406744" w:rsidRPr="0043442E" w:rsidRDefault="0065539E" w:rsidP="00406744">
      <w:r w:rsidRPr="00C36FC0">
        <w:rPr>
          <w:noProof/>
        </w:rPr>
        <w:object w:dxaOrig="9850" w:dyaOrig="12010" w14:anchorId="24F55CE0">
          <v:shape id="_x0000_i1026" type="#_x0000_t75" alt="Presents proposed clinical management algorithm for the primary staging of intermediate- and high-risk patient, Population 1" style="width:439.5pt;height:489.75pt;mso-width-percent:0;mso-height-percent:0;mso-width-percent:0;mso-height-percent:0" o:ole="">
            <v:imagedata r:id="rId13" o:title=""/>
          </v:shape>
          <o:OLEObject Type="Embed" ProgID="Visio.Drawing.15" ShapeID="_x0000_i1026" DrawAspect="Content" ObjectID="_1696239147" r:id="rId14"/>
        </w:object>
      </w:r>
    </w:p>
    <w:p w14:paraId="45FC0DD3" w14:textId="77777777" w:rsidR="00406744" w:rsidRDefault="00406744" w:rsidP="006F02E2">
      <w:pPr>
        <w:pStyle w:val="Tablenotes"/>
      </w:pPr>
      <w:r w:rsidRPr="00C36FC0">
        <w:t>Source</w:t>
      </w:r>
      <w:r>
        <w:t>: Ratified PICO, Figure 3 p26</w:t>
      </w:r>
    </w:p>
    <w:p w14:paraId="71AB1FCE" w14:textId="77777777" w:rsidR="00406744" w:rsidRPr="00C36FC0" w:rsidRDefault="00406744" w:rsidP="006F02E2">
      <w:pPr>
        <w:pStyle w:val="Tablenotes"/>
      </w:pPr>
      <w:r w:rsidRPr="00C36FC0">
        <w:t>Abbreviations: ADT</w:t>
      </w:r>
      <w:r>
        <w:t xml:space="preserve"> = </w:t>
      </w:r>
      <w:r w:rsidRPr="00C36FC0">
        <w:t>androgen deprivation therapy; BCR</w:t>
      </w:r>
      <w:r>
        <w:t xml:space="preserve"> = </w:t>
      </w:r>
      <w:r w:rsidRPr="00C36FC0">
        <w:t>biochemical recurrence; EBRT</w:t>
      </w:r>
      <w:r>
        <w:t xml:space="preserve"> =</w:t>
      </w:r>
      <w:r w:rsidRPr="00C36FC0">
        <w:t xml:space="preserve"> external beam radiotherapy; PSA</w:t>
      </w:r>
      <w:r>
        <w:t xml:space="preserve"> =</w:t>
      </w:r>
      <w:r w:rsidRPr="00C36FC0">
        <w:t xml:space="preserve"> prostate</w:t>
      </w:r>
      <w:r>
        <w:t>-</w:t>
      </w:r>
      <w:r w:rsidRPr="00C36FC0">
        <w:t>specific antigen; PSMA PET/CT</w:t>
      </w:r>
      <w:r>
        <w:t xml:space="preserve"> =</w:t>
      </w:r>
      <w:r w:rsidRPr="00C36FC0">
        <w:t xml:space="preserve"> prostrate specific membrane antigen positron emission tomography/computed tomography; SBR</w:t>
      </w:r>
      <w:r>
        <w:t xml:space="preserve"> =</w:t>
      </w:r>
      <w:r w:rsidRPr="00C36FC0">
        <w:t xml:space="preserve"> stereotactic body radiotherapy</w:t>
      </w:r>
    </w:p>
    <w:p w14:paraId="4CF01EF7" w14:textId="77777777" w:rsidR="00406744" w:rsidRDefault="00406744" w:rsidP="006F02E2">
      <w:pPr>
        <w:pStyle w:val="Tablenotes"/>
      </w:pPr>
      <w:r>
        <w:t>*</w:t>
      </w:r>
      <w:proofErr w:type="spellStart"/>
      <w:r>
        <w:t>Extrapelvic</w:t>
      </w:r>
      <w:proofErr w:type="spellEnd"/>
      <w:r>
        <w:t xml:space="preserve"> refers to distant metastases.</w:t>
      </w:r>
    </w:p>
    <w:p w14:paraId="58E3A6F2" w14:textId="795C82AE" w:rsidR="00406744" w:rsidRDefault="00406744" w:rsidP="00406744">
      <w:pPr>
        <w:pStyle w:val="Caption"/>
      </w:pPr>
      <w:bookmarkStart w:id="17" w:name="_Ref45269467"/>
      <w:bookmarkStart w:id="18" w:name="_Ref52202699"/>
      <w:bookmarkStart w:id="19" w:name="_Toc63861427"/>
      <w:r>
        <w:t xml:space="preserve">Figure </w:t>
      </w:r>
      <w:bookmarkEnd w:id="17"/>
      <w:r w:rsidR="00194D62">
        <w:t>3</w:t>
      </w:r>
      <w:r w:rsidR="00194D62">
        <w:tab/>
      </w:r>
      <w:r>
        <w:t>Current clinical management algorithm for the restaging of patients with recurrence</w:t>
      </w:r>
      <w:bookmarkEnd w:id="18"/>
      <w:r>
        <w:t xml:space="preserve"> </w:t>
      </w:r>
      <w:bookmarkEnd w:id="19"/>
      <w:r w:rsidR="003967F8">
        <w:t>(Population 2)</w:t>
      </w:r>
    </w:p>
    <w:p w14:paraId="30887964" w14:textId="3FCE06EB" w:rsidR="00406744" w:rsidRDefault="00406744" w:rsidP="00406744">
      <w:pPr>
        <w:spacing w:before="240"/>
      </w:pPr>
      <w:r w:rsidRPr="00813C26">
        <w:rPr>
          <w:noProof/>
        </w:rPr>
        <mc:AlternateContent>
          <mc:Choice Requires="wps">
            <w:drawing>
              <wp:anchor distT="45720" distB="45720" distL="114300" distR="114300" simplePos="0" relativeHeight="251663360" behindDoc="0" locked="0" layoutInCell="1" allowOverlap="1" wp14:anchorId="1FF16D8C" wp14:editId="0C044A69">
                <wp:simplePos x="0" y="0"/>
                <wp:positionH relativeFrom="column">
                  <wp:posOffset>4975479</wp:posOffset>
                </wp:positionH>
                <wp:positionV relativeFrom="paragraph">
                  <wp:posOffset>2311400</wp:posOffset>
                </wp:positionV>
                <wp:extent cx="190500" cy="214630"/>
                <wp:effectExtent l="0" t="0" r="0" b="0"/>
                <wp:wrapNone/>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4630"/>
                        </a:xfrm>
                        <a:prstGeom prst="rect">
                          <a:avLst/>
                        </a:prstGeom>
                        <a:noFill/>
                        <a:ln w="9525">
                          <a:noFill/>
                          <a:miter lim="800000"/>
                          <a:headEnd/>
                          <a:tailEnd/>
                        </a:ln>
                      </wps:spPr>
                      <wps:txbx>
                        <w:txbxContent>
                          <w:p w14:paraId="6152CBA7" w14:textId="77777777" w:rsidR="003E0C21" w:rsidRDefault="003E0C21" w:rsidP="00406744">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16D8C" id="Text Box 2" o:spid="_x0000_s1027" type="#_x0000_t202" alt="&quot;&quot;" style="position:absolute;margin-left:391.75pt;margin-top:182pt;width:15pt;height:16.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" filled="f" stroked="f">
                <v:textbox>
                  <w:txbxContent>
                    <w:p w14:paraId="6152CBA7" w14:textId="77777777" w:rsidR="003E0C21" w:rsidRDefault="003E0C21" w:rsidP="00406744">
                      <w:r>
                        <w:t>*</w:t>
                      </w:r>
                    </w:p>
                  </w:txbxContent>
                </v:textbox>
              </v:shape>
            </w:pict>
          </mc:Fallback>
        </mc:AlternateContent>
      </w:r>
      <w:r w:rsidRPr="00813C26">
        <w:rPr>
          <w:noProof/>
        </w:rPr>
        <mc:AlternateContent>
          <mc:Choice Requires="wps">
            <w:drawing>
              <wp:anchor distT="45720" distB="45720" distL="114300" distR="114300" simplePos="0" relativeHeight="251662336" behindDoc="0" locked="0" layoutInCell="1" allowOverlap="1" wp14:anchorId="1BA75A9D" wp14:editId="7E4C02E9">
                <wp:simplePos x="0" y="0"/>
                <wp:positionH relativeFrom="column">
                  <wp:posOffset>3386455</wp:posOffset>
                </wp:positionH>
                <wp:positionV relativeFrom="paragraph">
                  <wp:posOffset>2240280</wp:posOffset>
                </wp:positionV>
                <wp:extent cx="190500" cy="214630"/>
                <wp:effectExtent l="0" t="0" r="0" b="0"/>
                <wp:wrapNone/>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4630"/>
                        </a:xfrm>
                        <a:prstGeom prst="rect">
                          <a:avLst/>
                        </a:prstGeom>
                        <a:noFill/>
                        <a:ln w="9525">
                          <a:noFill/>
                          <a:miter lim="800000"/>
                          <a:headEnd/>
                          <a:tailEnd/>
                        </a:ln>
                      </wps:spPr>
                      <wps:txbx>
                        <w:txbxContent>
                          <w:p w14:paraId="15D2321A" w14:textId="77777777" w:rsidR="003E0C21" w:rsidRDefault="003E0C21" w:rsidP="00406744">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75A9D" id="_x0000_s1028" type="#_x0000_t202" alt="&quot;&quot;" style="position:absolute;margin-left:266.65pt;margin-top:176.4pt;width:15pt;height:16.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" filled="f" stroked="f">
                <v:textbox>
                  <w:txbxContent>
                    <w:p w14:paraId="15D2321A" w14:textId="77777777" w:rsidR="003E0C21" w:rsidRDefault="003E0C21" w:rsidP="00406744">
                      <w:r>
                        <w:t>*</w:t>
                      </w:r>
                    </w:p>
                  </w:txbxContent>
                </v:textbox>
              </v:shape>
            </w:pict>
          </mc:Fallback>
        </mc:AlternateContent>
      </w:r>
      <w:r w:rsidRPr="00813C26">
        <w:rPr>
          <w:noProof/>
        </w:rPr>
        <mc:AlternateContent>
          <mc:Choice Requires="wps">
            <w:drawing>
              <wp:anchor distT="45720" distB="45720" distL="114300" distR="114300" simplePos="0" relativeHeight="251661312" behindDoc="0" locked="0" layoutInCell="1" allowOverlap="1" wp14:anchorId="4518A898" wp14:editId="5E08A41C">
                <wp:simplePos x="0" y="0"/>
                <wp:positionH relativeFrom="column">
                  <wp:posOffset>1691640</wp:posOffset>
                </wp:positionH>
                <wp:positionV relativeFrom="paragraph">
                  <wp:posOffset>2242820</wp:posOffset>
                </wp:positionV>
                <wp:extent cx="190500" cy="214630"/>
                <wp:effectExtent l="0" t="0" r="0" b="0"/>
                <wp:wrapNone/>
                <wp:docPr id="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14630"/>
                        </a:xfrm>
                        <a:prstGeom prst="rect">
                          <a:avLst/>
                        </a:prstGeom>
                        <a:noFill/>
                        <a:ln w="9525">
                          <a:noFill/>
                          <a:miter lim="800000"/>
                          <a:headEnd/>
                          <a:tailEnd/>
                        </a:ln>
                      </wps:spPr>
                      <wps:txbx>
                        <w:txbxContent>
                          <w:p w14:paraId="04A995B2" w14:textId="77777777" w:rsidR="003E0C21" w:rsidRDefault="003E0C21" w:rsidP="00406744">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8A898" id="_x0000_s1029" type="#_x0000_t202" alt="&quot;&quot;" style="position:absolute;margin-left:133.2pt;margin-top:176.6pt;width:15pt;height:16.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" filled="f" stroked="f">
                <v:textbox>
                  <w:txbxContent>
                    <w:p w14:paraId="04A995B2" w14:textId="77777777" w:rsidR="003E0C21" w:rsidRDefault="003E0C21" w:rsidP="00406744">
                      <w:r>
                        <w:t>*</w:t>
                      </w:r>
                    </w:p>
                  </w:txbxContent>
                </v:textbox>
              </v:shape>
            </w:pict>
          </mc:Fallback>
        </mc:AlternateContent>
      </w:r>
      <w:r w:rsidR="0065539E">
        <w:rPr>
          <w:noProof/>
        </w:rPr>
        <w:object w:dxaOrig="10501" w:dyaOrig="9071" w14:anchorId="7242D416">
          <v:shape id="_x0000_i1027" type="#_x0000_t75" alt="Picture" style="width:450.75pt;height:390pt;mso-width-percent:0;mso-height-percent:0;mso-position-vertical:absolute;mso-width-percent:0;mso-height-percent:0" o:ole="">
            <v:imagedata r:id="rId15" o:title=""/>
          </v:shape>
          <o:OLEObject Type="Embed" ProgID="Visio.Drawing.15" ShapeID="_x0000_i1027" DrawAspect="Content" ObjectID="_1696239148" r:id="rId16"/>
        </w:object>
      </w:r>
    </w:p>
    <w:p w14:paraId="7EA5C53F" w14:textId="049BCE89" w:rsidR="00406744" w:rsidRDefault="00406744" w:rsidP="006F02E2">
      <w:pPr>
        <w:pStyle w:val="Tablenotes"/>
      </w:pPr>
      <w:r w:rsidRPr="00C36FC0">
        <w:t>Source</w:t>
      </w:r>
      <w:r>
        <w:t xml:space="preserve">: Ratified PICO, Figure </w:t>
      </w:r>
      <w:r w:rsidR="003967F8">
        <w:t>3</w:t>
      </w:r>
      <w:r>
        <w:t xml:space="preserve"> p25</w:t>
      </w:r>
    </w:p>
    <w:p w14:paraId="388CEC83" w14:textId="77777777" w:rsidR="00406744" w:rsidRDefault="00406744" w:rsidP="006F02E2">
      <w:pPr>
        <w:pStyle w:val="Tablenotes"/>
      </w:pPr>
      <w:r w:rsidRPr="00C36FC0">
        <w:t>Abbreviations: ADT</w:t>
      </w:r>
      <w:r>
        <w:t xml:space="preserve"> =</w:t>
      </w:r>
      <w:r w:rsidRPr="00C36FC0">
        <w:t xml:space="preserve"> androgen deprivation therapy; CT</w:t>
      </w:r>
      <w:r>
        <w:t xml:space="preserve"> = </w:t>
      </w:r>
      <w:r w:rsidRPr="00C36FC0">
        <w:t>computed tomography; EBRT</w:t>
      </w:r>
      <w:r>
        <w:t xml:space="preserve"> = </w:t>
      </w:r>
      <w:r w:rsidRPr="00C36FC0">
        <w:t>external beam radiotherapy; PSA</w:t>
      </w:r>
      <w:r>
        <w:t xml:space="preserve"> = </w:t>
      </w:r>
      <w:r w:rsidRPr="00C36FC0">
        <w:t>prostate</w:t>
      </w:r>
      <w:r>
        <w:t>-</w:t>
      </w:r>
      <w:r w:rsidRPr="00C36FC0">
        <w:t>specific antigen; SBR</w:t>
      </w:r>
      <w:r>
        <w:t xml:space="preserve"> = </w:t>
      </w:r>
      <w:r w:rsidRPr="00C36FC0">
        <w:t>stereotactic body radiotherapy; SPECT</w:t>
      </w:r>
      <w:r>
        <w:t xml:space="preserve"> = </w:t>
      </w:r>
      <w:r w:rsidRPr="00C36FC0">
        <w:t>single photon emission tomography; WBBS</w:t>
      </w:r>
      <w:r>
        <w:t xml:space="preserve"> = </w:t>
      </w:r>
      <w:r w:rsidRPr="00C36FC0">
        <w:t>whole</w:t>
      </w:r>
      <w:r>
        <w:t xml:space="preserve"> </w:t>
      </w:r>
      <w:r w:rsidRPr="00C36FC0">
        <w:t>body bone scan</w:t>
      </w:r>
    </w:p>
    <w:p w14:paraId="4A0AEB4B" w14:textId="62AF766E" w:rsidR="00406744" w:rsidRPr="00C36FC0" w:rsidRDefault="00406744" w:rsidP="006F02E2">
      <w:pPr>
        <w:pStyle w:val="Tablenotes"/>
      </w:pPr>
      <w:r>
        <w:t>*</w:t>
      </w:r>
      <w:proofErr w:type="spellStart"/>
      <w:r>
        <w:t>Extrapelvic</w:t>
      </w:r>
      <w:proofErr w:type="spellEnd"/>
      <w:r>
        <w:t xml:space="preserve"> refers to distant metastases</w:t>
      </w:r>
    </w:p>
    <w:p w14:paraId="322F8734" w14:textId="6D0E58CD" w:rsidR="00406744" w:rsidRDefault="00406744" w:rsidP="00406744">
      <w:pPr>
        <w:pStyle w:val="Caption"/>
      </w:pPr>
      <w:bookmarkStart w:id="20" w:name="_Ref67995584"/>
      <w:bookmarkStart w:id="21" w:name="_Toc71025260"/>
      <w:bookmarkStart w:id="22" w:name="_Toc71729790"/>
      <w:r>
        <w:t>Figure</w:t>
      </w:r>
      <w:bookmarkEnd w:id="20"/>
      <w:r w:rsidR="00194D62">
        <w:t xml:space="preserve"> 4</w:t>
      </w:r>
      <w:r w:rsidR="00194D62">
        <w:tab/>
      </w:r>
      <w:r>
        <w:t>Proposed clinical management algorithm for the restagi</w:t>
      </w:r>
      <w:r w:rsidR="00AE148C">
        <w:t>ng of patients with recurrence</w:t>
      </w:r>
      <w:r w:rsidR="003967F8">
        <w:t xml:space="preserve"> (</w:t>
      </w:r>
      <w:r>
        <w:t>Population 2</w:t>
      </w:r>
      <w:bookmarkEnd w:id="21"/>
      <w:bookmarkEnd w:id="22"/>
      <w:r w:rsidR="003967F8">
        <w:t>)</w:t>
      </w:r>
    </w:p>
    <w:p w14:paraId="6462B6EC" w14:textId="77777777" w:rsidR="00406744" w:rsidRPr="002E0986" w:rsidRDefault="0065539E" w:rsidP="006F02E2">
      <w:pPr>
        <w:pStyle w:val="Tablenotes"/>
      </w:pPr>
      <w:r w:rsidRPr="0065539E">
        <w:rPr>
          <w:noProof/>
          <w:snapToGrid/>
        </w:rPr>
        <w:object w:dxaOrig="10501" w:dyaOrig="9071" w14:anchorId="315D4069">
          <v:shape id="_x0000_i1028" type="#_x0000_t75" alt="Proposed clinical management algorithm for the restaging of patients with recurrence, Population 2" style="width:453.75pt;height:390pt;mso-width-percent:0;mso-height-percent:0;mso-width-percent:0;mso-height-percent:0" o:ole="">
            <v:imagedata r:id="rId17" o:title=""/>
          </v:shape>
          <o:OLEObject Type="Embed" ProgID="Visio.Drawing.15" ShapeID="_x0000_i1028" DrawAspect="Content" ObjectID="_1696239149" r:id="rId18"/>
        </w:object>
      </w:r>
    </w:p>
    <w:p w14:paraId="66B3AF19" w14:textId="77777777" w:rsidR="00406744" w:rsidRDefault="00406744" w:rsidP="006F02E2">
      <w:pPr>
        <w:pStyle w:val="Tablenotes"/>
      </w:pPr>
      <w:r w:rsidRPr="00C36FC0">
        <w:t>Source</w:t>
      </w:r>
      <w:r>
        <w:t>: Ratified PICO, Figure 4 p27</w:t>
      </w:r>
    </w:p>
    <w:p w14:paraId="16513BBC" w14:textId="77777777" w:rsidR="00406744" w:rsidRDefault="00406744" w:rsidP="006F02E2">
      <w:pPr>
        <w:pStyle w:val="Tablenotes"/>
      </w:pPr>
      <w:r w:rsidRPr="00C36FC0">
        <w:t>Abbreviations: ADT</w:t>
      </w:r>
      <w:r>
        <w:t xml:space="preserve"> = </w:t>
      </w:r>
      <w:r w:rsidRPr="00C36FC0">
        <w:t>androgen deprivation therap</w:t>
      </w:r>
      <w:r>
        <w:t>y</w:t>
      </w:r>
      <w:r w:rsidRPr="00C36FC0">
        <w:t>; EBRT</w:t>
      </w:r>
      <w:r>
        <w:t xml:space="preserve"> = </w:t>
      </w:r>
      <w:r w:rsidRPr="00C36FC0">
        <w:t>external beam radiotherapy; PSA</w:t>
      </w:r>
      <w:r>
        <w:t xml:space="preserve"> =</w:t>
      </w:r>
      <w:r w:rsidRPr="00C36FC0">
        <w:t xml:space="preserve"> prostate</w:t>
      </w:r>
      <w:r>
        <w:t>-</w:t>
      </w:r>
      <w:r w:rsidRPr="00C36FC0">
        <w:t>specific antigen; PSMA PET/CT</w:t>
      </w:r>
      <w:r>
        <w:t xml:space="preserve"> =</w:t>
      </w:r>
      <w:r w:rsidRPr="00C36FC0">
        <w:t xml:space="preserve"> prostrate specific membrane antigen positron emission tomography/computed tomography; SBR</w:t>
      </w:r>
      <w:r>
        <w:t xml:space="preserve"> =</w:t>
      </w:r>
      <w:r w:rsidRPr="00C36FC0">
        <w:t xml:space="preserve"> stereotactic body radiotherapy</w:t>
      </w:r>
    </w:p>
    <w:p w14:paraId="26D00AA9" w14:textId="5FE0EECE" w:rsidR="00377EE5" w:rsidRPr="006271C5" w:rsidRDefault="00406744" w:rsidP="006271C5">
      <w:pPr>
        <w:pStyle w:val="Tablenotes"/>
      </w:pPr>
      <w:r>
        <w:t>*</w:t>
      </w:r>
      <w:proofErr w:type="spellStart"/>
      <w:r>
        <w:t>Extrapelvic</w:t>
      </w:r>
      <w:proofErr w:type="spellEnd"/>
      <w:r>
        <w:t xml:space="preserve"> refers to distant metastases</w:t>
      </w:r>
    </w:p>
    <w:p w14:paraId="412196B7" w14:textId="42F962FF" w:rsidR="00194D62" w:rsidRPr="006271C5" w:rsidRDefault="00065623" w:rsidP="00365211">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Comparator</w:t>
      </w:r>
    </w:p>
    <w:p w14:paraId="7EE8C3F1" w14:textId="655C044A" w:rsidR="00194D62" w:rsidRDefault="00194D62" w:rsidP="00365211">
      <w:pPr>
        <w:keepNext/>
        <w:keepLines/>
      </w:pPr>
      <w:r>
        <w:t xml:space="preserve">The comparators for PSMA PET/CT for </w:t>
      </w:r>
      <w:r w:rsidDel="00582DF2">
        <w:t>P</w:t>
      </w:r>
      <w:r>
        <w:t xml:space="preserve">opulations 1 and 2, as described in the ADAR and PICO Confirmation, </w:t>
      </w:r>
      <w:r w:rsidR="00A03277">
        <w:t>we</w:t>
      </w:r>
      <w:r>
        <w:t>re conventional imaging</w:t>
      </w:r>
      <w:r w:rsidR="00BD0554">
        <w:t xml:space="preserve"> (CVI)</w:t>
      </w:r>
      <w:r>
        <w:t>: CT and/or whole body bone scan (WBBS) with single photon emission computed tomography (SPECT)/CT.</w:t>
      </w:r>
      <w:r w:rsidRPr="00AB0E11">
        <w:t xml:space="preserve"> </w:t>
      </w:r>
      <w:r>
        <w:t>CT scans of the upper abdomen and pelvis or chest, abdomen and pelvis are MBS listed (MBS item 56507), as are WBBS using SPECT (MBS item 61425) and CT scans performed at the same time and covering the same body areas as SPECT for localisation or attenuati</w:t>
      </w:r>
      <w:r w:rsidR="00BD0554">
        <w:t>on correction (MBS item 61505).</w:t>
      </w:r>
    </w:p>
    <w:p w14:paraId="4B1C255C" w14:textId="40DBCD0E" w:rsidR="00BD0554" w:rsidRDefault="00BD0554" w:rsidP="003E0C21">
      <w:pPr>
        <w:spacing w:before="240"/>
      </w:pPr>
      <w:r>
        <w:t>I</w:t>
      </w:r>
      <w:r w:rsidR="00194D62" w:rsidRPr="00942DD7">
        <w:t xml:space="preserve">n the economic evaluation and financial implications sections of the ADAR, the </w:t>
      </w:r>
      <w:r w:rsidR="00365211">
        <w:t>a</w:t>
      </w:r>
      <w:r w:rsidR="00194D62" w:rsidRPr="00942DD7">
        <w:t>pplicant consider</w:t>
      </w:r>
      <w:r w:rsidR="00A03277">
        <w:t>ed</w:t>
      </w:r>
      <w:r w:rsidR="00194D62" w:rsidRPr="00942DD7">
        <w:t xml:space="preserve"> a different comparator for a subset of patients within Population 2. Specifically, for patients with BCR after definitive therapy and a PSA level </w:t>
      </w:r>
      <w:r w:rsidR="005D77C0">
        <w:sym w:font="Symbol" w:char="F0B3"/>
      </w:r>
      <w:r w:rsidR="003B088B">
        <w:rPr>
          <w:rFonts w:cs="Calibri"/>
        </w:rPr>
        <w:t>1.</w:t>
      </w:r>
      <w:r w:rsidR="003B088B" w:rsidRPr="003B088B">
        <w:t>0</w:t>
      </w:r>
      <w:r w:rsidR="003B088B">
        <w:t> </w:t>
      </w:r>
      <w:r w:rsidR="00194D62" w:rsidRPr="003B088B">
        <w:t>ng</w:t>
      </w:r>
      <w:r w:rsidR="00194D62" w:rsidRPr="00942DD7">
        <w:rPr>
          <w:rFonts w:cs="Calibri"/>
        </w:rPr>
        <w:t xml:space="preserve">/ml, CVI comprising CT ± WBBS </w:t>
      </w:r>
      <w:r w:rsidR="00A03277">
        <w:rPr>
          <w:rFonts w:cs="Calibri"/>
        </w:rPr>
        <w:t>wa</w:t>
      </w:r>
      <w:r w:rsidR="00194D62" w:rsidRPr="00942DD7">
        <w:rPr>
          <w:rFonts w:cs="Calibri"/>
        </w:rPr>
        <w:t>s considered the comparator, whilst for patients</w:t>
      </w:r>
      <w:r w:rsidR="003B088B">
        <w:rPr>
          <w:rFonts w:cs="Calibri"/>
        </w:rPr>
        <w:t xml:space="preserve"> with BCR and a PSA level &lt;1.</w:t>
      </w:r>
      <w:r w:rsidR="003B088B" w:rsidRPr="003B088B">
        <w:t>0</w:t>
      </w:r>
      <w:r w:rsidR="003B088B">
        <w:t> </w:t>
      </w:r>
      <w:r w:rsidR="00194D62" w:rsidRPr="003B088B">
        <w:t>ng</w:t>
      </w:r>
      <w:r w:rsidR="00194D62" w:rsidRPr="00942DD7">
        <w:rPr>
          <w:rFonts w:cs="Calibri"/>
        </w:rPr>
        <w:t xml:space="preserve">/ml, the comparator </w:t>
      </w:r>
      <w:r w:rsidR="00A03277">
        <w:rPr>
          <w:rFonts w:cs="Calibri"/>
        </w:rPr>
        <w:t>wa</w:t>
      </w:r>
      <w:r w:rsidR="00194D62" w:rsidRPr="00942DD7">
        <w:rPr>
          <w:rFonts w:cs="Calibri"/>
        </w:rPr>
        <w:t xml:space="preserve">s considered to be no imaging. </w:t>
      </w:r>
      <w:r w:rsidR="00194D62">
        <w:rPr>
          <w:rFonts w:cs="Calibri"/>
        </w:rPr>
        <w:t xml:space="preserve">The rationale for this </w:t>
      </w:r>
      <w:r w:rsidR="00A03277">
        <w:rPr>
          <w:rFonts w:cs="Calibri"/>
        </w:rPr>
        <w:t>wa</w:t>
      </w:r>
      <w:r w:rsidR="00194D62">
        <w:rPr>
          <w:rFonts w:cs="Calibri"/>
        </w:rPr>
        <w:t xml:space="preserve">s </w:t>
      </w:r>
      <w:r>
        <w:t>CVI may not be used for all patients with BCR because of the low diagnostic yield, particularly in patients with low PSA levels who generally experience asymptomatic recurrence. Patients instead receive radiotherapy (RT) determined empirically directed to the prostate bed and sometimes pelvic lymph nodes on the assumption that metastases are not present with no imaging assessment.</w:t>
      </w:r>
    </w:p>
    <w:p w14:paraId="484034F5" w14:textId="6659F7DA" w:rsidR="00443F1D" w:rsidRPr="006271C5" w:rsidRDefault="00194D62" w:rsidP="003E0C21">
      <w:pPr>
        <w:spacing w:before="240"/>
      </w:pPr>
      <w:r>
        <w:t xml:space="preserve">The reference standard for determining the accuracy of PSMA PET/CT </w:t>
      </w:r>
      <w:r w:rsidR="00A03277">
        <w:t xml:space="preserve">was defined as </w:t>
      </w:r>
      <w:r>
        <w:t>histopathologic assessment combined with other imaging and clinical and biochemical findings.</w:t>
      </w:r>
    </w:p>
    <w:p w14:paraId="418148A7" w14:textId="4EC74109" w:rsidR="00BD0554" w:rsidRPr="006271C5" w:rsidRDefault="00065623" w:rsidP="0058659C">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Comparative safety</w:t>
      </w:r>
    </w:p>
    <w:p w14:paraId="457C1C78" w14:textId="1ABDB05F" w:rsidR="00BD0554" w:rsidRDefault="00BD0554" w:rsidP="00BD0554">
      <w:r>
        <w:t xml:space="preserve">The summary of the included studies is provided for </w:t>
      </w:r>
      <w:r w:rsidR="006C5787">
        <w:t>primary staging</w:t>
      </w:r>
      <w:r>
        <w:t xml:space="preserve"> (Table 3) and </w:t>
      </w:r>
      <w:r w:rsidR="006C5787">
        <w:t>restaging</w:t>
      </w:r>
      <w:r>
        <w:t xml:space="preserve"> (Table 4).</w:t>
      </w:r>
    </w:p>
    <w:p w14:paraId="6E65AAF5" w14:textId="5E06147C" w:rsidR="00BD0554" w:rsidRDefault="00BD0554" w:rsidP="003E0C21">
      <w:pPr>
        <w:pStyle w:val="Caption"/>
        <w:spacing w:before="240"/>
      </w:pPr>
      <w:bookmarkStart w:id="23" w:name="_Ref68700688"/>
      <w:bookmarkStart w:id="24" w:name="_Toc71729644"/>
      <w:r>
        <w:t>Table</w:t>
      </w:r>
      <w:bookmarkEnd w:id="23"/>
      <w:r w:rsidR="001B7EB2">
        <w:t xml:space="preserve"> 3</w:t>
      </w:r>
      <w:r>
        <w:rPr>
          <w:noProof/>
        </w:rPr>
        <w:tab/>
        <w:t>Overview of primary included study types and numbers: P</w:t>
      </w:r>
      <w:r w:rsidR="006C5787">
        <w:rPr>
          <w:noProof/>
        </w:rPr>
        <w:t>rimary staging</w:t>
      </w:r>
      <w:bookmarkEnd w:id="24"/>
    </w:p>
    <w:tbl>
      <w:tblPr>
        <w:tblStyle w:val="TableGrid"/>
        <w:tblW w:w="5000" w:type="pct"/>
        <w:tblLook w:val="04A0" w:firstRow="1" w:lastRow="0" w:firstColumn="1" w:lastColumn="0" w:noHBand="0" w:noVBand="1"/>
        <w:tblCaption w:val="Table 4 Overview of primary included study types and numbers: Population 1"/>
        <w:tblDescription w:val="Summary of ADAR included studies for Population 1"/>
      </w:tblPr>
      <w:tblGrid>
        <w:gridCol w:w="2040"/>
        <w:gridCol w:w="1155"/>
        <w:gridCol w:w="5821"/>
      </w:tblGrid>
      <w:tr w:rsidR="00BD0554" w:rsidRPr="00664685" w14:paraId="19767C18" w14:textId="77777777" w:rsidTr="00867637">
        <w:trPr>
          <w:tblHeader/>
        </w:trPr>
        <w:tc>
          <w:tcPr>
            <w:tcW w:w="1177" w:type="pct"/>
          </w:tcPr>
          <w:p w14:paraId="4D5C7130" w14:textId="77777777" w:rsidR="00BD0554" w:rsidRPr="00664685" w:rsidRDefault="00BD0554" w:rsidP="003B2D05">
            <w:pPr>
              <w:pStyle w:val="Tabletext"/>
              <w:widowControl w:val="0"/>
              <w:rPr>
                <w:b/>
              </w:rPr>
            </w:pPr>
            <w:bookmarkStart w:id="25" w:name="_Ref68700690"/>
            <w:r w:rsidRPr="00664685">
              <w:rPr>
                <w:b/>
              </w:rPr>
              <w:t>Type of evidence</w:t>
            </w:r>
            <w:r>
              <w:rPr>
                <w:b/>
              </w:rPr>
              <w:t xml:space="preserve"> †</w:t>
            </w:r>
          </w:p>
        </w:tc>
        <w:tc>
          <w:tcPr>
            <w:tcW w:w="550" w:type="pct"/>
          </w:tcPr>
          <w:p w14:paraId="6E6F25C3" w14:textId="77777777" w:rsidR="00BD0554" w:rsidRPr="00664685" w:rsidRDefault="00BD0554" w:rsidP="00A03277">
            <w:pPr>
              <w:pStyle w:val="Tabletext"/>
              <w:widowControl w:val="0"/>
              <w:jc w:val="center"/>
              <w:rPr>
                <w:b/>
              </w:rPr>
            </w:pPr>
            <w:r>
              <w:rPr>
                <w:b/>
              </w:rPr>
              <w:t>Participants</w:t>
            </w:r>
          </w:p>
        </w:tc>
        <w:tc>
          <w:tcPr>
            <w:tcW w:w="3273" w:type="pct"/>
          </w:tcPr>
          <w:p w14:paraId="39089630" w14:textId="77777777" w:rsidR="00BD0554" w:rsidRPr="00664685" w:rsidRDefault="00BD0554" w:rsidP="003B2D05">
            <w:pPr>
              <w:pStyle w:val="Tabletext"/>
              <w:widowControl w:val="0"/>
              <w:rPr>
                <w:b/>
              </w:rPr>
            </w:pPr>
            <w:r w:rsidRPr="00664685">
              <w:rPr>
                <w:b/>
              </w:rPr>
              <w:t>Details</w:t>
            </w:r>
          </w:p>
        </w:tc>
      </w:tr>
      <w:tr w:rsidR="00BD0554" w:rsidRPr="001C2058" w14:paraId="525CF4A6" w14:textId="77777777" w:rsidTr="00BD0554">
        <w:tc>
          <w:tcPr>
            <w:tcW w:w="1177" w:type="pct"/>
            <w:shd w:val="clear" w:color="auto" w:fill="auto"/>
          </w:tcPr>
          <w:p w14:paraId="71835139" w14:textId="77777777" w:rsidR="00BD0554" w:rsidRPr="001C2058" w:rsidRDefault="00BD0554" w:rsidP="003B2D05">
            <w:pPr>
              <w:pStyle w:val="Tabletext"/>
              <w:widowControl w:val="0"/>
            </w:pPr>
            <w:r>
              <w:t>C</w:t>
            </w:r>
            <w:r w:rsidRPr="001C2058">
              <w:t>omparative evidence</w:t>
            </w:r>
            <w:r>
              <w:t xml:space="preserve"> ‡</w:t>
            </w:r>
          </w:p>
        </w:tc>
        <w:tc>
          <w:tcPr>
            <w:tcW w:w="550" w:type="pct"/>
            <w:shd w:val="clear" w:color="auto" w:fill="auto"/>
          </w:tcPr>
          <w:p w14:paraId="55CFF3DD" w14:textId="77777777" w:rsidR="00BD0554" w:rsidRDefault="00BD0554" w:rsidP="00A03277">
            <w:pPr>
              <w:pStyle w:val="Tabletext"/>
              <w:keepNext/>
              <w:jc w:val="center"/>
            </w:pPr>
            <w:r w:rsidRPr="001C2058">
              <w:t>k = 1</w:t>
            </w:r>
          </w:p>
          <w:p w14:paraId="0124C198" w14:textId="661D0727" w:rsidR="00BD0554" w:rsidRPr="001C2058" w:rsidRDefault="00BD0554" w:rsidP="00A03277">
            <w:pPr>
              <w:pStyle w:val="Tabletext"/>
              <w:keepNext/>
              <w:jc w:val="center"/>
            </w:pPr>
            <w:r>
              <w:t>n = 295</w:t>
            </w:r>
          </w:p>
        </w:tc>
        <w:tc>
          <w:tcPr>
            <w:tcW w:w="3273" w:type="pct"/>
            <w:shd w:val="clear" w:color="auto" w:fill="auto"/>
          </w:tcPr>
          <w:p w14:paraId="7A239A17" w14:textId="77777777" w:rsidR="00BD0554" w:rsidRDefault="00BD0554" w:rsidP="003B2D05">
            <w:pPr>
              <w:pStyle w:val="Tabletext"/>
              <w:keepNext/>
            </w:pPr>
            <w:r>
              <w:t xml:space="preserve">Australian </w:t>
            </w:r>
            <w:proofErr w:type="spellStart"/>
            <w:r>
              <w:t>proPSMA</w:t>
            </w:r>
            <w:proofErr w:type="spellEnd"/>
            <w:r>
              <w:t xml:space="preserve"> RCT (</w:t>
            </w:r>
            <w:proofErr w:type="spellStart"/>
            <w:r>
              <w:t>Hofman</w:t>
            </w:r>
            <w:proofErr w:type="spellEnd"/>
            <w:r>
              <w:t xml:space="preserve"> et al., 2020).</w:t>
            </w:r>
          </w:p>
          <w:p w14:paraId="42DB5533" w14:textId="56A1D80E" w:rsidR="00BD0554" w:rsidRPr="001C2058" w:rsidRDefault="00BD0554" w:rsidP="003B2D05">
            <w:pPr>
              <w:pStyle w:val="Tabletext"/>
              <w:keepNext/>
            </w:pPr>
            <w:r w:rsidRPr="001C2058">
              <w:t xml:space="preserve">Provides evidence of diagnostic accuracy and </w:t>
            </w:r>
            <w:r w:rsidR="00E2221C">
              <w:t>clinical utility</w:t>
            </w:r>
            <w:r>
              <w:t xml:space="preserve"> (change in management)</w:t>
            </w:r>
          </w:p>
          <w:p w14:paraId="736059AB" w14:textId="77777777" w:rsidR="00BD0554" w:rsidRPr="001C2058" w:rsidRDefault="00BD0554" w:rsidP="003B2D05">
            <w:pPr>
              <w:pStyle w:val="Tabletext"/>
              <w:widowControl w:val="0"/>
            </w:pPr>
            <w:r w:rsidRPr="004476D8">
              <w:rPr>
                <w:vertAlign w:val="superscript"/>
              </w:rPr>
              <w:t>68</w:t>
            </w:r>
            <w:r w:rsidRPr="004476D8">
              <w:t>Ga-</w:t>
            </w:r>
            <w:r w:rsidRPr="001C2058">
              <w:t>PSMA-11 (</w:t>
            </w:r>
            <w:r>
              <w:t xml:space="preserve">k </w:t>
            </w:r>
            <w:r w:rsidRPr="001C2058">
              <w:t>=</w:t>
            </w:r>
            <w:r>
              <w:t xml:space="preserve"> </w:t>
            </w:r>
            <w:r w:rsidRPr="001C2058">
              <w:t>1)</w:t>
            </w:r>
          </w:p>
        </w:tc>
      </w:tr>
      <w:tr w:rsidR="00BD0554" w:rsidRPr="001C2058" w14:paraId="136B31C7" w14:textId="77777777" w:rsidTr="003B2D05">
        <w:trPr>
          <w:trHeight w:val="748"/>
        </w:trPr>
        <w:tc>
          <w:tcPr>
            <w:tcW w:w="1177" w:type="pct"/>
          </w:tcPr>
          <w:p w14:paraId="53226423" w14:textId="77777777" w:rsidR="00BD0554" w:rsidRPr="001C2058" w:rsidRDefault="00BD0554" w:rsidP="003B2D05">
            <w:pPr>
              <w:pStyle w:val="Tabletext"/>
              <w:widowControl w:val="0"/>
            </w:pPr>
            <w:r w:rsidRPr="001C2058">
              <w:t>Diagnostic accuracy studies (level II to III-1)</w:t>
            </w:r>
            <w:r>
              <w:t xml:space="preserve"> ‡</w:t>
            </w:r>
          </w:p>
        </w:tc>
        <w:tc>
          <w:tcPr>
            <w:tcW w:w="550" w:type="pct"/>
          </w:tcPr>
          <w:p w14:paraId="696878C4" w14:textId="77777777" w:rsidR="00BD0554" w:rsidRPr="001C2058" w:rsidRDefault="00BD0554" w:rsidP="00A03277">
            <w:pPr>
              <w:pStyle w:val="Tabletext"/>
              <w:keepNext/>
              <w:jc w:val="center"/>
            </w:pPr>
            <w:r w:rsidRPr="001C2058">
              <w:t>k = 6</w:t>
            </w:r>
          </w:p>
          <w:p w14:paraId="67EDE02D" w14:textId="77777777" w:rsidR="00BD0554" w:rsidRPr="001C2058" w:rsidRDefault="00BD0554" w:rsidP="00A03277">
            <w:pPr>
              <w:pStyle w:val="Tabletext"/>
              <w:widowControl w:val="0"/>
              <w:jc w:val="center"/>
            </w:pPr>
            <w:r>
              <w:t>n = 324</w:t>
            </w:r>
          </w:p>
        </w:tc>
        <w:tc>
          <w:tcPr>
            <w:tcW w:w="3273" w:type="pct"/>
          </w:tcPr>
          <w:p w14:paraId="2BBE0A8C" w14:textId="4FA14665" w:rsidR="00BD0554" w:rsidRPr="001C2058" w:rsidRDefault="00BD0554" w:rsidP="003B2D05">
            <w:pPr>
              <w:pStyle w:val="Tabletext"/>
              <w:keepNext/>
            </w:pPr>
            <w:r>
              <w:t>I</w:t>
            </w:r>
            <w:r w:rsidRPr="001C2058">
              <w:t>ncluded for radio</w:t>
            </w:r>
            <w:r w:rsidR="003B5175">
              <w:t xml:space="preserve">pharmaceutical </w:t>
            </w:r>
            <w:r w:rsidRPr="001C2058">
              <w:t xml:space="preserve">tracers other than </w:t>
            </w:r>
            <w:r w:rsidRPr="009237E2">
              <w:rPr>
                <w:vertAlign w:val="superscript"/>
              </w:rPr>
              <w:t>68</w:t>
            </w:r>
            <w:r w:rsidRPr="001C2058">
              <w:t>Ga-PSMA-11 to demonstrate equivalence among tracers to support a generic item descriptor</w:t>
            </w:r>
          </w:p>
          <w:p w14:paraId="34A75B6D" w14:textId="77777777" w:rsidR="00BD0554" w:rsidRPr="001C2058" w:rsidRDefault="00BD0554" w:rsidP="003B2D05">
            <w:pPr>
              <w:pStyle w:val="Tabletext"/>
              <w:widowControl w:val="0"/>
            </w:pPr>
            <w:r w:rsidRPr="0048508E">
              <w:rPr>
                <w:vertAlign w:val="superscript"/>
              </w:rPr>
              <w:t>18</w:t>
            </w:r>
            <w:r w:rsidRPr="0048508E">
              <w:t>F-</w:t>
            </w:r>
            <w:r w:rsidRPr="001C2058">
              <w:t>DCFPyL (</w:t>
            </w:r>
            <w:r>
              <w:t xml:space="preserve">k </w:t>
            </w:r>
            <w:r w:rsidRPr="001C2058">
              <w:t>=</w:t>
            </w:r>
            <w:r>
              <w:t xml:space="preserve"> </w:t>
            </w:r>
            <w:r w:rsidRPr="001C2058">
              <w:t xml:space="preserve">3), </w:t>
            </w:r>
            <w:r w:rsidRPr="0048508E">
              <w:rPr>
                <w:vertAlign w:val="superscript"/>
              </w:rPr>
              <w:t>18</w:t>
            </w:r>
            <w:r w:rsidRPr="001C2058">
              <w:t>F-PSMA-1007 (</w:t>
            </w:r>
            <w:r>
              <w:t xml:space="preserve">k </w:t>
            </w:r>
            <w:r w:rsidRPr="001C2058">
              <w:t>=</w:t>
            </w:r>
            <w:r>
              <w:t xml:space="preserve"> </w:t>
            </w:r>
            <w:r w:rsidRPr="001C2058">
              <w:t xml:space="preserve">2), </w:t>
            </w:r>
            <w:r w:rsidRPr="0048508E">
              <w:rPr>
                <w:vertAlign w:val="superscript"/>
              </w:rPr>
              <w:t>18</w:t>
            </w:r>
            <w:r w:rsidRPr="001C2058">
              <w:t>F-rhPSMA-7 (</w:t>
            </w:r>
            <w:r>
              <w:t xml:space="preserve">k </w:t>
            </w:r>
            <w:r w:rsidRPr="001C2058">
              <w:t>=</w:t>
            </w:r>
            <w:r>
              <w:t xml:space="preserve"> </w:t>
            </w:r>
            <w:r w:rsidRPr="001C2058">
              <w:t>1)</w:t>
            </w:r>
          </w:p>
        </w:tc>
      </w:tr>
      <w:tr w:rsidR="00BD0554" w:rsidRPr="001C2058" w14:paraId="2E1CD781" w14:textId="77777777" w:rsidTr="003B2D05">
        <w:tc>
          <w:tcPr>
            <w:tcW w:w="1177" w:type="pct"/>
          </w:tcPr>
          <w:p w14:paraId="12615638" w14:textId="19EA6DC6" w:rsidR="00BD0554" w:rsidRPr="001C2058" w:rsidRDefault="00E2221C" w:rsidP="003B2D05">
            <w:pPr>
              <w:pStyle w:val="Tabletext"/>
              <w:widowControl w:val="0"/>
            </w:pPr>
            <w:r>
              <w:t>Clinical utility (change in management)</w:t>
            </w:r>
            <w:r w:rsidR="00BD0554" w:rsidRPr="001C2058">
              <w:t xml:space="preserve"> studies</w:t>
            </w:r>
          </w:p>
        </w:tc>
        <w:tc>
          <w:tcPr>
            <w:tcW w:w="550" w:type="pct"/>
          </w:tcPr>
          <w:p w14:paraId="3B355B4A" w14:textId="77777777" w:rsidR="00BD0554" w:rsidRPr="001C2058" w:rsidRDefault="00BD0554" w:rsidP="00A03277">
            <w:pPr>
              <w:pStyle w:val="Tabletext"/>
              <w:widowControl w:val="0"/>
              <w:jc w:val="center"/>
            </w:pPr>
            <w:r w:rsidRPr="001C2058">
              <w:t>k = 0</w:t>
            </w:r>
          </w:p>
        </w:tc>
        <w:tc>
          <w:tcPr>
            <w:tcW w:w="3273" w:type="pct"/>
          </w:tcPr>
          <w:p w14:paraId="08FC0186" w14:textId="77777777" w:rsidR="00BD0554" w:rsidRDefault="00BD0554" w:rsidP="003B2D05">
            <w:pPr>
              <w:pStyle w:val="Tabletext"/>
              <w:keepNext/>
            </w:pPr>
            <w:r w:rsidRPr="001C2058">
              <w:t xml:space="preserve">Data extracted from direct comparative </w:t>
            </w:r>
            <w:r>
              <w:t>evidence (</w:t>
            </w:r>
            <w:proofErr w:type="spellStart"/>
            <w:r>
              <w:t>proPSMA</w:t>
            </w:r>
            <w:proofErr w:type="spellEnd"/>
            <w:r>
              <w:t xml:space="preserve"> trial)</w:t>
            </w:r>
          </w:p>
          <w:p w14:paraId="46D32AC6" w14:textId="77777777" w:rsidR="00BD0554" w:rsidRPr="001C2058" w:rsidRDefault="00BD0554" w:rsidP="003B2D05">
            <w:pPr>
              <w:pStyle w:val="Tabletext"/>
              <w:widowControl w:val="0"/>
            </w:pPr>
            <w:r w:rsidRPr="009237E2">
              <w:rPr>
                <w:vertAlign w:val="superscript"/>
              </w:rPr>
              <w:t>68</w:t>
            </w:r>
            <w:r>
              <w:t>Ga-</w:t>
            </w:r>
            <w:r w:rsidRPr="001C2058">
              <w:t>PSMA-11 (</w:t>
            </w:r>
            <w:r>
              <w:t xml:space="preserve">k </w:t>
            </w:r>
            <w:r w:rsidRPr="001C2058">
              <w:t>=</w:t>
            </w:r>
            <w:r>
              <w:t xml:space="preserve"> </w:t>
            </w:r>
            <w:r w:rsidRPr="001C2058">
              <w:t>1)</w:t>
            </w:r>
          </w:p>
        </w:tc>
      </w:tr>
      <w:tr w:rsidR="00BD0554" w:rsidRPr="001C2058" w14:paraId="1D445505" w14:textId="77777777" w:rsidTr="003B2D05">
        <w:tc>
          <w:tcPr>
            <w:tcW w:w="1177" w:type="pct"/>
          </w:tcPr>
          <w:p w14:paraId="23844715" w14:textId="77777777" w:rsidR="00BD0554" w:rsidRPr="001C2058" w:rsidRDefault="00BD0554" w:rsidP="003B2D05">
            <w:pPr>
              <w:pStyle w:val="Tabletext"/>
              <w:widowControl w:val="0"/>
            </w:pPr>
            <w:r w:rsidRPr="001C2058">
              <w:t>Therapeutic effectiveness studies</w:t>
            </w:r>
          </w:p>
        </w:tc>
        <w:tc>
          <w:tcPr>
            <w:tcW w:w="550" w:type="pct"/>
          </w:tcPr>
          <w:p w14:paraId="24A7B497" w14:textId="77777777" w:rsidR="00BD0554" w:rsidRPr="001C2058" w:rsidRDefault="00BD0554" w:rsidP="00A03277">
            <w:pPr>
              <w:pStyle w:val="Tabletext"/>
              <w:widowControl w:val="0"/>
              <w:jc w:val="center"/>
            </w:pPr>
            <w:r w:rsidRPr="001C2058">
              <w:t>k = 0</w:t>
            </w:r>
          </w:p>
        </w:tc>
        <w:tc>
          <w:tcPr>
            <w:tcW w:w="3273" w:type="pct"/>
          </w:tcPr>
          <w:p w14:paraId="50C7D507" w14:textId="77777777" w:rsidR="00BD0554" w:rsidRPr="001C2058" w:rsidRDefault="00BD0554" w:rsidP="003B2D05">
            <w:pPr>
              <w:pStyle w:val="Tabletext"/>
              <w:widowControl w:val="0"/>
            </w:pPr>
            <w:r w:rsidRPr="001C2058">
              <w:t>Narrative exploration only</w:t>
            </w:r>
          </w:p>
        </w:tc>
      </w:tr>
      <w:tr w:rsidR="00BD0554" w:rsidRPr="00FF2C2F" w14:paraId="30283CEE" w14:textId="77777777" w:rsidTr="003B2D05">
        <w:tc>
          <w:tcPr>
            <w:tcW w:w="1177" w:type="pct"/>
          </w:tcPr>
          <w:p w14:paraId="617E74BC" w14:textId="77777777" w:rsidR="00BD0554" w:rsidRPr="001C2058" w:rsidRDefault="00BD0554" w:rsidP="003B2D05">
            <w:pPr>
              <w:pStyle w:val="Tabletext"/>
              <w:widowControl w:val="0"/>
            </w:pPr>
            <w:r>
              <w:t>Concordance studies</w:t>
            </w:r>
          </w:p>
        </w:tc>
        <w:tc>
          <w:tcPr>
            <w:tcW w:w="550" w:type="pct"/>
          </w:tcPr>
          <w:p w14:paraId="4B513AEB" w14:textId="77777777" w:rsidR="00BD0554" w:rsidRDefault="00BD0554" w:rsidP="00A03277">
            <w:pPr>
              <w:pStyle w:val="Tabletext"/>
              <w:widowControl w:val="0"/>
              <w:jc w:val="center"/>
            </w:pPr>
            <w:r>
              <w:t>k = 1 §</w:t>
            </w:r>
          </w:p>
          <w:p w14:paraId="064E356C" w14:textId="77777777" w:rsidR="00BD0554" w:rsidRPr="001C2058" w:rsidRDefault="00BD0554" w:rsidP="00A03277">
            <w:pPr>
              <w:pStyle w:val="Tabletext"/>
              <w:widowControl w:val="0"/>
              <w:jc w:val="center"/>
            </w:pPr>
            <w:r>
              <w:t>n = 16</w:t>
            </w:r>
          </w:p>
        </w:tc>
        <w:tc>
          <w:tcPr>
            <w:tcW w:w="3273" w:type="pct"/>
          </w:tcPr>
          <w:p w14:paraId="016420DE" w14:textId="2213701F" w:rsidR="00BD0554" w:rsidRPr="004F5507" w:rsidRDefault="00BD0554" w:rsidP="003B2D05">
            <w:pPr>
              <w:pStyle w:val="Tabletext"/>
              <w:widowControl w:val="0"/>
            </w:pPr>
            <w:r>
              <w:t>Included with the aim of demonstrating equivalence across radiotracers to support a generic (radio</w:t>
            </w:r>
            <w:r w:rsidR="003B5175">
              <w:t xml:space="preserve">pharmaceutical </w:t>
            </w:r>
            <w:r>
              <w:t>tracer agnostic) MBS item descriptor</w:t>
            </w:r>
          </w:p>
          <w:p w14:paraId="794D93B3" w14:textId="05D8C8B5" w:rsidR="00BD0554" w:rsidRPr="005D6884" w:rsidRDefault="00BD0554" w:rsidP="003B2D05">
            <w:pPr>
              <w:pStyle w:val="Tabletext"/>
              <w:widowControl w:val="0"/>
              <w:rPr>
                <w:lang w:val="de-CH"/>
              </w:rPr>
            </w:pPr>
            <w:r w:rsidRPr="005D6884">
              <w:rPr>
                <w:vertAlign w:val="superscript"/>
                <w:lang w:val="de-CH"/>
              </w:rPr>
              <w:t>68</w:t>
            </w:r>
            <w:r w:rsidRPr="005D6884">
              <w:rPr>
                <w:lang w:val="de-CH"/>
              </w:rPr>
              <w:t>Ga-PSMA-11 vs</w:t>
            </w:r>
            <w:r w:rsidR="00803103">
              <w:rPr>
                <w:lang w:val="de-CH"/>
              </w:rPr>
              <w:t>.</w:t>
            </w:r>
            <w:r w:rsidRPr="005D6884">
              <w:rPr>
                <w:lang w:val="de-CH"/>
              </w:rPr>
              <w:t xml:space="preserve"> </w:t>
            </w:r>
            <w:r w:rsidRPr="005D6884">
              <w:rPr>
                <w:vertAlign w:val="superscript"/>
                <w:lang w:val="de-CH"/>
              </w:rPr>
              <w:t>18</w:t>
            </w:r>
            <w:r w:rsidRPr="005D6884">
              <w:rPr>
                <w:lang w:val="de-CH"/>
              </w:rPr>
              <w:t>F-PSMA-1007 (k = 1)</w:t>
            </w:r>
          </w:p>
        </w:tc>
      </w:tr>
    </w:tbl>
    <w:p w14:paraId="12B64211" w14:textId="77777777" w:rsidR="00BD0554" w:rsidRDefault="00BD0554" w:rsidP="006F02E2">
      <w:pPr>
        <w:pStyle w:val="Tablenotes"/>
      </w:pPr>
      <w:r w:rsidRPr="007842C1">
        <w:rPr>
          <w:b/>
          <w:bCs/>
        </w:rPr>
        <w:t>Abbreviations:</w:t>
      </w:r>
      <w:r>
        <w:t xml:space="preserve"> k = number of studies; n = number of patients across included studies; PSMA = prostate-specific membrane antigen.</w:t>
      </w:r>
    </w:p>
    <w:p w14:paraId="75114437" w14:textId="77777777" w:rsidR="00BD0554" w:rsidRDefault="00BD0554" w:rsidP="006F02E2">
      <w:pPr>
        <w:pStyle w:val="Tablenotes"/>
      </w:pPr>
      <w:r w:rsidRPr="00C11111">
        <w:rPr>
          <w:b/>
        </w:rPr>
        <w:t>Notes</w:t>
      </w:r>
      <w:r>
        <w:t>: † = Level II evidence = a</w:t>
      </w:r>
      <w:r w:rsidRPr="00C4056A">
        <w:t xml:space="preserve"> study of test accuracy with an independent, blinded comparison with a valid reference standard, among consecutive persons with a defined clinical presentation</w:t>
      </w:r>
      <w:r>
        <w:t>; level III-1 evidence = a</w:t>
      </w:r>
      <w:r w:rsidRPr="00B84B21">
        <w:t xml:space="preserve"> study of test accuracy with an independent, blinded comparison with a valid reference standard, among non-consecutive persons with a defined clinical presentation</w:t>
      </w:r>
      <w:r>
        <w:t xml:space="preserve">; ‡ = In the </w:t>
      </w:r>
      <w:proofErr w:type="spellStart"/>
      <w:r>
        <w:t>proPSMA</w:t>
      </w:r>
      <w:proofErr w:type="spellEnd"/>
      <w:r>
        <w:t xml:space="preserve"> RCT, a composite reference standard comprising available histopathology, imaging, and biochemistry follow up results at 6 months was used. Across the 6 level II to III-1 accuracy studies, the reference standard was either histopathology after RP ± pelvic lymph node dissection (n=5) or a composite reference standard (n=1); § = This study </w:t>
      </w:r>
      <w:r>
        <w:fldChar w:fldCharType="begin">
          <w:fldData xml:space="preserve">PEVuZE5vdGU+PENpdGU+PEF1dGhvcj5LdXRlbjwvQXV0aG9yPjxZZWFyPjIwMjA8L1llYXI+PFJl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</w:fldData>
        </w:fldChar>
      </w:r>
      <w:r>
        <w:instrText xml:space="preserve"> ADDIN EN.CITE </w:instrText>
      </w:r>
      <w:r>
        <w:fldChar w:fldCharType="begin">
          <w:fldData xml:space="preserve">PEVuZE5vdGU+PENpdGU+PEF1dGhvcj5LdXRlbjwvQXV0aG9yPjxZZWFyPjIwMjA8L1llYXI+PFJl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</w:fldData>
        </w:fldChar>
      </w:r>
      <w:r>
        <w:instrText xml:space="preserve"> ADDIN EN.CITE.DATA </w:instrText>
      </w:r>
      <w:r>
        <w:fldChar w:fldCharType="end"/>
      </w:r>
      <w:r>
        <w:fldChar w:fldCharType="separate"/>
      </w:r>
      <w:r>
        <w:rPr>
          <w:noProof/>
        </w:rPr>
        <w:t>(</w:t>
      </w:r>
      <w:hyperlink w:anchor="_ENREF_62" w:tooltip="Kuten, 2020 #14" w:history="1">
        <w:r>
          <w:rPr>
            <w:noProof/>
          </w:rPr>
          <w:t>Kuten et al., 2020</w:t>
        </w:r>
      </w:hyperlink>
      <w:r>
        <w:rPr>
          <w:noProof/>
        </w:rPr>
        <w:t>)</w:t>
      </w:r>
      <w:r>
        <w:fldChar w:fldCharType="end"/>
      </w:r>
      <w:r>
        <w:t xml:space="preserve"> was also an included diagnostic accuracy study (row 2).</w:t>
      </w:r>
    </w:p>
    <w:p w14:paraId="66A14E4B" w14:textId="79317FB0" w:rsidR="003E0C21" w:rsidRPr="003E0C21" w:rsidRDefault="00BD0554" w:rsidP="003E0C21">
      <w:pPr>
        <w:pStyle w:val="Tablenotes"/>
      </w:pPr>
      <w:r w:rsidRPr="002C02B4">
        <w:rPr>
          <w:b/>
          <w:bCs/>
        </w:rPr>
        <w:t>Source</w:t>
      </w:r>
      <w:r w:rsidRPr="002C02B4">
        <w:t>: Compiled for the Commentary</w:t>
      </w:r>
      <w:r w:rsidR="00D22C51">
        <w:t xml:space="preserve"> [Table 4, p7]</w:t>
      </w:r>
      <w:bookmarkStart w:id="26" w:name="_Ref71116905"/>
      <w:bookmarkStart w:id="27" w:name="_Toc71729645"/>
      <w:r w:rsidR="003E0C21">
        <w:br w:type="page"/>
      </w:r>
    </w:p>
    <w:p w14:paraId="3E3DE053" w14:textId="55457B3F" w:rsidR="00BD0554" w:rsidRDefault="00BD0554" w:rsidP="003E0C21">
      <w:pPr>
        <w:pStyle w:val="Caption"/>
        <w:spacing w:before="240"/>
      </w:pPr>
      <w:r>
        <w:t>Table</w:t>
      </w:r>
      <w:bookmarkEnd w:id="25"/>
      <w:bookmarkEnd w:id="26"/>
      <w:r w:rsidR="001B7EB2">
        <w:t xml:space="preserve"> 4</w:t>
      </w:r>
      <w:r>
        <w:rPr>
          <w:noProof/>
        </w:rPr>
        <w:tab/>
        <w:t xml:space="preserve">Overview of primary included study types and numbers: </w:t>
      </w:r>
      <w:r w:rsidR="006C5787">
        <w:rPr>
          <w:noProof/>
        </w:rPr>
        <w:t>Restaging</w:t>
      </w:r>
      <w:bookmarkEnd w:id="27"/>
    </w:p>
    <w:tbl>
      <w:tblPr>
        <w:tblStyle w:val="TableGrid"/>
        <w:tblW w:w="0" w:type="auto"/>
        <w:tblInd w:w="28" w:type="dxa"/>
        <w:tblLook w:val="04A0" w:firstRow="1" w:lastRow="0" w:firstColumn="1" w:lastColumn="0" w:noHBand="0" w:noVBand="1"/>
        <w:tblCaption w:val="Table 5 Overview of primary included study types and numbers: Population 2"/>
        <w:tblDescription w:val="Summary of ADAR included studies for Population 2"/>
      </w:tblPr>
      <w:tblGrid>
        <w:gridCol w:w="2092"/>
        <w:gridCol w:w="1155"/>
        <w:gridCol w:w="5741"/>
      </w:tblGrid>
      <w:tr w:rsidR="00BD0554" w:rsidRPr="0039133F" w14:paraId="7E459292" w14:textId="77777777" w:rsidTr="003B2D05">
        <w:trPr>
          <w:cantSplit/>
          <w:tblHeader/>
        </w:trPr>
        <w:tc>
          <w:tcPr>
            <w:tcW w:w="2135" w:type="dxa"/>
          </w:tcPr>
          <w:p w14:paraId="66D39A1B" w14:textId="654FEE2F" w:rsidR="00BD0554" w:rsidRPr="0039133F" w:rsidRDefault="00BD0554" w:rsidP="003B2D05">
            <w:pPr>
              <w:pStyle w:val="Tabletext"/>
              <w:widowControl w:val="0"/>
              <w:rPr>
                <w:b/>
              </w:rPr>
            </w:pPr>
            <w:r w:rsidRPr="0039133F">
              <w:rPr>
                <w:b/>
              </w:rPr>
              <w:t>Type of evidence</w:t>
            </w:r>
            <w:r w:rsidR="00525CF5">
              <w:rPr>
                <w:b/>
              </w:rPr>
              <w:t xml:space="preserve"> </w:t>
            </w:r>
            <w:r>
              <w:rPr>
                <w:b/>
              </w:rPr>
              <w:t>†</w:t>
            </w:r>
          </w:p>
        </w:tc>
        <w:tc>
          <w:tcPr>
            <w:tcW w:w="911" w:type="dxa"/>
          </w:tcPr>
          <w:p w14:paraId="5ECBE25C" w14:textId="475D32B6" w:rsidR="00BD0554" w:rsidRPr="0039133F" w:rsidRDefault="00A03277" w:rsidP="00A03277">
            <w:pPr>
              <w:pStyle w:val="Tabletext"/>
              <w:widowControl w:val="0"/>
              <w:jc w:val="center"/>
              <w:rPr>
                <w:b/>
              </w:rPr>
            </w:pPr>
            <w:r>
              <w:rPr>
                <w:b/>
              </w:rPr>
              <w:t>Participants</w:t>
            </w:r>
          </w:p>
        </w:tc>
        <w:tc>
          <w:tcPr>
            <w:tcW w:w="5942" w:type="dxa"/>
          </w:tcPr>
          <w:p w14:paraId="4EB7DA7B" w14:textId="77777777" w:rsidR="00BD0554" w:rsidRPr="0039133F" w:rsidRDefault="00BD0554" w:rsidP="003B2D05">
            <w:pPr>
              <w:pStyle w:val="Tabletext"/>
              <w:widowControl w:val="0"/>
              <w:rPr>
                <w:b/>
              </w:rPr>
            </w:pPr>
            <w:r w:rsidRPr="0039133F">
              <w:rPr>
                <w:b/>
              </w:rPr>
              <w:t>Details</w:t>
            </w:r>
          </w:p>
        </w:tc>
      </w:tr>
      <w:tr w:rsidR="00BD0554" w:rsidRPr="00F71E11" w14:paraId="6243004D" w14:textId="77777777" w:rsidTr="00BD0554">
        <w:trPr>
          <w:cantSplit/>
        </w:trPr>
        <w:tc>
          <w:tcPr>
            <w:tcW w:w="2135" w:type="dxa"/>
            <w:shd w:val="clear" w:color="auto" w:fill="auto"/>
          </w:tcPr>
          <w:p w14:paraId="4E14EED6" w14:textId="77777777" w:rsidR="00BD0554" w:rsidRPr="00F71E11" w:rsidRDefault="00BD0554" w:rsidP="003B2D05">
            <w:pPr>
              <w:pStyle w:val="Tabletext"/>
              <w:widowControl w:val="0"/>
            </w:pPr>
            <w:r>
              <w:t>C</w:t>
            </w:r>
            <w:r w:rsidRPr="00F71E11">
              <w:t>omparative evidence</w:t>
            </w:r>
          </w:p>
        </w:tc>
        <w:tc>
          <w:tcPr>
            <w:tcW w:w="911" w:type="dxa"/>
            <w:shd w:val="clear" w:color="auto" w:fill="auto"/>
          </w:tcPr>
          <w:p w14:paraId="7C66C12C" w14:textId="1232C525" w:rsidR="00BD0554" w:rsidRPr="00F71E11" w:rsidRDefault="00BD0554" w:rsidP="00A03277">
            <w:pPr>
              <w:pStyle w:val="Tabletext"/>
              <w:jc w:val="center"/>
            </w:pPr>
            <w:r w:rsidRPr="00F71E11">
              <w:t>k = 0</w:t>
            </w:r>
          </w:p>
        </w:tc>
        <w:tc>
          <w:tcPr>
            <w:tcW w:w="5942" w:type="dxa"/>
            <w:shd w:val="clear" w:color="auto" w:fill="auto"/>
          </w:tcPr>
          <w:p w14:paraId="0D0DB770" w14:textId="77777777" w:rsidR="00BD0554" w:rsidRPr="00F71E11" w:rsidRDefault="00BD0554" w:rsidP="003B2D05">
            <w:pPr>
              <w:pStyle w:val="Tabletext"/>
              <w:widowControl w:val="0"/>
            </w:pPr>
            <w:r w:rsidRPr="00F71E11">
              <w:t>No direct head-to-head evidence comparing PSMA PET/CT to the comparator was identified</w:t>
            </w:r>
          </w:p>
        </w:tc>
      </w:tr>
      <w:tr w:rsidR="00BD0554" w:rsidRPr="00F71E11" w14:paraId="35E4DE31" w14:textId="77777777" w:rsidTr="003B2D05">
        <w:trPr>
          <w:cantSplit/>
          <w:trHeight w:val="748"/>
        </w:trPr>
        <w:tc>
          <w:tcPr>
            <w:tcW w:w="2135" w:type="dxa"/>
          </w:tcPr>
          <w:p w14:paraId="3F6F8827" w14:textId="77777777" w:rsidR="00BD0554" w:rsidRPr="00F71E11" w:rsidRDefault="00BD0554" w:rsidP="003B2D05">
            <w:pPr>
              <w:pStyle w:val="Tabletext"/>
              <w:widowControl w:val="0"/>
            </w:pPr>
            <w:r w:rsidRPr="00F71E11">
              <w:t>Diagnostic accuracy studies (level II to III-1)</w:t>
            </w:r>
            <w:r>
              <w:t xml:space="preserve"> ‡</w:t>
            </w:r>
          </w:p>
        </w:tc>
        <w:tc>
          <w:tcPr>
            <w:tcW w:w="911" w:type="dxa"/>
          </w:tcPr>
          <w:p w14:paraId="34C71583" w14:textId="77777777" w:rsidR="00BD0554" w:rsidRDefault="00BD0554" w:rsidP="00A03277">
            <w:pPr>
              <w:pStyle w:val="Tabletext"/>
              <w:widowControl w:val="0"/>
              <w:jc w:val="center"/>
            </w:pPr>
            <w:r w:rsidRPr="00F71E11">
              <w:t>k = 10</w:t>
            </w:r>
          </w:p>
          <w:p w14:paraId="54911828" w14:textId="77777777" w:rsidR="00BD0554" w:rsidRPr="00F71E11" w:rsidRDefault="00BD0554" w:rsidP="00A03277">
            <w:pPr>
              <w:pStyle w:val="Tabletext"/>
              <w:widowControl w:val="0"/>
              <w:jc w:val="center"/>
            </w:pPr>
            <w:r>
              <w:t>n = 1,231</w:t>
            </w:r>
          </w:p>
        </w:tc>
        <w:tc>
          <w:tcPr>
            <w:tcW w:w="5942" w:type="dxa"/>
          </w:tcPr>
          <w:p w14:paraId="5D58A101" w14:textId="77777777" w:rsidR="00BD0554" w:rsidRPr="00F71E11" w:rsidRDefault="00BD0554" w:rsidP="003B2D05">
            <w:pPr>
              <w:pStyle w:val="Tabletext"/>
            </w:pPr>
            <w:r w:rsidRPr="00F71E11">
              <w:t xml:space="preserve">Two of ten </w:t>
            </w:r>
            <w:r>
              <w:t xml:space="preserve">single arm </w:t>
            </w:r>
            <w:r w:rsidRPr="00F71E11">
              <w:t>studies required patients to have prior negative or equivocal findings on CVI, providing insight into the incremental impact of PSMA PET/CT over CVI.</w:t>
            </w:r>
          </w:p>
          <w:p w14:paraId="2C25817A" w14:textId="77777777" w:rsidR="00BD0554" w:rsidRPr="00F71E11" w:rsidRDefault="00BD0554" w:rsidP="003B2D05">
            <w:pPr>
              <w:pStyle w:val="Tabletext"/>
              <w:widowControl w:val="0"/>
            </w:pPr>
            <w:r w:rsidRPr="001F6A01">
              <w:rPr>
                <w:vertAlign w:val="superscript"/>
              </w:rPr>
              <w:t>68</w:t>
            </w:r>
            <w:r w:rsidRPr="00F71E11">
              <w:t>Ga-PSMA-11 (</w:t>
            </w:r>
            <w:r>
              <w:t xml:space="preserve">k </w:t>
            </w:r>
            <w:r w:rsidRPr="00F71E11">
              <w:t>=</w:t>
            </w:r>
            <w:r>
              <w:t xml:space="preserve"> </w:t>
            </w:r>
            <w:r w:rsidRPr="00F71E11">
              <w:t xml:space="preserve">8); </w:t>
            </w:r>
            <w:r w:rsidRPr="001F6A01">
              <w:rPr>
                <w:vertAlign w:val="superscript"/>
              </w:rPr>
              <w:t>18</w:t>
            </w:r>
            <w:r w:rsidRPr="00F71E11">
              <w:t>F-DCFPyL (</w:t>
            </w:r>
            <w:r>
              <w:t xml:space="preserve">k </w:t>
            </w:r>
            <w:r w:rsidRPr="00F71E11">
              <w:t>=</w:t>
            </w:r>
            <w:r>
              <w:t xml:space="preserve"> </w:t>
            </w:r>
            <w:r w:rsidRPr="00F71E11">
              <w:t xml:space="preserve">1); </w:t>
            </w:r>
            <w:r w:rsidRPr="001F6A01">
              <w:rPr>
                <w:vertAlign w:val="superscript"/>
              </w:rPr>
              <w:t>18</w:t>
            </w:r>
            <w:r w:rsidRPr="00F71E11">
              <w:t>F-PSMA-1007 (</w:t>
            </w:r>
            <w:r>
              <w:t xml:space="preserve">k </w:t>
            </w:r>
            <w:r w:rsidRPr="00F71E11">
              <w:t>=</w:t>
            </w:r>
            <w:r>
              <w:t xml:space="preserve"> </w:t>
            </w:r>
            <w:r w:rsidRPr="00F71E11">
              <w:t>1)</w:t>
            </w:r>
          </w:p>
        </w:tc>
      </w:tr>
      <w:tr w:rsidR="00BD0554" w:rsidRPr="00F71E11" w14:paraId="2F23FF4A" w14:textId="77777777" w:rsidTr="003B2D05">
        <w:trPr>
          <w:cantSplit/>
        </w:trPr>
        <w:tc>
          <w:tcPr>
            <w:tcW w:w="2135" w:type="dxa"/>
          </w:tcPr>
          <w:p w14:paraId="282CD279" w14:textId="60FDC0EC" w:rsidR="00BD0554" w:rsidRPr="00F71E11" w:rsidRDefault="00E2221C" w:rsidP="003B2D05">
            <w:pPr>
              <w:pStyle w:val="Tabletext"/>
              <w:widowControl w:val="0"/>
            </w:pPr>
            <w:r>
              <w:t>Clinical utility (change in management)</w:t>
            </w:r>
            <w:r w:rsidRPr="001C2058">
              <w:t xml:space="preserve"> studies</w:t>
            </w:r>
          </w:p>
        </w:tc>
        <w:tc>
          <w:tcPr>
            <w:tcW w:w="911" w:type="dxa"/>
          </w:tcPr>
          <w:p w14:paraId="5A93292C" w14:textId="77777777" w:rsidR="00BD0554" w:rsidRDefault="00BD0554" w:rsidP="00A03277">
            <w:pPr>
              <w:pStyle w:val="Tabletext"/>
              <w:widowControl w:val="0"/>
              <w:jc w:val="center"/>
            </w:pPr>
            <w:r w:rsidRPr="00F71E11">
              <w:t>k = 21</w:t>
            </w:r>
          </w:p>
          <w:p w14:paraId="5A9F662F" w14:textId="77777777" w:rsidR="00BD0554" w:rsidRPr="00F71E11" w:rsidRDefault="00BD0554" w:rsidP="00A03277">
            <w:pPr>
              <w:pStyle w:val="Tabletext"/>
              <w:widowControl w:val="0"/>
              <w:jc w:val="center"/>
            </w:pPr>
            <w:r>
              <w:t>n = 2,238</w:t>
            </w:r>
          </w:p>
        </w:tc>
        <w:tc>
          <w:tcPr>
            <w:tcW w:w="5942" w:type="dxa"/>
          </w:tcPr>
          <w:p w14:paraId="301FF3D0" w14:textId="77777777" w:rsidR="00BD0554" w:rsidRPr="00F71E11" w:rsidRDefault="00BD0554" w:rsidP="003B2D05">
            <w:pPr>
              <w:pStyle w:val="Tabletext"/>
            </w:pPr>
            <w:r w:rsidRPr="00F71E11">
              <w:t>Assessed implemented or intended decision impact of PSMA PET/CT on clinical management. Five of 21 studies required patients to have prior negative or equivocal findings on CVI</w:t>
            </w:r>
          </w:p>
          <w:p w14:paraId="54D94B20" w14:textId="77777777" w:rsidR="00BD0554" w:rsidRPr="00F71E11" w:rsidRDefault="00BD0554" w:rsidP="003B2D05">
            <w:pPr>
              <w:pStyle w:val="Tabletext"/>
              <w:widowControl w:val="0"/>
            </w:pPr>
            <w:r w:rsidRPr="001F6A01">
              <w:rPr>
                <w:vertAlign w:val="superscript"/>
              </w:rPr>
              <w:t>68</w:t>
            </w:r>
            <w:r w:rsidRPr="00F71E11">
              <w:t>Ga-PSMA-11 (</w:t>
            </w:r>
            <w:r>
              <w:t xml:space="preserve">k </w:t>
            </w:r>
            <w:r w:rsidRPr="00F71E11">
              <w:t>=</w:t>
            </w:r>
            <w:r>
              <w:t xml:space="preserve"> </w:t>
            </w:r>
            <w:r w:rsidRPr="00F71E11">
              <w:t xml:space="preserve">15); </w:t>
            </w:r>
            <w:r w:rsidRPr="001F6A01">
              <w:rPr>
                <w:vertAlign w:val="superscript"/>
              </w:rPr>
              <w:t>18</w:t>
            </w:r>
            <w:r w:rsidRPr="00F71E11">
              <w:t>F-DCFPyL (</w:t>
            </w:r>
            <w:r>
              <w:t xml:space="preserve">k </w:t>
            </w:r>
            <w:r w:rsidRPr="00F71E11">
              <w:t>=</w:t>
            </w:r>
            <w:r>
              <w:t xml:space="preserve"> </w:t>
            </w:r>
            <w:r w:rsidRPr="00F71E11">
              <w:t xml:space="preserve">4); </w:t>
            </w:r>
            <w:r w:rsidRPr="001F6A01">
              <w:rPr>
                <w:vertAlign w:val="superscript"/>
              </w:rPr>
              <w:t>68</w:t>
            </w:r>
            <w:r w:rsidRPr="00F71E11">
              <w:t>Ga-PSMA-I&amp;T (</w:t>
            </w:r>
            <w:r>
              <w:t xml:space="preserve">k </w:t>
            </w:r>
            <w:r w:rsidRPr="00F71E11">
              <w:t>=</w:t>
            </w:r>
            <w:r>
              <w:t xml:space="preserve"> </w:t>
            </w:r>
            <w:r w:rsidRPr="00F71E11">
              <w:t xml:space="preserve">1); </w:t>
            </w:r>
            <w:r w:rsidRPr="001F6A01">
              <w:rPr>
                <w:vertAlign w:val="superscript"/>
              </w:rPr>
              <w:t>68</w:t>
            </w:r>
            <w:r w:rsidRPr="00F71E11">
              <w:t>Ga-THP-PSMA (</w:t>
            </w:r>
            <w:r>
              <w:t xml:space="preserve">k </w:t>
            </w:r>
            <w:r w:rsidRPr="00F71E11">
              <w:t>=</w:t>
            </w:r>
            <w:r>
              <w:t xml:space="preserve"> </w:t>
            </w:r>
            <w:r w:rsidRPr="00F71E11">
              <w:t>1)</w:t>
            </w:r>
          </w:p>
        </w:tc>
      </w:tr>
      <w:tr w:rsidR="00BD0554" w:rsidRPr="00F71E11" w14:paraId="14CCBF2A" w14:textId="77777777" w:rsidTr="003B2D05">
        <w:trPr>
          <w:cantSplit/>
        </w:trPr>
        <w:tc>
          <w:tcPr>
            <w:tcW w:w="2135" w:type="dxa"/>
          </w:tcPr>
          <w:p w14:paraId="13058C9B" w14:textId="77777777" w:rsidR="00BD0554" w:rsidRPr="00F71E11" w:rsidRDefault="00BD0554" w:rsidP="003B2D05">
            <w:pPr>
              <w:pStyle w:val="Tabletext"/>
              <w:widowControl w:val="0"/>
            </w:pPr>
            <w:r w:rsidRPr="00F71E11">
              <w:t>Therapeutic effectiveness studies</w:t>
            </w:r>
          </w:p>
        </w:tc>
        <w:tc>
          <w:tcPr>
            <w:tcW w:w="911" w:type="dxa"/>
          </w:tcPr>
          <w:p w14:paraId="56EFDE2A" w14:textId="5D6F4EE6" w:rsidR="00BD0554" w:rsidRPr="00F71E11" w:rsidRDefault="00BD0554" w:rsidP="00A03277">
            <w:pPr>
              <w:pStyle w:val="Tabletext"/>
              <w:jc w:val="center"/>
            </w:pPr>
            <w:r w:rsidRPr="00F71E11">
              <w:t>k = 2</w:t>
            </w:r>
          </w:p>
          <w:p w14:paraId="4B2AD284" w14:textId="77777777" w:rsidR="00BD0554" w:rsidRPr="00F71E11" w:rsidRDefault="00BD0554" w:rsidP="00A03277">
            <w:pPr>
              <w:pStyle w:val="Tabletext"/>
              <w:widowControl w:val="0"/>
              <w:jc w:val="center"/>
            </w:pPr>
            <w:r>
              <w:t>n = 314</w:t>
            </w:r>
          </w:p>
        </w:tc>
        <w:tc>
          <w:tcPr>
            <w:tcW w:w="5942" w:type="dxa"/>
          </w:tcPr>
          <w:p w14:paraId="44DAE2F3" w14:textId="77777777" w:rsidR="00BD0554" w:rsidRDefault="00BD0554" w:rsidP="00BD0554">
            <w:pPr>
              <w:pStyle w:val="Tabletext"/>
              <w:numPr>
                <w:ilvl w:val="0"/>
                <w:numId w:val="21"/>
              </w:numPr>
              <w:ind w:left="357" w:hanging="357"/>
            </w:pPr>
            <w:r w:rsidRPr="00F71E11">
              <w:t xml:space="preserve">SABR vs. observation after </w:t>
            </w:r>
            <w:r w:rsidRPr="001F6A01">
              <w:rPr>
                <w:vertAlign w:val="superscript"/>
              </w:rPr>
              <w:t>18</w:t>
            </w:r>
            <w:r w:rsidRPr="00F71E11">
              <w:t>F-DCFPyL PSMA PET/CT (</w:t>
            </w:r>
            <w:r>
              <w:t xml:space="preserve">k </w:t>
            </w:r>
            <w:r w:rsidRPr="00F71E11">
              <w:t>=</w:t>
            </w:r>
            <w:r>
              <w:t xml:space="preserve"> </w:t>
            </w:r>
            <w:r w:rsidRPr="00F71E11">
              <w:t>1)</w:t>
            </w:r>
          </w:p>
          <w:p w14:paraId="1C416BAE" w14:textId="77777777" w:rsidR="00BD0554" w:rsidRPr="00F71E11" w:rsidRDefault="00BD0554" w:rsidP="00BD0554">
            <w:pPr>
              <w:pStyle w:val="Tabletext"/>
              <w:widowControl w:val="0"/>
              <w:numPr>
                <w:ilvl w:val="0"/>
                <w:numId w:val="21"/>
              </w:numPr>
              <w:ind w:left="357" w:hanging="357"/>
            </w:pPr>
            <w:r w:rsidRPr="00F71E11">
              <w:t>S</w:t>
            </w:r>
            <w:r>
              <w:t xml:space="preserve">alvage </w:t>
            </w:r>
            <w:r w:rsidRPr="00F71E11">
              <w:t xml:space="preserve">RT ± ADT following </w:t>
            </w:r>
            <w:r w:rsidRPr="001F6A01">
              <w:rPr>
                <w:vertAlign w:val="superscript"/>
              </w:rPr>
              <w:t>68</w:t>
            </w:r>
            <w:r w:rsidRPr="00F71E11">
              <w:t>Ga-PSMA-11 PSMA PET/CT</w:t>
            </w:r>
            <w:r>
              <w:t xml:space="preserve"> (k = 1)</w:t>
            </w:r>
          </w:p>
        </w:tc>
      </w:tr>
      <w:tr w:rsidR="00BD0554" w:rsidRPr="00FF2C2F" w14:paraId="6EACBEB2" w14:textId="77777777" w:rsidTr="003B2D05">
        <w:trPr>
          <w:cantSplit/>
        </w:trPr>
        <w:tc>
          <w:tcPr>
            <w:tcW w:w="2135" w:type="dxa"/>
          </w:tcPr>
          <w:p w14:paraId="0DCE76A4" w14:textId="77777777" w:rsidR="00BD0554" w:rsidRPr="00F71E11" w:rsidRDefault="00BD0554" w:rsidP="003B2D05">
            <w:pPr>
              <w:pStyle w:val="Tabletext"/>
              <w:widowControl w:val="0"/>
            </w:pPr>
            <w:r>
              <w:t>Concordance studies</w:t>
            </w:r>
          </w:p>
        </w:tc>
        <w:tc>
          <w:tcPr>
            <w:tcW w:w="911" w:type="dxa"/>
          </w:tcPr>
          <w:p w14:paraId="44AA36E3" w14:textId="77777777" w:rsidR="00BD0554" w:rsidRDefault="00BD0554" w:rsidP="00A03277">
            <w:pPr>
              <w:pStyle w:val="Tabletext"/>
              <w:jc w:val="center"/>
            </w:pPr>
            <w:r>
              <w:t>k = 2</w:t>
            </w:r>
          </w:p>
          <w:p w14:paraId="51087CFA" w14:textId="77777777" w:rsidR="00BD0554" w:rsidRPr="00F71E11" w:rsidRDefault="00BD0554" w:rsidP="00A03277">
            <w:pPr>
              <w:pStyle w:val="Tabletext"/>
              <w:jc w:val="center"/>
            </w:pPr>
            <w:r>
              <w:t>n = 210</w:t>
            </w:r>
          </w:p>
        </w:tc>
        <w:tc>
          <w:tcPr>
            <w:tcW w:w="5942" w:type="dxa"/>
          </w:tcPr>
          <w:p w14:paraId="4DAF6CD8" w14:textId="4C11D671" w:rsidR="00BD0554" w:rsidRDefault="00BD0554" w:rsidP="003B2D05">
            <w:pPr>
              <w:pStyle w:val="Tabletext"/>
            </w:pPr>
            <w:r>
              <w:t>Included with the aim of demonstrating equivalence across radio</w:t>
            </w:r>
            <w:r w:rsidR="003B5175">
              <w:t xml:space="preserve">pharmaceutical </w:t>
            </w:r>
            <w:r>
              <w:t>tracers to a support generic (radio</w:t>
            </w:r>
            <w:r w:rsidR="003B5175">
              <w:t xml:space="preserve">pharmaceutical </w:t>
            </w:r>
            <w:r>
              <w:t>tracer agnostic) MBS item descriptor</w:t>
            </w:r>
          </w:p>
          <w:p w14:paraId="5DEF7521" w14:textId="77777777" w:rsidR="00BD0554" w:rsidRDefault="00BD0554" w:rsidP="003B2D05">
            <w:pPr>
              <w:pStyle w:val="Tabletext"/>
            </w:pPr>
            <w:r w:rsidRPr="001F6A01">
              <w:rPr>
                <w:vertAlign w:val="superscript"/>
              </w:rPr>
              <w:t>68</w:t>
            </w:r>
            <w:r>
              <w:t xml:space="preserve">Ga-PSMA-11 vs. </w:t>
            </w:r>
            <w:r w:rsidRPr="001F6A01">
              <w:rPr>
                <w:vertAlign w:val="superscript"/>
              </w:rPr>
              <w:t>18</w:t>
            </w:r>
            <w:r>
              <w:t>F-DCFPyL (k = 1)</w:t>
            </w:r>
          </w:p>
          <w:p w14:paraId="466D6AF3" w14:textId="77777777" w:rsidR="00BD0554" w:rsidRPr="006B394D" w:rsidRDefault="00BD0554" w:rsidP="003B2D05">
            <w:pPr>
              <w:pStyle w:val="Tabletext"/>
              <w:rPr>
                <w:lang w:val="de-CH"/>
              </w:rPr>
            </w:pPr>
            <w:r w:rsidRPr="001F6A01">
              <w:rPr>
                <w:vertAlign w:val="superscript"/>
                <w:lang w:val="de-CH"/>
              </w:rPr>
              <w:t>68</w:t>
            </w:r>
            <w:r w:rsidRPr="006B394D">
              <w:rPr>
                <w:lang w:val="de-CH"/>
              </w:rPr>
              <w:t xml:space="preserve">Ga-PSMA-11 vs. </w:t>
            </w:r>
            <w:r w:rsidRPr="001F6A01">
              <w:rPr>
                <w:vertAlign w:val="superscript"/>
                <w:lang w:val="de-CH"/>
              </w:rPr>
              <w:t>68</w:t>
            </w:r>
            <w:r w:rsidRPr="006B394D">
              <w:rPr>
                <w:lang w:val="de-CH"/>
              </w:rPr>
              <w:t>Ga</w:t>
            </w:r>
            <w:r>
              <w:rPr>
                <w:lang w:val="de-CH"/>
              </w:rPr>
              <w:t>-</w:t>
            </w:r>
            <w:r w:rsidRPr="006B394D">
              <w:rPr>
                <w:lang w:val="de-CH"/>
              </w:rPr>
              <w:t>PSMA-1&amp;T (k</w:t>
            </w:r>
            <w:r>
              <w:rPr>
                <w:lang w:val="de-CH"/>
              </w:rPr>
              <w:t xml:space="preserve"> </w:t>
            </w:r>
            <w:r w:rsidRPr="006B394D">
              <w:rPr>
                <w:lang w:val="de-CH"/>
              </w:rPr>
              <w:t>=</w:t>
            </w:r>
            <w:r>
              <w:rPr>
                <w:lang w:val="de-CH"/>
              </w:rPr>
              <w:t xml:space="preserve"> </w:t>
            </w:r>
            <w:r w:rsidRPr="006B394D">
              <w:rPr>
                <w:lang w:val="de-CH"/>
              </w:rPr>
              <w:t>1)</w:t>
            </w:r>
          </w:p>
        </w:tc>
      </w:tr>
    </w:tbl>
    <w:p w14:paraId="741CAB5F" w14:textId="77777777" w:rsidR="00BD0554" w:rsidRDefault="00BD0554" w:rsidP="006F02E2">
      <w:pPr>
        <w:pStyle w:val="Tablenotes"/>
      </w:pPr>
      <w:r w:rsidRPr="008553FA">
        <w:rPr>
          <w:b/>
          <w:bCs/>
        </w:rPr>
        <w:t>Abbreviations</w:t>
      </w:r>
      <w:r>
        <w:t xml:space="preserve">: ADT = androgen deprivation therapy; CT = computed tomography; CVI = conventional imaging; PET = positron emission tomography; PSMA = prostate-specific membrane antigen; RT = radiotherapy; SABR = stereotactic ablative radiotherapy. </w:t>
      </w:r>
    </w:p>
    <w:p w14:paraId="0AE74D55" w14:textId="77777777" w:rsidR="00BD0554" w:rsidRDefault="00BD0554" w:rsidP="006F02E2">
      <w:pPr>
        <w:pStyle w:val="Tablenotes"/>
      </w:pPr>
      <w:r w:rsidRPr="00C11111">
        <w:rPr>
          <w:b/>
        </w:rPr>
        <w:t>Notes</w:t>
      </w:r>
      <w:r>
        <w:t>: † = level II evidence: a</w:t>
      </w:r>
      <w:r w:rsidRPr="00C4056A">
        <w:t xml:space="preserve"> study of test accuracy with an independent, blinded comparison with a valid reference standard, among consecutive persons with a defined clinical presentation</w:t>
      </w:r>
      <w:r>
        <w:t>. level III-1 evidence: a</w:t>
      </w:r>
      <w:r w:rsidRPr="00B84B21">
        <w:t xml:space="preserve"> study of test accuracy with an independent, blinded comparison with a valid reference standard, among non-consecutive persons with a defined clinical presentation</w:t>
      </w:r>
      <w:r>
        <w:t>; ‡ = Across the 10 accuracy studies, the reference standard was either histopathology or a composite reference standard</w:t>
      </w:r>
    </w:p>
    <w:p w14:paraId="668E660E" w14:textId="468CB021" w:rsidR="00BD0554" w:rsidRDefault="00BD0554" w:rsidP="006F02E2">
      <w:pPr>
        <w:pStyle w:val="Tablenotes"/>
      </w:pPr>
      <w:r w:rsidRPr="00632A3F">
        <w:rPr>
          <w:b/>
          <w:bCs/>
        </w:rPr>
        <w:t>Source</w:t>
      </w:r>
      <w:r w:rsidRPr="00632A3F">
        <w:t>: Compiled for the Commentary</w:t>
      </w:r>
      <w:r w:rsidR="00D22C51">
        <w:t xml:space="preserve"> [Table 5, pp7-8]</w:t>
      </w:r>
    </w:p>
    <w:p w14:paraId="44C10EAE" w14:textId="329257AF" w:rsidR="00D22C51" w:rsidRDefault="00D22C51" w:rsidP="003E0C21">
      <w:pPr>
        <w:spacing w:before="240"/>
      </w:pPr>
      <w:r>
        <w:t xml:space="preserve">Evidence on the safety of PSMA PET/CT </w:t>
      </w:r>
      <w:r w:rsidR="00525CF5">
        <w:t>wa</w:t>
      </w:r>
      <w:r>
        <w:t>s considered across both populations together.</w:t>
      </w:r>
    </w:p>
    <w:p w14:paraId="3DAD56A1" w14:textId="79DB3CF6" w:rsidR="00D22C51" w:rsidRDefault="00D22C51" w:rsidP="003E0C21">
      <w:pPr>
        <w:spacing w:before="240"/>
      </w:pPr>
      <w:r>
        <w:t>Radiation exposure was the only safety outcome for which a comparison between PSMA PET/CT and conventional imaging (CVI) was made. Test adverse events were not compared between PSMA PET/CT and conventional imaging CVI</w:t>
      </w:r>
      <w:r w:rsidRPr="00CA3284">
        <w:t>.</w:t>
      </w:r>
      <w:r w:rsidRPr="00EC339A">
        <w:t xml:space="preserve"> </w:t>
      </w:r>
      <w:r>
        <w:t>The ADAR concluded that PSMA PET/CT has superior safety relative to CVI.</w:t>
      </w:r>
    </w:p>
    <w:p w14:paraId="0317669D" w14:textId="0349CB53" w:rsidR="00D22C51" w:rsidRDefault="00D22C51" w:rsidP="003E0C21">
      <w:pPr>
        <w:spacing w:before="240"/>
      </w:pPr>
      <w:r>
        <w:t xml:space="preserve">The </w:t>
      </w:r>
      <w:r w:rsidR="005D77C0">
        <w:t>C</w:t>
      </w:r>
      <w:r>
        <w:t>ommentary noted that the conclusion of superior safety appear</w:t>
      </w:r>
      <w:r w:rsidR="00525CF5">
        <w:t>ed</w:t>
      </w:r>
      <w:r>
        <w:t xml:space="preserve"> to be based on the comparative patient radiation exposure between 68Ga-PSMA-11 PET/CT and CVI. This comparison is only relevant for patients undergoing both WBBS and abdominopelvic CT. The </w:t>
      </w:r>
      <w:r w:rsidR="005D77C0">
        <w:t>C</w:t>
      </w:r>
      <w:r>
        <w:t>ommentary also noted that some patients with intermediate-risk features (Population 1) or PSA levels &lt;1.</w:t>
      </w:r>
      <w:r w:rsidRPr="003B088B">
        <w:t>0</w:t>
      </w:r>
      <w:r w:rsidR="003B088B">
        <w:t> </w:t>
      </w:r>
      <w:r w:rsidRPr="003B088B">
        <w:t>ng</w:t>
      </w:r>
      <w:r>
        <w:t>/ml (Population 2) may undergo only one, or neither, comparator scan therefore the superior safety may not be justified base</w:t>
      </w:r>
      <w:r w:rsidR="00B10D47">
        <w:t>d purely on radiation exposure.</w:t>
      </w:r>
    </w:p>
    <w:p w14:paraId="0F01E841" w14:textId="1AB7B7BB" w:rsidR="00365211" w:rsidRPr="00D22C51" w:rsidRDefault="00D22C51" w:rsidP="003E0C21">
      <w:pPr>
        <w:spacing w:before="240"/>
      </w:pPr>
      <w:r>
        <w:t xml:space="preserve">Nonetheless, the </w:t>
      </w:r>
      <w:r w:rsidR="005D77C0">
        <w:t>C</w:t>
      </w:r>
      <w:r>
        <w:t xml:space="preserve">ommentary </w:t>
      </w:r>
      <w:r w:rsidR="00525CF5">
        <w:t xml:space="preserve">notes </w:t>
      </w:r>
      <w:r>
        <w:t xml:space="preserve">that no serious safety concerns related to 68Ga-PSMA-11 or 18F-DCFPyL PSMA PET/CT were identified in the ADAR, </w:t>
      </w:r>
      <w:r w:rsidR="00525CF5">
        <w:t xml:space="preserve">and </w:t>
      </w:r>
      <w:r>
        <w:t>suggest</w:t>
      </w:r>
      <w:r w:rsidR="00525CF5">
        <w:t>ed</w:t>
      </w:r>
      <w:r>
        <w:t xml:space="preserve"> PSMA PET/CT is at least non-inferior to CVI across all </w:t>
      </w:r>
      <w:r w:rsidR="008947B2">
        <w:t xml:space="preserve">proposed MBS-eligible patients. </w:t>
      </w:r>
      <w:r>
        <w:t xml:space="preserve">The </w:t>
      </w:r>
      <w:r w:rsidR="005D77C0">
        <w:t>C</w:t>
      </w:r>
      <w:r>
        <w:t xml:space="preserve">ommentary also noted that included studies reporting on test adverse events </w:t>
      </w:r>
      <w:r w:rsidR="00525CF5">
        <w:t>we</w:t>
      </w:r>
      <w:r>
        <w:t>re limited to the 68Ga-PSMA-11 and 18F-DCFPyL radio</w:t>
      </w:r>
      <w:r w:rsidR="00CD41BB">
        <w:t xml:space="preserve">pharmaceutical </w:t>
      </w:r>
      <w:r>
        <w:t>tracers.</w:t>
      </w:r>
    </w:p>
    <w:p w14:paraId="7A706AD0" w14:textId="188A99F5" w:rsidR="00B411FE" w:rsidRPr="006271C5" w:rsidRDefault="00065623" w:rsidP="00365211">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Comparative effectiveness</w:t>
      </w:r>
    </w:p>
    <w:p w14:paraId="0852380A" w14:textId="77777777" w:rsidR="001B7EB2" w:rsidRPr="00AC6AD2" w:rsidRDefault="001B7EB2" w:rsidP="00365211">
      <w:pPr>
        <w:pStyle w:val="Heading2"/>
      </w:pPr>
      <w:r w:rsidRPr="00AC6AD2">
        <w:t>Accuracy</w:t>
      </w:r>
    </w:p>
    <w:p w14:paraId="69EB336F" w14:textId="34FD86EC" w:rsidR="001B7EB2" w:rsidRDefault="001B7EB2" w:rsidP="003B2D05">
      <w:r>
        <w:t>Appropriate reference standards were used in the key accuracy studies.</w:t>
      </w:r>
    </w:p>
    <w:p w14:paraId="0CCBB8B4" w14:textId="5942A32E" w:rsidR="001B7EB2" w:rsidRPr="005D6884" w:rsidRDefault="001B7EB2" w:rsidP="001B7EB2">
      <w:pPr>
        <w:pStyle w:val="Heading3"/>
      </w:pPr>
      <w:r w:rsidRPr="005D6884">
        <w:t>P</w:t>
      </w:r>
      <w:r w:rsidR="006C5787">
        <w:t>rimary staging</w:t>
      </w:r>
    </w:p>
    <w:p w14:paraId="7E798A55" w14:textId="777E5807" w:rsidR="001B7EB2" w:rsidRDefault="001B7EB2" w:rsidP="001B7EB2">
      <w:r>
        <w:t>D</w:t>
      </w:r>
      <w:r w:rsidRPr="0048508E">
        <w:t xml:space="preserve">irect comparative evidence </w:t>
      </w:r>
      <w:r>
        <w:t xml:space="preserve">demonstrates the superior accuracy of PSMA PET/CT over CVI in the </w:t>
      </w:r>
      <w:r w:rsidR="00AD1934">
        <w:t xml:space="preserve">primary </w:t>
      </w:r>
      <w:r w:rsidRPr="0048508E">
        <w:t>N- and M-staging of patients with prostate cancer and one or more of the following: PSA</w:t>
      </w:r>
      <w:r>
        <w:t xml:space="preserve"> </w:t>
      </w:r>
      <w:r w:rsidR="005D77C0">
        <w:sym w:font="Symbol" w:char="F0B3"/>
      </w:r>
      <w:r w:rsidRPr="0048508E">
        <w:t>20</w:t>
      </w:r>
      <w:r w:rsidR="003B088B">
        <w:t> </w:t>
      </w:r>
      <w:r w:rsidRPr="0048508E">
        <w:t xml:space="preserve">ng/ml; ISUP grade </w:t>
      </w:r>
      <w:r w:rsidR="005D77C0">
        <w:sym w:font="Symbol" w:char="F0B3"/>
      </w:r>
      <w:r w:rsidRPr="0048508E">
        <w:t xml:space="preserve">3; clinical stage </w:t>
      </w:r>
      <w:r w:rsidR="005D77C0">
        <w:sym w:font="Symbol" w:char="F0B3"/>
      </w:r>
      <w:r w:rsidRPr="0048508E">
        <w:t>T3</w:t>
      </w:r>
      <w:r>
        <w:t xml:space="preserve">. In the </w:t>
      </w:r>
      <w:proofErr w:type="spellStart"/>
      <w:r>
        <w:t>proPSMA</w:t>
      </w:r>
      <w:proofErr w:type="spellEnd"/>
      <w:r>
        <w:t xml:space="preserve"> RCT (</w:t>
      </w:r>
      <w:proofErr w:type="spellStart"/>
      <w:r>
        <w:t>Hofman</w:t>
      </w:r>
      <w:proofErr w:type="spellEnd"/>
      <w:r>
        <w:t xml:space="preserve"> et al., 2020</w:t>
      </w:r>
      <w:r w:rsidR="009766C9">
        <w:rPr>
          <w:rStyle w:val="FootnoteReference"/>
        </w:rPr>
        <w:footnoteReference w:id="5"/>
      </w:r>
      <w:r>
        <w:t xml:space="preserve">), PSMA PET/CT had a statistically significant absolute greater </w:t>
      </w:r>
      <w:r>
        <w:rPr>
          <w:iCs/>
        </w:rPr>
        <w:t xml:space="preserve">area under the curve (AUC) of the receiver operating characteristics (ROC) curve for </w:t>
      </w:r>
      <w:r w:rsidRPr="006E13D4">
        <w:rPr>
          <w:iCs/>
        </w:rPr>
        <w:t>accuracy</w:t>
      </w:r>
      <w:r>
        <w:rPr>
          <w:iCs/>
        </w:rPr>
        <w:t xml:space="preserve"> </w:t>
      </w:r>
      <w:r>
        <w:t>for PSMA PET/CT compared to CVI (difference: 0.27; p &lt;0.0001).</w:t>
      </w:r>
    </w:p>
    <w:p w14:paraId="04C80EC1" w14:textId="67D2B3E4" w:rsidR="001B7EB2" w:rsidRPr="00317E5B" w:rsidRDefault="001B7EB2" w:rsidP="001B7EB2">
      <w:pPr>
        <w:spacing w:before="240"/>
      </w:pPr>
      <w:r>
        <w:t xml:space="preserve">The </w:t>
      </w:r>
      <w:r w:rsidR="006C5787">
        <w:t>s</w:t>
      </w:r>
      <w:r>
        <w:t xml:space="preserve">ensitivity and specificity of </w:t>
      </w:r>
      <w:r w:rsidRPr="00E24E6E">
        <w:rPr>
          <w:vertAlign w:val="superscript"/>
        </w:rPr>
        <w:t>68</w:t>
      </w:r>
      <w:r>
        <w:t>Ga-PSMA-11 PET/CT and CVI – presented as critical outcomes in the ADAR, are summarised in</w:t>
      </w:r>
      <w:r w:rsidR="003B2D05">
        <w:t xml:space="preserve"> Table 5</w:t>
      </w:r>
      <w:r>
        <w:t>.</w:t>
      </w:r>
    </w:p>
    <w:p w14:paraId="0CC96D95" w14:textId="531E566D" w:rsidR="001B7EB2" w:rsidRDefault="001B7EB2" w:rsidP="003E0C21">
      <w:pPr>
        <w:pStyle w:val="Caption"/>
        <w:spacing w:before="240"/>
      </w:pPr>
      <w:bookmarkStart w:id="28" w:name="_Ref71711299"/>
      <w:bookmarkStart w:id="29" w:name="_Toc71729646"/>
      <w:r>
        <w:t>Table</w:t>
      </w:r>
      <w:bookmarkEnd w:id="28"/>
      <w:r w:rsidR="003B2D05">
        <w:t xml:space="preserve"> 5</w:t>
      </w:r>
      <w:r w:rsidR="003B2D05">
        <w:tab/>
      </w:r>
      <w:r w:rsidRPr="0015388F">
        <w:t>Summary of findings for the diagnostic accuracy of PSMA PET/CT relative to CVI</w:t>
      </w:r>
      <w:r w:rsidR="009340F2">
        <w:t>:</w:t>
      </w:r>
      <w:r w:rsidRPr="0015388F">
        <w:t xml:space="preserve"> P</w:t>
      </w:r>
      <w:r w:rsidR="006C5787">
        <w:t>rimary staging</w:t>
      </w:r>
      <w:bookmarkEnd w:id="29"/>
    </w:p>
    <w:tbl>
      <w:tblPr>
        <w:tblStyle w:val="TableGrid1"/>
        <w:tblW w:w="5000" w:type="pct"/>
        <w:tblLook w:val="04A0" w:firstRow="1" w:lastRow="0" w:firstColumn="1" w:lastColumn="0" w:noHBand="0" w:noVBand="1"/>
        <w:tblCaption w:val="Summary of findings for the accuracy of PSMA PET/CT, relative to conventional imaging in proPSMA with assumed pre-test probability (prevalence) of 29.5%, Population 1"/>
        <w:tblDescription w:val="Summary of findings table"/>
      </w:tblPr>
      <w:tblGrid>
        <w:gridCol w:w="1128"/>
        <w:gridCol w:w="1156"/>
        <w:gridCol w:w="1965"/>
        <w:gridCol w:w="1098"/>
        <w:gridCol w:w="1136"/>
        <w:gridCol w:w="2533"/>
      </w:tblGrid>
      <w:tr w:rsidR="001B7EB2" w:rsidRPr="002C76F4" w14:paraId="0628190E" w14:textId="77777777" w:rsidTr="00525CF5">
        <w:trPr>
          <w:cnfStyle w:val="100000000000" w:firstRow="1" w:lastRow="0" w:firstColumn="0" w:lastColumn="0" w:oddVBand="0" w:evenVBand="0" w:oddHBand="0" w:evenHBand="0" w:firstRowFirstColumn="0" w:firstRowLastColumn="0" w:lastRowFirstColumn="0" w:lastRowLastColumn="0"/>
          <w:tblHeader/>
        </w:trPr>
        <w:tc>
          <w:tcPr>
            <w:tcW w:w="625" w:type="pct"/>
          </w:tcPr>
          <w:p w14:paraId="267DA268" w14:textId="77777777" w:rsidR="001B7EB2" w:rsidRPr="002C76F4" w:rsidRDefault="001B7EB2" w:rsidP="003B2D05">
            <w:pPr>
              <w:pStyle w:val="Tabletext"/>
              <w:widowControl w:val="0"/>
              <w:rPr>
                <w:b/>
              </w:rPr>
            </w:pPr>
            <w:r w:rsidRPr="002C76F4">
              <w:rPr>
                <w:b/>
              </w:rPr>
              <w:t>Outcomes</w:t>
            </w:r>
          </w:p>
        </w:tc>
        <w:tc>
          <w:tcPr>
            <w:tcW w:w="641" w:type="pct"/>
          </w:tcPr>
          <w:p w14:paraId="3CCC28E1" w14:textId="6A77D35E" w:rsidR="001B7EB2" w:rsidRPr="002C76F4" w:rsidRDefault="001B7EB2" w:rsidP="00525CF5">
            <w:pPr>
              <w:pStyle w:val="Tabletext"/>
              <w:widowControl w:val="0"/>
              <w:jc w:val="center"/>
              <w:rPr>
                <w:b/>
              </w:rPr>
            </w:pPr>
            <w:r w:rsidRPr="002C76F4">
              <w:rPr>
                <w:b/>
              </w:rPr>
              <w:t>Participants</w:t>
            </w:r>
          </w:p>
        </w:tc>
        <w:tc>
          <w:tcPr>
            <w:tcW w:w="1090" w:type="pct"/>
          </w:tcPr>
          <w:p w14:paraId="7F4902F2" w14:textId="77777777" w:rsidR="001B7EB2" w:rsidRPr="008C3067" w:rsidRDefault="001B7EB2" w:rsidP="00525CF5">
            <w:pPr>
              <w:pStyle w:val="Tabletext"/>
              <w:widowControl w:val="0"/>
              <w:jc w:val="center"/>
              <w:rPr>
                <w:b/>
                <w:snapToGrid w:val="0"/>
                <w:lang w:val="fr-FR"/>
              </w:rPr>
            </w:pPr>
            <w:r w:rsidRPr="008C3067">
              <w:rPr>
                <w:b/>
                <w:lang w:val="fr-FR"/>
              </w:rPr>
              <w:t>68</w:t>
            </w:r>
            <w:r w:rsidRPr="008C3067">
              <w:rPr>
                <w:b/>
                <w:snapToGrid w:val="0"/>
                <w:lang w:val="fr-FR"/>
              </w:rPr>
              <w:t>Ga-PSMA PET/CT</w:t>
            </w:r>
          </w:p>
          <w:p w14:paraId="2F02FB7F" w14:textId="47BFE904" w:rsidR="001B7EB2" w:rsidRPr="008C3067" w:rsidRDefault="00525CF5" w:rsidP="00525CF5">
            <w:pPr>
              <w:pStyle w:val="Tabletext"/>
              <w:widowControl w:val="0"/>
              <w:jc w:val="center"/>
              <w:rPr>
                <w:b/>
                <w:lang w:val="fr-FR"/>
              </w:rPr>
            </w:pPr>
            <w:r>
              <w:rPr>
                <w:b/>
                <w:snapToGrid w:val="0"/>
                <w:lang w:val="fr-FR"/>
              </w:rPr>
              <w:t>(</w:t>
            </w:r>
            <w:r w:rsidR="001B7EB2" w:rsidRPr="008C3067">
              <w:rPr>
                <w:b/>
                <w:snapToGrid w:val="0"/>
                <w:lang w:val="fr-FR"/>
              </w:rPr>
              <w:t>95%</w:t>
            </w:r>
            <w:r w:rsidR="001B7EB2">
              <w:rPr>
                <w:b/>
                <w:snapToGrid w:val="0"/>
                <w:lang w:val="fr-FR"/>
              </w:rPr>
              <w:t xml:space="preserve"> </w:t>
            </w:r>
            <w:r w:rsidR="001B7EB2" w:rsidRPr="008C3067">
              <w:rPr>
                <w:b/>
                <w:snapToGrid w:val="0"/>
                <w:lang w:val="fr-FR"/>
              </w:rPr>
              <w:t>CI</w:t>
            </w:r>
            <w:r>
              <w:rPr>
                <w:b/>
                <w:snapToGrid w:val="0"/>
                <w:lang w:val="fr-FR"/>
              </w:rPr>
              <w:t>)</w:t>
            </w:r>
          </w:p>
        </w:tc>
        <w:tc>
          <w:tcPr>
            <w:tcW w:w="609" w:type="pct"/>
          </w:tcPr>
          <w:p w14:paraId="2076FB19" w14:textId="28E6A70A" w:rsidR="001B7EB2" w:rsidRPr="00C11111" w:rsidRDefault="001B7EB2" w:rsidP="00525CF5">
            <w:pPr>
              <w:pStyle w:val="Tabletext"/>
              <w:widowControl w:val="0"/>
              <w:jc w:val="center"/>
              <w:rPr>
                <w:b/>
              </w:rPr>
            </w:pPr>
            <w:r w:rsidRPr="002C76F4">
              <w:rPr>
                <w:b/>
                <w:snapToGrid w:val="0"/>
              </w:rPr>
              <w:t>CVI</w:t>
            </w:r>
          </w:p>
          <w:p w14:paraId="0F8BBE42" w14:textId="7CD18343" w:rsidR="001B7EB2" w:rsidRPr="002C76F4" w:rsidRDefault="00525CF5" w:rsidP="00525CF5">
            <w:pPr>
              <w:pStyle w:val="Tabletext"/>
              <w:widowControl w:val="0"/>
              <w:jc w:val="center"/>
              <w:rPr>
                <w:b/>
              </w:rPr>
            </w:pPr>
            <w:r>
              <w:rPr>
                <w:b/>
                <w:snapToGrid w:val="0"/>
              </w:rPr>
              <w:t>(</w:t>
            </w:r>
            <w:r w:rsidR="001B7EB2" w:rsidRPr="002C76F4">
              <w:rPr>
                <w:b/>
                <w:snapToGrid w:val="0"/>
              </w:rPr>
              <w:t>95%</w:t>
            </w:r>
            <w:r w:rsidR="001B7EB2">
              <w:rPr>
                <w:b/>
                <w:snapToGrid w:val="0"/>
              </w:rPr>
              <w:t xml:space="preserve"> </w:t>
            </w:r>
            <w:r w:rsidR="001B7EB2" w:rsidRPr="002C76F4">
              <w:rPr>
                <w:b/>
                <w:snapToGrid w:val="0"/>
              </w:rPr>
              <w:t>CI</w:t>
            </w:r>
            <w:r>
              <w:rPr>
                <w:b/>
                <w:snapToGrid w:val="0"/>
              </w:rPr>
              <w:t>)</w:t>
            </w:r>
            <w:r w:rsidR="001B7EB2">
              <w:rPr>
                <w:b/>
                <w:snapToGrid w:val="0"/>
              </w:rPr>
              <w:t xml:space="preserve"> †</w:t>
            </w:r>
          </w:p>
        </w:tc>
        <w:tc>
          <w:tcPr>
            <w:tcW w:w="630" w:type="pct"/>
          </w:tcPr>
          <w:p w14:paraId="7F0EAB16" w14:textId="77777777" w:rsidR="001B7EB2" w:rsidRPr="002C76F4" w:rsidRDefault="001B7EB2" w:rsidP="003B2D05">
            <w:pPr>
              <w:pStyle w:val="Tabletext"/>
              <w:widowControl w:val="0"/>
              <w:rPr>
                <w:b/>
              </w:rPr>
            </w:pPr>
            <w:r w:rsidRPr="002C76F4">
              <w:rPr>
                <w:b/>
              </w:rPr>
              <w:t>Quality of evidence</w:t>
            </w:r>
            <w:r w:rsidRPr="00C11111">
              <w:rPr>
                <w:b/>
              </w:rPr>
              <w:t xml:space="preserve"> </w:t>
            </w:r>
            <w:r>
              <w:rPr>
                <w:b/>
              </w:rPr>
              <w:t>‡</w:t>
            </w:r>
          </w:p>
        </w:tc>
        <w:tc>
          <w:tcPr>
            <w:tcW w:w="1405" w:type="pct"/>
          </w:tcPr>
          <w:p w14:paraId="70C66546" w14:textId="77777777" w:rsidR="001B7EB2" w:rsidRPr="002C76F4" w:rsidRDefault="001B7EB2" w:rsidP="003B2D05">
            <w:pPr>
              <w:pStyle w:val="Tabletext"/>
              <w:widowControl w:val="0"/>
              <w:rPr>
                <w:b/>
              </w:rPr>
            </w:pPr>
            <w:r w:rsidRPr="002C76F4">
              <w:rPr>
                <w:b/>
              </w:rPr>
              <w:t>Comments</w:t>
            </w:r>
          </w:p>
        </w:tc>
      </w:tr>
      <w:tr w:rsidR="001B7EB2" w14:paraId="1CEA8E48" w14:textId="77777777" w:rsidTr="00525CF5">
        <w:tc>
          <w:tcPr>
            <w:tcW w:w="625" w:type="pct"/>
          </w:tcPr>
          <w:p w14:paraId="4B55F3D8" w14:textId="77777777" w:rsidR="001B7EB2" w:rsidRPr="00C11111" w:rsidRDefault="001B7EB2" w:rsidP="003B2D05">
            <w:pPr>
              <w:pStyle w:val="Tabletext"/>
              <w:widowControl w:val="0"/>
            </w:pPr>
            <w:r>
              <w:t>Sensitivity §</w:t>
            </w:r>
          </w:p>
        </w:tc>
        <w:tc>
          <w:tcPr>
            <w:tcW w:w="641" w:type="pct"/>
          </w:tcPr>
          <w:p w14:paraId="3B78836E" w14:textId="77777777" w:rsidR="001B7EB2" w:rsidRDefault="001B7EB2" w:rsidP="00525CF5">
            <w:pPr>
              <w:pStyle w:val="Tabletext"/>
              <w:widowControl w:val="0"/>
              <w:jc w:val="center"/>
            </w:pPr>
            <w:r>
              <w:t>k = 1</w:t>
            </w:r>
          </w:p>
          <w:p w14:paraId="1956E443" w14:textId="77777777" w:rsidR="001B7EB2" w:rsidRDefault="001B7EB2" w:rsidP="00525CF5">
            <w:pPr>
              <w:pStyle w:val="Tabletext"/>
              <w:widowControl w:val="0"/>
              <w:jc w:val="center"/>
            </w:pPr>
            <w:r>
              <w:t>n = 295</w:t>
            </w:r>
          </w:p>
        </w:tc>
        <w:tc>
          <w:tcPr>
            <w:tcW w:w="1090" w:type="pct"/>
          </w:tcPr>
          <w:p w14:paraId="357F94E3" w14:textId="33A2FF27" w:rsidR="001B7EB2" w:rsidRDefault="001B7EB2" w:rsidP="00525CF5">
            <w:pPr>
              <w:pStyle w:val="Tabletext"/>
              <w:widowControl w:val="0"/>
              <w:jc w:val="center"/>
            </w:pPr>
            <w:r>
              <w:t>0.85</w:t>
            </w:r>
          </w:p>
          <w:p w14:paraId="7A7FAB4B" w14:textId="752BE0AE" w:rsidR="001B7EB2" w:rsidRPr="004A196F" w:rsidRDefault="00525CF5" w:rsidP="00525CF5">
            <w:pPr>
              <w:pStyle w:val="Tabletext"/>
              <w:widowControl w:val="0"/>
              <w:jc w:val="center"/>
            </w:pPr>
            <w:r>
              <w:t>(</w:t>
            </w:r>
            <w:r w:rsidR="001B7EB2">
              <w:t>0.74</w:t>
            </w:r>
            <w:r w:rsidR="001B7EB2" w:rsidRPr="007A781A">
              <w:t>,</w:t>
            </w:r>
            <w:r w:rsidR="001B7EB2">
              <w:t xml:space="preserve"> 0.96</w:t>
            </w:r>
            <w:r>
              <w:t>)</w:t>
            </w:r>
          </w:p>
        </w:tc>
        <w:tc>
          <w:tcPr>
            <w:tcW w:w="609" w:type="pct"/>
          </w:tcPr>
          <w:p w14:paraId="0EDB4C7E" w14:textId="0F2350D0" w:rsidR="001B7EB2" w:rsidRDefault="001B7EB2" w:rsidP="00525CF5">
            <w:pPr>
              <w:pStyle w:val="Tabletext"/>
              <w:widowControl w:val="0"/>
              <w:jc w:val="center"/>
            </w:pPr>
            <w:r>
              <w:t>0.38</w:t>
            </w:r>
          </w:p>
          <w:p w14:paraId="0E123526" w14:textId="089102BA" w:rsidR="001B7EB2" w:rsidRPr="004A196F" w:rsidRDefault="00525CF5" w:rsidP="00525CF5">
            <w:pPr>
              <w:pStyle w:val="Tabletext"/>
              <w:widowControl w:val="0"/>
              <w:jc w:val="center"/>
            </w:pPr>
            <w:r>
              <w:t>(</w:t>
            </w:r>
            <w:r w:rsidR="001B7EB2">
              <w:t>0.24</w:t>
            </w:r>
            <w:r w:rsidR="001B7EB2" w:rsidRPr="007A781A">
              <w:t>,</w:t>
            </w:r>
            <w:r w:rsidR="001B7EB2">
              <w:t xml:space="preserve"> 0.52</w:t>
            </w:r>
            <w:r>
              <w:t>)</w:t>
            </w:r>
          </w:p>
        </w:tc>
        <w:tc>
          <w:tcPr>
            <w:tcW w:w="630" w:type="pct"/>
          </w:tcPr>
          <w:p w14:paraId="6B8DAF32" w14:textId="77777777" w:rsidR="001B7EB2" w:rsidRPr="00C11111" w:rsidRDefault="001B7EB2" w:rsidP="003B2D05">
            <w:pPr>
              <w:pStyle w:val="Tabletext"/>
              <w:widowControl w:val="0"/>
              <w:rPr>
                <w:color w:val="00B050"/>
              </w:rPr>
            </w:pPr>
            <w:r w:rsidRPr="00D4733A">
              <w:rPr>
                <w:rFonts w:ascii="Cambria Math" w:hAnsi="Cambria Math"/>
                <w:color w:val="00B050"/>
              </w:rPr>
              <w:t>⨁⨁⨁⨁</w:t>
            </w:r>
          </w:p>
          <w:p w14:paraId="3586FA70" w14:textId="77777777" w:rsidR="001B7EB2" w:rsidRPr="004A196F" w:rsidRDefault="001B7EB2" w:rsidP="003B2D05">
            <w:pPr>
              <w:pStyle w:val="Tabletext"/>
              <w:widowControl w:val="0"/>
            </w:pPr>
            <w:r w:rsidRPr="00E10B76">
              <w:t>High quality</w:t>
            </w:r>
          </w:p>
        </w:tc>
        <w:tc>
          <w:tcPr>
            <w:tcW w:w="1405" w:type="pct"/>
          </w:tcPr>
          <w:p w14:paraId="0FADE302" w14:textId="0BED35F4" w:rsidR="001B7EB2" w:rsidRPr="004A196F" w:rsidRDefault="001B7EB2" w:rsidP="00525CF5">
            <w:pPr>
              <w:pStyle w:val="Tabletext"/>
            </w:pPr>
            <w:r>
              <w:t xml:space="preserve">Sensitivity is </w:t>
            </w:r>
            <w:r w:rsidR="00525CF5">
              <w:t xml:space="preserve">better </w:t>
            </w:r>
            <w:r>
              <w:t>for 68Ga-PSMA PET/CT compared to CVI</w:t>
            </w:r>
            <w:r w:rsidR="00525CF5">
              <w:t xml:space="preserve">, with </w:t>
            </w:r>
            <w:r w:rsidRPr="00AE1CD5">
              <w:t>no overlap in confidence intervals.</w:t>
            </w:r>
          </w:p>
        </w:tc>
      </w:tr>
      <w:tr w:rsidR="001B7EB2" w14:paraId="28DA48B2" w14:textId="77777777" w:rsidTr="00525CF5">
        <w:tc>
          <w:tcPr>
            <w:tcW w:w="625" w:type="pct"/>
          </w:tcPr>
          <w:p w14:paraId="6D612FBA" w14:textId="77777777" w:rsidR="001B7EB2" w:rsidRPr="00C11111" w:rsidRDefault="001B7EB2" w:rsidP="003B2D05">
            <w:pPr>
              <w:pStyle w:val="Tabletext"/>
              <w:widowControl w:val="0"/>
            </w:pPr>
            <w:r>
              <w:t>Specificity §</w:t>
            </w:r>
          </w:p>
        </w:tc>
        <w:tc>
          <w:tcPr>
            <w:tcW w:w="641" w:type="pct"/>
          </w:tcPr>
          <w:p w14:paraId="4470EF07" w14:textId="77777777" w:rsidR="001B7EB2" w:rsidRDefault="001B7EB2" w:rsidP="00525CF5">
            <w:pPr>
              <w:pStyle w:val="Tabletext"/>
              <w:widowControl w:val="0"/>
              <w:jc w:val="center"/>
            </w:pPr>
            <w:r>
              <w:t>k = 1</w:t>
            </w:r>
          </w:p>
          <w:p w14:paraId="3B8EAE25" w14:textId="77777777" w:rsidR="001B7EB2" w:rsidRDefault="001B7EB2" w:rsidP="00525CF5">
            <w:pPr>
              <w:pStyle w:val="Tabletext"/>
              <w:widowControl w:val="0"/>
              <w:jc w:val="center"/>
            </w:pPr>
            <w:r>
              <w:t>n = 295</w:t>
            </w:r>
          </w:p>
        </w:tc>
        <w:tc>
          <w:tcPr>
            <w:tcW w:w="1090" w:type="pct"/>
          </w:tcPr>
          <w:p w14:paraId="6BBB89AC" w14:textId="58E006A4" w:rsidR="001B7EB2" w:rsidRDefault="001B7EB2" w:rsidP="00525CF5">
            <w:pPr>
              <w:pStyle w:val="Tabletext"/>
              <w:widowControl w:val="0"/>
              <w:jc w:val="center"/>
            </w:pPr>
            <w:r>
              <w:t>0.98</w:t>
            </w:r>
          </w:p>
          <w:p w14:paraId="149D6939" w14:textId="5039F702" w:rsidR="001B7EB2" w:rsidRPr="004A196F" w:rsidRDefault="00525CF5" w:rsidP="00525CF5">
            <w:pPr>
              <w:pStyle w:val="Tabletext"/>
              <w:widowControl w:val="0"/>
              <w:jc w:val="center"/>
            </w:pPr>
            <w:r>
              <w:t>(</w:t>
            </w:r>
            <w:r w:rsidR="001B7EB2">
              <w:t>0.95</w:t>
            </w:r>
            <w:r w:rsidR="001B7EB2" w:rsidRPr="00931E3D">
              <w:t>,</w:t>
            </w:r>
            <w:r w:rsidR="001B7EB2">
              <w:t xml:space="preserve"> 1.00</w:t>
            </w:r>
            <w:r>
              <w:t>)</w:t>
            </w:r>
          </w:p>
        </w:tc>
        <w:tc>
          <w:tcPr>
            <w:tcW w:w="609" w:type="pct"/>
          </w:tcPr>
          <w:p w14:paraId="75DA6C2C" w14:textId="256B9B92" w:rsidR="001B7EB2" w:rsidRDefault="001B7EB2" w:rsidP="00525CF5">
            <w:pPr>
              <w:pStyle w:val="Tabletext"/>
              <w:widowControl w:val="0"/>
              <w:jc w:val="center"/>
            </w:pPr>
            <w:r>
              <w:t>0.91</w:t>
            </w:r>
          </w:p>
          <w:p w14:paraId="5774C43A" w14:textId="5A882890" w:rsidR="001B7EB2" w:rsidRPr="004A196F" w:rsidRDefault="00525CF5" w:rsidP="00525CF5">
            <w:pPr>
              <w:pStyle w:val="Tabletext"/>
              <w:widowControl w:val="0"/>
              <w:jc w:val="center"/>
            </w:pPr>
            <w:r>
              <w:t>(</w:t>
            </w:r>
            <w:r w:rsidR="001B7EB2">
              <w:t>0.85</w:t>
            </w:r>
            <w:r w:rsidR="001B7EB2" w:rsidRPr="00931E3D">
              <w:t>,</w:t>
            </w:r>
            <w:r w:rsidR="001B7EB2">
              <w:t xml:space="preserve"> 0.97</w:t>
            </w:r>
            <w:r>
              <w:t>)</w:t>
            </w:r>
          </w:p>
        </w:tc>
        <w:tc>
          <w:tcPr>
            <w:tcW w:w="630" w:type="pct"/>
          </w:tcPr>
          <w:p w14:paraId="3598C2CE" w14:textId="77777777" w:rsidR="001B7EB2" w:rsidRPr="00C11111" w:rsidRDefault="001B7EB2" w:rsidP="003B2D05">
            <w:pPr>
              <w:pStyle w:val="Tabletext"/>
              <w:widowControl w:val="0"/>
              <w:rPr>
                <w:color w:val="00B050"/>
              </w:rPr>
            </w:pPr>
            <w:r w:rsidRPr="00D4733A">
              <w:rPr>
                <w:rFonts w:ascii="Cambria Math" w:hAnsi="Cambria Math"/>
                <w:color w:val="00B050"/>
              </w:rPr>
              <w:t>⨁⨁⨁⨁</w:t>
            </w:r>
          </w:p>
          <w:p w14:paraId="40763B97" w14:textId="77777777" w:rsidR="001B7EB2" w:rsidRPr="004A196F" w:rsidRDefault="001B7EB2" w:rsidP="003B2D05">
            <w:pPr>
              <w:pStyle w:val="Tabletext"/>
              <w:widowControl w:val="0"/>
            </w:pPr>
            <w:r w:rsidRPr="00E10B76">
              <w:t>High quality</w:t>
            </w:r>
          </w:p>
        </w:tc>
        <w:tc>
          <w:tcPr>
            <w:tcW w:w="1405" w:type="pct"/>
          </w:tcPr>
          <w:p w14:paraId="12D8F922" w14:textId="5C4E987A" w:rsidR="001B7EB2" w:rsidRPr="00525CF5" w:rsidRDefault="001B7EB2" w:rsidP="003B2D05">
            <w:pPr>
              <w:pStyle w:val="Tabletext"/>
              <w:widowControl w:val="0"/>
              <w:rPr>
                <w:i/>
              </w:rPr>
            </w:pPr>
            <w:r w:rsidRPr="00525CF5">
              <w:rPr>
                <w:rStyle w:val="TablecommentChar"/>
                <w:i w:val="0"/>
                <w:color w:val="auto"/>
              </w:rPr>
              <w:t xml:space="preserve">Specificity is high for both </w:t>
            </w:r>
            <w:r w:rsidRPr="00525CF5">
              <w:rPr>
                <w:rStyle w:val="TablecommentChar"/>
                <w:i w:val="0"/>
                <w:color w:val="auto"/>
                <w:vertAlign w:val="superscript"/>
              </w:rPr>
              <w:t>68</w:t>
            </w:r>
            <w:r w:rsidRPr="00525CF5">
              <w:rPr>
                <w:rStyle w:val="TablecommentChar"/>
                <w:i w:val="0"/>
                <w:color w:val="auto"/>
              </w:rPr>
              <w:t>Ga PSMA PET/CT and CVI</w:t>
            </w:r>
            <w:r w:rsidR="00525CF5" w:rsidRPr="00525CF5">
              <w:rPr>
                <w:rStyle w:val="TablecommentChar"/>
                <w:i w:val="0"/>
                <w:color w:val="auto"/>
              </w:rPr>
              <w:t>.</w:t>
            </w:r>
          </w:p>
        </w:tc>
      </w:tr>
    </w:tbl>
    <w:p w14:paraId="5923A91B" w14:textId="77777777" w:rsidR="001B7EB2" w:rsidRDefault="001B7EB2" w:rsidP="006F02E2">
      <w:pPr>
        <w:pStyle w:val="Tablenotes"/>
      </w:pPr>
      <w:r w:rsidRPr="00C11111">
        <w:rPr>
          <w:b/>
        </w:rPr>
        <w:t>Abbreviations</w:t>
      </w:r>
      <w:r>
        <w:t xml:space="preserve">: CI = confidence interval; </w:t>
      </w:r>
      <w:r w:rsidRPr="005A02C1">
        <w:t>CT</w:t>
      </w:r>
      <w:r>
        <w:t xml:space="preserve"> = computed tomography; CVI = conventional imaging; PET = positron emission tomography; PSMA = prostate-specific membrane antigen.</w:t>
      </w:r>
    </w:p>
    <w:p w14:paraId="481B65D9" w14:textId="0AFEF280" w:rsidR="001B7EB2" w:rsidRDefault="001B7EB2" w:rsidP="006F02E2">
      <w:pPr>
        <w:pStyle w:val="Tablenotes"/>
      </w:pPr>
      <w:r w:rsidRPr="00C11111">
        <w:rPr>
          <w:b/>
          <w:bCs/>
        </w:rPr>
        <w:t>Note</w:t>
      </w:r>
      <w:r>
        <w:rPr>
          <w:b/>
          <w:bCs/>
        </w:rPr>
        <w:t>s</w:t>
      </w:r>
      <w:r>
        <w:t xml:space="preserve">: </w:t>
      </w:r>
      <w:r w:rsidR="00525CF5">
        <w:t xml:space="preserve">§ sensitivity and specificity for any metastases (pelvic nodal or distant); </w:t>
      </w:r>
      <w:r>
        <w:rPr>
          <w:rFonts w:eastAsia="Symbol" w:cs="Symbol"/>
        </w:rPr>
        <w:t>†</w:t>
      </w:r>
      <w:r>
        <w:t xml:space="preserve"> Conventional imaging used in </w:t>
      </w:r>
      <w:proofErr w:type="spellStart"/>
      <w:r>
        <w:t>Hofman</w:t>
      </w:r>
      <w:proofErr w:type="spellEnd"/>
      <w:r>
        <w:t xml:space="preserve"> et al. (2020) was CT and bone scan; ‡ </w:t>
      </w:r>
      <w:r w:rsidRPr="00E10B76">
        <w:t>GRADE Working Group grades of evidence</w:t>
      </w:r>
      <w:r>
        <w:t xml:space="preserve"> </w:t>
      </w:r>
      <w:r>
        <w:fldChar w:fldCharType="begin">
          <w:fldData xml:space="preserve">PEVuZE5vdGU+PENpdGU+PEF1dGhvcj5HdXlhdHQ8L0F1dGhvcj48WWVhcj4yMDEzPC9ZZWFyPjxS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</w:fldData>
        </w:fldChar>
      </w:r>
      <w:r>
        <w:instrText xml:space="preserve"> ADDIN EN.CITE </w:instrText>
      </w:r>
      <w:r>
        <w:fldChar w:fldCharType="begin">
          <w:fldData xml:space="preserve">PEVuZE5vdGU+PENpdGU+PEF1dGhvcj5HdXlhdHQ8L0F1dGhvcj48WWVhcj4yMDEzPC9ZZWFyPjxS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</w:fldData>
        </w:fldChar>
      </w:r>
      <w:r>
        <w:instrText xml:space="preserve"> ADDIN EN.CITE.DATA </w:instrText>
      </w:r>
      <w:r>
        <w:fldChar w:fldCharType="end"/>
      </w:r>
      <w:r>
        <w:fldChar w:fldCharType="separate"/>
      </w:r>
      <w:r>
        <w:rPr>
          <w:noProof/>
        </w:rPr>
        <w:t>(</w:t>
      </w:r>
      <w:hyperlink w:anchor="_ENREF_44" w:tooltip="Guyatt, 2013 #19" w:history="1">
        <w:r>
          <w:rPr>
            <w:noProof/>
          </w:rPr>
          <w:t>Guyatt et al., 2013</w:t>
        </w:r>
      </w:hyperlink>
      <w:r>
        <w:rPr>
          <w:noProof/>
        </w:rPr>
        <w:t>)</w:t>
      </w:r>
      <w:r>
        <w:fldChar w:fldCharType="end"/>
      </w:r>
      <w:r w:rsidR="00525CF5">
        <w:t>:</w:t>
      </w:r>
    </w:p>
    <w:p w14:paraId="491DECFC" w14:textId="77777777" w:rsidR="00525CF5" w:rsidRDefault="001B7EB2" w:rsidP="006F02E2">
      <w:pPr>
        <w:pStyle w:val="Tablenotes"/>
      </w:pPr>
      <w:r w:rsidRPr="00D4733A">
        <w:rPr>
          <w:rFonts w:ascii="Cambria Math" w:hAnsi="Cambria Math"/>
          <w:color w:val="00B050"/>
        </w:rPr>
        <w:t>⨁⨁⨁⨁</w:t>
      </w:r>
      <w:r>
        <w:rPr>
          <w:rFonts w:ascii="Cambria Math" w:hAnsi="Cambria Math"/>
          <w:color w:val="00B050"/>
        </w:rPr>
        <w:t xml:space="preserve"> </w:t>
      </w:r>
      <w:r w:rsidRPr="00E10B76">
        <w:rPr>
          <w:b/>
          <w:bCs/>
        </w:rPr>
        <w:t>High quality:</w:t>
      </w:r>
      <w:r w:rsidRPr="00E10B76">
        <w:t xml:space="preserve"> </w:t>
      </w:r>
      <w:r>
        <w:t>We are very confident that the true effect lies close to that of the estimate of effect.</w:t>
      </w:r>
    </w:p>
    <w:p w14:paraId="5E1F0508" w14:textId="36545506" w:rsidR="001B7EB2" w:rsidRDefault="001B7EB2" w:rsidP="006F02E2">
      <w:pPr>
        <w:pStyle w:val="Tablenotes"/>
      </w:pP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Moderate quality:</w:t>
      </w:r>
      <w:r w:rsidRPr="00E10B76">
        <w:t xml:space="preserve"> </w:t>
      </w:r>
      <w:r>
        <w:t>We are moderately confident in the effect estimate: The true effect is likely to be close to the estimate of the effect, but there is a possibility that it is substantially different.</w:t>
      </w:r>
    </w:p>
    <w:p w14:paraId="6710DD85" w14:textId="77777777" w:rsidR="001B7EB2" w:rsidRDefault="001B7EB2" w:rsidP="006F02E2">
      <w:pPr>
        <w:pStyle w:val="Tablenotes"/>
      </w:pP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Low quality:</w:t>
      </w:r>
      <w:r w:rsidRPr="00E10B76">
        <w:t xml:space="preserve"> </w:t>
      </w:r>
      <w:r>
        <w:t>Our confidence in the effect estimate is limited: The true effect may be substantially different from the estimate of the effect.</w:t>
      </w:r>
    </w:p>
    <w:p w14:paraId="0D0F1A73" w14:textId="77777777" w:rsidR="001B7EB2" w:rsidRDefault="001B7EB2" w:rsidP="006F02E2">
      <w:pPr>
        <w:pStyle w:val="Tablenotes"/>
      </w:pP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b/>
          <w:bCs/>
        </w:rPr>
        <w:t>Very low quality:</w:t>
      </w:r>
      <w:r w:rsidRPr="00E10B76">
        <w:t xml:space="preserve"> </w:t>
      </w:r>
      <w:r>
        <w:t>We have very little confidence in the effect estimate: The true effect is likely to be substantially different from the estimate of effect.</w:t>
      </w:r>
    </w:p>
    <w:p w14:paraId="3546D7B9" w14:textId="77777777" w:rsidR="001B7EB2" w:rsidRDefault="001B7EB2" w:rsidP="006F02E2">
      <w:pPr>
        <w:pStyle w:val="Tablenotes"/>
      </w:pPr>
      <w:r w:rsidRPr="007E6D35">
        <w:rPr>
          <w:b/>
          <w:bCs/>
        </w:rPr>
        <w:t>Source</w:t>
      </w:r>
      <w:r w:rsidRPr="007E6D35">
        <w:t>: Adapted from Table B.13, p.121 of the ADAR.</w:t>
      </w:r>
    </w:p>
    <w:p w14:paraId="0A2C912C" w14:textId="18B0EE7A" w:rsidR="003B2D05" w:rsidRDefault="003B2D05" w:rsidP="003E0C21">
      <w:pPr>
        <w:spacing w:before="240"/>
      </w:pPr>
      <w:r>
        <w:t xml:space="preserve">The </w:t>
      </w:r>
      <w:r w:rsidR="005D77C0">
        <w:t>C</w:t>
      </w:r>
      <w:r>
        <w:t xml:space="preserve">ommentary considered that it </w:t>
      </w:r>
      <w:r w:rsidR="00621EC6">
        <w:t>wa</w:t>
      </w:r>
      <w:r>
        <w:t>s uncertain whether the comparative evidence is applicable to patients with intermediate-risk features (excluding those with ISUP grade 3 prostate cancer) falling within the proposed MBS population</w:t>
      </w:r>
      <w:r w:rsidR="00525CF5">
        <w:t>,</w:t>
      </w:r>
      <w:r>
        <w:t xml:space="preserve"> but outside the inclusion criteria for the </w:t>
      </w:r>
      <w:proofErr w:type="spellStart"/>
      <w:r>
        <w:t>proPSMA</w:t>
      </w:r>
      <w:proofErr w:type="spellEnd"/>
      <w:r>
        <w:t xml:space="preserve"> RCT</w:t>
      </w:r>
      <w:r w:rsidR="00525CF5">
        <w:t>,</w:t>
      </w:r>
      <w:r>
        <w:t xml:space="preserve"> because PSMA PET/CT may have better performance at higher grades (Clinical expert 1, 18 March 2021). The </w:t>
      </w:r>
      <w:proofErr w:type="spellStart"/>
      <w:r>
        <w:t>proPSMA</w:t>
      </w:r>
      <w:proofErr w:type="spellEnd"/>
      <w:r>
        <w:t xml:space="preserve"> trial data may overestimate the diagnostic performance (and thereby ability to change patient management) of PSMA PET/CT in the proposed MBS population, however whether this translates to the comparative performance of PSMA PET/CT vs. CVI being potentially overestimated is unclear.</w:t>
      </w:r>
    </w:p>
    <w:p w14:paraId="0E5C2317" w14:textId="55ADEB58" w:rsidR="003B2D05" w:rsidRDefault="008E2E67" w:rsidP="003E0C21">
      <w:pPr>
        <w:spacing w:before="240"/>
      </w:pPr>
      <w:r>
        <w:t xml:space="preserve">The </w:t>
      </w:r>
      <w:r w:rsidR="005D77C0">
        <w:t>C</w:t>
      </w:r>
      <w:r>
        <w:t>ommentary considered i</w:t>
      </w:r>
      <w:r w:rsidR="003B2D05">
        <w:t xml:space="preserve">t </w:t>
      </w:r>
      <w:r w:rsidR="00621EC6">
        <w:t>wa</w:t>
      </w:r>
      <w:r w:rsidR="003B2D05">
        <w:t>s difficult to draw conclusions on the equivalence of radio</w:t>
      </w:r>
      <w:r w:rsidR="00CD41BB">
        <w:t xml:space="preserve">pharmaceutical </w:t>
      </w:r>
      <w:r w:rsidR="003B2D05">
        <w:t>tracers based on the non-comparative data presented:</w:t>
      </w:r>
    </w:p>
    <w:p w14:paraId="7605D2E3" w14:textId="66E924B5" w:rsidR="003B2D05" w:rsidRDefault="003B2D05" w:rsidP="003B2D05">
      <w:pPr>
        <w:pStyle w:val="ListParagraph"/>
        <w:numPr>
          <w:ilvl w:val="0"/>
          <w:numId w:val="22"/>
        </w:numPr>
      </w:pPr>
      <w:r>
        <w:t xml:space="preserve">68Ga-PSMA-11 and 18F-DCFPyL or 18F-rhPSMA-7 tracers in </w:t>
      </w:r>
      <w:r w:rsidR="00AD1934">
        <w:t xml:space="preserve">the primary </w:t>
      </w:r>
      <w:r>
        <w:t>N-staging of prostate cancer</w:t>
      </w:r>
    </w:p>
    <w:p w14:paraId="160B3514" w14:textId="67AFDB07" w:rsidR="005D77C0" w:rsidRDefault="003B2D05" w:rsidP="003B2D05">
      <w:pPr>
        <w:pStyle w:val="ListParagraph"/>
        <w:numPr>
          <w:ilvl w:val="0"/>
          <w:numId w:val="22"/>
        </w:numPr>
      </w:pPr>
      <w:r>
        <w:t xml:space="preserve">8Ga-PSMA-11 and 18F-PSMA-1007 tracers in the </w:t>
      </w:r>
      <w:r w:rsidR="00AD1934">
        <w:t xml:space="preserve">primary </w:t>
      </w:r>
      <w:r>
        <w:t>M-staging of prostate cancer.</w:t>
      </w:r>
    </w:p>
    <w:p w14:paraId="0CA204AD" w14:textId="39D6A712" w:rsidR="003B2D05" w:rsidRDefault="003B2D05" w:rsidP="003B2D05">
      <w:r>
        <w:t xml:space="preserve">In addition, the </w:t>
      </w:r>
      <w:r w:rsidR="005D77C0">
        <w:t>C</w:t>
      </w:r>
      <w:r>
        <w:t>ommentary noted that the European Association of Urology (EAU) guidelines consider at present there are no conclusive data about comparisons across radio</w:t>
      </w:r>
      <w:r w:rsidR="00CD41BB">
        <w:t xml:space="preserve">pharmaceutical </w:t>
      </w:r>
      <w:r>
        <w:t>tracers (</w:t>
      </w:r>
      <w:proofErr w:type="spellStart"/>
      <w:r>
        <w:t>Mottet</w:t>
      </w:r>
      <w:proofErr w:type="spellEnd"/>
      <w:r>
        <w:t xml:space="preserve"> et al., 2021)</w:t>
      </w:r>
      <w:r>
        <w:rPr>
          <w:rStyle w:val="FootnoteReference"/>
        </w:rPr>
        <w:footnoteReference w:id="6"/>
      </w:r>
      <w:r>
        <w:t>.</w:t>
      </w:r>
    </w:p>
    <w:p w14:paraId="735D1AB9" w14:textId="2961B0F3" w:rsidR="003B2D05" w:rsidRPr="00AC6AD2" w:rsidRDefault="006C5787" w:rsidP="003E0C21">
      <w:pPr>
        <w:pStyle w:val="Heading3"/>
        <w:spacing w:before="240"/>
      </w:pPr>
      <w:r>
        <w:t>Restaging</w:t>
      </w:r>
    </w:p>
    <w:p w14:paraId="163B4278" w14:textId="27231E7F" w:rsidR="003B2D05" w:rsidRDefault="003B2D05" w:rsidP="003B2D05">
      <w:r>
        <w:t>Single</w:t>
      </w:r>
      <w:r w:rsidR="001741C4">
        <w:t>-</w:t>
      </w:r>
      <w:r>
        <w:t xml:space="preserve">arm studies using </w:t>
      </w:r>
      <w:r w:rsidRPr="003D7EED">
        <w:t xml:space="preserve">PSMA PET/CT in patients with BCR, without the requirement of a prior negative or equivocal </w:t>
      </w:r>
      <w:r>
        <w:t>CVI</w:t>
      </w:r>
      <w:r w:rsidRPr="003D7EED">
        <w:t xml:space="preserve"> result</w:t>
      </w:r>
      <w:r>
        <w:t>,</w:t>
      </w:r>
      <w:r w:rsidRPr="003D7EED">
        <w:t xml:space="preserve"> demonstrate</w:t>
      </w:r>
      <w:r>
        <w:t xml:space="preserve"> the</w:t>
      </w:r>
      <w:r w:rsidRPr="003D7EED">
        <w:t xml:space="preserve"> high sensitivity and specificity </w:t>
      </w:r>
      <w:r>
        <w:t>of PSMA PET/CT in the setting of BCR (Table 6)</w:t>
      </w:r>
      <w:r w:rsidRPr="00E33638">
        <w:t>.</w:t>
      </w:r>
    </w:p>
    <w:p w14:paraId="38562796" w14:textId="25734338" w:rsidR="003B2D05" w:rsidRDefault="003B2D05" w:rsidP="003E0C21">
      <w:pPr>
        <w:pStyle w:val="Caption"/>
        <w:spacing w:before="240"/>
      </w:pPr>
      <w:bookmarkStart w:id="30" w:name="_Ref71711582"/>
      <w:bookmarkStart w:id="31" w:name="_Toc71729647"/>
      <w:r>
        <w:t>Table</w:t>
      </w:r>
      <w:bookmarkEnd w:id="30"/>
      <w:r>
        <w:t xml:space="preserve"> 6</w:t>
      </w:r>
      <w:r>
        <w:tab/>
      </w:r>
      <w:r w:rsidRPr="00D52A1F">
        <w:t>Summary of findings for the accuracy of PSMA PET/CT</w:t>
      </w:r>
      <w:r>
        <w:t xml:space="preserve"> on a per-patient based analysis</w:t>
      </w:r>
      <w:bookmarkEnd w:id="31"/>
      <w:r w:rsidR="009340F2">
        <w:rPr>
          <w:snapToGrid w:val="0"/>
        </w:rPr>
        <w:t>: Restaging</w:t>
      </w:r>
    </w:p>
    <w:tbl>
      <w:tblPr>
        <w:tblStyle w:val="TableGrid1"/>
        <w:tblW w:w="5000" w:type="pct"/>
        <w:tblLook w:val="04A0" w:firstRow="1" w:lastRow="0" w:firstColumn="1" w:lastColumn="0" w:noHBand="0" w:noVBand="1"/>
        <w:tblCaption w:val="Summary of findings for the accuracy of PSMA PET/CT on a per-patient based analysis with assumed pre-test probability (prevalence) of 98.9%, Population 2"/>
        <w:tblDescription w:val="Summary of findings table"/>
      </w:tblPr>
      <w:tblGrid>
        <w:gridCol w:w="1130"/>
        <w:gridCol w:w="1278"/>
        <w:gridCol w:w="1558"/>
        <w:gridCol w:w="1417"/>
        <w:gridCol w:w="3633"/>
      </w:tblGrid>
      <w:tr w:rsidR="003B2D05" w14:paraId="1266990E" w14:textId="77777777" w:rsidTr="003B2D05">
        <w:trPr>
          <w:cnfStyle w:val="100000000000" w:firstRow="1" w:lastRow="0" w:firstColumn="0" w:lastColumn="0" w:oddVBand="0" w:evenVBand="0" w:oddHBand="0" w:evenHBand="0" w:firstRowFirstColumn="0" w:firstRowLastColumn="0" w:lastRowFirstColumn="0" w:lastRowLastColumn="0"/>
          <w:trHeight w:val="725"/>
          <w:tblHeader/>
        </w:trPr>
        <w:tc>
          <w:tcPr>
            <w:tcW w:w="626" w:type="pct"/>
          </w:tcPr>
          <w:p w14:paraId="5C3987F2" w14:textId="77777777" w:rsidR="003B2D05" w:rsidRPr="00866803" w:rsidRDefault="003B2D05" w:rsidP="003B2D05">
            <w:pPr>
              <w:pStyle w:val="Tabletext"/>
              <w:rPr>
                <w:b/>
              </w:rPr>
            </w:pPr>
            <w:r w:rsidRPr="00866803">
              <w:rPr>
                <w:b/>
              </w:rPr>
              <w:t>Outcomes</w:t>
            </w:r>
          </w:p>
        </w:tc>
        <w:tc>
          <w:tcPr>
            <w:tcW w:w="708" w:type="pct"/>
          </w:tcPr>
          <w:p w14:paraId="262142AE" w14:textId="1D6CE07C" w:rsidR="003B2D05" w:rsidRPr="00866803" w:rsidRDefault="003B2D05" w:rsidP="00621EC6">
            <w:pPr>
              <w:pStyle w:val="Tabletext"/>
              <w:jc w:val="center"/>
              <w:rPr>
                <w:b/>
              </w:rPr>
            </w:pPr>
            <w:r w:rsidRPr="00866803">
              <w:rPr>
                <w:b/>
              </w:rPr>
              <w:t>Participants</w:t>
            </w:r>
          </w:p>
        </w:tc>
        <w:tc>
          <w:tcPr>
            <w:tcW w:w="864" w:type="pct"/>
          </w:tcPr>
          <w:p w14:paraId="6507D909" w14:textId="77777777" w:rsidR="003B2D05" w:rsidRPr="00866803" w:rsidRDefault="003B2D05" w:rsidP="00621EC6">
            <w:pPr>
              <w:pStyle w:val="Tabletext"/>
              <w:jc w:val="center"/>
              <w:rPr>
                <w:b/>
                <w:snapToGrid w:val="0"/>
              </w:rPr>
            </w:pPr>
            <w:r w:rsidRPr="00866803">
              <w:rPr>
                <w:b/>
                <w:snapToGrid w:val="0"/>
              </w:rPr>
              <w:t>PSMA PET/CT</w:t>
            </w:r>
          </w:p>
          <w:p w14:paraId="791E2793" w14:textId="068DF38D" w:rsidR="003B2D05" w:rsidRPr="00866803" w:rsidRDefault="00621EC6" w:rsidP="00621EC6">
            <w:pPr>
              <w:pStyle w:val="Tabletext"/>
              <w:jc w:val="center"/>
              <w:rPr>
                <w:b/>
              </w:rPr>
            </w:pPr>
            <w:r>
              <w:rPr>
                <w:b/>
                <w:snapToGrid w:val="0"/>
              </w:rPr>
              <w:t>(</w:t>
            </w:r>
            <w:r w:rsidR="003B2D05" w:rsidRPr="00866803">
              <w:rPr>
                <w:b/>
                <w:snapToGrid w:val="0"/>
              </w:rPr>
              <w:t>95%CI</w:t>
            </w:r>
            <w:r>
              <w:rPr>
                <w:b/>
                <w:snapToGrid w:val="0"/>
              </w:rPr>
              <w:t>)</w:t>
            </w:r>
          </w:p>
        </w:tc>
        <w:tc>
          <w:tcPr>
            <w:tcW w:w="786" w:type="pct"/>
          </w:tcPr>
          <w:p w14:paraId="14E13588" w14:textId="77777777" w:rsidR="003B2D05" w:rsidRPr="00866803" w:rsidRDefault="003B2D05" w:rsidP="003B2D05">
            <w:pPr>
              <w:pStyle w:val="Tabletext"/>
              <w:rPr>
                <w:b/>
              </w:rPr>
            </w:pPr>
            <w:r w:rsidRPr="00866803">
              <w:rPr>
                <w:b/>
              </w:rPr>
              <w:t>Quality of evidence</w:t>
            </w:r>
            <w:r>
              <w:rPr>
                <w:b/>
              </w:rPr>
              <w:t xml:space="preserve"> †</w:t>
            </w:r>
          </w:p>
        </w:tc>
        <w:tc>
          <w:tcPr>
            <w:tcW w:w="2015" w:type="pct"/>
          </w:tcPr>
          <w:p w14:paraId="1ECF5117" w14:textId="77777777" w:rsidR="003B2D05" w:rsidRDefault="003B2D05" w:rsidP="003B2D05">
            <w:pPr>
              <w:pStyle w:val="Tabletext"/>
              <w:rPr>
                <w:b/>
              </w:rPr>
            </w:pPr>
            <w:r>
              <w:rPr>
                <w:b/>
              </w:rPr>
              <w:t>Comments</w:t>
            </w:r>
          </w:p>
        </w:tc>
      </w:tr>
      <w:tr w:rsidR="003B2D05" w14:paraId="503D2CF8" w14:textId="77777777" w:rsidTr="003B2D05">
        <w:trPr>
          <w:trHeight w:val="519"/>
        </w:trPr>
        <w:tc>
          <w:tcPr>
            <w:tcW w:w="626" w:type="pct"/>
            <w:tcBorders>
              <w:bottom w:val="single" w:sz="4" w:space="0" w:color="auto"/>
            </w:tcBorders>
          </w:tcPr>
          <w:p w14:paraId="050A5C52" w14:textId="77777777" w:rsidR="003B2D05" w:rsidRPr="00540508" w:rsidRDefault="003B2D05" w:rsidP="003B2D05">
            <w:pPr>
              <w:pStyle w:val="Tabletext"/>
            </w:pPr>
            <w:r w:rsidRPr="00540508">
              <w:t>Sensitivity</w:t>
            </w:r>
          </w:p>
        </w:tc>
        <w:tc>
          <w:tcPr>
            <w:tcW w:w="708" w:type="pct"/>
            <w:tcBorders>
              <w:bottom w:val="single" w:sz="4" w:space="0" w:color="auto"/>
            </w:tcBorders>
          </w:tcPr>
          <w:p w14:paraId="79846C09" w14:textId="77777777" w:rsidR="003B2D05" w:rsidRPr="00540508" w:rsidRDefault="003B2D05" w:rsidP="00621EC6">
            <w:pPr>
              <w:pStyle w:val="Tablecomment"/>
              <w:jc w:val="center"/>
              <w:rPr>
                <w:vertAlign w:val="superscript"/>
              </w:rPr>
            </w:pPr>
            <w:r w:rsidRPr="00540508">
              <w:t>k</w:t>
            </w:r>
            <w:r>
              <w:t xml:space="preserve"> </w:t>
            </w:r>
            <w:r w:rsidRPr="00540508">
              <w:t>=</w:t>
            </w:r>
            <w:r>
              <w:t xml:space="preserve"> </w:t>
            </w:r>
            <w:r w:rsidRPr="00540508">
              <w:t>3</w:t>
            </w:r>
          </w:p>
          <w:p w14:paraId="68318296" w14:textId="77777777" w:rsidR="003B2D05" w:rsidRPr="00540508" w:rsidRDefault="003B2D05" w:rsidP="00621EC6">
            <w:pPr>
              <w:pStyle w:val="Tablecomment"/>
              <w:jc w:val="center"/>
            </w:pPr>
            <w:r>
              <w:t xml:space="preserve">n = </w:t>
            </w:r>
            <w:r w:rsidRPr="00540508">
              <w:t>349</w:t>
            </w:r>
          </w:p>
        </w:tc>
        <w:tc>
          <w:tcPr>
            <w:tcW w:w="864" w:type="pct"/>
            <w:tcBorders>
              <w:bottom w:val="single" w:sz="4" w:space="0" w:color="auto"/>
            </w:tcBorders>
          </w:tcPr>
          <w:p w14:paraId="4E6BB54B" w14:textId="75C11F5D" w:rsidR="003B2D05" w:rsidRPr="00621EC6" w:rsidRDefault="003B2D05" w:rsidP="00621EC6">
            <w:pPr>
              <w:pStyle w:val="Tabletext"/>
              <w:jc w:val="center"/>
              <w:rPr>
                <w:color w:val="C00000"/>
              </w:rPr>
            </w:pPr>
            <w:r w:rsidRPr="00621EC6">
              <w:rPr>
                <w:rStyle w:val="TablecommentChar"/>
              </w:rPr>
              <w:t>0.963</w:t>
            </w:r>
          </w:p>
          <w:p w14:paraId="1516E14E" w14:textId="0A73DF38" w:rsidR="003B2D05" w:rsidRPr="00621EC6" w:rsidRDefault="00621EC6" w:rsidP="00621EC6">
            <w:pPr>
              <w:pStyle w:val="Tabletext"/>
              <w:jc w:val="center"/>
              <w:rPr>
                <w:i/>
                <w:iCs/>
                <w:color w:val="C00000"/>
              </w:rPr>
            </w:pPr>
            <w:r>
              <w:rPr>
                <w:rStyle w:val="TablecommentChar"/>
                <w:rFonts w:cs="Times New Roman"/>
                <w:iCs/>
                <w:szCs w:val="24"/>
              </w:rPr>
              <w:t>(</w:t>
            </w:r>
            <w:r w:rsidR="003B2D05" w:rsidRPr="00621EC6">
              <w:rPr>
                <w:rStyle w:val="TablecommentChar"/>
                <w:iCs/>
              </w:rPr>
              <w:t>0.904</w:t>
            </w:r>
            <w:r w:rsidR="003B2D05" w:rsidRPr="00621EC6">
              <w:rPr>
                <w:i/>
                <w:iCs/>
                <w:color w:val="C00000"/>
              </w:rPr>
              <w:t xml:space="preserve"> to 0.986</w:t>
            </w:r>
            <w:r w:rsidRPr="00621EC6">
              <w:rPr>
                <w:i/>
                <w:iCs/>
                <w:color w:val="C00000"/>
              </w:rPr>
              <w:t>)</w:t>
            </w:r>
          </w:p>
        </w:tc>
        <w:tc>
          <w:tcPr>
            <w:tcW w:w="786" w:type="pct"/>
            <w:tcBorders>
              <w:bottom w:val="single" w:sz="4" w:space="0" w:color="auto"/>
            </w:tcBorders>
          </w:tcPr>
          <w:p w14:paraId="29CE25C2" w14:textId="77777777" w:rsidR="003B2D05" w:rsidRPr="00540508" w:rsidRDefault="003B2D05" w:rsidP="003B2D05">
            <w:pPr>
              <w:pStyle w:val="Tabletext"/>
              <w:rPr>
                <w:vertAlign w:val="superscript"/>
              </w:rPr>
            </w:pPr>
            <w:r w:rsidRPr="00986622">
              <w:rPr>
                <w:rFonts w:ascii="Cambria Math" w:hAnsi="Cambria Math"/>
                <w:color w:val="00B050"/>
              </w:rPr>
              <w:t>⨁⨁⨁</w:t>
            </w:r>
            <w:r w:rsidRPr="00986622">
              <w:rPr>
                <w:rFonts w:ascii="Cambria Math" w:hAnsi="Cambria Math" w:cs="Cambria Math"/>
                <w:color w:val="C00000"/>
              </w:rPr>
              <w:t xml:space="preserve">⨀ </w:t>
            </w:r>
            <w:r w:rsidRPr="00F6489B">
              <w:rPr>
                <w:rStyle w:val="TablecommentChar"/>
              </w:rPr>
              <w:t>Moderate quality</w:t>
            </w:r>
            <w:r>
              <w:rPr>
                <w:rStyle w:val="TablecommentChar"/>
              </w:rPr>
              <w:t xml:space="preserve"> </w:t>
            </w:r>
            <w:r w:rsidRPr="00F80504">
              <w:rPr>
                <w:rStyle w:val="TablecommentChar"/>
                <w:iCs/>
              </w:rPr>
              <w:t>‡</w:t>
            </w:r>
          </w:p>
        </w:tc>
        <w:tc>
          <w:tcPr>
            <w:tcW w:w="2015" w:type="pct"/>
            <w:tcBorders>
              <w:bottom w:val="single" w:sz="4" w:space="0" w:color="auto"/>
            </w:tcBorders>
          </w:tcPr>
          <w:p w14:paraId="648B54B2" w14:textId="77777777" w:rsidR="003B2D05" w:rsidRPr="002478DD" w:rsidRDefault="003B2D05" w:rsidP="003B2D05">
            <w:pPr>
              <w:pStyle w:val="Tablecomment"/>
              <w:rPr>
                <w:color w:val="auto"/>
              </w:rPr>
            </w:pPr>
            <w:r w:rsidRPr="002478DD">
              <w:rPr>
                <w:color w:val="auto"/>
              </w:rPr>
              <w:t>PSMA PET/CT demonstrated high sensitivity in the setting of BCR. A quantitative comparison with CVI was not possible.</w:t>
            </w:r>
          </w:p>
        </w:tc>
      </w:tr>
      <w:tr w:rsidR="003B2D05" w14:paraId="7214026C" w14:textId="77777777" w:rsidTr="003B2D05">
        <w:trPr>
          <w:trHeight w:val="80"/>
        </w:trPr>
        <w:tc>
          <w:tcPr>
            <w:tcW w:w="626" w:type="pct"/>
            <w:tcBorders>
              <w:bottom w:val="single" w:sz="4" w:space="0" w:color="auto"/>
            </w:tcBorders>
          </w:tcPr>
          <w:p w14:paraId="55F30D0B" w14:textId="77777777" w:rsidR="003B2D05" w:rsidRPr="00540508" w:rsidRDefault="003B2D05" w:rsidP="003B2D05">
            <w:pPr>
              <w:pStyle w:val="Tabletext"/>
            </w:pPr>
            <w:r w:rsidRPr="00540508">
              <w:t>Specificity</w:t>
            </w:r>
          </w:p>
        </w:tc>
        <w:tc>
          <w:tcPr>
            <w:tcW w:w="708" w:type="pct"/>
            <w:tcBorders>
              <w:bottom w:val="single" w:sz="4" w:space="0" w:color="auto"/>
            </w:tcBorders>
          </w:tcPr>
          <w:p w14:paraId="68484EDD" w14:textId="77777777" w:rsidR="003B2D05" w:rsidRPr="00540508" w:rsidRDefault="003B2D05" w:rsidP="00621EC6">
            <w:pPr>
              <w:pStyle w:val="Tabletext"/>
              <w:jc w:val="center"/>
              <w:rPr>
                <w:vertAlign w:val="superscript"/>
              </w:rPr>
            </w:pPr>
            <w:r w:rsidRPr="00540508">
              <w:t>k</w:t>
            </w:r>
            <w:r>
              <w:t xml:space="preserve"> </w:t>
            </w:r>
            <w:r w:rsidRPr="00540508">
              <w:t>=</w:t>
            </w:r>
            <w:r>
              <w:t xml:space="preserve"> </w:t>
            </w:r>
            <w:r w:rsidRPr="00540508">
              <w:t>2</w:t>
            </w:r>
          </w:p>
          <w:p w14:paraId="39065565" w14:textId="77777777" w:rsidR="003B2D05" w:rsidRPr="00540508" w:rsidRDefault="003B2D05" w:rsidP="00621EC6">
            <w:pPr>
              <w:pStyle w:val="Tabletext"/>
              <w:jc w:val="center"/>
            </w:pPr>
            <w:r>
              <w:t xml:space="preserve">n = </w:t>
            </w:r>
            <w:r w:rsidRPr="00540508">
              <w:t>256</w:t>
            </w:r>
          </w:p>
        </w:tc>
        <w:tc>
          <w:tcPr>
            <w:tcW w:w="864" w:type="pct"/>
            <w:tcBorders>
              <w:bottom w:val="single" w:sz="4" w:space="0" w:color="auto"/>
            </w:tcBorders>
          </w:tcPr>
          <w:p w14:paraId="4306C6C1" w14:textId="0CDD35FD" w:rsidR="003B2D05" w:rsidRDefault="003B2D05" w:rsidP="00621EC6">
            <w:pPr>
              <w:pStyle w:val="Tabletext"/>
              <w:jc w:val="center"/>
            </w:pPr>
            <w:r w:rsidRPr="0078786A">
              <w:t>0.99</w:t>
            </w:r>
          </w:p>
          <w:p w14:paraId="7603A364" w14:textId="372CE152" w:rsidR="003B2D05" w:rsidRPr="0078786A" w:rsidRDefault="00621EC6" w:rsidP="00621EC6">
            <w:pPr>
              <w:pStyle w:val="Tabletext"/>
              <w:jc w:val="center"/>
            </w:pPr>
            <w:r>
              <w:t>(</w:t>
            </w:r>
            <w:r w:rsidR="003B2D05" w:rsidRPr="0078786A">
              <w:t>0.83 to 1.00</w:t>
            </w:r>
            <w:r>
              <w:t>)</w:t>
            </w:r>
          </w:p>
        </w:tc>
        <w:tc>
          <w:tcPr>
            <w:tcW w:w="786" w:type="pct"/>
            <w:tcBorders>
              <w:bottom w:val="single" w:sz="4" w:space="0" w:color="auto"/>
            </w:tcBorders>
          </w:tcPr>
          <w:p w14:paraId="04A025E6" w14:textId="77777777" w:rsidR="003B2D05" w:rsidRPr="00540508" w:rsidRDefault="003B2D05" w:rsidP="003B2D05">
            <w:pPr>
              <w:pStyle w:val="Tabletext"/>
            </w:pPr>
            <w:r w:rsidRPr="00986622">
              <w:rPr>
                <w:rFonts w:ascii="Cambria Math" w:hAnsi="Cambria Math"/>
                <w:color w:val="00B050"/>
              </w:rPr>
              <w:t>⨁⨁⨁</w:t>
            </w:r>
            <w:r w:rsidRPr="00986622">
              <w:rPr>
                <w:rFonts w:ascii="Cambria Math" w:hAnsi="Cambria Math" w:cs="Cambria Math"/>
                <w:color w:val="C00000"/>
              </w:rPr>
              <w:t xml:space="preserve">⨀ </w:t>
            </w:r>
            <w:r w:rsidRPr="00F6489B">
              <w:rPr>
                <w:rStyle w:val="TablecommentChar"/>
              </w:rPr>
              <w:t>Moderate quality</w:t>
            </w:r>
            <w:r>
              <w:rPr>
                <w:rStyle w:val="TablecommentChar"/>
              </w:rPr>
              <w:t xml:space="preserve"> </w:t>
            </w:r>
            <w:r w:rsidRPr="00F80504">
              <w:rPr>
                <w:rStyle w:val="TablecommentChar"/>
                <w:iCs/>
              </w:rPr>
              <w:t>‡</w:t>
            </w:r>
          </w:p>
        </w:tc>
        <w:tc>
          <w:tcPr>
            <w:tcW w:w="2015" w:type="pct"/>
            <w:tcBorders>
              <w:bottom w:val="single" w:sz="4" w:space="0" w:color="auto"/>
            </w:tcBorders>
          </w:tcPr>
          <w:p w14:paraId="0EDA91B2" w14:textId="77777777" w:rsidR="003B2D05" w:rsidRPr="002478DD" w:rsidRDefault="003B2D05" w:rsidP="003B2D05">
            <w:pPr>
              <w:pStyle w:val="Tablecomment"/>
              <w:rPr>
                <w:color w:val="auto"/>
              </w:rPr>
            </w:pPr>
            <w:r w:rsidRPr="002478DD">
              <w:rPr>
                <w:color w:val="auto"/>
              </w:rPr>
              <w:t>PSMA PET/CT demonstrated high specificity in the setting of BCR. A quantitative comparison with CVI was not possible.</w:t>
            </w:r>
          </w:p>
        </w:tc>
      </w:tr>
    </w:tbl>
    <w:p w14:paraId="04ADE23F" w14:textId="77777777" w:rsidR="003B2D05" w:rsidRPr="00866803" w:rsidRDefault="003B2D05" w:rsidP="006F02E2">
      <w:pPr>
        <w:pStyle w:val="Tablenotes"/>
      </w:pPr>
      <w:r w:rsidRPr="00866803">
        <w:rPr>
          <w:b/>
        </w:rPr>
        <w:t>Abbreviations</w:t>
      </w:r>
      <w:r>
        <w:t xml:space="preserve">: CI = confidence interval; </w:t>
      </w:r>
      <w:r w:rsidRPr="005A02C1">
        <w:t>CT</w:t>
      </w:r>
      <w:r>
        <w:t xml:space="preserve"> = computed tomography; k = number of studies; PET = positron emission technology; PSMA = prostate-specific membrane antigen.</w:t>
      </w:r>
    </w:p>
    <w:p w14:paraId="1DCD4BDA" w14:textId="4FCCDB3C" w:rsidR="003B2D05" w:rsidRDefault="003B2D05" w:rsidP="006F02E2">
      <w:pPr>
        <w:pStyle w:val="Tablenotes"/>
      </w:pPr>
      <w:r w:rsidRPr="00866803">
        <w:t>Notes</w:t>
      </w:r>
      <w:r>
        <w:t>:</w:t>
      </w:r>
    </w:p>
    <w:p w14:paraId="67E3B02D" w14:textId="00FE9AF5" w:rsidR="003B2D05" w:rsidRPr="007D0399" w:rsidRDefault="003B2D05" w:rsidP="006F02E2">
      <w:pPr>
        <w:pStyle w:val="Tablenotes"/>
      </w:pPr>
      <w:r w:rsidRPr="007D0399">
        <w:t xml:space="preserve">Red italicised value reflects the pooled sensitivity value derived in </w:t>
      </w:r>
      <w:r w:rsidR="005D77C0">
        <w:t xml:space="preserve">the </w:t>
      </w:r>
      <w:r w:rsidR="005D77C0" w:rsidRPr="007D0399">
        <w:t>C</w:t>
      </w:r>
      <w:r w:rsidRPr="007D0399">
        <w:t>ommentary after exclu</w:t>
      </w:r>
      <w:r w:rsidR="005D77C0">
        <w:t>ding</w:t>
      </w:r>
      <w:r w:rsidRPr="007D0399">
        <w:t xml:space="preserve"> the </w:t>
      </w:r>
      <w:proofErr w:type="spellStart"/>
      <w:r w:rsidRPr="007D0399">
        <w:t>Morigi</w:t>
      </w:r>
      <w:proofErr w:type="spellEnd"/>
      <w:r w:rsidRPr="007D0399">
        <w:t xml:space="preserve"> et al. (2015) study. The impact of this exclusion was minimal (sensitivity changed from 0.966 to 0.963)</w:t>
      </w:r>
      <w:r w:rsidR="005D77C0">
        <w:t>.</w:t>
      </w:r>
    </w:p>
    <w:p w14:paraId="24EAA137" w14:textId="77777777" w:rsidR="003B2D05" w:rsidRDefault="003B2D05" w:rsidP="006F02E2">
      <w:pPr>
        <w:pStyle w:val="Tablenotes"/>
      </w:pPr>
      <w:r>
        <w:t xml:space="preserve">† = </w:t>
      </w:r>
      <w:r w:rsidRPr="00E10B76">
        <w:t>GRADE Working Group grades of evidence</w:t>
      </w:r>
      <w:r>
        <w:t xml:space="preserve"> </w:t>
      </w:r>
      <w:r>
        <w:fldChar w:fldCharType="begin">
          <w:fldData xml:space="preserve">PEVuZE5vdGU+PENpdGU+PEF1dGhvcj5HdXlhdHQ8L0F1dGhvcj48WWVhcj4yMDEzPC9ZZWFyPjxS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</w:fldData>
        </w:fldChar>
      </w:r>
      <w:r>
        <w:instrText xml:space="preserve"> ADDIN EN.CITE </w:instrText>
      </w:r>
      <w:r>
        <w:fldChar w:fldCharType="begin">
          <w:fldData xml:space="preserve">PEVuZE5vdGU+PENpdGU+PEF1dGhvcj5HdXlhdHQ8L0F1dGhvcj48WWVhcj4yMDEzPC9ZZWFyPjxS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</w:fldData>
        </w:fldChar>
      </w:r>
      <w:r>
        <w:instrText xml:space="preserve"> ADDIN EN.CITE.DATA </w:instrText>
      </w:r>
      <w:r>
        <w:fldChar w:fldCharType="end"/>
      </w:r>
      <w:r>
        <w:fldChar w:fldCharType="separate"/>
      </w:r>
      <w:r>
        <w:rPr>
          <w:noProof/>
        </w:rPr>
        <w:t>(</w:t>
      </w:r>
      <w:hyperlink w:anchor="_ENREF_44" w:tooltip="Guyatt, 2013 #19" w:history="1">
        <w:r>
          <w:rPr>
            <w:noProof/>
          </w:rPr>
          <w:t>Guyatt et al., 2013</w:t>
        </w:r>
      </w:hyperlink>
      <w:r>
        <w:rPr>
          <w:noProof/>
        </w:rPr>
        <w:t>)</w:t>
      </w:r>
      <w:r>
        <w:fldChar w:fldCharType="end"/>
      </w:r>
    </w:p>
    <w:p w14:paraId="58377FEA" w14:textId="77777777" w:rsidR="003B2D05" w:rsidRDefault="003B2D05" w:rsidP="006F02E2">
      <w:pPr>
        <w:pStyle w:val="Tablenotes"/>
      </w:pPr>
      <w:r w:rsidRPr="001B646E">
        <w:rPr>
          <w:rFonts w:ascii="Cambria Math" w:hAnsi="Cambria Math"/>
          <w:color w:val="00B050"/>
        </w:rPr>
        <w:t>⨁⨁⨁</w:t>
      </w:r>
      <w:r w:rsidRPr="001B646E">
        <w:rPr>
          <w:rFonts w:ascii="Cambria Math" w:hAnsi="Cambria Math" w:cs="Cambria Math"/>
          <w:color w:val="C00000"/>
        </w:rPr>
        <w:t>⨀</w:t>
      </w:r>
      <w:r w:rsidRPr="001B646E">
        <w:t xml:space="preserve"> </w:t>
      </w:r>
      <w:r w:rsidRPr="00B72502">
        <w:rPr>
          <w:b/>
          <w:bCs/>
        </w:rPr>
        <w:t>Moderate quality</w:t>
      </w:r>
      <w:r w:rsidRPr="001B646E">
        <w:t>: We are moderately confident in the effect estimate: The true effect is likely to be close to the estimate of the effect, but there is a possibility that it is substantially different</w:t>
      </w:r>
      <w:r>
        <w:t>.</w:t>
      </w:r>
    </w:p>
    <w:p w14:paraId="6433120A" w14:textId="77777777" w:rsidR="003B2D05" w:rsidRPr="00F80504" w:rsidRDefault="003B2D05" w:rsidP="006F02E2">
      <w:pPr>
        <w:pStyle w:val="Tablenotes"/>
      </w:pPr>
      <w:r>
        <w:t xml:space="preserve">‡ = </w:t>
      </w:r>
      <w:r w:rsidRPr="00F80504">
        <w:t>Diagnostic accuracy outcomes downgraded for following reasons: small number of single arm studies included in bi-variate meta-analysis (n = 2 – 3), different definitions of positivity across included studies.</w:t>
      </w:r>
    </w:p>
    <w:p w14:paraId="16480844" w14:textId="77777777" w:rsidR="003B2D05" w:rsidRPr="00E33638" w:rsidRDefault="003B2D05" w:rsidP="006F02E2">
      <w:pPr>
        <w:pStyle w:val="Tablenotes"/>
      </w:pPr>
      <w:r w:rsidRPr="00F53192">
        <w:rPr>
          <w:b/>
          <w:bCs/>
        </w:rPr>
        <w:t>Source</w:t>
      </w:r>
      <w:r w:rsidRPr="00F53192">
        <w:t>:</w:t>
      </w:r>
      <w:r>
        <w:t xml:space="preserve"> Adapted from Table B.34, p.159 of the ADAR.</w:t>
      </w:r>
    </w:p>
    <w:p w14:paraId="611AEEA4" w14:textId="77777777" w:rsidR="008E2E67" w:rsidRDefault="003B2D05" w:rsidP="008E2E67">
      <w:pPr>
        <w:spacing w:before="240"/>
      </w:pPr>
      <w:r w:rsidRPr="00F10478">
        <w:t xml:space="preserve">Despite </w:t>
      </w:r>
      <w:r>
        <w:t>not presenting a direct quantitative comparison of diagnostic accuracy parameters between PSMA PET/CT and CVI, the ADAR concluded that PSMA PET/CT is superior in the settin</w:t>
      </w:r>
      <w:r w:rsidR="008E2E67">
        <w:t>g of BCR.</w:t>
      </w:r>
    </w:p>
    <w:p w14:paraId="7C8A9431" w14:textId="01035B7A" w:rsidR="003B2D05" w:rsidRPr="008E2E67" w:rsidRDefault="003B2D05" w:rsidP="008E2E67">
      <w:pPr>
        <w:spacing w:before="240"/>
      </w:pPr>
      <w:r w:rsidRPr="000A646B">
        <w:rPr>
          <w:iCs/>
        </w:rPr>
        <w:t xml:space="preserve">A possible basis to conclude that PSMA PET/CT has superior accuracy to CVI in the nodal and metastatic staging of patients with PSA persistence or recurrence is the two studies requiring patients to have prior negative or equivocal findings on CVI </w:t>
      </w:r>
      <w:r w:rsidRPr="003B2D05">
        <w:rPr>
          <w:iCs/>
        </w:rPr>
        <w:t>(Emmett et al., 2019</w:t>
      </w:r>
      <w:r>
        <w:rPr>
          <w:rStyle w:val="FootnoteReference"/>
          <w:iCs/>
        </w:rPr>
        <w:footnoteReference w:id="7"/>
      </w:r>
      <w:r w:rsidRPr="003B2D05">
        <w:rPr>
          <w:iCs/>
        </w:rPr>
        <w:t>; Lindenberg et al., 2020</w:t>
      </w:r>
      <w:r w:rsidR="001902BF">
        <w:rPr>
          <w:rStyle w:val="FootnoteReference"/>
          <w:iCs/>
        </w:rPr>
        <w:footnoteReference w:id="8"/>
      </w:r>
      <w:r w:rsidRPr="003B2D05">
        <w:rPr>
          <w:iCs/>
        </w:rPr>
        <w:t xml:space="preserve">). </w:t>
      </w:r>
      <w:r w:rsidRPr="000A646B">
        <w:rPr>
          <w:iCs/>
        </w:rPr>
        <w:t>These studies appear to provide evidence that PSMA PET/CT is sensitive to lesions not detectable on CVI, whilst maintaining a high specifi</w:t>
      </w:r>
      <w:r w:rsidR="005409CE">
        <w:rPr>
          <w:iCs/>
        </w:rPr>
        <w:t>city (sensitivity 0.67 and 0.69</w:t>
      </w:r>
      <w:r w:rsidRPr="000A646B">
        <w:rPr>
          <w:iCs/>
        </w:rPr>
        <w:t>; specificity 1.00 a</w:t>
      </w:r>
      <w:r w:rsidR="001902BF">
        <w:rPr>
          <w:iCs/>
        </w:rPr>
        <w:t>nd 0.91</w:t>
      </w:r>
      <w:r w:rsidR="005409CE">
        <w:rPr>
          <w:iCs/>
        </w:rPr>
        <w:t xml:space="preserve">, </w:t>
      </w:r>
      <w:r w:rsidR="005409CE" w:rsidRPr="000A646B">
        <w:rPr>
          <w:iCs/>
        </w:rPr>
        <w:t>respectively</w:t>
      </w:r>
      <w:r w:rsidRPr="000A646B">
        <w:rPr>
          <w:iCs/>
        </w:rPr>
        <w:t>).</w:t>
      </w:r>
    </w:p>
    <w:p w14:paraId="6B640885" w14:textId="180FE661" w:rsidR="003B2D05" w:rsidRDefault="001902BF" w:rsidP="001902BF">
      <w:r>
        <w:t xml:space="preserve">The </w:t>
      </w:r>
      <w:r w:rsidR="005D77C0">
        <w:t>C</w:t>
      </w:r>
      <w:r>
        <w:t xml:space="preserve">ommentary stated </w:t>
      </w:r>
      <w:r w:rsidR="00621EC6">
        <w:t xml:space="preserve">that, </w:t>
      </w:r>
      <w:r>
        <w:t>w</w:t>
      </w:r>
      <w:r w:rsidR="003B2D05">
        <w:t>hilst these results suggest PSMA PET/CT is sensitive to lesions not previously detected on CVI, the time between CVI and PSMA PET/CT imaging is a potential source of confounding. In the time between scans, lesions may have increased in size or new lesions may have developed. The time between CVI and study enrolment was up to 12 weeks in the Emmett et al. (2019) study and 3–4 months in the Lindenberg et al. (2020) study. The significance of these intervals is unclear.</w:t>
      </w:r>
    </w:p>
    <w:p w14:paraId="77A7C5BB" w14:textId="3505CF10" w:rsidR="003B2D05" w:rsidRDefault="001902BF" w:rsidP="003E0C21">
      <w:pPr>
        <w:spacing w:before="240"/>
      </w:pPr>
      <w:r>
        <w:t xml:space="preserve">The </w:t>
      </w:r>
      <w:r w:rsidR="005D77C0">
        <w:t>C</w:t>
      </w:r>
      <w:r>
        <w:t>ommentary stated that</w:t>
      </w:r>
      <w:r w:rsidR="00621EC6">
        <w:t>,</w:t>
      </w:r>
      <w:r>
        <w:t xml:space="preserve"> i</w:t>
      </w:r>
      <w:r w:rsidR="003B2D05">
        <w:t>n</w:t>
      </w:r>
      <w:r w:rsidR="003B2D05" w:rsidRPr="00984CEB">
        <w:t xml:space="preserve"> the setting of BCR, clinical practice guidelines and expert advice indicate that PSMA PET/CT is accepted clinically as the superior choice</w:t>
      </w:r>
      <w:r w:rsidR="003B2D05">
        <w:t>, given the poor diagnostic yield of CVI</w:t>
      </w:r>
      <w:r w:rsidR="003B2D05" w:rsidRPr="00984CEB">
        <w:t>.</w:t>
      </w:r>
    </w:p>
    <w:p w14:paraId="7A599B07" w14:textId="49218841" w:rsidR="003B2D05" w:rsidRDefault="003B2D05" w:rsidP="003E0C21">
      <w:pPr>
        <w:spacing w:before="240"/>
        <w:rPr>
          <w:iCs/>
        </w:rPr>
      </w:pPr>
      <w:r w:rsidRPr="007C4FB8">
        <w:rPr>
          <w:iCs/>
        </w:rPr>
        <w:t>Evidence presented in EAU guidelines suggests that</w:t>
      </w:r>
      <w:r w:rsidR="00621EC6">
        <w:rPr>
          <w:iCs/>
        </w:rPr>
        <w:t>,</w:t>
      </w:r>
      <w:r w:rsidRPr="007C4FB8">
        <w:rPr>
          <w:iCs/>
        </w:rPr>
        <w:t xml:space="preserve"> in men with PSA-only relapse after </w:t>
      </w:r>
      <w:r w:rsidRPr="00EA68AA">
        <w:rPr>
          <w:iCs/>
        </w:rPr>
        <w:t xml:space="preserve">radical prostatectomy </w:t>
      </w:r>
      <w:r>
        <w:rPr>
          <w:iCs/>
        </w:rPr>
        <w:t>(</w:t>
      </w:r>
      <w:r w:rsidRPr="007C4FB8">
        <w:rPr>
          <w:iCs/>
        </w:rPr>
        <w:t>RP</w:t>
      </w:r>
      <w:r>
        <w:rPr>
          <w:iCs/>
        </w:rPr>
        <w:t>)</w:t>
      </w:r>
      <w:r w:rsidRPr="007C4FB8">
        <w:rPr>
          <w:iCs/>
        </w:rPr>
        <w:t xml:space="preserve"> and a PSA level &lt;7.0</w:t>
      </w:r>
      <w:r w:rsidR="00A81E86">
        <w:rPr>
          <w:iCs/>
        </w:rPr>
        <w:t> </w:t>
      </w:r>
      <w:r w:rsidRPr="007C4FB8">
        <w:rPr>
          <w:iCs/>
        </w:rPr>
        <w:t>ng/ml</w:t>
      </w:r>
      <w:r w:rsidR="00621EC6">
        <w:rPr>
          <w:iCs/>
        </w:rPr>
        <w:t>,</w:t>
      </w:r>
      <w:r w:rsidRPr="007C4FB8">
        <w:rPr>
          <w:iCs/>
        </w:rPr>
        <w:t xml:space="preserve"> the diagnostic yield of </w:t>
      </w:r>
      <w:r w:rsidR="005409CE">
        <w:rPr>
          <w:iCs/>
        </w:rPr>
        <w:t>WBBS</w:t>
      </w:r>
      <w:r w:rsidRPr="007C4FB8">
        <w:rPr>
          <w:iCs/>
        </w:rPr>
        <w:t xml:space="preserve"> is &lt;5%, whilst the diagnostic yield of CT in men with BCR after </w:t>
      </w:r>
      <w:r w:rsidR="00E37D32">
        <w:rPr>
          <w:iCs/>
        </w:rPr>
        <w:t>radical prostatectomy (</w:t>
      </w:r>
      <w:r w:rsidRPr="007C4FB8">
        <w:rPr>
          <w:iCs/>
        </w:rPr>
        <w:t>RP</w:t>
      </w:r>
      <w:r w:rsidR="00E37D32">
        <w:rPr>
          <w:iCs/>
        </w:rPr>
        <w:t>)</w:t>
      </w:r>
      <w:r w:rsidRPr="007C4FB8">
        <w:rPr>
          <w:iCs/>
        </w:rPr>
        <w:t xml:space="preserve"> is 11</w:t>
      </w:r>
      <w:r>
        <w:rPr>
          <w:iCs/>
        </w:rPr>
        <w:t>–</w:t>
      </w:r>
      <w:r w:rsidRPr="007C4FB8">
        <w:rPr>
          <w:iCs/>
        </w:rPr>
        <w:t xml:space="preserve">14% </w:t>
      </w:r>
      <w:r w:rsidR="001902BF" w:rsidRPr="001902BF">
        <w:rPr>
          <w:iCs/>
        </w:rPr>
        <w:t>(</w:t>
      </w:r>
      <w:proofErr w:type="spellStart"/>
      <w:r w:rsidR="001902BF" w:rsidRPr="001902BF">
        <w:rPr>
          <w:iCs/>
        </w:rPr>
        <w:t>Mottet</w:t>
      </w:r>
      <w:proofErr w:type="spellEnd"/>
      <w:r w:rsidR="001902BF" w:rsidRPr="001902BF">
        <w:rPr>
          <w:iCs/>
        </w:rPr>
        <w:t xml:space="preserve"> et al., 2021). </w:t>
      </w:r>
      <w:r w:rsidRPr="007C4FB8">
        <w:rPr>
          <w:iCs/>
        </w:rPr>
        <w:t>The diagnostic yield of PSMA PET/CT varie</w:t>
      </w:r>
      <w:r w:rsidR="00621EC6">
        <w:rPr>
          <w:iCs/>
        </w:rPr>
        <w:t>d</w:t>
      </w:r>
      <w:r w:rsidRPr="007C4FB8">
        <w:rPr>
          <w:iCs/>
        </w:rPr>
        <w:t xml:space="preserve"> from 33% in men with a PSA &lt;0.2</w:t>
      </w:r>
      <w:r w:rsidR="00A81E86">
        <w:rPr>
          <w:iCs/>
        </w:rPr>
        <w:t> </w:t>
      </w:r>
      <w:r w:rsidRPr="007C4FB8">
        <w:rPr>
          <w:iCs/>
        </w:rPr>
        <w:t>ng/ml to 95% in men with a PSA level &gt;2.0</w:t>
      </w:r>
      <w:r w:rsidR="00A81E86">
        <w:rPr>
          <w:iCs/>
        </w:rPr>
        <w:t> </w:t>
      </w:r>
      <w:r w:rsidRPr="007C4FB8">
        <w:rPr>
          <w:iCs/>
        </w:rPr>
        <w:t xml:space="preserve">ng/ml </w:t>
      </w:r>
      <w:r>
        <w:rPr>
          <w:iCs/>
        </w:rPr>
        <w:fldChar w:fldCharType="begin">
          <w:fldData xml:space="preserve">PEVuZE5vdGU+PENpdGU+PEF1dGhvcj5QZXJlcmE8L0F1dGhvcj48WWVhcj4yMDIwPC9ZZWFyPjxS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</w:fldData>
        </w:fldChar>
      </w:r>
      <w:r>
        <w:rPr>
          <w:iCs/>
        </w:rPr>
        <w:instrText xml:space="preserve"> ADDIN EN.CITE </w:instrText>
      </w:r>
      <w:r>
        <w:rPr>
          <w:iCs/>
        </w:rPr>
        <w:fldChar w:fldCharType="begin">
          <w:fldData xml:space="preserve">PEVuZE5vdGU+PENpdGU+PEF1dGhvcj5QZXJlcmE8L0F1dGhvcj48WWVhcj4yMDIwPC9ZZWFyPjxS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</w:fldData>
        </w:fldChar>
      </w:r>
      <w:r>
        <w:rPr>
          <w:iCs/>
        </w:rPr>
        <w:instrText xml:space="preserve"> ADDIN EN.CITE.DATA </w:instrText>
      </w:r>
      <w:r>
        <w:rPr>
          <w:iCs/>
        </w:rPr>
      </w:r>
      <w:r>
        <w:rPr>
          <w:iCs/>
        </w:rPr>
        <w:fldChar w:fldCharType="end"/>
      </w:r>
      <w:r>
        <w:rPr>
          <w:iCs/>
        </w:rPr>
      </w:r>
      <w:r>
        <w:rPr>
          <w:iCs/>
        </w:rPr>
        <w:fldChar w:fldCharType="separate"/>
      </w:r>
      <w:r>
        <w:rPr>
          <w:iCs/>
          <w:noProof/>
        </w:rPr>
        <w:t>(</w:t>
      </w:r>
      <w:hyperlink w:anchor="_ENREF_87" w:tooltip="Perera, 2020 #79" w:history="1">
        <w:r>
          <w:rPr>
            <w:iCs/>
            <w:noProof/>
          </w:rPr>
          <w:t>Perera et al., 2020</w:t>
        </w:r>
      </w:hyperlink>
      <w:r>
        <w:rPr>
          <w:iCs/>
          <w:noProof/>
        </w:rPr>
        <w:t>)</w:t>
      </w:r>
      <w:r>
        <w:rPr>
          <w:iCs/>
        </w:rPr>
        <w:fldChar w:fldCharType="end"/>
      </w:r>
      <w:r w:rsidR="001902BF">
        <w:rPr>
          <w:rStyle w:val="FootnoteReference"/>
          <w:iCs/>
        </w:rPr>
        <w:footnoteReference w:id="9"/>
      </w:r>
      <w:r w:rsidR="001902BF">
        <w:rPr>
          <w:iCs/>
        </w:rPr>
        <w:t>.</w:t>
      </w:r>
    </w:p>
    <w:p w14:paraId="65783121" w14:textId="086485DC" w:rsidR="001902BF" w:rsidRDefault="003B2D05" w:rsidP="003E0C21">
      <w:pPr>
        <w:spacing w:before="240"/>
      </w:pPr>
      <w:r w:rsidRPr="00A21047">
        <w:t xml:space="preserve">The IMPPORT trial, published since the ADAR’s updated literature search, compared the detection rates (diagnostic yield) of </w:t>
      </w:r>
      <w:r w:rsidRPr="00A21047">
        <w:rPr>
          <w:vertAlign w:val="superscript"/>
        </w:rPr>
        <w:t>18</w:t>
      </w:r>
      <w:r w:rsidRPr="00A21047">
        <w:t>F-DCFPyL and diagnostic CT (chest, abdominal, and pelvic) in 97 men with evidence of BCR after RP being considered for salvage radiotherapy (RT) and with PSA between 0.2 – 2.0</w:t>
      </w:r>
      <w:r w:rsidR="00A81E86">
        <w:t> </w:t>
      </w:r>
      <w:r w:rsidRPr="00A21047">
        <w:t>ng/ml</w:t>
      </w:r>
      <w:r w:rsidR="008607BA">
        <w:t xml:space="preserve"> </w:t>
      </w:r>
      <w:r w:rsidR="008607BA" w:rsidRPr="008607BA">
        <w:t>(</w:t>
      </w:r>
      <w:proofErr w:type="spellStart"/>
      <w:r w:rsidR="008607BA" w:rsidRPr="008607BA">
        <w:t>Koschel</w:t>
      </w:r>
      <w:proofErr w:type="spellEnd"/>
      <w:r w:rsidR="008607BA" w:rsidRPr="008607BA">
        <w:t xml:space="preserve"> et al., 2021)</w:t>
      </w:r>
      <w:r w:rsidR="001902BF">
        <w:rPr>
          <w:rStyle w:val="FootnoteReference"/>
        </w:rPr>
        <w:footnoteReference w:id="10"/>
      </w:r>
      <w:r w:rsidRPr="00A21047">
        <w:t xml:space="preserve">. </w:t>
      </w:r>
      <w:r>
        <w:t xml:space="preserve">Results were presented prior to publication in the ADAR </w:t>
      </w:r>
      <w:r w:rsidRPr="00D80A53">
        <w:t>(</w:t>
      </w:r>
      <w:r>
        <w:t>p</w:t>
      </w:r>
      <w:r w:rsidRPr="00D80A53">
        <w:t>.156) following contact with the study authors (ADAR, p.99)</w:t>
      </w:r>
      <w:r>
        <w:t xml:space="preserve">. </w:t>
      </w:r>
      <w:r w:rsidRPr="00A21047">
        <w:t xml:space="preserve">Overall, </w:t>
      </w:r>
      <w:r w:rsidRPr="00A21047">
        <w:rPr>
          <w:vertAlign w:val="superscript"/>
        </w:rPr>
        <w:t>18</w:t>
      </w:r>
      <w:r w:rsidRPr="00A21047">
        <w:t>F-DCFPyL PET/CT scans were positive in 46.4% of men (n = 45) whilst diagnostic CT was positive in 15.5% of men (n = 15).</w:t>
      </w:r>
    </w:p>
    <w:p w14:paraId="632E709D" w14:textId="57C082AC" w:rsidR="003B2D05" w:rsidRPr="00D80A53" w:rsidRDefault="003B2D05" w:rsidP="003E0C21">
      <w:pPr>
        <w:spacing w:before="240"/>
        <w:rPr>
          <w:i/>
          <w:iCs/>
        </w:rPr>
      </w:pPr>
      <w:r>
        <w:t xml:space="preserve">The </w:t>
      </w:r>
      <w:r w:rsidR="005D77C0">
        <w:t>C</w:t>
      </w:r>
      <w:r w:rsidR="001902BF">
        <w:t>ommentary agreed with the ADAR</w:t>
      </w:r>
      <w:r w:rsidR="00621EC6">
        <w:t>,</w:t>
      </w:r>
      <w:r w:rsidR="001902BF">
        <w:t xml:space="preserve"> wh</w:t>
      </w:r>
      <w:r w:rsidR="00621EC6">
        <w:t>ich</w:t>
      </w:r>
      <w:r w:rsidR="001902BF">
        <w:t xml:space="preserve"> considered </w:t>
      </w:r>
      <w:r>
        <w:t xml:space="preserve">that these results validate the finding that </w:t>
      </w:r>
      <w:r w:rsidR="005409CE">
        <w:t>PSMA PET/CT is superior to CVI, noting that b</w:t>
      </w:r>
      <w:r>
        <w:t>oth scans were performed during a single session, removing the risk of confounding due</w:t>
      </w:r>
      <w:r w:rsidR="00046ED1">
        <w:t xml:space="preserve"> to time passing between scans.</w:t>
      </w:r>
    </w:p>
    <w:p w14:paraId="07A31B98" w14:textId="79968B50" w:rsidR="003B2D05" w:rsidRPr="00AC6AD2" w:rsidRDefault="003B2D05" w:rsidP="003E0C21">
      <w:pPr>
        <w:pStyle w:val="Heading3"/>
        <w:spacing w:before="240"/>
      </w:pPr>
      <w:r w:rsidRPr="00AC6AD2">
        <w:t>Concordance studies (</w:t>
      </w:r>
      <w:r w:rsidR="006C5787">
        <w:t>both p</w:t>
      </w:r>
      <w:r w:rsidRPr="00AC6AD2">
        <w:t>opulations)</w:t>
      </w:r>
    </w:p>
    <w:p w14:paraId="03398F28" w14:textId="21D37BF6" w:rsidR="00297006" w:rsidRDefault="003B2D05" w:rsidP="00297006">
      <w:r w:rsidRPr="004B0A20">
        <w:t xml:space="preserve">Available concordance studies </w:t>
      </w:r>
      <w:r>
        <w:t>provide preliminary evidence to suggest</w:t>
      </w:r>
      <w:r w:rsidRPr="004B0A20">
        <w:t xml:space="preserve"> </w:t>
      </w:r>
      <w:r w:rsidRPr="004B0A20">
        <w:rPr>
          <w:vertAlign w:val="superscript"/>
        </w:rPr>
        <w:t>18</w:t>
      </w:r>
      <w:r w:rsidRPr="004B0A20">
        <w:t xml:space="preserve">F-PSMA-1007 and </w:t>
      </w:r>
      <w:r w:rsidRPr="004B0A20">
        <w:rPr>
          <w:vertAlign w:val="superscript"/>
        </w:rPr>
        <w:t>18</w:t>
      </w:r>
      <w:r w:rsidRPr="004B0A20">
        <w:t xml:space="preserve">F-DCFPyL may be non-inferior to </w:t>
      </w:r>
      <w:r w:rsidRPr="004B0A20">
        <w:rPr>
          <w:snapToGrid w:val="0"/>
          <w:vertAlign w:val="superscript"/>
          <w:lang w:eastAsia="en-US"/>
        </w:rPr>
        <w:t>68</w:t>
      </w:r>
      <w:r w:rsidRPr="004B0A20">
        <w:rPr>
          <w:snapToGrid w:val="0"/>
          <w:lang w:eastAsia="en-US"/>
        </w:rPr>
        <w:t xml:space="preserve">Ga-PSMA-11 </w:t>
      </w:r>
      <w:r w:rsidR="00E00D71" w:rsidRPr="00E00D71">
        <w:rPr>
          <w:snapToGrid w:val="0"/>
          <w:lang w:eastAsia="en-US"/>
        </w:rPr>
        <w:t>(</w:t>
      </w:r>
      <w:proofErr w:type="spellStart"/>
      <w:r w:rsidR="00E00D71" w:rsidRPr="00E00D71">
        <w:rPr>
          <w:snapToGrid w:val="0"/>
          <w:lang w:eastAsia="en-US"/>
        </w:rPr>
        <w:t>Dietlein</w:t>
      </w:r>
      <w:proofErr w:type="spellEnd"/>
      <w:r w:rsidR="00E00D71" w:rsidRPr="00E00D71">
        <w:rPr>
          <w:snapToGrid w:val="0"/>
          <w:lang w:eastAsia="en-US"/>
        </w:rPr>
        <w:t xml:space="preserve"> et al., 2017</w:t>
      </w:r>
      <w:r w:rsidR="00E00D71">
        <w:rPr>
          <w:rStyle w:val="FootnoteReference"/>
          <w:snapToGrid w:val="0"/>
          <w:lang w:eastAsia="en-US"/>
        </w:rPr>
        <w:footnoteReference w:id="11"/>
      </w:r>
      <w:r w:rsidR="00E00D71" w:rsidRPr="00E00D71">
        <w:rPr>
          <w:snapToGrid w:val="0"/>
          <w:lang w:eastAsia="en-US"/>
        </w:rPr>
        <w:t xml:space="preserve">; </w:t>
      </w:r>
      <w:proofErr w:type="spellStart"/>
      <w:r w:rsidR="00E00D71" w:rsidRPr="00E00D71">
        <w:rPr>
          <w:snapToGrid w:val="0"/>
          <w:lang w:eastAsia="en-US"/>
        </w:rPr>
        <w:t>Kuten</w:t>
      </w:r>
      <w:proofErr w:type="spellEnd"/>
      <w:r w:rsidR="00E00D71" w:rsidRPr="00E00D71">
        <w:rPr>
          <w:snapToGrid w:val="0"/>
          <w:lang w:eastAsia="en-US"/>
        </w:rPr>
        <w:t xml:space="preserve"> et al., 2020</w:t>
      </w:r>
      <w:r w:rsidR="00297006">
        <w:rPr>
          <w:rStyle w:val="FootnoteReference"/>
          <w:snapToGrid w:val="0"/>
          <w:lang w:eastAsia="en-US"/>
        </w:rPr>
        <w:footnoteReference w:id="12"/>
      </w:r>
      <w:r w:rsidR="00E00D71" w:rsidRPr="00E00D71">
        <w:rPr>
          <w:snapToGrid w:val="0"/>
          <w:lang w:eastAsia="en-US"/>
        </w:rPr>
        <w:t xml:space="preserve">). </w:t>
      </w:r>
      <w:r>
        <w:rPr>
          <w:snapToGrid w:val="0"/>
          <w:lang w:eastAsia="en-US"/>
        </w:rPr>
        <w:t xml:space="preserve">In fact, </w:t>
      </w:r>
      <w:proofErr w:type="spellStart"/>
      <w:r w:rsidRPr="004B0A20">
        <w:t>Kuten</w:t>
      </w:r>
      <w:proofErr w:type="spellEnd"/>
      <w:r w:rsidRPr="004B0A20">
        <w:t xml:space="preserve"> et al (2020) </w:t>
      </w:r>
      <w:r>
        <w:t>found</w:t>
      </w:r>
      <w:r w:rsidRPr="004B0A20">
        <w:t xml:space="preserve"> </w:t>
      </w:r>
      <w:r w:rsidRPr="004B0A20">
        <w:rPr>
          <w:vertAlign w:val="superscript"/>
        </w:rPr>
        <w:t>18</w:t>
      </w:r>
      <w:r w:rsidRPr="004B0A20">
        <w:t>F-PSMA-1007 may detect additional low-grade lesions of limited clinical relevance</w:t>
      </w:r>
      <w:r>
        <w:t xml:space="preserve">, while </w:t>
      </w:r>
      <w:proofErr w:type="spellStart"/>
      <w:r w:rsidRPr="004B0A20">
        <w:t>Dietlien</w:t>
      </w:r>
      <w:proofErr w:type="spellEnd"/>
      <w:r w:rsidRPr="004B0A20">
        <w:t xml:space="preserve"> et al. (2017) found </w:t>
      </w:r>
      <w:r w:rsidRPr="004B0A20">
        <w:rPr>
          <w:vertAlign w:val="superscript"/>
        </w:rPr>
        <w:t>18</w:t>
      </w:r>
      <w:r w:rsidRPr="004B0A20">
        <w:t>F-DCFPyL to have improved detection rates at PSA levels between 0.5 and 3.5</w:t>
      </w:r>
      <w:r w:rsidR="00A81E86">
        <w:t> </w:t>
      </w:r>
      <w:r w:rsidRPr="004B0A20">
        <w:t>ng/ml after RP</w:t>
      </w:r>
      <w:r w:rsidR="00297006">
        <w:t>.</w:t>
      </w:r>
    </w:p>
    <w:p w14:paraId="48C7531D" w14:textId="4AEE4306" w:rsidR="003B2D05" w:rsidRDefault="00297006" w:rsidP="00297006">
      <w:r>
        <w:t xml:space="preserve">However, the </w:t>
      </w:r>
      <w:r w:rsidR="005D77C0">
        <w:t>C</w:t>
      </w:r>
      <w:r>
        <w:t>ommentary considered i</w:t>
      </w:r>
      <w:r w:rsidR="003B2D05">
        <w:t xml:space="preserve">t </w:t>
      </w:r>
      <w:r w:rsidR="00621EC6">
        <w:t>wa</w:t>
      </w:r>
      <w:r w:rsidR="003B2D05">
        <w:t>s difficult to draw conclusions given a small sample size</w:t>
      </w:r>
      <w:r w:rsidR="00046ED1">
        <w:t xml:space="preserve"> [n=16]</w:t>
      </w:r>
      <w:r w:rsidR="003B2D05">
        <w:t xml:space="preserve"> </w:t>
      </w:r>
      <w:r w:rsidR="00E37D32" w:rsidRPr="00E37D32">
        <w:t>(</w:t>
      </w:r>
      <w:proofErr w:type="spellStart"/>
      <w:r w:rsidR="00E37D32" w:rsidRPr="00E37D32">
        <w:t>Kuten</w:t>
      </w:r>
      <w:proofErr w:type="spellEnd"/>
      <w:r w:rsidR="00E37D32" w:rsidRPr="00E37D32">
        <w:t xml:space="preserve"> et al., 2020)</w:t>
      </w:r>
      <w:r w:rsidR="003B2D05">
        <w:t xml:space="preserve"> or lack of reference standard validation to differentiate </w:t>
      </w:r>
      <w:r w:rsidR="00046ED1">
        <w:t>true positive (</w:t>
      </w:r>
      <w:r w:rsidR="003B2D05">
        <w:t>TP</w:t>
      </w:r>
      <w:r w:rsidR="00046ED1">
        <w:t>)</w:t>
      </w:r>
      <w:r w:rsidR="003B2D05">
        <w:t xml:space="preserve"> and </w:t>
      </w:r>
      <w:r w:rsidR="00046ED1">
        <w:t>false positive (</w:t>
      </w:r>
      <w:r w:rsidR="003B2D05">
        <w:t>FP</w:t>
      </w:r>
      <w:r w:rsidR="00046ED1">
        <w:t>)</w:t>
      </w:r>
      <w:r w:rsidR="003B2D05">
        <w:t xml:space="preserve"> findings </w:t>
      </w:r>
      <w:r w:rsidR="00E37D32" w:rsidRPr="00E37D32">
        <w:t>(</w:t>
      </w:r>
      <w:proofErr w:type="spellStart"/>
      <w:r w:rsidR="00E37D32" w:rsidRPr="00E37D32">
        <w:t>Dietlein</w:t>
      </w:r>
      <w:proofErr w:type="spellEnd"/>
      <w:r w:rsidR="00E37D32" w:rsidRPr="00E37D32">
        <w:t xml:space="preserve"> et al., 2017).</w:t>
      </w:r>
    </w:p>
    <w:p w14:paraId="642A8DF2" w14:textId="3F068BCD" w:rsidR="00297006" w:rsidRDefault="00297006" w:rsidP="003E0C21">
      <w:pPr>
        <w:pStyle w:val="Heading2"/>
        <w:spacing w:before="240" w:after="240"/>
      </w:pPr>
      <w:r>
        <w:t>Clinical validity</w:t>
      </w:r>
    </w:p>
    <w:p w14:paraId="792E0CAA" w14:textId="18713577" w:rsidR="00297006" w:rsidRDefault="00297006" w:rsidP="00046ED1">
      <w:pPr>
        <w:pStyle w:val="Heading3"/>
      </w:pPr>
      <w:r>
        <w:t>P</w:t>
      </w:r>
      <w:r w:rsidR="003E585F">
        <w:t>rimary staging</w:t>
      </w:r>
    </w:p>
    <w:p w14:paraId="78BB5357" w14:textId="7E85BF1C" w:rsidR="00297006" w:rsidRDefault="00297006" w:rsidP="00297006">
      <w:pPr>
        <w:rPr>
          <w:i/>
          <w:iCs/>
          <w:snapToGrid w:val="0"/>
          <w:lang w:eastAsia="en-US"/>
        </w:rPr>
      </w:pPr>
      <w:r>
        <w:rPr>
          <w:snapToGrid w:val="0"/>
          <w:lang w:eastAsia="en-US"/>
        </w:rPr>
        <w:t xml:space="preserve">The ADAR reported the positive predictive value (PPV) and negative predictive value (NPV) derived from data presented in the </w:t>
      </w:r>
      <w:proofErr w:type="spellStart"/>
      <w:r>
        <w:rPr>
          <w:snapToGrid w:val="0"/>
          <w:lang w:eastAsia="en-US"/>
        </w:rPr>
        <w:t>proPSMA</w:t>
      </w:r>
      <w:proofErr w:type="spellEnd"/>
      <w:r>
        <w:rPr>
          <w:snapToGrid w:val="0"/>
          <w:lang w:eastAsia="en-US"/>
        </w:rPr>
        <w:t xml:space="preserve"> trial</w:t>
      </w:r>
      <w:r w:rsidRPr="00065E05">
        <w:rPr>
          <w:snapToGrid w:val="0"/>
          <w:lang w:eastAsia="en-US"/>
        </w:rPr>
        <w:t>;</w:t>
      </w:r>
      <w:r>
        <w:rPr>
          <w:snapToGrid w:val="0"/>
          <w:lang w:eastAsia="en-US"/>
        </w:rPr>
        <w:t xml:space="preserve"> however, these were not listed as critical outcomes. Instead, the</w:t>
      </w:r>
      <w:r w:rsidR="00365211">
        <w:rPr>
          <w:snapToGrid w:val="0"/>
          <w:lang w:eastAsia="en-US"/>
        </w:rPr>
        <w:t xml:space="preserve"> a</w:t>
      </w:r>
      <w:r w:rsidRPr="00C81BBB">
        <w:rPr>
          <w:snapToGrid w:val="0"/>
          <w:lang w:eastAsia="en-US"/>
        </w:rPr>
        <w:t xml:space="preserve">pplicant utilised the sensitivity and specificity data </w:t>
      </w:r>
      <w:r>
        <w:rPr>
          <w:snapToGrid w:val="0"/>
          <w:lang w:eastAsia="en-US"/>
        </w:rPr>
        <w:t>reported above</w:t>
      </w:r>
      <w:r w:rsidRPr="00C81BBB">
        <w:rPr>
          <w:snapToGrid w:val="0"/>
          <w:lang w:eastAsia="en-US"/>
        </w:rPr>
        <w:t xml:space="preserve"> and the pre-test probability of 29.5% to estimate the expected number of patients per 100</w:t>
      </w:r>
      <w:r>
        <w:rPr>
          <w:snapToGrid w:val="0"/>
          <w:lang w:eastAsia="en-US"/>
        </w:rPr>
        <w:t xml:space="preserve"> men</w:t>
      </w:r>
      <w:r w:rsidRPr="00C81BBB">
        <w:rPr>
          <w:snapToGrid w:val="0"/>
          <w:lang w:eastAsia="en-US"/>
        </w:rPr>
        <w:t xml:space="preserve"> tested </w:t>
      </w:r>
      <w:r>
        <w:rPr>
          <w:snapToGrid w:val="0"/>
          <w:lang w:eastAsia="en-US"/>
        </w:rPr>
        <w:t>having a</w:t>
      </w:r>
      <w:r w:rsidRPr="00C81BBB">
        <w:rPr>
          <w:snapToGrid w:val="0"/>
          <w:lang w:eastAsia="en-US"/>
        </w:rPr>
        <w:t xml:space="preserve"> TP, TN</w:t>
      </w:r>
      <w:r>
        <w:rPr>
          <w:snapToGrid w:val="0"/>
          <w:lang w:eastAsia="en-US"/>
        </w:rPr>
        <w:t xml:space="preserve"> (true negative)</w:t>
      </w:r>
      <w:r w:rsidRPr="00C81BBB">
        <w:rPr>
          <w:snapToGrid w:val="0"/>
          <w:lang w:eastAsia="en-US"/>
        </w:rPr>
        <w:t xml:space="preserve">, FP </w:t>
      </w:r>
      <w:r>
        <w:rPr>
          <w:snapToGrid w:val="0"/>
          <w:lang w:eastAsia="en-US"/>
        </w:rPr>
        <w:t>and</w:t>
      </w:r>
      <w:r w:rsidRPr="00C81BBB">
        <w:rPr>
          <w:snapToGrid w:val="0"/>
          <w:lang w:eastAsia="en-US"/>
        </w:rPr>
        <w:t xml:space="preserve"> FN </w:t>
      </w:r>
      <w:r>
        <w:rPr>
          <w:snapToGrid w:val="0"/>
          <w:lang w:eastAsia="en-US"/>
        </w:rPr>
        <w:t>(false negative) staging outcome</w:t>
      </w:r>
      <w:r w:rsidRPr="00C81BBB">
        <w:rPr>
          <w:snapToGrid w:val="0"/>
          <w:lang w:eastAsia="en-US"/>
        </w:rPr>
        <w:t xml:space="preserve"> on </w:t>
      </w:r>
      <w:r w:rsidRPr="001A3D14">
        <w:rPr>
          <w:vertAlign w:val="superscript"/>
        </w:rPr>
        <w:t>68</w:t>
      </w:r>
      <w:r w:rsidRPr="001A3D14">
        <w:t>Ga-PSMA-11</w:t>
      </w:r>
      <w:r w:rsidRPr="00C81BBB">
        <w:rPr>
          <w:snapToGrid w:val="0"/>
          <w:lang w:eastAsia="en-US"/>
        </w:rPr>
        <w:t xml:space="preserve"> PET/CT </w:t>
      </w:r>
      <w:r w:rsidRPr="00670691">
        <w:rPr>
          <w:snapToGrid w:val="0"/>
          <w:lang w:eastAsia="en-US"/>
        </w:rPr>
        <w:t>and CVI</w:t>
      </w:r>
      <w:r w:rsidR="005D77C0">
        <w:rPr>
          <w:snapToGrid w:val="0"/>
          <w:lang w:eastAsia="en-US"/>
        </w:rPr>
        <w:t>.</w:t>
      </w:r>
      <w:r w:rsidRPr="00670691">
        <w:rPr>
          <w:snapToGrid w:val="0"/>
          <w:lang w:eastAsia="en-US"/>
        </w:rPr>
        <w:t xml:space="preserve"> </w:t>
      </w:r>
      <w:r>
        <w:rPr>
          <w:snapToGrid w:val="0"/>
          <w:lang w:eastAsia="en-US"/>
        </w:rPr>
        <w:t xml:space="preserve">The </w:t>
      </w:r>
      <w:r w:rsidR="005D77C0">
        <w:rPr>
          <w:snapToGrid w:val="0"/>
          <w:lang w:eastAsia="en-US"/>
        </w:rPr>
        <w:t>C</w:t>
      </w:r>
      <w:r>
        <w:rPr>
          <w:snapToGrid w:val="0"/>
          <w:lang w:eastAsia="en-US"/>
        </w:rPr>
        <w:t>ommentary noted estimat</w:t>
      </w:r>
      <w:r w:rsidR="00621EC6">
        <w:rPr>
          <w:snapToGrid w:val="0"/>
          <w:lang w:eastAsia="en-US"/>
        </w:rPr>
        <w:t>es of</w:t>
      </w:r>
      <w:r>
        <w:rPr>
          <w:snapToGrid w:val="0"/>
          <w:lang w:eastAsia="en-US"/>
        </w:rPr>
        <w:t xml:space="preserve"> TP, FP, TN, and FN from the </w:t>
      </w:r>
      <w:proofErr w:type="spellStart"/>
      <w:r>
        <w:rPr>
          <w:snapToGrid w:val="0"/>
          <w:lang w:eastAsia="en-US"/>
        </w:rPr>
        <w:t>proPSMA</w:t>
      </w:r>
      <w:proofErr w:type="spellEnd"/>
      <w:r>
        <w:rPr>
          <w:snapToGrid w:val="0"/>
          <w:lang w:eastAsia="en-US"/>
        </w:rPr>
        <w:t xml:space="preserve"> trial w</w:t>
      </w:r>
      <w:r w:rsidR="00621EC6">
        <w:rPr>
          <w:snapToGrid w:val="0"/>
          <w:lang w:eastAsia="en-US"/>
        </w:rPr>
        <w:t>ere</w:t>
      </w:r>
      <w:r>
        <w:rPr>
          <w:snapToGrid w:val="0"/>
          <w:lang w:eastAsia="en-US"/>
        </w:rPr>
        <w:t xml:space="preserve"> </w:t>
      </w:r>
      <w:proofErr w:type="gramStart"/>
      <w:r>
        <w:rPr>
          <w:snapToGrid w:val="0"/>
          <w:lang w:eastAsia="en-US"/>
        </w:rPr>
        <w:t>similar to</w:t>
      </w:r>
      <w:proofErr w:type="gramEnd"/>
      <w:r>
        <w:rPr>
          <w:snapToGrid w:val="0"/>
          <w:lang w:eastAsia="en-US"/>
        </w:rPr>
        <w:t xml:space="preserve"> the ADAR calculations </w:t>
      </w:r>
      <w:r w:rsidRPr="00670691">
        <w:rPr>
          <w:snapToGrid w:val="0"/>
          <w:lang w:eastAsia="en-US"/>
        </w:rPr>
        <w:t>(</w:t>
      </w:r>
      <w:r w:rsidR="00323676">
        <w:rPr>
          <w:snapToGrid w:val="0"/>
          <w:lang w:eastAsia="en-US"/>
        </w:rPr>
        <w:t>Table 7</w:t>
      </w:r>
      <w:r w:rsidRPr="00670691">
        <w:rPr>
          <w:snapToGrid w:val="0"/>
          <w:lang w:eastAsia="en-US"/>
        </w:rPr>
        <w:t>).</w:t>
      </w:r>
    </w:p>
    <w:p w14:paraId="55C541C6" w14:textId="114FF34A" w:rsidR="00297006" w:rsidRDefault="00297006" w:rsidP="003E0C21">
      <w:pPr>
        <w:pStyle w:val="Caption"/>
        <w:spacing w:before="240"/>
        <w:rPr>
          <w:noProof/>
        </w:rPr>
      </w:pPr>
      <w:bookmarkStart w:id="32" w:name="_Ref71712051"/>
      <w:bookmarkStart w:id="33" w:name="_Toc71729648"/>
      <w:r>
        <w:t>Table</w:t>
      </w:r>
      <w:bookmarkEnd w:id="32"/>
      <w:r w:rsidR="00323676">
        <w:t xml:space="preserve"> 7</w:t>
      </w:r>
      <w:r>
        <w:tab/>
        <w:t xml:space="preserve">Summary of findings for the FN and FP rates associated with </w:t>
      </w:r>
      <w:r w:rsidRPr="005A04C3">
        <w:rPr>
          <w:vertAlign w:val="superscript"/>
        </w:rPr>
        <w:t>68</w:t>
      </w:r>
      <w:r>
        <w:t>Ga-PSMA PET/CT relative to CVI with assumed pre-test probability of LN or distant metastases of 29.5%</w:t>
      </w:r>
      <w:r w:rsidR="009340F2">
        <w:t>:</w:t>
      </w:r>
      <w:r>
        <w:t xml:space="preserve"> P</w:t>
      </w:r>
      <w:r w:rsidR="003E585F">
        <w:t>rimary staging</w:t>
      </w:r>
      <w:bookmarkEnd w:id="33"/>
    </w:p>
    <w:tbl>
      <w:tblPr>
        <w:tblStyle w:val="TableGrid1"/>
        <w:tblW w:w="5028" w:type="pct"/>
        <w:tblLook w:val="04A0" w:firstRow="1" w:lastRow="0" w:firstColumn="1" w:lastColumn="0" w:noHBand="0" w:noVBand="1"/>
        <w:tblCaption w:val="Summary of findings for the accuracy of 68Ga-PSMA PET/CT relative to conventional imaging in proPSMA, in patients with biopsy-proven unfavourable intermediate- or high-risk prostate adenocarcinoma suitable for locoregional therapy with assumed pre-test probability (prevalence) of 29.5% "/>
        <w:tblDescription w:val="Summary of findings table"/>
      </w:tblPr>
      <w:tblGrid>
        <w:gridCol w:w="2262"/>
        <w:gridCol w:w="1559"/>
        <w:gridCol w:w="1844"/>
        <w:gridCol w:w="1559"/>
        <w:gridCol w:w="1842"/>
      </w:tblGrid>
      <w:tr w:rsidR="00297006" w14:paraId="40B37445" w14:textId="77777777" w:rsidTr="00621EC6">
        <w:trPr>
          <w:cnfStyle w:val="100000000000" w:firstRow="1" w:lastRow="0" w:firstColumn="0" w:lastColumn="0" w:oddVBand="0" w:evenVBand="0" w:oddHBand="0" w:evenHBand="0" w:firstRowFirstColumn="0" w:firstRowLastColumn="0" w:lastRowFirstColumn="0" w:lastRowLastColumn="0"/>
          <w:cantSplit/>
          <w:tblHeader/>
        </w:trPr>
        <w:tc>
          <w:tcPr>
            <w:tcW w:w="1247" w:type="pct"/>
          </w:tcPr>
          <w:p w14:paraId="0B791DE7" w14:textId="77777777" w:rsidR="00297006" w:rsidRPr="00CF5452" w:rsidRDefault="00297006" w:rsidP="00A16E54">
            <w:pPr>
              <w:pStyle w:val="Tabletext"/>
              <w:rPr>
                <w:b/>
              </w:rPr>
            </w:pPr>
            <w:r w:rsidRPr="00CF5452">
              <w:rPr>
                <w:b/>
              </w:rPr>
              <w:t>Outcome</w:t>
            </w:r>
            <w:r>
              <w:rPr>
                <w:b/>
              </w:rPr>
              <w:t>s</w:t>
            </w:r>
          </w:p>
        </w:tc>
        <w:tc>
          <w:tcPr>
            <w:tcW w:w="1877" w:type="pct"/>
            <w:gridSpan w:val="2"/>
          </w:tcPr>
          <w:p w14:paraId="407CD9A5" w14:textId="77777777" w:rsidR="00297006" w:rsidRPr="00A50719" w:rsidRDefault="00297006" w:rsidP="00A16E54">
            <w:pPr>
              <w:pStyle w:val="Tabletext"/>
              <w:jc w:val="center"/>
              <w:rPr>
                <w:b/>
                <w:snapToGrid w:val="0"/>
                <w:lang w:val="fr-FR"/>
              </w:rPr>
            </w:pPr>
            <w:r w:rsidRPr="008C3067">
              <w:rPr>
                <w:b/>
                <w:snapToGrid w:val="0"/>
                <w:vertAlign w:val="superscript"/>
                <w:lang w:val="fr-FR"/>
              </w:rPr>
              <w:t>68</w:t>
            </w:r>
            <w:r w:rsidRPr="008C3067">
              <w:rPr>
                <w:b/>
                <w:snapToGrid w:val="0"/>
                <w:lang w:val="fr-FR"/>
              </w:rPr>
              <w:t>Ga-PSMA PET/CT</w:t>
            </w:r>
          </w:p>
        </w:tc>
        <w:tc>
          <w:tcPr>
            <w:tcW w:w="1876" w:type="pct"/>
            <w:gridSpan w:val="2"/>
          </w:tcPr>
          <w:p w14:paraId="10B667A9" w14:textId="77777777" w:rsidR="00297006" w:rsidRDefault="00297006" w:rsidP="00A16E54">
            <w:pPr>
              <w:pStyle w:val="Tabletext"/>
              <w:jc w:val="center"/>
              <w:rPr>
                <w:b/>
                <w:snapToGrid w:val="0"/>
              </w:rPr>
            </w:pPr>
            <w:r>
              <w:rPr>
                <w:b/>
                <w:snapToGrid w:val="0"/>
              </w:rPr>
              <w:t>CVI</w:t>
            </w:r>
          </w:p>
        </w:tc>
      </w:tr>
      <w:tr w:rsidR="00297006" w:rsidRPr="00872D11" w14:paraId="099E81DA" w14:textId="77777777" w:rsidTr="00621EC6">
        <w:trPr>
          <w:cnfStyle w:val="100000000000" w:firstRow="1" w:lastRow="0" w:firstColumn="0" w:lastColumn="0" w:oddVBand="0" w:evenVBand="0" w:oddHBand="0" w:evenHBand="0" w:firstRowFirstColumn="0" w:firstRowLastColumn="0" w:lastRowFirstColumn="0" w:lastRowLastColumn="0"/>
          <w:cantSplit/>
          <w:tblHeader/>
        </w:trPr>
        <w:tc>
          <w:tcPr>
            <w:tcW w:w="1247" w:type="pct"/>
            <w:shd w:val="clear" w:color="auto" w:fill="F2F2F2" w:themeFill="background1" w:themeFillShade="F2"/>
          </w:tcPr>
          <w:p w14:paraId="3F80458C" w14:textId="77777777" w:rsidR="00297006" w:rsidRPr="00872D11" w:rsidRDefault="00297006" w:rsidP="00A16E54">
            <w:pPr>
              <w:pStyle w:val="Tabletext"/>
              <w:rPr>
                <w:bCs/>
              </w:rPr>
            </w:pPr>
          </w:p>
        </w:tc>
        <w:tc>
          <w:tcPr>
            <w:tcW w:w="860" w:type="pct"/>
            <w:shd w:val="clear" w:color="auto" w:fill="F2F2F2" w:themeFill="background1" w:themeFillShade="F2"/>
          </w:tcPr>
          <w:p w14:paraId="36F8D477" w14:textId="07687866" w:rsidR="00297006" w:rsidRDefault="00297006" w:rsidP="005D77C0">
            <w:pPr>
              <w:pStyle w:val="Tabletext"/>
              <w:jc w:val="center"/>
              <w:rPr>
                <w:bCs/>
                <w:snapToGrid w:val="0"/>
              </w:rPr>
            </w:pPr>
            <w:r w:rsidRPr="00872D11">
              <w:rPr>
                <w:bCs/>
                <w:snapToGrid w:val="0"/>
              </w:rPr>
              <w:t>Derived in ADAR</w:t>
            </w:r>
          </w:p>
          <w:p w14:paraId="02FBB373" w14:textId="452D70C6" w:rsidR="00297006" w:rsidRPr="00872D11" w:rsidRDefault="00297006" w:rsidP="005D77C0">
            <w:pPr>
              <w:pStyle w:val="Tabletext"/>
              <w:jc w:val="center"/>
              <w:rPr>
                <w:bCs/>
                <w:snapToGrid w:val="0"/>
              </w:rPr>
            </w:pPr>
            <w:r>
              <w:rPr>
                <w:bCs/>
                <w:snapToGrid w:val="0"/>
              </w:rPr>
              <w:t xml:space="preserve">n </w:t>
            </w:r>
            <w:r w:rsidR="007725FF">
              <w:rPr>
                <w:bCs/>
                <w:snapToGrid w:val="0"/>
              </w:rPr>
              <w:t>(</w:t>
            </w:r>
            <w:r>
              <w:rPr>
                <w:bCs/>
                <w:snapToGrid w:val="0"/>
              </w:rPr>
              <w:t>95% CI</w:t>
            </w:r>
            <w:r w:rsidR="007725FF">
              <w:rPr>
                <w:bCs/>
                <w:snapToGrid w:val="0"/>
              </w:rPr>
              <w:t>)</w:t>
            </w:r>
          </w:p>
        </w:tc>
        <w:tc>
          <w:tcPr>
            <w:tcW w:w="1017" w:type="pct"/>
            <w:shd w:val="clear" w:color="auto" w:fill="F2F2F2" w:themeFill="background1" w:themeFillShade="F2"/>
          </w:tcPr>
          <w:p w14:paraId="0D1FEA91" w14:textId="4DDFA3BE" w:rsidR="00297006" w:rsidRPr="00FC542B" w:rsidRDefault="00297006" w:rsidP="005D77C0">
            <w:pPr>
              <w:pStyle w:val="Tabletext"/>
              <w:jc w:val="center"/>
              <w:rPr>
                <w:bCs/>
                <w:snapToGrid w:val="0"/>
              </w:rPr>
            </w:pPr>
            <w:proofErr w:type="spellStart"/>
            <w:r w:rsidRPr="00FC542B">
              <w:rPr>
                <w:bCs/>
                <w:snapToGrid w:val="0"/>
              </w:rPr>
              <w:t>proPSMA</w:t>
            </w:r>
            <w:proofErr w:type="spellEnd"/>
            <w:r w:rsidRPr="00FC542B">
              <w:rPr>
                <w:bCs/>
                <w:snapToGrid w:val="0"/>
              </w:rPr>
              <w:t xml:space="preserve"> RCT data</w:t>
            </w:r>
          </w:p>
          <w:p w14:paraId="1C768177" w14:textId="68B7D6BB" w:rsidR="00297006" w:rsidRPr="00FC542B" w:rsidRDefault="00297006" w:rsidP="005D77C0">
            <w:pPr>
              <w:pStyle w:val="Tabletext"/>
              <w:jc w:val="center"/>
              <w:rPr>
                <w:bCs/>
                <w:snapToGrid w:val="0"/>
              </w:rPr>
            </w:pPr>
            <w:r w:rsidRPr="00FC542B">
              <w:rPr>
                <w:bCs/>
                <w:snapToGrid w:val="0"/>
              </w:rPr>
              <w:t>n</w:t>
            </w:r>
            <w:r w:rsidR="00621EC6" w:rsidRPr="00FC542B">
              <w:rPr>
                <w:bCs/>
                <w:snapToGrid w:val="0"/>
              </w:rPr>
              <w:t xml:space="preserve"> (number of patients</w:t>
            </w:r>
            <w:r w:rsidRPr="00FC542B">
              <w:rPr>
                <w:bCs/>
                <w:snapToGrid w:val="0"/>
              </w:rPr>
              <w:t>)</w:t>
            </w:r>
          </w:p>
        </w:tc>
        <w:tc>
          <w:tcPr>
            <w:tcW w:w="860" w:type="pct"/>
            <w:shd w:val="clear" w:color="auto" w:fill="F2F2F2" w:themeFill="background1" w:themeFillShade="F2"/>
          </w:tcPr>
          <w:p w14:paraId="095172F6" w14:textId="17997CD4" w:rsidR="00297006" w:rsidRDefault="00297006" w:rsidP="005D77C0">
            <w:pPr>
              <w:pStyle w:val="Tabletext"/>
              <w:jc w:val="center"/>
              <w:rPr>
                <w:bCs/>
                <w:snapToGrid w:val="0"/>
              </w:rPr>
            </w:pPr>
            <w:r w:rsidRPr="00872D11">
              <w:rPr>
                <w:bCs/>
                <w:snapToGrid w:val="0"/>
              </w:rPr>
              <w:t>Derived in ADAR</w:t>
            </w:r>
          </w:p>
          <w:p w14:paraId="14B40F90" w14:textId="517F503E" w:rsidR="00297006" w:rsidRPr="00872D11" w:rsidRDefault="00297006" w:rsidP="005D77C0">
            <w:pPr>
              <w:pStyle w:val="Tabletext"/>
              <w:jc w:val="center"/>
              <w:rPr>
                <w:bCs/>
                <w:snapToGrid w:val="0"/>
              </w:rPr>
            </w:pPr>
            <w:r>
              <w:rPr>
                <w:bCs/>
                <w:snapToGrid w:val="0"/>
              </w:rPr>
              <w:t xml:space="preserve">n </w:t>
            </w:r>
            <w:r w:rsidR="005D77C0">
              <w:rPr>
                <w:bCs/>
                <w:snapToGrid w:val="0"/>
              </w:rPr>
              <w:t>(</w:t>
            </w:r>
            <w:r>
              <w:rPr>
                <w:bCs/>
                <w:snapToGrid w:val="0"/>
              </w:rPr>
              <w:t>95% CI</w:t>
            </w:r>
            <w:r w:rsidR="007725FF">
              <w:rPr>
                <w:bCs/>
                <w:snapToGrid w:val="0"/>
              </w:rPr>
              <w:t>)</w:t>
            </w:r>
          </w:p>
        </w:tc>
        <w:tc>
          <w:tcPr>
            <w:tcW w:w="1016" w:type="pct"/>
            <w:shd w:val="clear" w:color="auto" w:fill="F2F2F2" w:themeFill="background1" w:themeFillShade="F2"/>
          </w:tcPr>
          <w:p w14:paraId="0BF644DE" w14:textId="77777777" w:rsidR="005D77C0" w:rsidRPr="00FC542B" w:rsidRDefault="00297006" w:rsidP="00621EC6">
            <w:pPr>
              <w:pStyle w:val="Tabletext"/>
              <w:ind w:left="-110"/>
              <w:jc w:val="center"/>
              <w:rPr>
                <w:bCs/>
                <w:snapToGrid w:val="0"/>
              </w:rPr>
            </w:pPr>
            <w:proofErr w:type="spellStart"/>
            <w:r w:rsidRPr="00FC542B">
              <w:rPr>
                <w:bCs/>
                <w:snapToGrid w:val="0"/>
              </w:rPr>
              <w:t>proPSMA</w:t>
            </w:r>
            <w:proofErr w:type="spellEnd"/>
            <w:r w:rsidRPr="00FC542B">
              <w:rPr>
                <w:bCs/>
                <w:snapToGrid w:val="0"/>
              </w:rPr>
              <w:t xml:space="preserve"> RCT data</w:t>
            </w:r>
          </w:p>
          <w:p w14:paraId="718B573C" w14:textId="057CDFF9" w:rsidR="00297006" w:rsidRPr="00FC542B" w:rsidRDefault="00621EC6" w:rsidP="00621EC6">
            <w:pPr>
              <w:pStyle w:val="Tabletext"/>
              <w:ind w:left="-110"/>
              <w:jc w:val="center"/>
              <w:rPr>
                <w:bCs/>
                <w:snapToGrid w:val="0"/>
              </w:rPr>
            </w:pPr>
            <w:r w:rsidRPr="00FC542B">
              <w:rPr>
                <w:bCs/>
                <w:snapToGrid w:val="0"/>
              </w:rPr>
              <w:t xml:space="preserve">n </w:t>
            </w:r>
            <w:r w:rsidR="00297006" w:rsidRPr="00FC542B">
              <w:rPr>
                <w:bCs/>
                <w:snapToGrid w:val="0"/>
              </w:rPr>
              <w:t>(n</w:t>
            </w:r>
            <w:r w:rsidRPr="00FC542B">
              <w:rPr>
                <w:bCs/>
                <w:snapToGrid w:val="0"/>
              </w:rPr>
              <w:t>umber of patients</w:t>
            </w:r>
            <w:r w:rsidR="00297006" w:rsidRPr="00FC542B">
              <w:rPr>
                <w:bCs/>
                <w:snapToGrid w:val="0"/>
              </w:rPr>
              <w:t>)</w:t>
            </w:r>
          </w:p>
        </w:tc>
      </w:tr>
      <w:tr w:rsidR="00297006" w14:paraId="76608F67" w14:textId="77777777" w:rsidTr="00621EC6">
        <w:trPr>
          <w:cantSplit/>
        </w:trPr>
        <w:tc>
          <w:tcPr>
            <w:tcW w:w="1247" w:type="pct"/>
          </w:tcPr>
          <w:p w14:paraId="20E82EC9" w14:textId="7EDD70FE" w:rsidR="00297006" w:rsidRPr="002D0E9A" w:rsidRDefault="00297006" w:rsidP="00A16E54">
            <w:pPr>
              <w:pStyle w:val="Tabletext"/>
            </w:pPr>
            <w:r>
              <w:t>TP</w:t>
            </w:r>
            <w:r w:rsidR="005D77C0">
              <w:t xml:space="preserve"> per 100 patients tested</w:t>
            </w:r>
          </w:p>
        </w:tc>
        <w:tc>
          <w:tcPr>
            <w:tcW w:w="860" w:type="pct"/>
          </w:tcPr>
          <w:p w14:paraId="06579D67" w14:textId="52988B50" w:rsidR="00297006" w:rsidRPr="00150B69" w:rsidRDefault="00297006" w:rsidP="005D77C0">
            <w:pPr>
              <w:pStyle w:val="Tabletext"/>
              <w:jc w:val="center"/>
            </w:pPr>
            <w:r w:rsidRPr="00150B69">
              <w:t xml:space="preserve">25 </w:t>
            </w:r>
            <w:r w:rsidR="007725FF">
              <w:t>(</w:t>
            </w:r>
            <w:r w:rsidRPr="00150B69">
              <w:t>22, 28</w:t>
            </w:r>
            <w:r w:rsidR="007725FF">
              <w:t>)</w:t>
            </w:r>
          </w:p>
        </w:tc>
        <w:tc>
          <w:tcPr>
            <w:tcW w:w="1017" w:type="pct"/>
          </w:tcPr>
          <w:p w14:paraId="6A3E3DB9" w14:textId="4BA8D61B" w:rsidR="00297006" w:rsidRPr="00FC542B" w:rsidRDefault="00297006" w:rsidP="005D77C0">
            <w:pPr>
              <w:pStyle w:val="Tabletext"/>
              <w:jc w:val="center"/>
            </w:pPr>
            <w:r w:rsidRPr="00FC542B">
              <w:t>23.4 (34)</w:t>
            </w:r>
          </w:p>
        </w:tc>
        <w:tc>
          <w:tcPr>
            <w:tcW w:w="860" w:type="pct"/>
          </w:tcPr>
          <w:p w14:paraId="70D2E315" w14:textId="0FCD811C" w:rsidR="00297006" w:rsidRPr="004A196F" w:rsidRDefault="00297006" w:rsidP="005D77C0">
            <w:pPr>
              <w:pStyle w:val="Tabletext"/>
              <w:jc w:val="center"/>
            </w:pPr>
            <w:r>
              <w:t>11</w:t>
            </w:r>
            <w:r w:rsidRPr="00150B69">
              <w:t xml:space="preserve"> </w:t>
            </w:r>
            <w:r w:rsidR="005D77C0">
              <w:t>(</w:t>
            </w:r>
            <w:r>
              <w:t>7, 15</w:t>
            </w:r>
            <w:r w:rsidR="007725FF">
              <w:t>)</w:t>
            </w:r>
          </w:p>
        </w:tc>
        <w:tc>
          <w:tcPr>
            <w:tcW w:w="1016" w:type="pct"/>
          </w:tcPr>
          <w:p w14:paraId="655E86A7" w14:textId="1D930E74" w:rsidR="00297006" w:rsidRPr="00FC542B" w:rsidRDefault="00297006" w:rsidP="005D77C0">
            <w:pPr>
              <w:pStyle w:val="Tabletext"/>
              <w:jc w:val="center"/>
            </w:pPr>
            <w:r w:rsidRPr="00FC542B">
              <w:t>12.0 (18)</w:t>
            </w:r>
          </w:p>
        </w:tc>
      </w:tr>
      <w:tr w:rsidR="00297006" w14:paraId="261B93BD" w14:textId="77777777" w:rsidTr="00621EC6">
        <w:trPr>
          <w:cantSplit/>
        </w:trPr>
        <w:tc>
          <w:tcPr>
            <w:tcW w:w="1247" w:type="pct"/>
          </w:tcPr>
          <w:p w14:paraId="716A6158" w14:textId="717CF543" w:rsidR="00297006" w:rsidRPr="002D0E9A" w:rsidRDefault="00297006" w:rsidP="00A16E54">
            <w:pPr>
              <w:pStyle w:val="Tabletext"/>
            </w:pPr>
            <w:r>
              <w:t>TN</w:t>
            </w:r>
            <w:r w:rsidR="005D77C0">
              <w:t xml:space="preserve"> per 100 patients tested</w:t>
            </w:r>
          </w:p>
        </w:tc>
        <w:tc>
          <w:tcPr>
            <w:tcW w:w="860" w:type="pct"/>
          </w:tcPr>
          <w:p w14:paraId="192561C9" w14:textId="048151CC" w:rsidR="00297006" w:rsidRPr="004A196F" w:rsidRDefault="00297006" w:rsidP="005D77C0">
            <w:pPr>
              <w:pStyle w:val="Tabletext"/>
              <w:jc w:val="center"/>
            </w:pPr>
            <w:r>
              <w:t>69</w:t>
            </w:r>
            <w:r w:rsidRPr="00150B69">
              <w:t xml:space="preserve"> </w:t>
            </w:r>
            <w:r w:rsidR="007725FF">
              <w:t>(</w:t>
            </w:r>
            <w:r>
              <w:t>67, 71</w:t>
            </w:r>
            <w:r w:rsidR="007725FF">
              <w:t>)</w:t>
            </w:r>
          </w:p>
        </w:tc>
        <w:tc>
          <w:tcPr>
            <w:tcW w:w="1017" w:type="pct"/>
          </w:tcPr>
          <w:p w14:paraId="4A251663" w14:textId="272AA3E0" w:rsidR="00297006" w:rsidRPr="00FC542B" w:rsidRDefault="00297006" w:rsidP="005D77C0">
            <w:pPr>
              <w:pStyle w:val="Tabletext"/>
              <w:jc w:val="center"/>
            </w:pPr>
            <w:r w:rsidRPr="00FC542B">
              <w:t>71.0 (103)</w:t>
            </w:r>
          </w:p>
        </w:tc>
        <w:tc>
          <w:tcPr>
            <w:tcW w:w="860" w:type="pct"/>
          </w:tcPr>
          <w:p w14:paraId="0BD8C0EA" w14:textId="6BED5C5D" w:rsidR="00297006" w:rsidRPr="004A196F" w:rsidRDefault="00297006" w:rsidP="005D77C0">
            <w:pPr>
              <w:pStyle w:val="Tabletext"/>
              <w:jc w:val="center"/>
            </w:pPr>
            <w:r>
              <w:t>64</w:t>
            </w:r>
            <w:r w:rsidRPr="00150B69">
              <w:t xml:space="preserve"> </w:t>
            </w:r>
            <w:r w:rsidR="007725FF">
              <w:t>(</w:t>
            </w:r>
            <w:r>
              <w:t>60, 68</w:t>
            </w:r>
            <w:r w:rsidR="007725FF">
              <w:t>)</w:t>
            </w:r>
          </w:p>
        </w:tc>
        <w:tc>
          <w:tcPr>
            <w:tcW w:w="1016" w:type="pct"/>
          </w:tcPr>
          <w:p w14:paraId="156D8888" w14:textId="2D9E3954" w:rsidR="00297006" w:rsidRPr="00FC542B" w:rsidRDefault="00297006" w:rsidP="005D77C0">
            <w:pPr>
              <w:pStyle w:val="Tabletext"/>
              <w:jc w:val="center"/>
            </w:pPr>
            <w:r w:rsidRPr="00FC542B">
              <w:t>62.7 (94)</w:t>
            </w:r>
          </w:p>
        </w:tc>
      </w:tr>
      <w:tr w:rsidR="00297006" w14:paraId="571CE06D" w14:textId="77777777" w:rsidTr="00621EC6">
        <w:trPr>
          <w:cantSplit/>
        </w:trPr>
        <w:tc>
          <w:tcPr>
            <w:tcW w:w="1247" w:type="pct"/>
          </w:tcPr>
          <w:p w14:paraId="0AFF7455" w14:textId="61D9FCB4" w:rsidR="00297006" w:rsidRPr="002D0E9A" w:rsidRDefault="00297006" w:rsidP="00A16E54">
            <w:pPr>
              <w:pStyle w:val="Tabletext"/>
            </w:pPr>
            <w:r>
              <w:t>FP</w:t>
            </w:r>
            <w:r w:rsidR="005D77C0">
              <w:t xml:space="preserve"> per 100 patients tested</w:t>
            </w:r>
          </w:p>
        </w:tc>
        <w:tc>
          <w:tcPr>
            <w:tcW w:w="860" w:type="pct"/>
          </w:tcPr>
          <w:p w14:paraId="051E9CFA" w14:textId="328DDCB2" w:rsidR="00297006" w:rsidRPr="004A196F" w:rsidRDefault="00297006" w:rsidP="005D77C0">
            <w:pPr>
              <w:pStyle w:val="Tabletext"/>
              <w:jc w:val="center"/>
            </w:pPr>
            <w:r>
              <w:t>2</w:t>
            </w:r>
            <w:r w:rsidRPr="00150B69">
              <w:t xml:space="preserve"> </w:t>
            </w:r>
            <w:r w:rsidR="007725FF">
              <w:t>(</w:t>
            </w:r>
            <w:r>
              <w:t>1, 4</w:t>
            </w:r>
            <w:r w:rsidR="007725FF">
              <w:t>)</w:t>
            </w:r>
          </w:p>
        </w:tc>
        <w:tc>
          <w:tcPr>
            <w:tcW w:w="1017" w:type="pct"/>
          </w:tcPr>
          <w:p w14:paraId="0278C9DD" w14:textId="29DD8897" w:rsidR="00297006" w:rsidRPr="00FC542B" w:rsidRDefault="00297006" w:rsidP="005D77C0">
            <w:pPr>
              <w:pStyle w:val="Tabletext"/>
              <w:jc w:val="center"/>
            </w:pPr>
            <w:r w:rsidRPr="00FC542B">
              <w:t>1.4 (2)</w:t>
            </w:r>
          </w:p>
        </w:tc>
        <w:tc>
          <w:tcPr>
            <w:tcW w:w="860" w:type="pct"/>
          </w:tcPr>
          <w:p w14:paraId="6EE4C8BF" w14:textId="1ECE483E" w:rsidR="00297006" w:rsidRPr="004A196F" w:rsidRDefault="00297006" w:rsidP="005D77C0">
            <w:pPr>
              <w:pStyle w:val="Tabletext"/>
              <w:jc w:val="center"/>
            </w:pPr>
            <w:r>
              <w:t>7</w:t>
            </w:r>
            <w:r w:rsidRPr="00150B69">
              <w:t xml:space="preserve"> </w:t>
            </w:r>
            <w:r w:rsidR="007725FF">
              <w:t>(</w:t>
            </w:r>
            <w:r>
              <w:t>3, 11</w:t>
            </w:r>
            <w:r w:rsidR="007725FF">
              <w:t>)</w:t>
            </w:r>
          </w:p>
        </w:tc>
        <w:tc>
          <w:tcPr>
            <w:tcW w:w="1016" w:type="pct"/>
          </w:tcPr>
          <w:p w14:paraId="59F640B2" w14:textId="2A0A2668" w:rsidR="00297006" w:rsidRPr="00FC542B" w:rsidRDefault="00297006" w:rsidP="005D77C0">
            <w:pPr>
              <w:pStyle w:val="Tabletext"/>
              <w:jc w:val="center"/>
            </w:pPr>
            <w:r w:rsidRPr="00FC542B">
              <w:t>6.0 (9)</w:t>
            </w:r>
          </w:p>
        </w:tc>
      </w:tr>
      <w:tr w:rsidR="00297006" w14:paraId="55FBF049" w14:textId="77777777" w:rsidTr="00621EC6">
        <w:trPr>
          <w:cantSplit/>
        </w:trPr>
        <w:tc>
          <w:tcPr>
            <w:tcW w:w="1247" w:type="pct"/>
          </w:tcPr>
          <w:p w14:paraId="09DAA7CB" w14:textId="02C07EDA" w:rsidR="00297006" w:rsidRPr="002D0E9A" w:rsidRDefault="00297006" w:rsidP="00A16E54">
            <w:pPr>
              <w:pStyle w:val="Tabletext"/>
            </w:pPr>
            <w:r>
              <w:t>FN</w:t>
            </w:r>
            <w:r w:rsidR="005D77C0">
              <w:t xml:space="preserve"> per 100 patients tested</w:t>
            </w:r>
          </w:p>
        </w:tc>
        <w:tc>
          <w:tcPr>
            <w:tcW w:w="860" w:type="pct"/>
          </w:tcPr>
          <w:p w14:paraId="2463C355" w14:textId="1EFE49DB" w:rsidR="00297006" w:rsidRPr="004A196F" w:rsidRDefault="00297006" w:rsidP="005D77C0">
            <w:pPr>
              <w:pStyle w:val="Tabletext"/>
              <w:jc w:val="center"/>
            </w:pPr>
            <w:r>
              <w:t>5</w:t>
            </w:r>
            <w:r w:rsidRPr="00150B69">
              <w:t xml:space="preserve"> </w:t>
            </w:r>
            <w:r w:rsidR="007725FF">
              <w:t>(</w:t>
            </w:r>
            <w:r>
              <w:t>2, 8</w:t>
            </w:r>
            <w:r w:rsidR="007725FF">
              <w:t>)</w:t>
            </w:r>
          </w:p>
        </w:tc>
        <w:tc>
          <w:tcPr>
            <w:tcW w:w="1017" w:type="pct"/>
          </w:tcPr>
          <w:p w14:paraId="22494A47" w14:textId="32CDD5E2" w:rsidR="00297006" w:rsidRPr="00FC542B" w:rsidRDefault="00297006" w:rsidP="005D77C0">
            <w:pPr>
              <w:pStyle w:val="Tabletext"/>
              <w:jc w:val="center"/>
            </w:pPr>
            <w:r w:rsidRPr="00FC542B">
              <w:t>4.1 (6)</w:t>
            </w:r>
          </w:p>
        </w:tc>
        <w:tc>
          <w:tcPr>
            <w:tcW w:w="860" w:type="pct"/>
          </w:tcPr>
          <w:p w14:paraId="70B35AAF" w14:textId="4FA5CCA2" w:rsidR="00297006" w:rsidRPr="004A196F" w:rsidRDefault="00297006" w:rsidP="005D77C0">
            <w:pPr>
              <w:pStyle w:val="Tabletext"/>
              <w:jc w:val="center"/>
            </w:pPr>
            <w:r>
              <w:t>19</w:t>
            </w:r>
            <w:r w:rsidRPr="00150B69">
              <w:t xml:space="preserve"> </w:t>
            </w:r>
            <w:r w:rsidR="007725FF">
              <w:t>(</w:t>
            </w:r>
            <w:r>
              <w:t>15, 23</w:t>
            </w:r>
            <w:r w:rsidR="007725FF">
              <w:t>)</w:t>
            </w:r>
          </w:p>
        </w:tc>
        <w:tc>
          <w:tcPr>
            <w:tcW w:w="1016" w:type="pct"/>
          </w:tcPr>
          <w:p w14:paraId="2BAAE40F" w14:textId="627023EB" w:rsidR="00297006" w:rsidRPr="00FC542B" w:rsidRDefault="00297006" w:rsidP="005D77C0">
            <w:pPr>
              <w:pStyle w:val="Tabletext"/>
              <w:jc w:val="center"/>
            </w:pPr>
            <w:r w:rsidRPr="00FC542B">
              <w:t>19.3 (29)</w:t>
            </w:r>
          </w:p>
        </w:tc>
      </w:tr>
      <w:tr w:rsidR="00297006" w14:paraId="3CE95ACD" w14:textId="77777777" w:rsidTr="00621EC6">
        <w:trPr>
          <w:cantSplit/>
        </w:trPr>
        <w:tc>
          <w:tcPr>
            <w:tcW w:w="1247" w:type="pct"/>
          </w:tcPr>
          <w:p w14:paraId="3D3DFC62" w14:textId="77777777" w:rsidR="00297006" w:rsidRDefault="00297006" w:rsidP="00A16E54">
            <w:pPr>
              <w:pStyle w:val="Tabletext"/>
            </w:pPr>
          </w:p>
        </w:tc>
        <w:tc>
          <w:tcPr>
            <w:tcW w:w="860" w:type="pct"/>
          </w:tcPr>
          <w:p w14:paraId="0E08099B" w14:textId="77777777" w:rsidR="00297006" w:rsidRDefault="00297006" w:rsidP="005D77C0">
            <w:pPr>
              <w:pStyle w:val="Tabletext"/>
              <w:jc w:val="center"/>
            </w:pPr>
          </w:p>
        </w:tc>
        <w:tc>
          <w:tcPr>
            <w:tcW w:w="1017" w:type="pct"/>
          </w:tcPr>
          <w:p w14:paraId="65653627" w14:textId="2CDB0E7E" w:rsidR="00297006" w:rsidRPr="00FC542B" w:rsidRDefault="00FC542B" w:rsidP="005D77C0">
            <w:pPr>
              <w:pStyle w:val="Tabletext"/>
              <w:jc w:val="center"/>
            </w:pPr>
            <w:r w:rsidRPr="00FC542B">
              <w:t>Total patients</w:t>
            </w:r>
            <w:r w:rsidR="00297006" w:rsidRPr="00FC542B">
              <w:t xml:space="preserve"> = 145</w:t>
            </w:r>
          </w:p>
        </w:tc>
        <w:tc>
          <w:tcPr>
            <w:tcW w:w="860" w:type="pct"/>
          </w:tcPr>
          <w:p w14:paraId="76DB74DE" w14:textId="77777777" w:rsidR="00297006" w:rsidRDefault="00297006" w:rsidP="005D77C0">
            <w:pPr>
              <w:pStyle w:val="Tabletext"/>
              <w:jc w:val="center"/>
            </w:pPr>
          </w:p>
        </w:tc>
        <w:tc>
          <w:tcPr>
            <w:tcW w:w="1016" w:type="pct"/>
          </w:tcPr>
          <w:p w14:paraId="5C1F6EC5" w14:textId="6EF70434" w:rsidR="00297006" w:rsidRPr="00FC542B" w:rsidRDefault="00FC542B" w:rsidP="005D77C0">
            <w:pPr>
              <w:pStyle w:val="Tabletext"/>
              <w:jc w:val="center"/>
            </w:pPr>
            <w:r w:rsidRPr="00FC542B">
              <w:t>Total patients</w:t>
            </w:r>
            <w:r w:rsidR="00297006" w:rsidRPr="00FC542B">
              <w:t xml:space="preserve"> = 150</w:t>
            </w:r>
          </w:p>
        </w:tc>
      </w:tr>
    </w:tbl>
    <w:p w14:paraId="5F4D3F24" w14:textId="46AD5CF4" w:rsidR="00297006" w:rsidRPr="00EB3C66" w:rsidRDefault="00297006" w:rsidP="006F02E2">
      <w:pPr>
        <w:pStyle w:val="Tablenotes"/>
      </w:pPr>
      <w:r w:rsidRPr="00856EDD">
        <w:rPr>
          <w:b/>
          <w:bCs/>
        </w:rPr>
        <w:t>Abbreviations</w:t>
      </w:r>
      <w:r>
        <w:t xml:space="preserve">: CVI = conventional imaging; FN = false negative; FP = false positive; LN = lymph node; PET/CT = positron emission tomography/computed tomography; PLND = pelvic lymph node dissection; PSMA = prostate-specific membrane </w:t>
      </w:r>
      <w:r w:rsidRPr="00EB3C66">
        <w:t>antigen; TN = true negative; TP = true positive</w:t>
      </w:r>
    </w:p>
    <w:p w14:paraId="317C2BA9" w14:textId="40F2EE9B" w:rsidR="00297006" w:rsidRPr="00200C07" w:rsidRDefault="00297006" w:rsidP="006F02E2">
      <w:pPr>
        <w:pStyle w:val="Tablenotes"/>
        <w:rPr>
          <w:b/>
        </w:rPr>
      </w:pPr>
      <w:r w:rsidRPr="00EB3C66">
        <w:rPr>
          <w:b/>
        </w:rPr>
        <w:t>Source</w:t>
      </w:r>
      <w:r w:rsidRPr="00EB3C66">
        <w:t xml:space="preserve">: Compiled for the Commentary based on outcomes presented in Table B.22, p.132 of the ADAR and data from </w:t>
      </w:r>
      <w:proofErr w:type="spellStart"/>
      <w:r w:rsidRPr="00EB3C66">
        <w:t>proPSMA</w:t>
      </w:r>
      <w:proofErr w:type="spellEnd"/>
      <w:r w:rsidRPr="00EB3C66">
        <w:t xml:space="preserve"> RCT </w:t>
      </w:r>
      <w:r>
        <w:fldChar w:fldCharType="begin">
          <w:fldData xml:space="preserve">PEVuZE5vdGU+PENpdGU+PEF1dGhvcj5Ib2ZtYW48L0F1dGhvcj48WWVhcj4yMDIwPC9ZZWFyPjxS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</w:fldData>
        </w:fldChar>
      </w:r>
      <w:r>
        <w:instrText xml:space="preserve"> ADDIN EN.CITE </w:instrText>
      </w:r>
      <w:r>
        <w:fldChar w:fldCharType="begin">
          <w:fldData xml:space="preserve">PEVuZE5vdGU+PENpdGU+PEF1dGhvcj5Ib2ZtYW48L0F1dGhvcj48WWVhcj4yMDIwPC9ZZWFyPjxS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</w:fldData>
        </w:fldChar>
      </w:r>
      <w:r>
        <w:instrText xml:space="preserve"> ADDIN EN.CITE.DATA </w:instrText>
      </w:r>
      <w:r>
        <w:fldChar w:fldCharType="end"/>
      </w:r>
      <w:r>
        <w:fldChar w:fldCharType="separate"/>
      </w:r>
      <w:r>
        <w:rPr>
          <w:noProof/>
        </w:rPr>
        <w:t>(</w:t>
      </w:r>
      <w:hyperlink w:anchor="_ENREF_50" w:tooltip="Hofman, 2020 #17" w:history="1">
        <w:r>
          <w:rPr>
            <w:noProof/>
          </w:rPr>
          <w:t>Hofman et al., 2020</w:t>
        </w:r>
      </w:hyperlink>
      <w:r>
        <w:rPr>
          <w:noProof/>
        </w:rPr>
        <w:t>)</w:t>
      </w:r>
      <w:r>
        <w:fldChar w:fldCharType="end"/>
      </w:r>
      <w:r w:rsidR="008943B4">
        <w:t xml:space="preserve"> [Table 8, p13 of the Commentary]</w:t>
      </w:r>
    </w:p>
    <w:p w14:paraId="03A3B53C" w14:textId="2386A84F" w:rsidR="00297006" w:rsidRPr="00C81BBB" w:rsidRDefault="00297006" w:rsidP="003E0C21">
      <w:pPr>
        <w:spacing w:before="240"/>
      </w:pPr>
      <w:r>
        <w:t xml:space="preserve">The </w:t>
      </w:r>
      <w:r w:rsidR="007725FF">
        <w:t>C</w:t>
      </w:r>
      <w:r>
        <w:t xml:space="preserve">ommentary considered that the reliable identification of distant metastases (DM) </w:t>
      </w:r>
      <w:r w:rsidR="00FC542B">
        <w:t>wa</w:t>
      </w:r>
      <w:r>
        <w:t>s important because l</w:t>
      </w:r>
      <w:r w:rsidRPr="009659AC">
        <w:t xml:space="preserve">ocal radical therapy cannot achieve cure in the presence of </w:t>
      </w:r>
      <w:r>
        <w:t>DM</w:t>
      </w:r>
      <w:r w:rsidRPr="009659AC">
        <w:t xml:space="preserve"> and may instead expose patients to treatment-related adverse effects without any therapeutic benefit </w:t>
      </w:r>
      <w:r w:rsidRPr="009659AC">
        <w:fldChar w:fldCharType="begin">
          <w:fldData xml:space="preserve">PEVuZE5vdGU+PENpdGU+PEF1dGhvcj5BbnR0aW5lbjwvQXV0aG9yPjxZZWFyPjIwMjA8L1llYXI+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</w:fldData>
        </w:fldChar>
      </w:r>
      <w:r w:rsidRPr="009659AC">
        <w:instrText xml:space="preserve"> ADDIN EN.CITE </w:instrText>
      </w:r>
      <w:r w:rsidRPr="009659AC">
        <w:fldChar w:fldCharType="begin">
          <w:fldData xml:space="preserve">PEVuZE5vdGU+PENpdGU+PEF1dGhvcj5BbnR0aW5lbjwvQXV0aG9yPjxZZWFyPjIwMjA8L1llYXI+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</w:fldData>
        </w:fldChar>
      </w:r>
      <w:r w:rsidRPr="009659AC">
        <w:instrText xml:space="preserve"> ADDIN EN.CITE.DATA </w:instrText>
      </w:r>
      <w:r w:rsidRPr="009659AC">
        <w:fldChar w:fldCharType="end"/>
      </w:r>
      <w:r w:rsidRPr="009659AC">
        <w:fldChar w:fldCharType="separate"/>
      </w:r>
      <w:r w:rsidRPr="009659AC">
        <w:rPr>
          <w:noProof/>
        </w:rPr>
        <w:t>(</w:t>
      </w:r>
      <w:hyperlink w:anchor="_ENREF_2" w:tooltip="Anttinen, 2020 #70" w:history="1">
        <w:r w:rsidRPr="009659AC">
          <w:rPr>
            <w:noProof/>
          </w:rPr>
          <w:t>Anttinen et al., 2020</w:t>
        </w:r>
      </w:hyperlink>
      <w:r>
        <w:rPr>
          <w:rStyle w:val="FootnoteReference"/>
          <w:noProof/>
        </w:rPr>
        <w:footnoteReference w:id="13"/>
      </w:r>
      <w:r w:rsidRPr="009659AC">
        <w:rPr>
          <w:noProof/>
        </w:rPr>
        <w:t>)</w:t>
      </w:r>
      <w:r w:rsidRPr="009659AC">
        <w:fldChar w:fldCharType="end"/>
      </w:r>
      <w:r w:rsidRPr="009659AC">
        <w:t>.</w:t>
      </w:r>
      <w:r>
        <w:t xml:space="preserve"> The</w:t>
      </w:r>
      <w:r w:rsidR="003B088B">
        <w:t xml:space="preserve"> </w:t>
      </w:r>
      <w:r w:rsidR="007725FF">
        <w:t>C</w:t>
      </w:r>
      <w:r w:rsidR="003B088B">
        <w:t>ommentary considered that the</w:t>
      </w:r>
      <w:r>
        <w:t xml:space="preserve"> increase in TP findings on PSMA PET/CT (vs</w:t>
      </w:r>
      <w:r w:rsidR="003B088B">
        <w:t>.</w:t>
      </w:r>
      <w:r>
        <w:t xml:space="preserve"> CVI) </w:t>
      </w:r>
      <w:r w:rsidR="00FC542B">
        <w:t>wa</w:t>
      </w:r>
      <w:r>
        <w:t>s clinical</w:t>
      </w:r>
      <w:r w:rsidR="00FC542B">
        <w:t>ly</w:t>
      </w:r>
      <w:r>
        <w:t xml:space="preserve"> significan</w:t>
      </w:r>
      <w:r w:rsidR="00FC542B">
        <w:t>t</w:t>
      </w:r>
      <w:r>
        <w:t>.</w:t>
      </w:r>
    </w:p>
    <w:p w14:paraId="79BD1615" w14:textId="6D5F452E" w:rsidR="003B2D05" w:rsidRDefault="003E585F" w:rsidP="003E0C21">
      <w:pPr>
        <w:pStyle w:val="Heading3"/>
        <w:spacing w:before="240"/>
      </w:pPr>
      <w:r>
        <w:t>Restaging</w:t>
      </w:r>
    </w:p>
    <w:p w14:paraId="2B9D3BA1" w14:textId="0A57FE0A" w:rsidR="00297006" w:rsidRDefault="00297006" w:rsidP="00297006">
      <w:pPr>
        <w:keepNext/>
      </w:pPr>
      <w:r>
        <w:t>Ten key studies were included to inform diagnostic accuracy and clinical validity outcomes</w:t>
      </w:r>
      <w:r w:rsidR="00322029">
        <w:t xml:space="preserve"> </w:t>
      </w:r>
      <w:r w:rsidR="003B088B">
        <w:t xml:space="preserve">(PPV, NPV and accuracy) </w:t>
      </w:r>
      <w:r>
        <w:t xml:space="preserve">for </w:t>
      </w:r>
      <w:r w:rsidR="003E585F">
        <w:t>restaging</w:t>
      </w:r>
      <w:r>
        <w:t>.</w:t>
      </w:r>
    </w:p>
    <w:p w14:paraId="685B0399" w14:textId="1D1470EE" w:rsidR="00803103" w:rsidRPr="00323676" w:rsidRDefault="00323676" w:rsidP="003E0C21">
      <w:pPr>
        <w:spacing w:before="240"/>
      </w:pPr>
      <w:r>
        <w:t xml:space="preserve">The </w:t>
      </w:r>
      <w:r w:rsidR="00365211">
        <w:t>ADAR</w:t>
      </w:r>
      <w:r>
        <w:t xml:space="preserve"> utilised pooled sensitivity and specificity results and a pre-test probability of 98.9% </w:t>
      </w:r>
      <w:r w:rsidRPr="00FD66DB">
        <w:rPr>
          <w:iCs/>
        </w:rPr>
        <w:t xml:space="preserve">(corrected to 88.8% in the </w:t>
      </w:r>
      <w:r w:rsidR="007725FF" w:rsidRPr="00FD66DB">
        <w:rPr>
          <w:iCs/>
        </w:rPr>
        <w:t>C</w:t>
      </w:r>
      <w:r w:rsidRPr="00FD66DB">
        <w:rPr>
          <w:iCs/>
        </w:rPr>
        <w:t>ommentary)</w:t>
      </w:r>
      <w:r>
        <w:t xml:space="preserve"> to estimate the expected number of TP, FP, TN and FN findings per 100 </w:t>
      </w:r>
      <w:r w:rsidR="007016F9">
        <w:t>patients</w:t>
      </w:r>
      <w:r>
        <w:t xml:space="preserve"> tested with </w:t>
      </w:r>
      <w:r w:rsidRPr="001A3D14">
        <w:rPr>
          <w:vertAlign w:val="superscript"/>
        </w:rPr>
        <w:t>68</w:t>
      </w:r>
      <w:r w:rsidR="003B088B">
        <w:t>Ga-PSMA-11 PET/CT (Table 8).</w:t>
      </w:r>
    </w:p>
    <w:p w14:paraId="7CE7D8EA" w14:textId="688E2992" w:rsidR="00297006" w:rsidRDefault="00297006" w:rsidP="00297006">
      <w:pPr>
        <w:pStyle w:val="Caption"/>
      </w:pPr>
      <w:bookmarkStart w:id="34" w:name="_Ref71712170"/>
      <w:bookmarkStart w:id="35" w:name="_Toc71729649"/>
      <w:r>
        <w:t xml:space="preserve">Table </w:t>
      </w:r>
      <w:bookmarkEnd w:id="34"/>
      <w:r w:rsidR="00323676">
        <w:t>8</w:t>
      </w:r>
      <w:r>
        <w:tab/>
        <w:t xml:space="preserve">Summary of findings for the FN and FP rates associated with </w:t>
      </w:r>
      <w:r w:rsidRPr="005A04C3">
        <w:rPr>
          <w:vertAlign w:val="superscript"/>
        </w:rPr>
        <w:t>68</w:t>
      </w:r>
      <w:r>
        <w:t>Ga-PSMA PET/CT imaging with assumed pre-test probability of recurrence of 88.8%</w:t>
      </w:r>
      <w:r w:rsidR="009340F2">
        <w:t>:</w:t>
      </w:r>
      <w:r>
        <w:t xml:space="preserve"> </w:t>
      </w:r>
      <w:r w:rsidR="003E585F">
        <w:t>Restaging</w:t>
      </w:r>
      <w:bookmarkEnd w:id="35"/>
    </w:p>
    <w:tbl>
      <w:tblPr>
        <w:tblStyle w:val="TableGrid1"/>
        <w:tblW w:w="5000" w:type="pct"/>
        <w:tblLook w:val="04A0" w:firstRow="1" w:lastRow="0" w:firstColumn="1" w:lastColumn="0" w:noHBand="0" w:noVBand="1"/>
        <w:tblCaption w:val="Summary of findings for the accuracy of PSMA PET/CT relative to the reference standard on a per-patient based analysis, in patients with biochemical recurrence of prostate adenocarcinoma suitable for locoregional therapy with assumed pre-test probability (prevalence) of 98.9% "/>
        <w:tblDescription w:val="Summary of findings table"/>
      </w:tblPr>
      <w:tblGrid>
        <w:gridCol w:w="2263"/>
        <w:gridCol w:w="1417"/>
        <w:gridCol w:w="1845"/>
        <w:gridCol w:w="1841"/>
        <w:gridCol w:w="1650"/>
      </w:tblGrid>
      <w:tr w:rsidR="00297006" w14:paraId="7EB00C6E" w14:textId="77777777" w:rsidTr="00FC542B">
        <w:trPr>
          <w:cnfStyle w:val="100000000000" w:firstRow="1" w:lastRow="0" w:firstColumn="0" w:lastColumn="0" w:oddVBand="0" w:evenVBand="0" w:oddHBand="0" w:evenHBand="0" w:firstRowFirstColumn="0" w:firstRowLastColumn="0" w:lastRowFirstColumn="0" w:lastRowLastColumn="0"/>
          <w:cantSplit/>
          <w:tblHeader/>
        </w:trPr>
        <w:tc>
          <w:tcPr>
            <w:tcW w:w="1255" w:type="pct"/>
          </w:tcPr>
          <w:p w14:paraId="65798370" w14:textId="77777777" w:rsidR="00297006" w:rsidRPr="00CF5452" w:rsidRDefault="00297006" w:rsidP="00A16E54">
            <w:pPr>
              <w:pStyle w:val="Tabletext"/>
              <w:rPr>
                <w:b/>
              </w:rPr>
            </w:pPr>
            <w:r w:rsidRPr="00CF5452">
              <w:rPr>
                <w:b/>
              </w:rPr>
              <w:t>Outcomes</w:t>
            </w:r>
          </w:p>
        </w:tc>
        <w:tc>
          <w:tcPr>
            <w:tcW w:w="3745" w:type="pct"/>
            <w:gridSpan w:val="4"/>
          </w:tcPr>
          <w:p w14:paraId="01B45867" w14:textId="77777777" w:rsidR="00297006" w:rsidRPr="00CF5452" w:rsidRDefault="00297006" w:rsidP="00A16E54">
            <w:pPr>
              <w:pStyle w:val="Tabletext"/>
              <w:jc w:val="center"/>
              <w:rPr>
                <w:b/>
                <w:snapToGrid w:val="0"/>
              </w:rPr>
            </w:pPr>
            <w:r w:rsidRPr="009A0DB8">
              <w:rPr>
                <w:b/>
                <w:snapToGrid w:val="0"/>
                <w:vertAlign w:val="superscript"/>
              </w:rPr>
              <w:t>68</w:t>
            </w:r>
            <w:r>
              <w:rPr>
                <w:b/>
                <w:snapToGrid w:val="0"/>
              </w:rPr>
              <w:t xml:space="preserve">Ga </w:t>
            </w:r>
            <w:r w:rsidRPr="00CF5452">
              <w:rPr>
                <w:b/>
                <w:snapToGrid w:val="0"/>
              </w:rPr>
              <w:t>PSMA</w:t>
            </w:r>
            <w:r>
              <w:rPr>
                <w:b/>
                <w:snapToGrid w:val="0"/>
              </w:rPr>
              <w:t>-11</w:t>
            </w:r>
            <w:r w:rsidRPr="00CF5452">
              <w:rPr>
                <w:b/>
                <w:snapToGrid w:val="0"/>
              </w:rPr>
              <w:t xml:space="preserve"> PET/CT</w:t>
            </w:r>
          </w:p>
        </w:tc>
      </w:tr>
      <w:tr w:rsidR="00297006" w:rsidRPr="006961C6" w14:paraId="51120B62" w14:textId="77777777" w:rsidTr="00FC542B">
        <w:trPr>
          <w:cnfStyle w:val="100000000000" w:firstRow="1" w:lastRow="0" w:firstColumn="0" w:lastColumn="0" w:oddVBand="0" w:evenVBand="0" w:oddHBand="0" w:evenHBand="0" w:firstRowFirstColumn="0" w:firstRowLastColumn="0" w:lastRowFirstColumn="0" w:lastRowLastColumn="0"/>
          <w:cantSplit/>
          <w:tblHeader/>
        </w:trPr>
        <w:tc>
          <w:tcPr>
            <w:tcW w:w="1255" w:type="pct"/>
            <w:shd w:val="clear" w:color="auto" w:fill="F2F2F2" w:themeFill="background1" w:themeFillShade="F2"/>
          </w:tcPr>
          <w:p w14:paraId="42D9CDD3" w14:textId="77777777" w:rsidR="00297006" w:rsidRPr="006961C6" w:rsidRDefault="00297006" w:rsidP="00A16E54">
            <w:pPr>
              <w:pStyle w:val="Tabletext"/>
              <w:rPr>
                <w:bCs/>
              </w:rPr>
            </w:pPr>
          </w:p>
        </w:tc>
        <w:tc>
          <w:tcPr>
            <w:tcW w:w="786" w:type="pct"/>
            <w:shd w:val="clear" w:color="auto" w:fill="F2F2F2" w:themeFill="background1" w:themeFillShade="F2"/>
          </w:tcPr>
          <w:p w14:paraId="38B9FDC8" w14:textId="2BFBBDE2" w:rsidR="00297006" w:rsidRPr="007016F9" w:rsidRDefault="00297006" w:rsidP="00FC542B">
            <w:pPr>
              <w:pStyle w:val="Tabletext"/>
              <w:ind w:left="-112" w:right="-108"/>
              <w:jc w:val="center"/>
              <w:rPr>
                <w:bCs/>
                <w:snapToGrid w:val="0"/>
              </w:rPr>
            </w:pPr>
            <w:r w:rsidRPr="007016F9">
              <w:rPr>
                <w:bCs/>
                <w:snapToGrid w:val="0"/>
              </w:rPr>
              <w:t>Derived in ADAR</w:t>
            </w:r>
          </w:p>
          <w:p w14:paraId="5249AB3C" w14:textId="1647B4AF" w:rsidR="00297006" w:rsidRPr="007016F9" w:rsidRDefault="00297006" w:rsidP="00FC542B">
            <w:pPr>
              <w:pStyle w:val="Tabletext"/>
              <w:jc w:val="center"/>
              <w:rPr>
                <w:bCs/>
              </w:rPr>
            </w:pPr>
            <w:r w:rsidRPr="007016F9">
              <w:rPr>
                <w:bCs/>
                <w:snapToGrid w:val="0"/>
              </w:rPr>
              <w:t xml:space="preserve">n </w:t>
            </w:r>
            <w:r w:rsidR="00FC542B" w:rsidRPr="007016F9">
              <w:rPr>
                <w:bCs/>
                <w:snapToGrid w:val="0"/>
              </w:rPr>
              <w:t>(</w:t>
            </w:r>
            <w:r w:rsidRPr="007016F9">
              <w:rPr>
                <w:bCs/>
                <w:snapToGrid w:val="0"/>
              </w:rPr>
              <w:t>95% CI</w:t>
            </w:r>
            <w:r w:rsidR="00FC542B" w:rsidRPr="007016F9">
              <w:rPr>
                <w:bCs/>
                <w:snapToGrid w:val="0"/>
              </w:rPr>
              <w:t>)</w:t>
            </w:r>
          </w:p>
        </w:tc>
        <w:tc>
          <w:tcPr>
            <w:tcW w:w="1023" w:type="pct"/>
            <w:shd w:val="clear" w:color="auto" w:fill="F2F2F2" w:themeFill="background1" w:themeFillShade="F2"/>
          </w:tcPr>
          <w:p w14:paraId="6F3B04DF" w14:textId="77777777" w:rsidR="00297006" w:rsidRPr="007016F9" w:rsidRDefault="00297006" w:rsidP="00FC542B">
            <w:pPr>
              <w:pStyle w:val="Tabletext"/>
              <w:jc w:val="center"/>
              <w:rPr>
                <w:bCs/>
              </w:rPr>
            </w:pPr>
            <w:proofErr w:type="spellStart"/>
            <w:r w:rsidRPr="007016F9">
              <w:rPr>
                <w:bCs/>
              </w:rPr>
              <w:t>Fendler</w:t>
            </w:r>
            <w:proofErr w:type="spellEnd"/>
            <w:r w:rsidRPr="007016F9">
              <w:rPr>
                <w:bCs/>
              </w:rPr>
              <w:t xml:space="preserve"> et al. (2019)</w:t>
            </w:r>
          </w:p>
          <w:p w14:paraId="4636C451" w14:textId="51092C37" w:rsidR="00297006" w:rsidRPr="007016F9" w:rsidRDefault="00FC542B" w:rsidP="00FC542B">
            <w:pPr>
              <w:pStyle w:val="Tabletext"/>
              <w:jc w:val="center"/>
              <w:rPr>
                <w:bCs/>
              </w:rPr>
            </w:pPr>
            <w:r w:rsidRPr="007016F9">
              <w:rPr>
                <w:bCs/>
              </w:rPr>
              <w:t>n</w:t>
            </w:r>
            <w:r w:rsidR="00297006" w:rsidRPr="007016F9">
              <w:rPr>
                <w:bCs/>
              </w:rPr>
              <w:t xml:space="preserve"> (n</w:t>
            </w:r>
            <w:r w:rsidRPr="007016F9">
              <w:rPr>
                <w:bCs/>
              </w:rPr>
              <w:t>umber of patients</w:t>
            </w:r>
            <w:r w:rsidR="00297006" w:rsidRPr="007016F9">
              <w:rPr>
                <w:bCs/>
              </w:rPr>
              <w:t>)</w:t>
            </w:r>
          </w:p>
        </w:tc>
        <w:tc>
          <w:tcPr>
            <w:tcW w:w="1021" w:type="pct"/>
            <w:shd w:val="clear" w:color="auto" w:fill="F2F2F2" w:themeFill="background1" w:themeFillShade="F2"/>
          </w:tcPr>
          <w:p w14:paraId="3E162115" w14:textId="77777777" w:rsidR="00297006" w:rsidRPr="007016F9" w:rsidRDefault="00297006" w:rsidP="00FC542B">
            <w:pPr>
              <w:pStyle w:val="Tabletext"/>
              <w:jc w:val="center"/>
              <w:rPr>
                <w:bCs/>
              </w:rPr>
            </w:pPr>
            <w:r w:rsidRPr="007016F9">
              <w:rPr>
                <w:bCs/>
              </w:rPr>
              <w:t>Hamed et al. (2019)</w:t>
            </w:r>
          </w:p>
          <w:p w14:paraId="71FFEB4E" w14:textId="5611E004" w:rsidR="00297006" w:rsidRPr="007016F9" w:rsidRDefault="00FC542B" w:rsidP="00FC542B">
            <w:pPr>
              <w:pStyle w:val="Tabletext"/>
              <w:ind w:left="-111" w:right="-110"/>
              <w:jc w:val="center"/>
              <w:rPr>
                <w:bCs/>
                <w:snapToGrid w:val="0"/>
              </w:rPr>
            </w:pPr>
            <w:r w:rsidRPr="007016F9">
              <w:rPr>
                <w:bCs/>
              </w:rPr>
              <w:t>n</w:t>
            </w:r>
            <w:r w:rsidR="00297006" w:rsidRPr="007016F9">
              <w:rPr>
                <w:bCs/>
              </w:rPr>
              <w:t xml:space="preserve"> (n</w:t>
            </w:r>
            <w:r w:rsidRPr="007016F9">
              <w:rPr>
                <w:bCs/>
              </w:rPr>
              <w:t>umber of patients</w:t>
            </w:r>
            <w:r w:rsidR="00297006" w:rsidRPr="007016F9">
              <w:rPr>
                <w:bCs/>
              </w:rPr>
              <w:t>)</w:t>
            </w:r>
          </w:p>
        </w:tc>
        <w:tc>
          <w:tcPr>
            <w:tcW w:w="915" w:type="pct"/>
            <w:shd w:val="clear" w:color="auto" w:fill="F2F2F2" w:themeFill="background1" w:themeFillShade="F2"/>
          </w:tcPr>
          <w:p w14:paraId="01F316E3" w14:textId="77777777" w:rsidR="00297006" w:rsidRPr="007016F9" w:rsidRDefault="00297006" w:rsidP="00FC542B">
            <w:pPr>
              <w:pStyle w:val="Tabletext"/>
              <w:jc w:val="center"/>
              <w:rPr>
                <w:bCs/>
              </w:rPr>
            </w:pPr>
            <w:proofErr w:type="spellStart"/>
            <w:r w:rsidRPr="007016F9">
              <w:rPr>
                <w:bCs/>
              </w:rPr>
              <w:t>Zacho</w:t>
            </w:r>
            <w:proofErr w:type="spellEnd"/>
            <w:r w:rsidRPr="007016F9">
              <w:rPr>
                <w:bCs/>
              </w:rPr>
              <w:t xml:space="preserve"> et al. (2018)</w:t>
            </w:r>
          </w:p>
          <w:p w14:paraId="65C1A634" w14:textId="4E984556" w:rsidR="00297006" w:rsidRPr="007016F9" w:rsidRDefault="00FC542B" w:rsidP="00FC542B">
            <w:pPr>
              <w:pStyle w:val="Tabletext"/>
              <w:jc w:val="center"/>
              <w:rPr>
                <w:bCs/>
              </w:rPr>
            </w:pPr>
            <w:r w:rsidRPr="007016F9">
              <w:rPr>
                <w:bCs/>
              </w:rPr>
              <w:t>n</w:t>
            </w:r>
            <w:r w:rsidR="00297006" w:rsidRPr="007016F9">
              <w:rPr>
                <w:bCs/>
              </w:rPr>
              <w:t xml:space="preserve"> (n</w:t>
            </w:r>
            <w:r w:rsidRPr="007016F9">
              <w:rPr>
                <w:bCs/>
              </w:rPr>
              <w:t>umber patients</w:t>
            </w:r>
            <w:r w:rsidR="00297006" w:rsidRPr="007016F9">
              <w:rPr>
                <w:bCs/>
              </w:rPr>
              <w:t>)</w:t>
            </w:r>
          </w:p>
        </w:tc>
      </w:tr>
      <w:tr w:rsidR="00297006" w14:paraId="4B3FDB9A" w14:textId="77777777" w:rsidTr="00FC542B">
        <w:tc>
          <w:tcPr>
            <w:tcW w:w="1255" w:type="pct"/>
          </w:tcPr>
          <w:p w14:paraId="3C4B8E10" w14:textId="44B42E16" w:rsidR="00297006" w:rsidRPr="002D0E9A" w:rsidRDefault="00297006" w:rsidP="00A16E54">
            <w:pPr>
              <w:pStyle w:val="Tabletext"/>
            </w:pPr>
            <w:r>
              <w:t>TP</w:t>
            </w:r>
            <w:r w:rsidR="00FC542B">
              <w:t xml:space="preserve"> per 100 patients tested</w:t>
            </w:r>
          </w:p>
        </w:tc>
        <w:tc>
          <w:tcPr>
            <w:tcW w:w="786" w:type="pct"/>
          </w:tcPr>
          <w:p w14:paraId="3995BF06" w14:textId="112F58BF" w:rsidR="00297006" w:rsidRPr="007016F9" w:rsidRDefault="00297006" w:rsidP="00FC542B">
            <w:pPr>
              <w:pStyle w:val="Tabletext"/>
              <w:jc w:val="center"/>
            </w:pPr>
            <w:r w:rsidRPr="007016F9">
              <w:rPr>
                <w:rStyle w:val="TablecommentChar"/>
                <w:i w:val="0"/>
                <w:color w:val="auto"/>
              </w:rPr>
              <w:t xml:space="preserve">86 </w:t>
            </w:r>
            <w:r w:rsidR="00FC542B" w:rsidRPr="007016F9">
              <w:rPr>
                <w:rStyle w:val="TablecommentChar"/>
                <w:i w:val="0"/>
                <w:color w:val="auto"/>
              </w:rPr>
              <w:t>(</w:t>
            </w:r>
            <w:r w:rsidRPr="007016F9">
              <w:rPr>
                <w:rStyle w:val="TablecommentChar"/>
                <w:i w:val="0"/>
                <w:color w:val="auto"/>
              </w:rPr>
              <w:t>80, 88</w:t>
            </w:r>
            <w:r w:rsidR="00FC542B" w:rsidRPr="007016F9">
              <w:rPr>
                <w:rStyle w:val="TablecommentChar"/>
                <w:i w:val="0"/>
                <w:color w:val="auto"/>
              </w:rPr>
              <w:t>)</w:t>
            </w:r>
          </w:p>
        </w:tc>
        <w:tc>
          <w:tcPr>
            <w:tcW w:w="1023" w:type="pct"/>
          </w:tcPr>
          <w:p w14:paraId="40CE2066" w14:textId="7894A9F0" w:rsidR="00297006" w:rsidRPr="007016F9" w:rsidRDefault="00297006" w:rsidP="00FC542B">
            <w:pPr>
              <w:pStyle w:val="Tabletext"/>
              <w:jc w:val="center"/>
            </w:pPr>
            <w:r w:rsidRPr="007016F9">
              <w:t>78.5 (73)</w:t>
            </w:r>
          </w:p>
        </w:tc>
        <w:tc>
          <w:tcPr>
            <w:tcW w:w="1021" w:type="pct"/>
          </w:tcPr>
          <w:p w14:paraId="3EBDAD04" w14:textId="2E0EA317" w:rsidR="00297006" w:rsidRPr="007016F9" w:rsidRDefault="00297006" w:rsidP="00FC542B">
            <w:pPr>
              <w:pStyle w:val="Tabletext"/>
              <w:jc w:val="center"/>
            </w:pPr>
            <w:r w:rsidRPr="007016F9">
              <w:t xml:space="preserve">87.8 </w:t>
            </w:r>
            <w:r w:rsidR="00FC542B" w:rsidRPr="007016F9">
              <w:t>(</w:t>
            </w:r>
            <w:r w:rsidRPr="007016F9">
              <w:t>165)</w:t>
            </w:r>
          </w:p>
        </w:tc>
        <w:tc>
          <w:tcPr>
            <w:tcW w:w="915" w:type="pct"/>
          </w:tcPr>
          <w:p w14:paraId="0DA342A1" w14:textId="6F54ED2F" w:rsidR="00297006" w:rsidRPr="007016F9" w:rsidRDefault="00297006" w:rsidP="00FC542B">
            <w:pPr>
              <w:pStyle w:val="Tabletext"/>
              <w:jc w:val="center"/>
            </w:pPr>
            <w:r w:rsidRPr="007016F9">
              <w:t>11.8 (8)</w:t>
            </w:r>
          </w:p>
        </w:tc>
      </w:tr>
      <w:tr w:rsidR="00297006" w14:paraId="35C6C1AE" w14:textId="77777777" w:rsidTr="00FC542B">
        <w:tc>
          <w:tcPr>
            <w:tcW w:w="1255" w:type="pct"/>
          </w:tcPr>
          <w:p w14:paraId="6BD876DD" w14:textId="1FD0C239" w:rsidR="00297006" w:rsidRPr="002D0E9A" w:rsidRDefault="00297006" w:rsidP="00A16E54">
            <w:pPr>
              <w:pStyle w:val="Tabletext"/>
            </w:pPr>
            <w:r>
              <w:t>TN</w:t>
            </w:r>
            <w:r w:rsidR="00FC542B">
              <w:t xml:space="preserve"> per 100 patients tested</w:t>
            </w:r>
          </w:p>
        </w:tc>
        <w:tc>
          <w:tcPr>
            <w:tcW w:w="786" w:type="pct"/>
          </w:tcPr>
          <w:p w14:paraId="6A54E6E8" w14:textId="7BA40FE4" w:rsidR="00297006" w:rsidRPr="007016F9" w:rsidRDefault="00297006" w:rsidP="00FC542B">
            <w:pPr>
              <w:pStyle w:val="Tabletext"/>
              <w:jc w:val="center"/>
            </w:pPr>
            <w:r w:rsidRPr="007016F9">
              <w:t xml:space="preserve">11 </w:t>
            </w:r>
            <w:r w:rsidR="00FC542B" w:rsidRPr="007016F9">
              <w:t>(</w:t>
            </w:r>
            <w:r w:rsidRPr="007016F9">
              <w:t>9, 11</w:t>
            </w:r>
            <w:r w:rsidR="00FC542B" w:rsidRPr="007016F9">
              <w:t>)</w:t>
            </w:r>
          </w:p>
        </w:tc>
        <w:tc>
          <w:tcPr>
            <w:tcW w:w="1023" w:type="pct"/>
          </w:tcPr>
          <w:p w14:paraId="562B3E67" w14:textId="77777777" w:rsidR="00297006" w:rsidRPr="007016F9" w:rsidRDefault="00297006" w:rsidP="00FC542B">
            <w:pPr>
              <w:pStyle w:val="Tabletext"/>
              <w:jc w:val="center"/>
            </w:pPr>
            <w:r w:rsidRPr="007016F9">
              <w:t>NR</w:t>
            </w:r>
          </w:p>
        </w:tc>
        <w:tc>
          <w:tcPr>
            <w:tcW w:w="1021" w:type="pct"/>
          </w:tcPr>
          <w:p w14:paraId="5405D361" w14:textId="72913474" w:rsidR="00297006" w:rsidRPr="007016F9" w:rsidRDefault="00297006" w:rsidP="00FC542B">
            <w:pPr>
              <w:pStyle w:val="Tabletext"/>
              <w:jc w:val="center"/>
            </w:pPr>
            <w:r w:rsidRPr="007016F9">
              <w:t>11.2 (21)</w:t>
            </w:r>
          </w:p>
        </w:tc>
        <w:tc>
          <w:tcPr>
            <w:tcW w:w="915" w:type="pct"/>
          </w:tcPr>
          <w:p w14:paraId="7E8B0188" w14:textId="281C1DAF" w:rsidR="00297006" w:rsidRPr="007016F9" w:rsidRDefault="00297006" w:rsidP="00FC542B">
            <w:pPr>
              <w:pStyle w:val="Tabletext"/>
              <w:jc w:val="center"/>
            </w:pPr>
            <w:r w:rsidRPr="007016F9">
              <w:t>83.8 (57)</w:t>
            </w:r>
          </w:p>
        </w:tc>
      </w:tr>
      <w:tr w:rsidR="00297006" w14:paraId="74792BCF" w14:textId="77777777" w:rsidTr="00FC542B">
        <w:tc>
          <w:tcPr>
            <w:tcW w:w="1255" w:type="pct"/>
          </w:tcPr>
          <w:p w14:paraId="2501130B" w14:textId="75DEBE2B" w:rsidR="00297006" w:rsidRPr="002D0E9A" w:rsidRDefault="00297006" w:rsidP="00A16E54">
            <w:pPr>
              <w:pStyle w:val="Tabletext"/>
            </w:pPr>
            <w:r>
              <w:t>FP</w:t>
            </w:r>
            <w:r w:rsidR="00FC542B">
              <w:t xml:space="preserve"> per 100 patients tested</w:t>
            </w:r>
          </w:p>
        </w:tc>
        <w:tc>
          <w:tcPr>
            <w:tcW w:w="786" w:type="pct"/>
          </w:tcPr>
          <w:p w14:paraId="354456E0" w14:textId="646D663F" w:rsidR="00297006" w:rsidRPr="007016F9" w:rsidRDefault="00297006" w:rsidP="00FC542B">
            <w:pPr>
              <w:pStyle w:val="Tabletext"/>
              <w:jc w:val="center"/>
            </w:pPr>
            <w:r w:rsidRPr="007016F9">
              <w:t xml:space="preserve">0 </w:t>
            </w:r>
            <w:r w:rsidR="00FC542B" w:rsidRPr="007016F9">
              <w:t>(</w:t>
            </w:r>
            <w:r w:rsidRPr="007016F9">
              <w:t>0, 2</w:t>
            </w:r>
            <w:r w:rsidR="00FC542B" w:rsidRPr="007016F9">
              <w:t>)</w:t>
            </w:r>
          </w:p>
        </w:tc>
        <w:tc>
          <w:tcPr>
            <w:tcW w:w="1023" w:type="pct"/>
          </w:tcPr>
          <w:p w14:paraId="19C5ACF7" w14:textId="1832A978" w:rsidR="00297006" w:rsidRPr="007016F9" w:rsidRDefault="00297006" w:rsidP="00FC542B">
            <w:pPr>
              <w:pStyle w:val="Tabletext"/>
              <w:jc w:val="center"/>
            </w:pPr>
            <w:r w:rsidRPr="007016F9">
              <w:t>15.1 (14)</w:t>
            </w:r>
          </w:p>
        </w:tc>
        <w:tc>
          <w:tcPr>
            <w:tcW w:w="1021" w:type="pct"/>
          </w:tcPr>
          <w:p w14:paraId="4F892E2F" w14:textId="6560E22D" w:rsidR="00297006" w:rsidRPr="007016F9" w:rsidRDefault="00297006" w:rsidP="00FC542B">
            <w:pPr>
              <w:pStyle w:val="Tabletext"/>
              <w:jc w:val="center"/>
            </w:pPr>
            <w:r w:rsidRPr="007016F9">
              <w:t>0 (0)</w:t>
            </w:r>
          </w:p>
        </w:tc>
        <w:tc>
          <w:tcPr>
            <w:tcW w:w="915" w:type="pct"/>
          </w:tcPr>
          <w:p w14:paraId="5CBDB297" w14:textId="59AB94EB" w:rsidR="00297006" w:rsidRPr="007016F9" w:rsidRDefault="00297006" w:rsidP="00FC542B">
            <w:pPr>
              <w:pStyle w:val="Tabletext"/>
              <w:jc w:val="center"/>
            </w:pPr>
            <w:r w:rsidRPr="007016F9">
              <w:t>1.5 (1)</w:t>
            </w:r>
          </w:p>
        </w:tc>
      </w:tr>
      <w:tr w:rsidR="00297006" w14:paraId="154663D3" w14:textId="77777777" w:rsidTr="00FC542B">
        <w:tc>
          <w:tcPr>
            <w:tcW w:w="1255" w:type="pct"/>
          </w:tcPr>
          <w:p w14:paraId="6792A60C" w14:textId="7D326AA2" w:rsidR="00297006" w:rsidRPr="002D0E9A" w:rsidRDefault="00297006" w:rsidP="00A16E54">
            <w:pPr>
              <w:pStyle w:val="Tabletext"/>
            </w:pPr>
            <w:r>
              <w:t>FN</w:t>
            </w:r>
            <w:r w:rsidR="00FC542B">
              <w:t xml:space="preserve"> per 100 patients tested</w:t>
            </w:r>
          </w:p>
        </w:tc>
        <w:tc>
          <w:tcPr>
            <w:tcW w:w="786" w:type="pct"/>
          </w:tcPr>
          <w:p w14:paraId="7FF91251" w14:textId="2BC74704" w:rsidR="00297006" w:rsidRPr="007016F9" w:rsidRDefault="00297006" w:rsidP="00FC542B">
            <w:pPr>
              <w:pStyle w:val="Tabletext"/>
              <w:jc w:val="center"/>
            </w:pPr>
            <w:r w:rsidRPr="007016F9">
              <w:t xml:space="preserve">3 </w:t>
            </w:r>
            <w:r w:rsidR="00FC542B" w:rsidRPr="007016F9">
              <w:t>(</w:t>
            </w:r>
            <w:r w:rsidRPr="007016F9">
              <w:t>1, 9</w:t>
            </w:r>
            <w:r w:rsidR="00FC542B" w:rsidRPr="007016F9">
              <w:t>)</w:t>
            </w:r>
          </w:p>
        </w:tc>
        <w:tc>
          <w:tcPr>
            <w:tcW w:w="1023" w:type="pct"/>
          </w:tcPr>
          <w:p w14:paraId="1140A637" w14:textId="4B4A7690" w:rsidR="00297006" w:rsidRPr="007016F9" w:rsidRDefault="00297006" w:rsidP="00FC542B">
            <w:pPr>
              <w:pStyle w:val="Tabletext"/>
              <w:jc w:val="center"/>
            </w:pPr>
            <w:r w:rsidRPr="007016F9">
              <w:t>6.5 (6)</w:t>
            </w:r>
          </w:p>
        </w:tc>
        <w:tc>
          <w:tcPr>
            <w:tcW w:w="1021" w:type="pct"/>
          </w:tcPr>
          <w:p w14:paraId="783537F6" w14:textId="1D18803C" w:rsidR="00297006" w:rsidRPr="007016F9" w:rsidRDefault="00297006" w:rsidP="00FC542B">
            <w:pPr>
              <w:pStyle w:val="Tabletext"/>
              <w:jc w:val="center"/>
            </w:pPr>
            <w:r w:rsidRPr="007016F9">
              <w:t xml:space="preserve">1.1 </w:t>
            </w:r>
            <w:r w:rsidR="00FC542B" w:rsidRPr="007016F9">
              <w:t>(</w:t>
            </w:r>
            <w:r w:rsidRPr="007016F9">
              <w:t>2)</w:t>
            </w:r>
          </w:p>
        </w:tc>
        <w:tc>
          <w:tcPr>
            <w:tcW w:w="915" w:type="pct"/>
          </w:tcPr>
          <w:p w14:paraId="2CB0CA1C" w14:textId="267CED1D" w:rsidR="00297006" w:rsidRPr="007016F9" w:rsidRDefault="00297006" w:rsidP="00FC542B">
            <w:pPr>
              <w:pStyle w:val="Tabletext"/>
              <w:jc w:val="center"/>
            </w:pPr>
            <w:r w:rsidRPr="007016F9">
              <w:t>2.9 (2)</w:t>
            </w:r>
          </w:p>
        </w:tc>
      </w:tr>
      <w:tr w:rsidR="00297006" w14:paraId="219F2189" w14:textId="77777777" w:rsidTr="00FC542B">
        <w:tc>
          <w:tcPr>
            <w:tcW w:w="1255" w:type="pct"/>
          </w:tcPr>
          <w:p w14:paraId="48704C5A" w14:textId="77777777" w:rsidR="00297006" w:rsidRPr="002D0E9A" w:rsidRDefault="00297006" w:rsidP="00A16E54">
            <w:pPr>
              <w:pStyle w:val="Tabletext"/>
            </w:pPr>
          </w:p>
        </w:tc>
        <w:tc>
          <w:tcPr>
            <w:tcW w:w="786" w:type="pct"/>
          </w:tcPr>
          <w:p w14:paraId="172DE31A" w14:textId="77777777" w:rsidR="00297006" w:rsidRPr="004A196F" w:rsidRDefault="00297006" w:rsidP="00FC542B">
            <w:pPr>
              <w:pStyle w:val="Tabletext"/>
              <w:jc w:val="center"/>
            </w:pPr>
          </w:p>
        </w:tc>
        <w:tc>
          <w:tcPr>
            <w:tcW w:w="1023" w:type="pct"/>
          </w:tcPr>
          <w:p w14:paraId="566E1E15" w14:textId="6E8E6C98" w:rsidR="00297006" w:rsidRPr="004A196F" w:rsidRDefault="00FC542B" w:rsidP="00FC542B">
            <w:pPr>
              <w:pStyle w:val="Tabletext"/>
              <w:jc w:val="center"/>
            </w:pPr>
            <w:r>
              <w:t>Total patients</w:t>
            </w:r>
            <w:r w:rsidR="00297006">
              <w:t xml:space="preserve"> = 93</w:t>
            </w:r>
          </w:p>
        </w:tc>
        <w:tc>
          <w:tcPr>
            <w:tcW w:w="1021" w:type="pct"/>
          </w:tcPr>
          <w:p w14:paraId="5984E9F6" w14:textId="531643AE" w:rsidR="00297006" w:rsidRPr="004A196F" w:rsidRDefault="00FC542B" w:rsidP="00FC542B">
            <w:pPr>
              <w:pStyle w:val="Tabletext"/>
              <w:jc w:val="center"/>
            </w:pPr>
            <w:r>
              <w:t>Total</w:t>
            </w:r>
            <w:r w:rsidR="00297006">
              <w:t xml:space="preserve"> </w:t>
            </w:r>
            <w:r>
              <w:t xml:space="preserve">patients </w:t>
            </w:r>
            <w:r w:rsidR="00297006">
              <w:t>= 188</w:t>
            </w:r>
          </w:p>
        </w:tc>
        <w:tc>
          <w:tcPr>
            <w:tcW w:w="915" w:type="pct"/>
          </w:tcPr>
          <w:p w14:paraId="5B107681" w14:textId="67F95C67" w:rsidR="00297006" w:rsidRPr="004A196F" w:rsidRDefault="00FC542B" w:rsidP="00FC542B">
            <w:pPr>
              <w:pStyle w:val="Tabletext"/>
              <w:jc w:val="center"/>
            </w:pPr>
            <w:r>
              <w:t>Total</w:t>
            </w:r>
            <w:r w:rsidR="00297006">
              <w:t xml:space="preserve"> </w:t>
            </w:r>
            <w:r>
              <w:t xml:space="preserve">patients </w:t>
            </w:r>
            <w:r w:rsidR="00297006">
              <w:t>= 68</w:t>
            </w:r>
          </w:p>
        </w:tc>
      </w:tr>
    </w:tbl>
    <w:p w14:paraId="70D6431B" w14:textId="77777777" w:rsidR="00297006" w:rsidRPr="00A02869" w:rsidRDefault="00297006" w:rsidP="006F02E2">
      <w:pPr>
        <w:pStyle w:val="Tablenotes"/>
      </w:pPr>
      <w:r w:rsidRPr="00CF5452">
        <w:rPr>
          <w:b/>
        </w:rPr>
        <w:t>Abbreviations</w:t>
      </w:r>
      <w:r>
        <w:t>: CI = confidence interval; CT = computed tomography;</w:t>
      </w:r>
      <w:r w:rsidRPr="00981410">
        <w:t xml:space="preserve"> </w:t>
      </w:r>
      <w:r>
        <w:t>FN = false negative; FP = false positive; k = number of studies; n = number of participants; PET = positron emission tomography; PSMA = prostate-specific membrane antigen; TN = true negative; TP = true positive.</w:t>
      </w:r>
    </w:p>
    <w:p w14:paraId="66D967CE" w14:textId="3E05CE32" w:rsidR="00297006" w:rsidRDefault="00297006" w:rsidP="006F02E2">
      <w:pPr>
        <w:pStyle w:val="Tablenotes"/>
      </w:pPr>
      <w:r w:rsidRPr="00D22488">
        <w:rPr>
          <w:b/>
          <w:bCs/>
        </w:rPr>
        <w:t>Source</w:t>
      </w:r>
      <w:r w:rsidRPr="00D22488">
        <w:t xml:space="preserve">: Compiled for the Commentary based on outcomes presented in Table B.38, p.167 of the ADAR (updated to reflect updated assumed pre-test probability) and data from the primary studies </w:t>
      </w:r>
      <w:r>
        <w:fldChar w:fldCharType="begin">
          <w:fldData xml:space="preserve">PEVuZE5vdGU+PENpdGU+PEF1dGhvcj5GZW5kbGVyPC9BdXRob3I+PFllYXI+MjAxOTwvWWVhcj48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</w:fldData>
        </w:fldChar>
      </w:r>
      <w:r>
        <w:instrText xml:space="preserve"> ADDIN EN.CITE </w:instrText>
      </w:r>
      <w:r>
        <w:fldChar w:fldCharType="begin">
          <w:fldData xml:space="preserve">PEVuZE5vdGU+PENpdGU+PEF1dGhvcj5GZW5kbGVyPC9BdXRob3I+PFllYXI+MjAxOTwvWWVhcj48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</w:fldData>
        </w:fldChar>
      </w:r>
      <w:r>
        <w:instrText xml:space="preserve"> ADDIN EN.CITE.DATA </w:instrText>
      </w:r>
      <w:r>
        <w:fldChar w:fldCharType="end"/>
      </w:r>
      <w:r>
        <w:fldChar w:fldCharType="separate"/>
      </w:r>
      <w:r>
        <w:rPr>
          <w:noProof/>
        </w:rPr>
        <w:t>(</w:t>
      </w:r>
      <w:hyperlink w:anchor="_ENREF_34" w:tooltip="Fendler, 2019 #25" w:history="1">
        <w:r>
          <w:rPr>
            <w:noProof/>
          </w:rPr>
          <w:t>Fendler et al., 2019</w:t>
        </w:r>
      </w:hyperlink>
      <w:r>
        <w:rPr>
          <w:noProof/>
        </w:rPr>
        <w:t xml:space="preserve">; </w:t>
      </w:r>
      <w:hyperlink w:anchor="_ENREF_45" w:tooltip="Hamed, 2019 #26" w:history="1">
        <w:r>
          <w:rPr>
            <w:noProof/>
          </w:rPr>
          <w:t>Hamed et al., 2019</w:t>
        </w:r>
      </w:hyperlink>
      <w:r>
        <w:rPr>
          <w:noProof/>
        </w:rPr>
        <w:t xml:space="preserve">; </w:t>
      </w:r>
      <w:hyperlink w:anchor="_ENREF_122" w:tooltip="Zacho, 2018 #27" w:history="1">
        <w:r>
          <w:rPr>
            <w:noProof/>
          </w:rPr>
          <w:t>Zacho et al., 2018</w:t>
        </w:r>
      </w:hyperlink>
      <w:r>
        <w:rPr>
          <w:noProof/>
        </w:rPr>
        <w:t>)</w:t>
      </w:r>
      <w:r>
        <w:fldChar w:fldCharType="end"/>
      </w:r>
      <w:r w:rsidR="003B088B">
        <w:t xml:space="preserve"> [Table 9, p14 of the Commentary]</w:t>
      </w:r>
    </w:p>
    <w:p w14:paraId="00DF75C1" w14:textId="4F550F0F" w:rsidR="003B088B" w:rsidRPr="00323676" w:rsidRDefault="003B088B" w:rsidP="003E0C21">
      <w:pPr>
        <w:spacing w:before="240"/>
      </w:pPr>
      <w:r>
        <w:t xml:space="preserve">The </w:t>
      </w:r>
      <w:r w:rsidR="007725FF">
        <w:t>C</w:t>
      </w:r>
      <w:r>
        <w:t xml:space="preserve">ommentary noted applicability issues </w:t>
      </w:r>
      <w:r w:rsidRPr="00323676">
        <w:t>as Hamed et al. (2019)</w:t>
      </w:r>
      <w:r w:rsidR="00FD66DB">
        <w:rPr>
          <w:rStyle w:val="FootnoteReference"/>
        </w:rPr>
        <w:footnoteReference w:id="14"/>
      </w:r>
      <w:r>
        <w:t>:</w:t>
      </w:r>
      <w:r w:rsidRPr="00323676">
        <w:t xml:space="preserve"> </w:t>
      </w:r>
      <w:r>
        <w:t>was</w:t>
      </w:r>
      <w:r w:rsidRPr="00323676">
        <w:t xml:space="preserve"> </w:t>
      </w:r>
      <w:r>
        <w:t xml:space="preserve">a </w:t>
      </w:r>
      <w:r w:rsidRPr="00323676">
        <w:t>cohort</w:t>
      </w:r>
      <w:r>
        <w:t xml:space="preserve"> study</w:t>
      </w:r>
      <w:r w:rsidRPr="00323676">
        <w:t xml:space="preserve"> of Egyptian patients with rising PSA le</w:t>
      </w:r>
      <w:r>
        <w:t>vels after definitive treatment; and i</w:t>
      </w:r>
      <w:r w:rsidRPr="00323676">
        <w:t xml:space="preserve">t </w:t>
      </w:r>
      <w:r w:rsidR="00FC542B">
        <w:t>wa</w:t>
      </w:r>
      <w:r w:rsidRPr="00323676">
        <w:t xml:space="preserve">s uncertain whether </w:t>
      </w:r>
      <w:r>
        <w:t xml:space="preserve">these patients </w:t>
      </w:r>
      <w:r w:rsidRPr="00323676">
        <w:t>would have similar PSA levels at the time of PSMA PET/CT to patients in the proposed MBS population. The median PSA level of patients undergoing PSMA PET/CT for BCR in an Australian study</w:t>
      </w:r>
      <w:r w:rsidR="00322029">
        <w:t xml:space="preserve"> (Roach et al [2018]</w:t>
      </w:r>
      <w:r w:rsidR="00322029">
        <w:rPr>
          <w:rStyle w:val="FootnoteReference"/>
        </w:rPr>
        <w:footnoteReference w:id="15"/>
      </w:r>
      <w:r w:rsidR="00322029">
        <w:t>)</w:t>
      </w:r>
      <w:r w:rsidRPr="00323676">
        <w:t xml:space="preserve"> reporting change in management outcomes was lower than the median PSA level of patients in the Hamed et al. (2019) study participants (1.1</w:t>
      </w:r>
      <w:r>
        <w:t> </w:t>
      </w:r>
      <w:r w:rsidRPr="00323676">
        <w:t>ng/ml vs</w:t>
      </w:r>
      <w:r>
        <w:t>.</w:t>
      </w:r>
      <w:r w:rsidRPr="00323676">
        <w:t xml:space="preserve"> 2.2</w:t>
      </w:r>
      <w:r>
        <w:t> </w:t>
      </w:r>
      <w:r w:rsidRPr="00323676">
        <w:t>ng/ml</w:t>
      </w:r>
      <w:r w:rsidR="00FD66DB">
        <w:t>, respectively</w:t>
      </w:r>
      <w:r w:rsidRPr="00323676">
        <w:t xml:space="preserve">). It </w:t>
      </w:r>
      <w:r w:rsidR="00FC542B">
        <w:t>wa</w:t>
      </w:r>
      <w:r w:rsidRPr="00323676">
        <w:t xml:space="preserve">s unknown whether this difference </w:t>
      </w:r>
      <w:r w:rsidR="00FC542B">
        <w:t>wa</w:t>
      </w:r>
      <w:r w:rsidRPr="00323676">
        <w:t>s due to chance or due to differences in patient management and clinical decision-making between countries.</w:t>
      </w:r>
    </w:p>
    <w:p w14:paraId="3D70338F" w14:textId="6C8487F7" w:rsidR="00297006" w:rsidRDefault="009766C9" w:rsidP="003E0C21">
      <w:pPr>
        <w:spacing w:before="240"/>
      </w:pPr>
      <w:r>
        <w:t xml:space="preserve">The </w:t>
      </w:r>
      <w:r w:rsidR="007725FF">
        <w:t>C</w:t>
      </w:r>
      <w:r>
        <w:t>ommentary noted t</w:t>
      </w:r>
      <w:r w:rsidR="00297006" w:rsidRPr="00892746">
        <w:t>wo of the three studies informing pooled sensitivity and specificity estimates refer</w:t>
      </w:r>
      <w:r w:rsidR="00970108">
        <w:t>red</w:t>
      </w:r>
      <w:r w:rsidR="00297006" w:rsidRPr="00892746">
        <w:t xml:space="preserve"> to the ability of PSMA PET/CT to detect any site of recurrence (vs. no recurrence)</w:t>
      </w:r>
      <w:r w:rsidR="00297006">
        <w:t xml:space="preserve"> </w:t>
      </w:r>
      <w:r w:rsidR="00FD66DB" w:rsidRPr="00FD66DB">
        <w:t>(</w:t>
      </w:r>
      <w:proofErr w:type="spellStart"/>
      <w:r w:rsidR="00FD66DB" w:rsidRPr="00FD66DB">
        <w:t>Fendler</w:t>
      </w:r>
      <w:proofErr w:type="spellEnd"/>
      <w:r w:rsidR="00FD66DB" w:rsidRPr="00FD66DB">
        <w:t xml:space="preserve"> et al., 2019</w:t>
      </w:r>
      <w:r w:rsidR="00322029">
        <w:rPr>
          <w:rStyle w:val="FootnoteReference"/>
        </w:rPr>
        <w:footnoteReference w:id="16"/>
      </w:r>
      <w:r w:rsidR="00FD66DB" w:rsidRPr="00FD66DB">
        <w:t xml:space="preserve">; Hamed et al., 2019). </w:t>
      </w:r>
      <w:r w:rsidR="00297006" w:rsidRPr="00892746">
        <w:t>The third study refer</w:t>
      </w:r>
      <w:r w:rsidR="00970108">
        <w:t>red</w:t>
      </w:r>
      <w:r w:rsidR="00297006" w:rsidRPr="00892746">
        <w:t xml:space="preserve"> to the ability of PSMA PET/CT to detect/rule out sites of recurrence in the skeletal system </w:t>
      </w:r>
      <w:r w:rsidR="00297006">
        <w:fldChar w:fldCharType="begin">
          <w:fldData xml:space="preserve">PEVuZE5vdGU+PENpdGU+PEF1dGhvcj5aYWNobzwvQXV0aG9yPjxZZWFyPjIwMTg8L1llYXI+PFJl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</w:fldData>
        </w:fldChar>
      </w:r>
      <w:r w:rsidR="00297006">
        <w:instrText xml:space="preserve"> ADDIN EN.CITE </w:instrText>
      </w:r>
      <w:r w:rsidR="00297006">
        <w:fldChar w:fldCharType="begin">
          <w:fldData xml:space="preserve">PEVuZE5vdGU+PENpdGU+PEF1dGhvcj5aYWNobzwvQXV0aG9yPjxZZWFyPjIwMTg8L1llYXI+PFJl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</w:fldData>
        </w:fldChar>
      </w:r>
      <w:r w:rsidR="00297006">
        <w:instrText xml:space="preserve"> ADDIN EN.CITE.DATA </w:instrText>
      </w:r>
      <w:r w:rsidR="00297006">
        <w:fldChar w:fldCharType="end"/>
      </w:r>
      <w:r w:rsidR="00297006">
        <w:fldChar w:fldCharType="separate"/>
      </w:r>
      <w:r w:rsidR="00297006">
        <w:rPr>
          <w:noProof/>
        </w:rPr>
        <w:t>(</w:t>
      </w:r>
      <w:hyperlink w:anchor="_ENREF_122" w:tooltip="Zacho, 2018 #27" w:history="1">
        <w:r w:rsidR="00297006">
          <w:rPr>
            <w:noProof/>
          </w:rPr>
          <w:t>Zacho et al., 2018</w:t>
        </w:r>
      </w:hyperlink>
      <w:r w:rsidR="00322029">
        <w:rPr>
          <w:rStyle w:val="FootnoteReference"/>
          <w:noProof/>
        </w:rPr>
        <w:footnoteReference w:id="17"/>
      </w:r>
      <w:r w:rsidR="00297006">
        <w:rPr>
          <w:noProof/>
        </w:rPr>
        <w:t>)</w:t>
      </w:r>
      <w:r w:rsidR="00297006">
        <w:fldChar w:fldCharType="end"/>
      </w:r>
      <w:r w:rsidR="00297006" w:rsidRPr="00892746">
        <w:t xml:space="preserve">. </w:t>
      </w:r>
      <w:r w:rsidR="00FD66DB">
        <w:t>T</w:t>
      </w:r>
      <w:r w:rsidR="00322029">
        <w:t>a</w:t>
      </w:r>
      <w:r w:rsidR="00FD66DB">
        <w:t>ble 8</w:t>
      </w:r>
      <w:r w:rsidR="00297006" w:rsidRPr="00892746">
        <w:t xml:space="preserve"> </w:t>
      </w:r>
      <w:r w:rsidR="00297006" w:rsidRPr="00B85D4D">
        <w:t xml:space="preserve">demonstrates </w:t>
      </w:r>
      <w:r w:rsidR="00297006" w:rsidRPr="00892746">
        <w:t xml:space="preserve">how </w:t>
      </w:r>
      <w:r w:rsidR="005621C0">
        <w:t>choice in outcome across the studies impacted on</w:t>
      </w:r>
      <w:r w:rsidR="00297006" w:rsidRPr="00892746">
        <w:t xml:space="preserve"> the number of TP and TN outcomes. In Hamed et al. (2019), 87.8% of men had a TP outcome for disease recurrence, whilst in </w:t>
      </w:r>
      <w:proofErr w:type="spellStart"/>
      <w:r w:rsidR="00297006" w:rsidRPr="00892746">
        <w:t>Zacho</w:t>
      </w:r>
      <w:proofErr w:type="spellEnd"/>
      <w:r w:rsidR="00297006" w:rsidRPr="00892746">
        <w:t xml:space="preserve"> et al. (2018), only 11.8% of men had a TP outcome for bone metastases.</w:t>
      </w:r>
    </w:p>
    <w:p w14:paraId="1476DA1B" w14:textId="55B31C49" w:rsidR="00297006" w:rsidRPr="00D777EF" w:rsidRDefault="009766C9" w:rsidP="003E0C21">
      <w:pPr>
        <w:spacing w:before="240"/>
      </w:pPr>
      <w:r>
        <w:t xml:space="preserve">The </w:t>
      </w:r>
      <w:r w:rsidR="007725FF">
        <w:t>C</w:t>
      </w:r>
      <w:r>
        <w:t xml:space="preserve">ommentary also </w:t>
      </w:r>
      <w:r w:rsidR="00970108">
        <w:t>consider that,</w:t>
      </w:r>
      <w:r>
        <w:t xml:space="preserve"> g</w:t>
      </w:r>
      <w:r w:rsidR="00297006">
        <w:t xml:space="preserve">iven the poor diagnostic yield of CVI in the setting of BCR (as noted above), it </w:t>
      </w:r>
      <w:r w:rsidR="00970108">
        <w:t>wa</w:t>
      </w:r>
      <w:r w:rsidR="00297006">
        <w:t>s reasonable to expect the number of TP outcomes to be higher with PS</w:t>
      </w:r>
      <w:r>
        <w:t>MA PET/CT compared with CVI.</w:t>
      </w:r>
    </w:p>
    <w:p w14:paraId="0DE378C3" w14:textId="4917FC01" w:rsidR="009766C9" w:rsidRDefault="009766C9" w:rsidP="009766C9">
      <w:r>
        <w:t xml:space="preserve">The </w:t>
      </w:r>
      <w:r w:rsidR="007725FF">
        <w:t>C</w:t>
      </w:r>
      <w:r>
        <w:t>ommentary considered a</w:t>
      </w:r>
      <w:r w:rsidR="00297006">
        <w:t xml:space="preserve"> high number of TP outcomes is important, as such outcomes can </w:t>
      </w:r>
      <w:r w:rsidR="00297006" w:rsidRPr="00C1459E">
        <w:t>allow treatment for BCR to be better targeted to positive sites</w:t>
      </w:r>
      <w:r w:rsidR="00297006">
        <w:t xml:space="preserve"> (than empirically defined salvage </w:t>
      </w:r>
      <w:r>
        <w:t>radiotherapy [</w:t>
      </w:r>
      <w:r w:rsidR="00297006">
        <w:t>RT</w:t>
      </w:r>
      <w:r>
        <w:t>]</w:t>
      </w:r>
      <w:r w:rsidR="00297006">
        <w:t>)</w:t>
      </w:r>
      <w:r w:rsidR="00297006" w:rsidRPr="00C1459E">
        <w:t xml:space="preserve">, particularly </w:t>
      </w:r>
      <w:r w:rsidR="00297006">
        <w:t>when PSMA PET/CT is positive for</w:t>
      </w:r>
      <w:r w:rsidR="00297006" w:rsidRPr="00C1459E">
        <w:t xml:space="preserve"> oligometastatic disease </w:t>
      </w:r>
      <w:r w:rsidRPr="009766C9">
        <w:t>(Clinical expert 5, 1 April 2021).</w:t>
      </w:r>
    </w:p>
    <w:p w14:paraId="5E8FDA28" w14:textId="15506AA5" w:rsidR="009766C9" w:rsidRPr="009766C9" w:rsidRDefault="005E0F99" w:rsidP="003E0C21">
      <w:pPr>
        <w:pStyle w:val="Heading2"/>
        <w:spacing w:before="240" w:after="240"/>
      </w:pPr>
      <w:r>
        <w:t xml:space="preserve">Clinical utility (change in clinical </w:t>
      </w:r>
      <w:r w:rsidR="00C61F6F">
        <w:t>management</w:t>
      </w:r>
      <w:r>
        <w:t>)</w:t>
      </w:r>
    </w:p>
    <w:p w14:paraId="08F7A0DD" w14:textId="3FD755FD" w:rsidR="009766C9" w:rsidRDefault="009766C9" w:rsidP="009766C9">
      <w:pPr>
        <w:pStyle w:val="Heading3"/>
      </w:pPr>
      <w:r>
        <w:t>P</w:t>
      </w:r>
      <w:r w:rsidR="003E585F">
        <w:t>rimary staging</w:t>
      </w:r>
    </w:p>
    <w:p w14:paraId="0AAAAA55" w14:textId="7350B85E" w:rsidR="009766C9" w:rsidRDefault="009766C9" w:rsidP="009766C9">
      <w:r>
        <w:t>Direct comparative evidence demonstrate</w:t>
      </w:r>
      <w:r w:rsidR="00970108">
        <w:t>d</w:t>
      </w:r>
      <w:r>
        <w:t xml:space="preserve"> that</w:t>
      </w:r>
      <w:r w:rsidR="00970108">
        <w:t>,</w:t>
      </w:r>
      <w:r>
        <w:t xml:space="preserve"> in the </w:t>
      </w:r>
      <w:r w:rsidR="00AD1934">
        <w:t xml:space="preserve">primary </w:t>
      </w:r>
      <w:r>
        <w:t xml:space="preserve">N- and M-staging of high-risk or ISUP grade 3 prostate cancer, </w:t>
      </w:r>
      <w:r w:rsidRPr="00D33613">
        <w:rPr>
          <w:vertAlign w:val="superscript"/>
        </w:rPr>
        <w:t>68</w:t>
      </w:r>
      <w:r>
        <w:t xml:space="preserve">Ga-PSMA-11 PET/CT confers a management change in significantly more men than does CVI (28% vs. 15%; p = 0.008) </w:t>
      </w:r>
      <w:r w:rsidRPr="009766C9">
        <w:t>(</w:t>
      </w:r>
      <w:proofErr w:type="spellStart"/>
      <w:r w:rsidRPr="009766C9">
        <w:t>Hofman</w:t>
      </w:r>
      <w:proofErr w:type="spellEnd"/>
      <w:r w:rsidRPr="009766C9">
        <w:t xml:space="preserve"> et al., 2020).</w:t>
      </w:r>
    </w:p>
    <w:p w14:paraId="505543F6" w14:textId="18B47049" w:rsidR="009766C9" w:rsidRDefault="009766C9" w:rsidP="003E0C21">
      <w:pPr>
        <w:spacing w:before="240"/>
      </w:pPr>
      <w:r>
        <w:t xml:space="preserve">The </w:t>
      </w:r>
      <w:r w:rsidR="007725FF">
        <w:t>C</w:t>
      </w:r>
      <w:r>
        <w:t xml:space="preserve">ommentary noted these </w:t>
      </w:r>
      <w:r w:rsidRPr="00631761">
        <w:t xml:space="preserve">findings </w:t>
      </w:r>
      <w:r w:rsidR="00970108">
        <w:t>we</w:t>
      </w:r>
      <w:r w:rsidRPr="00631761">
        <w:t xml:space="preserve">re applicable to the Australian context; however, </w:t>
      </w:r>
      <w:r w:rsidR="00970108">
        <w:t>were</w:t>
      </w:r>
      <w:r w:rsidRPr="00631761">
        <w:t xml:space="preserve"> obtained in a study population that is narrower than the proposed MBS population.</w:t>
      </w:r>
      <w:r>
        <w:t xml:space="preserve"> Nonetheless, a</w:t>
      </w:r>
      <w:r w:rsidRPr="00631761">
        <w:t xml:space="preserve"> </w:t>
      </w:r>
      <w:r>
        <w:t>single-arm</w:t>
      </w:r>
      <w:r w:rsidRPr="00631761">
        <w:t xml:space="preserve"> Australian </w:t>
      </w:r>
      <w:r>
        <w:t xml:space="preserve">study found that in the </w:t>
      </w:r>
      <w:r w:rsidR="00AD1934">
        <w:t xml:space="preserve">primary </w:t>
      </w:r>
      <w:r>
        <w:t xml:space="preserve">N- and M-staging of 108 men with intermediate- to high-risk disease, </w:t>
      </w:r>
      <w:r w:rsidRPr="00631761">
        <w:rPr>
          <w:vertAlign w:val="superscript"/>
        </w:rPr>
        <w:t>68</w:t>
      </w:r>
      <w:r w:rsidRPr="00631761">
        <w:t>Ga-PSMA-11 PET/CT</w:t>
      </w:r>
      <w:r>
        <w:t xml:space="preserve"> </w:t>
      </w:r>
      <w:r w:rsidRPr="00631761">
        <w:t xml:space="preserve">conferred a management change in 21.3% of men </w:t>
      </w:r>
      <w:r w:rsidRPr="009766C9">
        <w:t xml:space="preserve">(Roach et al., 2018). </w:t>
      </w:r>
      <w:r w:rsidRPr="00631761">
        <w:t>The percentage of men having a change in management did not differ significantly between men with intermediate vs. high-risk features</w:t>
      </w:r>
      <w:r w:rsidR="005621C0">
        <w:t>, although the point estimate was lower in the former</w:t>
      </w:r>
      <w:r w:rsidRPr="00631761">
        <w:t xml:space="preserve"> (16% vs. 22%,</w:t>
      </w:r>
      <w:r>
        <w:t xml:space="preserve"> respectively;</w:t>
      </w:r>
      <w:r w:rsidRPr="00631761">
        <w:t xml:space="preserve"> p = </w:t>
      </w:r>
      <w:r>
        <w:t>not significant [</w:t>
      </w:r>
      <w:r w:rsidRPr="00631761">
        <w:t>NS</w:t>
      </w:r>
      <w:r>
        <w:t>]</w:t>
      </w:r>
      <w:r w:rsidRPr="00631761">
        <w:t>).</w:t>
      </w:r>
    </w:p>
    <w:p w14:paraId="0F7AB106" w14:textId="40F6D4C8" w:rsidR="009766C9" w:rsidRDefault="003E585F" w:rsidP="003E0C21">
      <w:pPr>
        <w:pStyle w:val="Heading3"/>
        <w:spacing w:before="240"/>
      </w:pPr>
      <w:r>
        <w:t>Restaging</w:t>
      </w:r>
    </w:p>
    <w:p w14:paraId="0496592B" w14:textId="7E3DBD24" w:rsidR="009766C9" w:rsidRDefault="009766C9" w:rsidP="009766C9">
      <w:r>
        <w:t>The ADAR suggest</w:t>
      </w:r>
      <w:r w:rsidR="00970108">
        <w:t>ed</w:t>
      </w:r>
      <w:r>
        <w:t xml:space="preserve"> that 21 studies – described as non-randomised comparative studies provide evidence on the change in management impact of PSMA PET/CT compared with CVI. According to the</w:t>
      </w:r>
      <w:r w:rsidRPr="00155E6B">
        <w:t xml:space="preserve"> </w:t>
      </w:r>
      <w:r w:rsidR="00017FDD">
        <w:t>ADAR</w:t>
      </w:r>
      <w:r>
        <w:t xml:space="preserve">, </w:t>
      </w:r>
      <w:r w:rsidRPr="00155E6B">
        <w:t xml:space="preserve">PSMA PET/CT </w:t>
      </w:r>
      <w:r>
        <w:t xml:space="preserve">may </w:t>
      </w:r>
      <w:r w:rsidRPr="00155E6B">
        <w:t>confer an overall implemented or intended management change in 34</w:t>
      </w:r>
      <w:r>
        <w:t>%</w:t>
      </w:r>
      <w:r w:rsidRPr="00155E6B">
        <w:t xml:space="preserve"> to 77% of </w:t>
      </w:r>
      <w:r>
        <w:t xml:space="preserve">men </w:t>
      </w:r>
      <w:r w:rsidRPr="00155E6B">
        <w:t xml:space="preserve">compared to </w:t>
      </w:r>
      <w:r>
        <w:t>CVI</w:t>
      </w:r>
      <w:bookmarkStart w:id="36" w:name="_Ref68697743"/>
      <w:bookmarkStart w:id="37" w:name="_Toc68703761"/>
      <w:r w:rsidR="00017FDD">
        <w:t>.</w:t>
      </w:r>
    </w:p>
    <w:p w14:paraId="16E776F4" w14:textId="5DDFF02F" w:rsidR="009766C9" w:rsidRDefault="00017FDD" w:rsidP="003E0C21">
      <w:pPr>
        <w:spacing w:before="240"/>
      </w:pPr>
      <w:r>
        <w:t xml:space="preserve">However, the </w:t>
      </w:r>
      <w:r w:rsidR="007725FF">
        <w:t xml:space="preserve">Commentary </w:t>
      </w:r>
      <w:r>
        <w:t xml:space="preserve">noted </w:t>
      </w:r>
      <w:r w:rsidR="009766C9">
        <w:t xml:space="preserve">these studies </w:t>
      </w:r>
      <w:r>
        <w:t>were</w:t>
      </w:r>
      <w:r w:rsidR="009766C9">
        <w:t xml:space="preserve"> non-comparative</w:t>
      </w:r>
      <w:r w:rsidR="00970108">
        <w:t>, single-arm</w:t>
      </w:r>
      <w:r w:rsidR="009766C9">
        <w:t xml:space="preserve"> PSMA PET/CT studies in which CVI, where mentioned, was performed prior to PSMA PET/CT imaging. Prior negative or equivocal findings on CVI was an inclusion criterion </w:t>
      </w:r>
      <w:r>
        <w:t xml:space="preserve">in five of the included studies. </w:t>
      </w:r>
      <w:r w:rsidR="009766C9">
        <w:t>In the remaining studies, patients underwent prior CVI without the need for an equivocal or n</w:t>
      </w:r>
      <w:r>
        <w:t>egative finding being specified</w:t>
      </w:r>
      <w:r w:rsidR="00970108">
        <w:t xml:space="preserve"> for PSMA PET/CT</w:t>
      </w:r>
      <w:r>
        <w:t>.</w:t>
      </w:r>
    </w:p>
    <w:p w14:paraId="01E6D137" w14:textId="04FDB133" w:rsidR="003E585F" w:rsidRDefault="00BA1D7D" w:rsidP="003E0C21">
      <w:pPr>
        <w:spacing w:before="240"/>
      </w:pPr>
      <w:r>
        <w:t>T</w:t>
      </w:r>
      <w:r w:rsidR="00017FDD" w:rsidRPr="00017FDD">
        <w:t xml:space="preserve">he </w:t>
      </w:r>
      <w:r w:rsidR="007725FF" w:rsidRPr="00017FDD">
        <w:t>C</w:t>
      </w:r>
      <w:r w:rsidR="00017FDD" w:rsidRPr="00017FDD">
        <w:t xml:space="preserve">ommentary noted </w:t>
      </w:r>
      <w:r w:rsidR="009766C9" w:rsidRPr="00017FDD">
        <w:t xml:space="preserve">that </w:t>
      </w:r>
      <w:r w:rsidR="00017FDD" w:rsidRPr="00017FDD">
        <w:t>the</w:t>
      </w:r>
      <w:r w:rsidR="009766C9" w:rsidRPr="00017FDD">
        <w:t xml:space="preserve"> ADAR </w:t>
      </w:r>
      <w:r w:rsidR="00017FDD" w:rsidRPr="00017FDD">
        <w:t>present</w:t>
      </w:r>
      <w:r w:rsidR="00970108">
        <w:t>ed</w:t>
      </w:r>
      <w:r w:rsidR="00017FDD" w:rsidRPr="00017FDD">
        <w:t xml:space="preserve"> the </w:t>
      </w:r>
      <w:r w:rsidR="009766C9" w:rsidRPr="00017FDD">
        <w:t xml:space="preserve">34% to 77% range as a comparative result, based on the outcomes of second line PSMA PET/CT after prior CVI. Accordingly, the basis for considering the superiority of PSMA PET/CT relative to CVI </w:t>
      </w:r>
      <w:r w:rsidR="00970108">
        <w:t>wa</w:t>
      </w:r>
      <w:r w:rsidR="009766C9" w:rsidRPr="00017FDD">
        <w:t xml:space="preserve">s that PSMA PET/CT is better able to (appropriately) inform treatment decisions than prior CVI. </w:t>
      </w:r>
      <w:r>
        <w:t xml:space="preserve">However, the </w:t>
      </w:r>
      <w:r w:rsidR="007725FF">
        <w:t>C</w:t>
      </w:r>
      <w:r>
        <w:t>ommentary considered there</w:t>
      </w:r>
      <w:r w:rsidR="009766C9" w:rsidRPr="00017FDD">
        <w:t xml:space="preserve"> is a potential that the time between CVI and PSMA PET/CT imaging </w:t>
      </w:r>
      <w:r w:rsidR="00970108">
        <w:t xml:space="preserve">had </w:t>
      </w:r>
      <w:r w:rsidR="009766C9" w:rsidRPr="00017FDD">
        <w:t>a confounding effect on this comparison.</w:t>
      </w:r>
      <w:r w:rsidR="00017FDD" w:rsidRPr="00017FDD">
        <w:t xml:space="preserve"> </w:t>
      </w:r>
      <w:r>
        <w:t>In addition, s</w:t>
      </w:r>
      <w:r w:rsidR="00017FDD" w:rsidRPr="00017FDD">
        <w:t>ome studies specified need for prior negative or equivocal findings</w:t>
      </w:r>
      <w:r>
        <w:t xml:space="preserve"> (k=5)</w:t>
      </w:r>
      <w:r w:rsidR="00017FDD" w:rsidRPr="00017FDD">
        <w:t xml:space="preserve"> on CVI while others did not, suggesting potential differences across </w:t>
      </w:r>
      <w:r w:rsidR="003E585F">
        <w:t xml:space="preserve">the </w:t>
      </w:r>
      <w:r w:rsidR="00017FDD" w:rsidRPr="00017FDD">
        <w:t>included populations</w:t>
      </w:r>
      <w:r>
        <w:t>.</w:t>
      </w:r>
      <w:r w:rsidR="009766C9" w:rsidRPr="00017FDD">
        <w:t xml:space="preserve"> The</w:t>
      </w:r>
      <w:r>
        <w:t xml:space="preserve"> </w:t>
      </w:r>
      <w:r w:rsidR="007725FF">
        <w:t>C</w:t>
      </w:r>
      <w:r>
        <w:t>ommentary considered that the</w:t>
      </w:r>
      <w:r w:rsidR="009766C9" w:rsidRPr="00017FDD">
        <w:t xml:space="preserve"> range </w:t>
      </w:r>
      <w:r w:rsidR="00970108">
        <w:t xml:space="preserve">of results </w:t>
      </w:r>
      <w:r w:rsidR="009766C9" w:rsidRPr="00017FDD">
        <w:t xml:space="preserve">provided </w:t>
      </w:r>
      <w:r w:rsidR="00970108">
        <w:t>wa</w:t>
      </w:r>
      <w:r w:rsidR="009766C9" w:rsidRPr="00017FDD">
        <w:t>s relatively wide (</w:t>
      </w:r>
      <w:r>
        <w:t xml:space="preserve">i.e. </w:t>
      </w:r>
      <w:r w:rsidR="009766C9" w:rsidRPr="00017FDD">
        <w:t>imprecise) but suggest</w:t>
      </w:r>
      <w:r w:rsidR="00970108">
        <w:t>ed</w:t>
      </w:r>
      <w:r w:rsidR="009766C9" w:rsidRPr="00017FDD">
        <w:t xml:space="preserve"> appreciable benefit,</w:t>
      </w:r>
      <w:r w:rsidR="0096653C">
        <w:t xml:space="preserve"> nonetheless</w:t>
      </w:r>
      <w:r w:rsidR="003E585F">
        <w:t>.</w:t>
      </w:r>
    </w:p>
    <w:bookmarkEnd w:id="36"/>
    <w:bookmarkEnd w:id="37"/>
    <w:p w14:paraId="642BFD92" w14:textId="09A26F6D" w:rsidR="009766C9" w:rsidRPr="0025153A" w:rsidRDefault="009766C9" w:rsidP="00970108">
      <w:pPr>
        <w:spacing w:before="240"/>
      </w:pPr>
      <w:r>
        <w:t xml:space="preserve">As an exploration of the Australian context, the </w:t>
      </w:r>
      <w:r w:rsidR="00BA1D7D">
        <w:t>ADAR</w:t>
      </w:r>
      <w:r>
        <w:t xml:space="preserve"> focused on one of the included </w:t>
      </w:r>
      <w:r w:rsidR="00C61F6F">
        <w:t>clinical utility</w:t>
      </w:r>
      <w:r>
        <w:t xml:space="preserve"> studies (Roach et al., 2018). In Roach et al. (2018), PSMA PET/CT led to a change in planned management in 61.5% of </w:t>
      </w:r>
      <w:r w:rsidR="0096653C">
        <w:t>patients in the setting of BCR.</w:t>
      </w:r>
      <w:r w:rsidR="00970108">
        <w:t xml:space="preserve"> </w:t>
      </w:r>
      <w:r w:rsidRPr="00AF07B8">
        <w:t xml:space="preserve">The </w:t>
      </w:r>
      <w:r w:rsidR="007725FF">
        <w:t>C</w:t>
      </w:r>
      <w:r w:rsidR="00BA1D7D">
        <w:t xml:space="preserve">ommentary noted that </w:t>
      </w:r>
      <w:r w:rsidR="00970108">
        <w:t>this result</w:t>
      </w:r>
      <w:r w:rsidRPr="00AF07B8">
        <w:t xml:space="preserve"> </w:t>
      </w:r>
      <w:r>
        <w:t xml:space="preserve">of </w:t>
      </w:r>
      <w:r w:rsidRPr="00AF07B8">
        <w:t>61.5% falls within the range</w:t>
      </w:r>
      <w:r>
        <w:t xml:space="preserve"> </w:t>
      </w:r>
      <w:r w:rsidRPr="00AF07B8">
        <w:t>(albeit toward</w:t>
      </w:r>
      <w:r>
        <w:t>s</w:t>
      </w:r>
      <w:r w:rsidRPr="00AF07B8">
        <w:t xml:space="preserve"> the upper end) provided by the </w:t>
      </w:r>
      <w:r w:rsidR="00BA1D7D">
        <w:t>ADAR</w:t>
      </w:r>
      <w:r w:rsidRPr="00AF07B8">
        <w:t>.</w:t>
      </w:r>
      <w:r>
        <w:t xml:space="preserve"> This </w:t>
      </w:r>
      <w:r w:rsidR="00A03277">
        <w:t>result</w:t>
      </w:r>
      <w:r>
        <w:t xml:space="preserve"> is applicable to the Australian setting; however, patients were required to have prior negative or equivocal findings on CVI</w:t>
      </w:r>
      <w:r w:rsidR="0096653C">
        <w:t xml:space="preserve"> (i.e. second line PSMA PET/CT) rather than first line PSMA PET/CT as per the proposed MBS population</w:t>
      </w:r>
      <w:r>
        <w:t>. Accordingly, it seems that, in Australia practice, PSMA PET/CT can provide new information to better inform management decisions in a large proportion of patients.</w:t>
      </w:r>
    </w:p>
    <w:p w14:paraId="06ABB69D" w14:textId="39341DAB" w:rsidR="009766C9" w:rsidRDefault="009766C9" w:rsidP="009766C9">
      <w:pPr>
        <w:spacing w:before="240"/>
      </w:pPr>
      <w:r>
        <w:t xml:space="preserve">The 61.5% estimate </w:t>
      </w:r>
      <w:r w:rsidR="00970108">
        <w:t>wa</w:t>
      </w:r>
      <w:r>
        <w:t xml:space="preserve">s used in the ADAR’s cost consequence analysis (CCA), where it </w:t>
      </w:r>
      <w:r w:rsidR="00970108">
        <w:t xml:space="preserve">was </w:t>
      </w:r>
      <w:r>
        <w:t xml:space="preserve">inferred </w:t>
      </w:r>
      <w:r w:rsidR="00970108">
        <w:t xml:space="preserve">as </w:t>
      </w:r>
      <w:r>
        <w:t xml:space="preserve">the incremental impact of PSMA PET/CT over CVI (a value of 0% </w:t>
      </w:r>
      <w:r w:rsidR="00970108">
        <w:t>wa</w:t>
      </w:r>
      <w:r>
        <w:t>s assigned to the CVI arm).</w:t>
      </w:r>
    </w:p>
    <w:p w14:paraId="04896015" w14:textId="2E690251" w:rsidR="009766C9" w:rsidRDefault="00BC6BFF" w:rsidP="003E0C21">
      <w:pPr>
        <w:spacing w:before="240"/>
      </w:pPr>
      <w:r>
        <w:t>However, t</w:t>
      </w:r>
      <w:r w:rsidR="0096653C">
        <w:t xml:space="preserve">he </w:t>
      </w:r>
      <w:r w:rsidR="007725FF">
        <w:t>C</w:t>
      </w:r>
      <w:r w:rsidR="0096653C">
        <w:t>ommentary noted i</w:t>
      </w:r>
      <w:r w:rsidR="009766C9">
        <w:t>nferring an incremental impact of 61.5% inherently assume</w:t>
      </w:r>
      <w:r w:rsidR="00970108">
        <w:t>d</w:t>
      </w:r>
      <w:r w:rsidR="009766C9">
        <w:t xml:space="preserve"> the time between CVI and PSMA PET/CT ha</w:t>
      </w:r>
      <w:r w:rsidR="00970108">
        <w:t>d</w:t>
      </w:r>
      <w:r w:rsidR="009766C9">
        <w:t xml:space="preserve"> no confounding effect. The time interval was not specified in the Roach et al. (2018) study, therefore this </w:t>
      </w:r>
      <w:r w:rsidR="00970108">
        <w:t>wa</w:t>
      </w:r>
      <w:r w:rsidR="009766C9">
        <w:t>s unclear</w:t>
      </w:r>
      <w:r w:rsidR="0096653C">
        <w:t>.</w:t>
      </w:r>
    </w:p>
    <w:p w14:paraId="5B434C0E" w14:textId="353172B8" w:rsidR="0055353B" w:rsidRDefault="0055353B" w:rsidP="003E0C21">
      <w:pPr>
        <w:pStyle w:val="Heading2"/>
        <w:spacing w:before="240" w:after="240"/>
      </w:pPr>
      <w:r w:rsidRPr="0055353B">
        <w:t>Therapeutic effectiveness (health benefit from change in management)</w:t>
      </w:r>
    </w:p>
    <w:p w14:paraId="797E7E32" w14:textId="46993C33" w:rsidR="00F34E3A" w:rsidRDefault="00F34E3A" w:rsidP="00F34E3A">
      <w:pPr>
        <w:pStyle w:val="Heading3"/>
      </w:pPr>
      <w:r>
        <w:t>P</w:t>
      </w:r>
      <w:r w:rsidR="003E585F">
        <w:t>rimary staging</w:t>
      </w:r>
    </w:p>
    <w:p w14:paraId="450AD63C" w14:textId="0C59718F" w:rsidR="0055353B" w:rsidRDefault="00F34E3A" w:rsidP="0055353B">
      <w:r>
        <w:t xml:space="preserve">The </w:t>
      </w:r>
      <w:r w:rsidR="007725FF">
        <w:t>C</w:t>
      </w:r>
      <w:r>
        <w:t>ommentary noted there was n</w:t>
      </w:r>
      <w:r w:rsidRPr="00F34E3A">
        <w:t xml:space="preserve">o evidence (comparative or </w:t>
      </w:r>
      <w:proofErr w:type="gramStart"/>
      <w:r w:rsidRPr="00F34E3A">
        <w:t>single-arm</w:t>
      </w:r>
      <w:proofErr w:type="gramEnd"/>
      <w:r w:rsidRPr="00F34E3A">
        <w:t>) on the impact of PSMA PET/CT on commonly used metrics of overall long-term oncological outcomes</w:t>
      </w:r>
    </w:p>
    <w:p w14:paraId="1A0F0E73" w14:textId="5130FA19" w:rsidR="00F34E3A" w:rsidRDefault="003E585F" w:rsidP="003E0C21">
      <w:pPr>
        <w:pStyle w:val="Heading3"/>
        <w:spacing w:before="240"/>
      </w:pPr>
      <w:r>
        <w:t>Restaging</w:t>
      </w:r>
    </w:p>
    <w:p w14:paraId="09521A30" w14:textId="72C3C9DF" w:rsidR="00F34E3A" w:rsidRDefault="00F34E3A" w:rsidP="00F34E3A">
      <w:r>
        <w:t>In the Emmett et al. (2020)</w:t>
      </w:r>
      <w:r>
        <w:rPr>
          <w:rStyle w:val="FootnoteReference"/>
          <w:iCs/>
        </w:rPr>
        <w:footnoteReference w:id="18"/>
      </w:r>
      <w:r>
        <w:t xml:space="preserve"> study, the use of more extensive salvage RT fields and the use of </w:t>
      </w:r>
      <w:r w:rsidRPr="00C36FC0">
        <w:t>androgen deprivation therapy</w:t>
      </w:r>
      <w:r>
        <w:t xml:space="preserve"> (ADT) were significantly more likely in men with PSMA PET/CT findings positive (</w:t>
      </w:r>
      <w:r w:rsidRPr="00803103">
        <w:t>vs</w:t>
      </w:r>
      <w:r w:rsidR="00803103">
        <w:t>.</w:t>
      </w:r>
      <w:r>
        <w:t xml:space="preserve"> negative) for disease recurrence (42% vs</w:t>
      </w:r>
      <w:r w:rsidR="00803103">
        <w:t>.</w:t>
      </w:r>
      <w:r>
        <w:t xml:space="preserve"> 23%, p &lt;0.03; 31% vs. 11%, p </w:t>
      </w:r>
      <w:r w:rsidR="000867C7">
        <w:t>&lt;0.001, respectively).</w:t>
      </w:r>
    </w:p>
    <w:p w14:paraId="3B7F6E72" w14:textId="04E56146" w:rsidR="00F34E3A" w:rsidRDefault="00F34E3A" w:rsidP="003E0C21">
      <w:pPr>
        <w:spacing w:before="240"/>
      </w:pPr>
      <w:r>
        <w:t xml:space="preserve">Freedom from progression (FFP) at 3 years was </w:t>
      </w:r>
      <w:r w:rsidR="000C16FF">
        <w:t>reported</w:t>
      </w:r>
      <w:r>
        <w:t xml:space="preserve"> in 64.5% (120/186) of men who received salvage RT. Of men receiving salvage RT, those with negative PSMA PET/CT results or disease identified as still confined to the prostatic fossa, </w:t>
      </w:r>
      <w:r w:rsidR="000C16FF">
        <w:t>reported</w:t>
      </w:r>
      <w:r>
        <w:t xml:space="preserve"> significantly higher FFP at 3 years than men with PSMA PET-positive disease identified outside the prostatic fossa (81.0% vs. 45.3%, p &lt;0.0001).</w:t>
      </w:r>
    </w:p>
    <w:p w14:paraId="22BCDF30" w14:textId="67827798" w:rsidR="00F34E3A" w:rsidRDefault="00F34E3A" w:rsidP="003E0C21">
      <w:pPr>
        <w:spacing w:before="240"/>
      </w:pPr>
      <w:r>
        <w:t>In the Phillips et al. (2020)</w:t>
      </w:r>
      <w:r>
        <w:rPr>
          <w:rStyle w:val="FootnoteReference"/>
        </w:rPr>
        <w:footnoteReference w:id="19"/>
      </w:r>
      <w:r>
        <w:t xml:space="preserve"> RCT, participants randomised to stereotactic ablative radiotherapy (SABR) underwent </w:t>
      </w:r>
      <w:r w:rsidRPr="00340B18">
        <w:rPr>
          <w:vertAlign w:val="superscript"/>
        </w:rPr>
        <w:t>18</w:t>
      </w:r>
      <w:r w:rsidRPr="009C541D">
        <w:t>F-DCFPyL PET/CT</w:t>
      </w:r>
      <w:r>
        <w:t xml:space="preserve"> at baseline and again a</w:t>
      </w:r>
      <w:r w:rsidR="000C16FF">
        <w:t>t</w:t>
      </w:r>
      <w:r>
        <w:t xml:space="preserve"> day 180; however, the investigative team was blinded to PSMA PET/CT data during SABR treatment planning. Thus, SABR treatment fields were based on CT, </w:t>
      </w:r>
      <w:r w:rsidRPr="003D0997">
        <w:t>not</w:t>
      </w:r>
      <w:r>
        <w:t xml:space="preserve"> PSMA PET/CT, providing the basis for analyses provided.</w:t>
      </w:r>
      <w:r w:rsidRPr="00E6685C">
        <w:t xml:space="preserve"> </w:t>
      </w:r>
      <w:r>
        <w:t>Overall, 16 of the 36 patients (45%) receiving SABR had baseline PET-positive lesions that were not included in the SABR treatment field because they were undetected on treatment-planning CT.</w:t>
      </w:r>
    </w:p>
    <w:p w14:paraId="42CAEAC3" w14:textId="722720FC" w:rsidR="00F34E3A" w:rsidRDefault="00F34E3A" w:rsidP="003E0C21">
      <w:pPr>
        <w:spacing w:before="240"/>
      </w:pPr>
      <w:r>
        <w:t>At 6 months, a significantly higher proportion of patients with any untreated lesions experienced progression compared with patients with no untreated lesions (38% vs. 5%, p = 0.03). Progression-free survival (PFS) and distant metastases-free survival (DMFS) were reduced in patients with any untreated lesions compared with patients in whom all detectable lesions were ablated (</w:t>
      </w:r>
      <w:r w:rsidR="000C16FF">
        <w:t>hazard rati</w:t>
      </w:r>
      <w:r>
        <w:t>o [HR] 0.26, p = 0.006; HR 0.19, p &lt;0.001, PFS and DMFS, respectively).</w:t>
      </w:r>
    </w:p>
    <w:p w14:paraId="7D9D08C3" w14:textId="208C9891" w:rsidR="00F34E3A" w:rsidRDefault="00F34E3A" w:rsidP="003E0C21">
      <w:pPr>
        <w:spacing w:before="240"/>
      </w:pPr>
      <w:r w:rsidRPr="005665F2">
        <w:t xml:space="preserve">As noted by the </w:t>
      </w:r>
      <w:r>
        <w:t>ADAR,</w:t>
      </w:r>
      <w:r w:rsidRPr="005665F2">
        <w:t xml:space="preserve"> CT d</w:t>
      </w:r>
      <w:r w:rsidR="000C16FF">
        <w:t>id</w:t>
      </w:r>
      <w:r w:rsidRPr="005665F2">
        <w:t xml:space="preserve"> not detect all metastases compared to PSMA PET/CT, impacting on treatment planning for SABR and resulting in poorer PFS and DMFS</w:t>
      </w:r>
      <w:r w:rsidRPr="00F41C7B">
        <w:rPr>
          <w:i/>
          <w:iCs/>
        </w:rPr>
        <w:t>.</w:t>
      </w:r>
      <w:r>
        <w:rPr>
          <w:i/>
          <w:iCs/>
        </w:rPr>
        <w:t xml:space="preserve"> </w:t>
      </w:r>
      <w:r w:rsidRPr="00914EFE">
        <w:t xml:space="preserve">The </w:t>
      </w:r>
      <w:r>
        <w:t>ADAR</w:t>
      </w:r>
      <w:r w:rsidRPr="00914EFE">
        <w:t xml:space="preserve"> inferred that the results suggest</w:t>
      </w:r>
      <w:r w:rsidR="000C16FF">
        <w:t>ed</w:t>
      </w:r>
      <w:r w:rsidRPr="00914EFE">
        <w:t xml:space="preserve"> </w:t>
      </w:r>
      <w:r>
        <w:t xml:space="preserve">that </w:t>
      </w:r>
      <w:r w:rsidRPr="00914EFE">
        <w:t>change in management following PSMA PET/CT is associated with improved metastases</w:t>
      </w:r>
      <w:r>
        <w:t>-</w:t>
      </w:r>
      <w:r w:rsidRPr="00914EFE">
        <w:t>free survival and PFS c</w:t>
      </w:r>
      <w:r>
        <w:t>ompared to conventional imaging</w:t>
      </w:r>
      <w:r w:rsidRPr="00F34E3A">
        <w:t>. However</w:t>
      </w:r>
      <w:r w:rsidR="007725FF">
        <w:t>,</w:t>
      </w:r>
      <w:r>
        <w:t xml:space="preserve"> the </w:t>
      </w:r>
      <w:r w:rsidR="007725FF">
        <w:t>C</w:t>
      </w:r>
      <w:r>
        <w:t>ommentary noted this</w:t>
      </w:r>
      <w:r w:rsidRPr="00F34E3A">
        <w:t xml:space="preserve"> is based on speculation rather than evidence linking PSMA PET/CT to improved oncologic outcomes. Nonetheless, </w:t>
      </w:r>
      <w:r w:rsidR="000A374F">
        <w:t xml:space="preserve">the </w:t>
      </w:r>
      <w:r w:rsidR="007725FF">
        <w:t>C</w:t>
      </w:r>
      <w:r w:rsidR="000A374F">
        <w:t xml:space="preserve">ommentary considered </w:t>
      </w:r>
      <w:r w:rsidRPr="00F34E3A">
        <w:t>it is possible that</w:t>
      </w:r>
      <w:r w:rsidR="000C16FF">
        <w:t>,</w:t>
      </w:r>
      <w:r w:rsidRPr="00F34E3A">
        <w:t xml:space="preserve"> if untreated PSMA-positive lesions had been included in SABR treatment fields, patients may have experienced improved PFS and DMFS. Theref</w:t>
      </w:r>
      <w:r w:rsidR="00365211">
        <w:t>ore, the inference made by the a</w:t>
      </w:r>
      <w:r w:rsidRPr="00F34E3A">
        <w:t>pplicant seem</w:t>
      </w:r>
      <w:r w:rsidR="000C16FF">
        <w:t>ed</w:t>
      </w:r>
      <w:r w:rsidRPr="00F34E3A">
        <w:t xml:space="preserve"> reasonable.</w:t>
      </w:r>
    </w:p>
    <w:p w14:paraId="56689DE0" w14:textId="075FE41C" w:rsidR="00D07959" w:rsidRDefault="00D07959" w:rsidP="007D45E4">
      <w:pPr>
        <w:pStyle w:val="Heading2"/>
        <w:spacing w:before="240"/>
      </w:pPr>
      <w:r w:rsidRPr="00D07959">
        <w:t>Summary in relation to clinical claim</w:t>
      </w:r>
    </w:p>
    <w:p w14:paraId="236D15DF" w14:textId="7CA0E776" w:rsidR="00D07959" w:rsidRDefault="009340F2" w:rsidP="00D07959">
      <w:r>
        <w:t>B</w:t>
      </w:r>
      <w:r w:rsidR="00D07959">
        <w:t>as</w:t>
      </w:r>
      <w:r>
        <w:t>ed</w:t>
      </w:r>
      <w:r w:rsidR="00D07959">
        <w:t xml:space="preserve"> o</w:t>
      </w:r>
      <w:r>
        <w:t>n</w:t>
      </w:r>
      <w:r w:rsidR="00D07959">
        <w:t xml:space="preserve"> the benefits and harms reported in the evidence base (summarised above), </w:t>
      </w:r>
      <w:r w:rsidR="000C16FF">
        <w:t xml:space="preserve">the ADAR </w:t>
      </w:r>
      <w:r w:rsidR="00D07959">
        <w:t>suggested that, relative to CVI, PSMA PET/CT (using any radio</w:t>
      </w:r>
      <w:r w:rsidR="00CD41BB">
        <w:t xml:space="preserve">pharmaceutical </w:t>
      </w:r>
      <w:r w:rsidR="00D07959">
        <w:t>tracer) has superior safety and superior effectiveness.</w:t>
      </w:r>
    </w:p>
    <w:p w14:paraId="2AECCBC7" w14:textId="3F953D95" w:rsidR="00D07959" w:rsidRDefault="00D07959" w:rsidP="007D45E4">
      <w:pPr>
        <w:spacing w:before="240"/>
      </w:pPr>
      <w:r>
        <w:t xml:space="preserve">The </w:t>
      </w:r>
      <w:r w:rsidR="007725FF">
        <w:t>C</w:t>
      </w:r>
      <w:r>
        <w:t>ommentary considered that the evidence presented in the ADAR support</w:t>
      </w:r>
      <w:r w:rsidR="000C16FF">
        <w:t>ed</w:t>
      </w:r>
      <w:r>
        <w:t xml:space="preserve"> the claim that PSMA PET/CT has superior safety when both WBBS and abdominopelvic CT are used. When only one, or neither, comparator modality is used, the comparative safety of PSMA PET/CT </w:t>
      </w:r>
      <w:r w:rsidR="000C16FF">
        <w:t>wa</w:t>
      </w:r>
      <w:r>
        <w:t>s unclear, although likely to be at least non-inferior, as no serious safety concerns related to PSMA PET/CT use were identified. Safety data was limited to the 68Ga-PSMA-11 and 18F-DCFPyL radio</w:t>
      </w:r>
      <w:r w:rsidR="00CD41BB">
        <w:t xml:space="preserve">pharmaceutical </w:t>
      </w:r>
      <w:r>
        <w:t>tracers.</w:t>
      </w:r>
    </w:p>
    <w:p w14:paraId="59525ADF" w14:textId="789E7F8B" w:rsidR="00D07959" w:rsidRDefault="00D07959" w:rsidP="007D45E4">
      <w:pPr>
        <w:spacing w:before="240"/>
      </w:pPr>
      <w:r>
        <w:t xml:space="preserve">The </w:t>
      </w:r>
      <w:r w:rsidR="007725FF">
        <w:t>C</w:t>
      </w:r>
      <w:r>
        <w:t>ommentary also considered it seem</w:t>
      </w:r>
      <w:r w:rsidR="000C16FF">
        <w:t>ed</w:t>
      </w:r>
      <w:r>
        <w:t xml:space="preserve"> reasonable to conclude that PSMA PET/CT is superior to CVI in terms of analytical validity, clinical </w:t>
      </w:r>
      <w:proofErr w:type="gramStart"/>
      <w:r>
        <w:t>validity</w:t>
      </w:r>
      <w:proofErr w:type="gramEnd"/>
      <w:r>
        <w:t xml:space="preserve"> and </w:t>
      </w:r>
      <w:r w:rsidR="00C61F6F">
        <w:t>clinical utility</w:t>
      </w:r>
      <w:r>
        <w:t>.</w:t>
      </w:r>
      <w:r w:rsidR="00C61F6F">
        <w:t xml:space="preserve"> </w:t>
      </w:r>
      <w:r>
        <w:t>Insufficient evidence was available to conclu</w:t>
      </w:r>
      <w:r w:rsidR="000C16FF">
        <w:t>de that</w:t>
      </w:r>
      <w:r>
        <w:t xml:space="preserve"> PSMA PET/CT is superior in terms of therapeutic effectiveness.</w:t>
      </w:r>
    </w:p>
    <w:p w14:paraId="005221C9" w14:textId="1B1A24CF" w:rsidR="00D22C51" w:rsidRPr="00B02E35" w:rsidRDefault="00D07959" w:rsidP="007D45E4">
      <w:pPr>
        <w:spacing w:before="240"/>
      </w:pPr>
      <w:r>
        <w:t xml:space="preserve">The </w:t>
      </w:r>
      <w:r w:rsidR="007725FF">
        <w:t>C</w:t>
      </w:r>
      <w:r>
        <w:t>ommentary noted that equivalence across PSMA radio</w:t>
      </w:r>
      <w:r w:rsidR="00CD41BB">
        <w:t xml:space="preserve">pharmaceutical </w:t>
      </w:r>
      <w:r>
        <w:t xml:space="preserve">tracers </w:t>
      </w:r>
      <w:r w:rsidR="006B2CE8">
        <w:t>wa</w:t>
      </w:r>
      <w:r>
        <w:t>s uncertain. According to EAU guidelines, at present there are no conclusive data about comparisons across radio</w:t>
      </w:r>
      <w:r w:rsidR="00CD41BB">
        <w:t xml:space="preserve">pharmaceutical </w:t>
      </w:r>
      <w:r>
        <w:t>tracers (</w:t>
      </w:r>
      <w:proofErr w:type="spellStart"/>
      <w:r>
        <w:t>Mottet</w:t>
      </w:r>
      <w:proofErr w:type="spellEnd"/>
      <w:r>
        <w:t xml:space="preserve"> et al., 2021).</w:t>
      </w:r>
    </w:p>
    <w:p w14:paraId="528DD5FF" w14:textId="38994150" w:rsidR="003B02B8" w:rsidRPr="006271C5" w:rsidRDefault="00065623" w:rsidP="009B2ECD">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Economic evaluation</w:t>
      </w:r>
    </w:p>
    <w:p w14:paraId="7F328598" w14:textId="4A578A48" w:rsidR="009B2ECD" w:rsidRDefault="009B2ECD" w:rsidP="009B2ECD">
      <w:r>
        <w:t>The economic evaluation was undertaken in three steps:</w:t>
      </w:r>
    </w:p>
    <w:p w14:paraId="503C0709" w14:textId="3C8F2160" w:rsidR="009B2ECD" w:rsidRDefault="009B2ECD" w:rsidP="009B2ECD">
      <w:pPr>
        <w:pStyle w:val="ListParagraph"/>
        <w:numPr>
          <w:ilvl w:val="0"/>
          <w:numId w:val="23"/>
        </w:numPr>
      </w:pPr>
      <w:r>
        <w:t xml:space="preserve">Step 1 </w:t>
      </w:r>
      <w:r w:rsidR="006B2CE8">
        <w:t>wa</w:t>
      </w:r>
      <w:r>
        <w:t>s a trial-based cost consequence analysis</w:t>
      </w:r>
      <w:r w:rsidR="00AE45BE">
        <w:t xml:space="preserve"> (CCA)</w:t>
      </w:r>
      <w:r>
        <w:t xml:space="preserve"> </w:t>
      </w:r>
      <w:proofErr w:type="gramStart"/>
      <w:r>
        <w:t>taking into account</w:t>
      </w:r>
      <w:proofErr w:type="gramEnd"/>
      <w:r>
        <w:t xml:space="preserve"> costs of imaging and outcomes of diagnostic PPV and NPV, change in management and equivocal findings.</w:t>
      </w:r>
    </w:p>
    <w:p w14:paraId="29E6D6FD" w14:textId="3848F305" w:rsidR="009B2ECD" w:rsidRDefault="009B2ECD" w:rsidP="009B2ECD">
      <w:pPr>
        <w:pStyle w:val="ListParagraph"/>
        <w:numPr>
          <w:ilvl w:val="0"/>
          <w:numId w:val="23"/>
        </w:numPr>
      </w:pPr>
      <w:r>
        <w:t xml:space="preserve">Step 2 </w:t>
      </w:r>
      <w:r w:rsidR="006B2CE8">
        <w:t>wa</w:t>
      </w:r>
      <w:r>
        <w:t xml:space="preserve">s a trial-based </w:t>
      </w:r>
      <w:r w:rsidR="00AE45BE">
        <w:t xml:space="preserve">cost-effectiveness </w:t>
      </w:r>
      <w:r>
        <w:t>analysis</w:t>
      </w:r>
      <w:r w:rsidR="00AE45BE">
        <w:t xml:space="preserve"> (CEA)</w:t>
      </w:r>
      <w:r>
        <w:t xml:space="preserve"> presented as cost per accurate diagnosis and cost per harmful treatment avoided.</w:t>
      </w:r>
    </w:p>
    <w:p w14:paraId="373F2507" w14:textId="32CBB1C0" w:rsidR="009B2ECD" w:rsidRDefault="009B2ECD" w:rsidP="009B2ECD">
      <w:pPr>
        <w:pStyle w:val="ListParagraph"/>
        <w:numPr>
          <w:ilvl w:val="0"/>
          <w:numId w:val="23"/>
        </w:numPr>
      </w:pPr>
      <w:r>
        <w:t xml:space="preserve">Step 3 </w:t>
      </w:r>
      <w:r w:rsidR="006B2CE8">
        <w:t>wa</w:t>
      </w:r>
      <w:r>
        <w:t>s a cost-utility analysis (CUA) in which diagnostic accuracy and subsequent management was linked to long-term survival and quality of life over a 10</w:t>
      </w:r>
      <w:r w:rsidR="006B2CE8">
        <w:t>-</w:t>
      </w:r>
      <w:r>
        <w:t>year time horizon.</w:t>
      </w:r>
    </w:p>
    <w:p w14:paraId="745C9DE0" w14:textId="023AB25C" w:rsidR="009B2ECD" w:rsidRDefault="009B2ECD" w:rsidP="009B2ECD">
      <w:r w:rsidRPr="009B2ECD">
        <w:t xml:space="preserve">The structure of the model is a hybrid decision tree-Markov model based on the economic evaluations of PSMA PET in Australia by de Feria </w:t>
      </w:r>
      <w:proofErr w:type="spellStart"/>
      <w:r w:rsidRPr="009B2ECD">
        <w:t>Cardet</w:t>
      </w:r>
      <w:proofErr w:type="spellEnd"/>
      <w:r w:rsidRPr="009B2ECD">
        <w:t xml:space="preserve"> et al. (2020) and Gordon et al. (2020).</w:t>
      </w:r>
    </w:p>
    <w:p w14:paraId="14EB87AE" w14:textId="6142E7E7" w:rsidR="00AE45BE" w:rsidRDefault="009B2ECD" w:rsidP="007D45E4">
      <w:pPr>
        <w:spacing w:before="240"/>
      </w:pPr>
      <w:r>
        <w:t xml:space="preserve">The subsequent treatments resulting from the test results </w:t>
      </w:r>
      <w:r w:rsidR="006B2CE8">
        <w:t>we</w:t>
      </w:r>
      <w:r>
        <w:t>re taken from clinical guidelines (EAU</w:t>
      </w:r>
      <w:r w:rsidR="00AE45BE">
        <w:t>).</w:t>
      </w:r>
    </w:p>
    <w:p w14:paraId="14E86E49" w14:textId="354DD794" w:rsidR="009B2ECD" w:rsidRDefault="009B2ECD" w:rsidP="007D45E4">
      <w:pPr>
        <w:spacing w:before="240"/>
      </w:pPr>
      <w:r w:rsidRPr="00587211">
        <w:t xml:space="preserve">A summary of the key characteristics of the economic evaluation is given </w:t>
      </w:r>
      <w:r>
        <w:t xml:space="preserve">in </w:t>
      </w:r>
      <w:r w:rsidR="00AE45BE">
        <w:t>Table 9</w:t>
      </w:r>
      <w:r>
        <w:t>.</w:t>
      </w:r>
      <w:r w:rsidR="00AE45BE" w:rsidRPr="00AE45BE">
        <w:t xml:space="preserve"> </w:t>
      </w:r>
      <w:r w:rsidR="00AE45BE">
        <w:t>CVI is t</w:t>
      </w:r>
      <w:r w:rsidR="00AE45BE" w:rsidRPr="00F46CBE">
        <w:t>he</w:t>
      </w:r>
      <w:r w:rsidR="00AE45BE">
        <w:t xml:space="preserve"> </w:t>
      </w:r>
      <w:r w:rsidR="00AE45BE" w:rsidRPr="00F46CBE">
        <w:t>compar</w:t>
      </w:r>
      <w:r w:rsidR="00AE45BE">
        <w:t>a</w:t>
      </w:r>
      <w:r w:rsidR="00AE45BE" w:rsidRPr="00F46CBE">
        <w:t>t</w:t>
      </w:r>
      <w:r w:rsidR="00AE45BE">
        <w:t xml:space="preserve">or considered for </w:t>
      </w:r>
      <w:r w:rsidR="003E585F">
        <w:t>primary staging</w:t>
      </w:r>
      <w:r w:rsidR="00AE45BE">
        <w:t>; t</w:t>
      </w:r>
      <w:r w:rsidR="00AE45BE" w:rsidRPr="00F46CBE">
        <w:t xml:space="preserve">he comparator for </w:t>
      </w:r>
      <w:r w:rsidR="003E585F">
        <w:t>restaging</w:t>
      </w:r>
      <w:r w:rsidR="00AE45BE" w:rsidRPr="00F46CBE">
        <w:t xml:space="preserve"> is also </w:t>
      </w:r>
      <w:r w:rsidR="00AE45BE">
        <w:t xml:space="preserve">CVI, </w:t>
      </w:r>
      <w:r w:rsidR="00AE45BE" w:rsidRPr="00F46CBE">
        <w:t>except for a subgroup of patients with PSA</w:t>
      </w:r>
      <w:r w:rsidR="00AE45BE">
        <w:t xml:space="preserve"> </w:t>
      </w:r>
      <w:r w:rsidR="00AE45BE" w:rsidRPr="00F46CBE">
        <w:t>&lt;1.0</w:t>
      </w:r>
      <w:r w:rsidR="008947B2">
        <w:t> </w:t>
      </w:r>
      <w:r w:rsidR="00AE45BE" w:rsidRPr="00F46CBE">
        <w:t>ng/ml</w:t>
      </w:r>
      <w:r w:rsidR="00AE45BE">
        <w:t xml:space="preserve"> where usually no imaging is undertaken.</w:t>
      </w:r>
    </w:p>
    <w:p w14:paraId="34A0765C" w14:textId="5CAA0155" w:rsidR="009B2ECD" w:rsidRDefault="009B2ECD" w:rsidP="009B2ECD">
      <w:pPr>
        <w:pStyle w:val="Caption"/>
      </w:pPr>
      <w:bookmarkStart w:id="38" w:name="_Ref71096696"/>
      <w:bookmarkStart w:id="39" w:name="_Toc71729650"/>
      <w:r>
        <w:t>Table</w:t>
      </w:r>
      <w:bookmarkEnd w:id="38"/>
      <w:r w:rsidR="00AE45BE">
        <w:t xml:space="preserve"> 9</w:t>
      </w:r>
      <w:r>
        <w:tab/>
      </w:r>
      <w:r w:rsidRPr="00587211">
        <w:t>Summary of the economic evaluation</w:t>
      </w:r>
      <w:bookmarkEnd w:id="39"/>
    </w:p>
    <w:tbl>
      <w:tblPr>
        <w:tblStyle w:val="TableGrid1"/>
        <w:tblW w:w="5000" w:type="pct"/>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179"/>
        <w:gridCol w:w="5837"/>
      </w:tblGrid>
      <w:tr w:rsidR="009B2ECD" w:rsidRPr="00587211" w14:paraId="36E3782B" w14:textId="77777777" w:rsidTr="00854FCB">
        <w:trPr>
          <w:cnfStyle w:val="100000000000" w:firstRow="1" w:lastRow="0" w:firstColumn="0" w:lastColumn="0" w:oddVBand="0" w:evenVBand="0" w:oddHBand="0" w:evenHBand="0" w:firstRowFirstColumn="0" w:firstRowLastColumn="0" w:lastRowFirstColumn="0" w:lastRowLastColumn="0"/>
          <w:trHeight w:val="20"/>
        </w:trPr>
        <w:tc>
          <w:tcPr>
            <w:tcW w:w="1763" w:type="pct"/>
          </w:tcPr>
          <w:p w14:paraId="0AE9822A" w14:textId="77777777" w:rsidR="009B2ECD" w:rsidRPr="00587211" w:rsidRDefault="009B2ECD" w:rsidP="00F71DD3">
            <w:pPr>
              <w:pStyle w:val="Tabletext"/>
              <w:widowControl w:val="0"/>
              <w:rPr>
                <w:b/>
              </w:rPr>
            </w:pPr>
            <w:r w:rsidRPr="00587211">
              <w:rPr>
                <w:b/>
              </w:rPr>
              <w:t>Perspective</w:t>
            </w:r>
          </w:p>
        </w:tc>
        <w:tc>
          <w:tcPr>
            <w:tcW w:w="3237" w:type="pct"/>
          </w:tcPr>
          <w:p w14:paraId="3B333776" w14:textId="4CC94BF9" w:rsidR="009B2ECD" w:rsidRPr="00587211" w:rsidRDefault="009B2ECD" w:rsidP="00F71DD3">
            <w:pPr>
              <w:pStyle w:val="Tabletext"/>
              <w:widowControl w:val="0"/>
            </w:pPr>
            <w:r w:rsidRPr="00587211">
              <w:t xml:space="preserve">Australian </w:t>
            </w:r>
            <w:r w:rsidR="006B2CE8" w:rsidRPr="00587211">
              <w:t>h</w:t>
            </w:r>
            <w:r w:rsidRPr="00587211">
              <w:t>ealthcare system</w:t>
            </w:r>
          </w:p>
        </w:tc>
      </w:tr>
      <w:tr w:rsidR="009B2ECD" w:rsidRPr="00587211" w14:paraId="466F19A4" w14:textId="77777777" w:rsidTr="00854FCB">
        <w:trPr>
          <w:trHeight w:val="20"/>
        </w:trPr>
        <w:tc>
          <w:tcPr>
            <w:tcW w:w="1763" w:type="pct"/>
          </w:tcPr>
          <w:p w14:paraId="4F85DC57" w14:textId="77777777" w:rsidR="009B2ECD" w:rsidRPr="00587211" w:rsidRDefault="009B2ECD" w:rsidP="00F71DD3">
            <w:pPr>
              <w:pStyle w:val="Tabletext"/>
              <w:widowControl w:val="0"/>
              <w:rPr>
                <w:b/>
              </w:rPr>
            </w:pPr>
            <w:r w:rsidRPr="00587211">
              <w:rPr>
                <w:b/>
              </w:rPr>
              <w:t>Comparator</w:t>
            </w:r>
          </w:p>
        </w:tc>
        <w:tc>
          <w:tcPr>
            <w:tcW w:w="3237" w:type="pct"/>
          </w:tcPr>
          <w:p w14:paraId="5D62E3D3" w14:textId="77777777" w:rsidR="009B2ECD" w:rsidRDefault="009B2ECD" w:rsidP="00F71DD3">
            <w:pPr>
              <w:pStyle w:val="Tabletext"/>
              <w:widowControl w:val="0"/>
            </w:pPr>
            <w:r>
              <w:t>Primary staging: c</w:t>
            </w:r>
            <w:r w:rsidRPr="00587211">
              <w:t>onventional imaging</w:t>
            </w:r>
          </w:p>
          <w:p w14:paraId="35CAF6E9" w14:textId="68099C65" w:rsidR="009B2ECD" w:rsidRPr="00587211" w:rsidRDefault="009B2ECD" w:rsidP="00F71DD3">
            <w:pPr>
              <w:pStyle w:val="Tabletext"/>
              <w:widowControl w:val="0"/>
            </w:pPr>
            <w:r>
              <w:t>Restaging for BCR: conventional imaging, no imaging</w:t>
            </w:r>
          </w:p>
        </w:tc>
      </w:tr>
      <w:tr w:rsidR="009B2ECD" w:rsidRPr="00587211" w14:paraId="4050D019" w14:textId="77777777" w:rsidTr="00854FCB">
        <w:trPr>
          <w:trHeight w:val="20"/>
        </w:trPr>
        <w:tc>
          <w:tcPr>
            <w:tcW w:w="1763" w:type="pct"/>
          </w:tcPr>
          <w:p w14:paraId="2F378FFB" w14:textId="77777777" w:rsidR="009B2ECD" w:rsidRPr="00587211" w:rsidRDefault="009B2ECD" w:rsidP="00F71DD3">
            <w:pPr>
              <w:pStyle w:val="Tabletext"/>
              <w:widowControl w:val="0"/>
              <w:rPr>
                <w:b/>
              </w:rPr>
            </w:pPr>
            <w:r w:rsidRPr="00587211">
              <w:rPr>
                <w:b/>
              </w:rPr>
              <w:t>Type of economic evaluation</w:t>
            </w:r>
          </w:p>
        </w:tc>
        <w:tc>
          <w:tcPr>
            <w:tcW w:w="3237" w:type="pct"/>
          </w:tcPr>
          <w:p w14:paraId="019B5D24" w14:textId="77777777" w:rsidR="009B2ECD" w:rsidRPr="00587211" w:rsidRDefault="009B2ECD" w:rsidP="00F71DD3">
            <w:pPr>
              <w:pStyle w:val="Tabletext"/>
              <w:widowControl w:val="0"/>
            </w:pPr>
            <w:r w:rsidRPr="00587211">
              <w:t>cost-effectiveness, cost-utility, cost</w:t>
            </w:r>
            <w:r>
              <w:t xml:space="preserve"> </w:t>
            </w:r>
            <w:r w:rsidRPr="00587211">
              <w:t>consequences</w:t>
            </w:r>
          </w:p>
        </w:tc>
      </w:tr>
      <w:tr w:rsidR="009B2ECD" w:rsidRPr="00587211" w14:paraId="5590B9CB" w14:textId="77777777" w:rsidTr="00854FCB">
        <w:trPr>
          <w:trHeight w:val="20"/>
        </w:trPr>
        <w:tc>
          <w:tcPr>
            <w:tcW w:w="1763" w:type="pct"/>
          </w:tcPr>
          <w:p w14:paraId="774C1464" w14:textId="77777777" w:rsidR="009B2ECD" w:rsidRPr="00587211" w:rsidRDefault="009B2ECD" w:rsidP="00F71DD3">
            <w:pPr>
              <w:pStyle w:val="Tabletext"/>
              <w:widowControl w:val="0"/>
              <w:rPr>
                <w:b/>
              </w:rPr>
            </w:pPr>
            <w:r w:rsidRPr="00587211">
              <w:rPr>
                <w:b/>
              </w:rPr>
              <w:t>Sources of evidence</w:t>
            </w:r>
          </w:p>
        </w:tc>
        <w:tc>
          <w:tcPr>
            <w:tcW w:w="3237" w:type="pct"/>
          </w:tcPr>
          <w:p w14:paraId="3CB7264E" w14:textId="5E844BC7" w:rsidR="009B2ECD" w:rsidRPr="00514D59" w:rsidRDefault="009B2ECD" w:rsidP="00F71DD3">
            <w:pPr>
              <w:pStyle w:val="Tabletext"/>
              <w:widowControl w:val="0"/>
              <w:rPr>
                <w:lang w:val="en-GB"/>
              </w:rPr>
            </w:pPr>
            <w:r w:rsidRPr="00514D59">
              <w:rPr>
                <w:lang w:val="en-GB"/>
              </w:rPr>
              <w:t>P</w:t>
            </w:r>
            <w:r w:rsidR="003E585F">
              <w:rPr>
                <w:lang w:val="en-GB"/>
              </w:rPr>
              <w:t>rimary staging</w:t>
            </w:r>
            <w:r w:rsidRPr="00514D59">
              <w:rPr>
                <w:lang w:val="en-GB"/>
              </w:rPr>
              <w:t xml:space="preserve">: </w:t>
            </w:r>
            <w:proofErr w:type="spellStart"/>
            <w:r w:rsidRPr="00514D59">
              <w:rPr>
                <w:lang w:val="en-GB"/>
              </w:rPr>
              <w:t>proPSMA</w:t>
            </w:r>
            <w:proofErr w:type="spellEnd"/>
            <w:r w:rsidRPr="00514D59">
              <w:rPr>
                <w:lang w:val="en-GB"/>
              </w:rPr>
              <w:t xml:space="preserve"> RCT</w:t>
            </w:r>
          </w:p>
          <w:p w14:paraId="5945606A" w14:textId="3B1C2C31" w:rsidR="009B2ECD" w:rsidRPr="00587211" w:rsidRDefault="003E585F" w:rsidP="00F71DD3">
            <w:pPr>
              <w:pStyle w:val="Tabletext"/>
              <w:widowControl w:val="0"/>
              <w:rPr>
                <w:lang w:val="en-GB"/>
              </w:rPr>
            </w:pPr>
            <w:r>
              <w:rPr>
                <w:lang w:val="en-GB"/>
              </w:rPr>
              <w:t>Restaging</w:t>
            </w:r>
            <w:r w:rsidR="009B2ECD" w:rsidRPr="00587211">
              <w:rPr>
                <w:lang w:val="en-GB"/>
              </w:rPr>
              <w:t>: meta-analysis of diagnostic accuracy studies and derivation of long-term outcomes from the literature and guidelines</w:t>
            </w:r>
          </w:p>
        </w:tc>
      </w:tr>
      <w:tr w:rsidR="009B2ECD" w:rsidRPr="00587211" w14:paraId="15A7F107" w14:textId="77777777" w:rsidTr="00854FCB">
        <w:trPr>
          <w:trHeight w:val="20"/>
        </w:trPr>
        <w:tc>
          <w:tcPr>
            <w:tcW w:w="1763" w:type="pct"/>
            <w:hideMark/>
          </w:tcPr>
          <w:p w14:paraId="2C34812E" w14:textId="77777777" w:rsidR="009B2ECD" w:rsidRPr="00587211" w:rsidRDefault="009B2ECD" w:rsidP="00F71DD3">
            <w:pPr>
              <w:pStyle w:val="Tabletext"/>
              <w:widowControl w:val="0"/>
              <w:rPr>
                <w:b/>
              </w:rPr>
            </w:pPr>
            <w:r w:rsidRPr="00587211">
              <w:rPr>
                <w:b/>
              </w:rPr>
              <w:t>Time horizon</w:t>
            </w:r>
          </w:p>
        </w:tc>
        <w:tc>
          <w:tcPr>
            <w:tcW w:w="3237" w:type="pct"/>
            <w:hideMark/>
          </w:tcPr>
          <w:p w14:paraId="754C92C8" w14:textId="77777777" w:rsidR="009B2ECD" w:rsidRPr="00587211" w:rsidRDefault="009B2ECD" w:rsidP="00F71DD3">
            <w:pPr>
              <w:pStyle w:val="Tabletext"/>
              <w:widowControl w:val="0"/>
            </w:pPr>
            <w:r w:rsidRPr="00587211">
              <w:t>10 years in the model base case</w:t>
            </w:r>
          </w:p>
        </w:tc>
      </w:tr>
      <w:tr w:rsidR="009B2ECD" w:rsidRPr="00587211" w14:paraId="2AE93EB1" w14:textId="77777777" w:rsidTr="00854FCB">
        <w:trPr>
          <w:trHeight w:val="20"/>
        </w:trPr>
        <w:tc>
          <w:tcPr>
            <w:tcW w:w="1763" w:type="pct"/>
            <w:hideMark/>
          </w:tcPr>
          <w:p w14:paraId="66D66272" w14:textId="77777777" w:rsidR="009B2ECD" w:rsidRPr="00587211" w:rsidRDefault="009B2ECD" w:rsidP="00F71DD3">
            <w:pPr>
              <w:pStyle w:val="Tabletext"/>
              <w:widowControl w:val="0"/>
              <w:rPr>
                <w:b/>
              </w:rPr>
            </w:pPr>
            <w:r w:rsidRPr="00587211">
              <w:rPr>
                <w:b/>
              </w:rPr>
              <w:t>Outcomes</w:t>
            </w:r>
          </w:p>
        </w:tc>
        <w:tc>
          <w:tcPr>
            <w:tcW w:w="3237" w:type="pct"/>
          </w:tcPr>
          <w:p w14:paraId="498BA580" w14:textId="77777777" w:rsidR="009B2ECD" w:rsidRDefault="009B2ECD" w:rsidP="00F71DD3">
            <w:pPr>
              <w:pStyle w:val="Tabletext"/>
              <w:widowControl w:val="0"/>
            </w:pPr>
            <w:r>
              <w:t>CEA: cost/accurate diagnosis and cost/futile treatment avoided</w:t>
            </w:r>
          </w:p>
          <w:p w14:paraId="0D590388" w14:textId="77777777" w:rsidR="009B2ECD" w:rsidRPr="00587211" w:rsidRDefault="009B2ECD" w:rsidP="00F71DD3">
            <w:pPr>
              <w:pStyle w:val="Tabletext"/>
              <w:widowControl w:val="0"/>
            </w:pPr>
            <w:r>
              <w:t xml:space="preserve">CUA: </w:t>
            </w:r>
            <w:r w:rsidRPr="00587211">
              <w:t>cost/QALY</w:t>
            </w:r>
          </w:p>
        </w:tc>
      </w:tr>
      <w:tr w:rsidR="009B2ECD" w:rsidRPr="00587211" w14:paraId="561C49E8" w14:textId="77777777" w:rsidTr="00854FCB">
        <w:trPr>
          <w:trHeight w:val="20"/>
        </w:trPr>
        <w:tc>
          <w:tcPr>
            <w:tcW w:w="1763" w:type="pct"/>
            <w:hideMark/>
          </w:tcPr>
          <w:p w14:paraId="5116CE50" w14:textId="77777777" w:rsidR="009B2ECD" w:rsidRPr="00587211" w:rsidRDefault="009B2ECD" w:rsidP="00F71DD3">
            <w:pPr>
              <w:pStyle w:val="Tabletext"/>
              <w:widowControl w:val="0"/>
              <w:rPr>
                <w:b/>
              </w:rPr>
            </w:pPr>
            <w:r w:rsidRPr="00587211">
              <w:rPr>
                <w:b/>
              </w:rPr>
              <w:t>Methods used to generate results</w:t>
            </w:r>
          </w:p>
        </w:tc>
        <w:tc>
          <w:tcPr>
            <w:tcW w:w="3237" w:type="pct"/>
          </w:tcPr>
          <w:p w14:paraId="72F5ADDF" w14:textId="77777777" w:rsidR="009B2ECD" w:rsidRPr="00587211" w:rsidRDefault="009B2ECD" w:rsidP="00F71DD3">
            <w:pPr>
              <w:pStyle w:val="Tabletext"/>
              <w:widowControl w:val="0"/>
            </w:pPr>
            <w:r w:rsidRPr="00587211">
              <w:t>Hybrid decision tree</w:t>
            </w:r>
            <w:r>
              <w:t>–</w:t>
            </w:r>
            <w:r w:rsidRPr="00587211">
              <w:t>Markov model</w:t>
            </w:r>
          </w:p>
        </w:tc>
      </w:tr>
      <w:tr w:rsidR="009B2ECD" w:rsidRPr="00587211" w14:paraId="5048C1F9" w14:textId="77777777" w:rsidTr="00854FCB">
        <w:trPr>
          <w:trHeight w:val="20"/>
        </w:trPr>
        <w:tc>
          <w:tcPr>
            <w:tcW w:w="1763" w:type="pct"/>
          </w:tcPr>
          <w:p w14:paraId="164C39E7" w14:textId="77777777" w:rsidR="009B2ECD" w:rsidRPr="00587211" w:rsidRDefault="009B2ECD" w:rsidP="00F71DD3">
            <w:pPr>
              <w:pStyle w:val="Tabletext"/>
              <w:widowControl w:val="0"/>
              <w:rPr>
                <w:b/>
              </w:rPr>
            </w:pPr>
            <w:r w:rsidRPr="00587211">
              <w:rPr>
                <w:b/>
              </w:rPr>
              <w:t>Health states</w:t>
            </w:r>
          </w:p>
        </w:tc>
        <w:tc>
          <w:tcPr>
            <w:tcW w:w="3237" w:type="pct"/>
          </w:tcPr>
          <w:p w14:paraId="0556069F" w14:textId="77777777" w:rsidR="009B2ECD" w:rsidRPr="00961AB7" w:rsidRDefault="009B2ECD" w:rsidP="00F71DD3">
            <w:pPr>
              <w:pStyle w:val="Tabletext"/>
              <w:widowControl w:val="0"/>
            </w:pPr>
            <w:r>
              <w:t>Local disease, pelvic nodal disease, distant metastases, prostate cancer death, natural death</w:t>
            </w:r>
          </w:p>
        </w:tc>
      </w:tr>
      <w:tr w:rsidR="009B2ECD" w:rsidRPr="00587211" w14:paraId="2324B044" w14:textId="77777777" w:rsidTr="00854FCB">
        <w:trPr>
          <w:trHeight w:val="20"/>
        </w:trPr>
        <w:tc>
          <w:tcPr>
            <w:tcW w:w="1763" w:type="pct"/>
            <w:hideMark/>
          </w:tcPr>
          <w:p w14:paraId="124660DA" w14:textId="77777777" w:rsidR="009B2ECD" w:rsidRPr="00961AB7" w:rsidRDefault="009B2ECD" w:rsidP="00F71DD3">
            <w:pPr>
              <w:pStyle w:val="Tabletext"/>
              <w:widowControl w:val="0"/>
              <w:rPr>
                <w:b/>
              </w:rPr>
            </w:pPr>
            <w:r w:rsidRPr="00961AB7">
              <w:rPr>
                <w:b/>
              </w:rPr>
              <w:t>Cycle length</w:t>
            </w:r>
          </w:p>
        </w:tc>
        <w:tc>
          <w:tcPr>
            <w:tcW w:w="3237" w:type="pct"/>
          </w:tcPr>
          <w:p w14:paraId="30FE342F" w14:textId="77777777" w:rsidR="009B2ECD" w:rsidRPr="00961AB7" w:rsidRDefault="009B2ECD" w:rsidP="00F71DD3">
            <w:pPr>
              <w:pStyle w:val="Tabletext"/>
              <w:widowControl w:val="0"/>
            </w:pPr>
            <w:r>
              <w:t>1 year</w:t>
            </w:r>
          </w:p>
        </w:tc>
      </w:tr>
      <w:tr w:rsidR="009B2ECD" w:rsidRPr="00587211" w14:paraId="16A6E577" w14:textId="77777777" w:rsidTr="00854FCB">
        <w:trPr>
          <w:trHeight w:val="20"/>
        </w:trPr>
        <w:tc>
          <w:tcPr>
            <w:tcW w:w="1763" w:type="pct"/>
            <w:hideMark/>
          </w:tcPr>
          <w:p w14:paraId="518AD53A" w14:textId="77777777" w:rsidR="009B2ECD" w:rsidRPr="00587211" w:rsidRDefault="009B2ECD" w:rsidP="00F71DD3">
            <w:pPr>
              <w:pStyle w:val="Tabletext"/>
              <w:widowControl w:val="0"/>
              <w:rPr>
                <w:b/>
              </w:rPr>
            </w:pPr>
            <w:r w:rsidRPr="00587211">
              <w:rPr>
                <w:b/>
              </w:rPr>
              <w:t>Discount rate</w:t>
            </w:r>
          </w:p>
        </w:tc>
        <w:tc>
          <w:tcPr>
            <w:tcW w:w="3237" w:type="pct"/>
          </w:tcPr>
          <w:p w14:paraId="5622F892" w14:textId="77777777" w:rsidR="009B2ECD" w:rsidRPr="00587211" w:rsidRDefault="009B2ECD" w:rsidP="00F71DD3">
            <w:pPr>
              <w:pStyle w:val="Tabletext"/>
              <w:widowControl w:val="0"/>
            </w:pPr>
            <w:r>
              <w:t>5% for both costs and effects/benefits/outcomes</w:t>
            </w:r>
          </w:p>
        </w:tc>
      </w:tr>
      <w:tr w:rsidR="009B2ECD" w:rsidRPr="00587211" w14:paraId="298FD448" w14:textId="77777777" w:rsidTr="00854FCB">
        <w:trPr>
          <w:trHeight w:val="20"/>
        </w:trPr>
        <w:tc>
          <w:tcPr>
            <w:tcW w:w="1763" w:type="pct"/>
            <w:hideMark/>
          </w:tcPr>
          <w:p w14:paraId="1BBDB357" w14:textId="77777777" w:rsidR="009B2ECD" w:rsidRPr="00587211" w:rsidRDefault="009B2ECD" w:rsidP="00F71DD3">
            <w:pPr>
              <w:pStyle w:val="Tabletext"/>
              <w:widowControl w:val="0"/>
              <w:rPr>
                <w:b/>
              </w:rPr>
            </w:pPr>
            <w:r w:rsidRPr="00587211">
              <w:rPr>
                <w:b/>
              </w:rPr>
              <w:t>Software packages used</w:t>
            </w:r>
          </w:p>
        </w:tc>
        <w:tc>
          <w:tcPr>
            <w:tcW w:w="3237" w:type="pct"/>
          </w:tcPr>
          <w:p w14:paraId="5795D16B" w14:textId="77777777" w:rsidR="009B2ECD" w:rsidRPr="00587211" w:rsidRDefault="009B2ECD" w:rsidP="00F71DD3">
            <w:pPr>
              <w:pStyle w:val="Tabletext"/>
              <w:widowControl w:val="0"/>
            </w:pPr>
            <w:r>
              <w:t xml:space="preserve">Excel, </w:t>
            </w:r>
            <w:proofErr w:type="spellStart"/>
            <w:r>
              <w:t>TreeAge</w:t>
            </w:r>
            <w:proofErr w:type="spellEnd"/>
            <w:r>
              <w:t xml:space="preserve"> Pro Suite</w:t>
            </w:r>
          </w:p>
        </w:tc>
      </w:tr>
    </w:tbl>
    <w:p w14:paraId="0DCFA2E7" w14:textId="41BB026C" w:rsidR="009B2ECD" w:rsidRDefault="009B2ECD" w:rsidP="006F02E2">
      <w:pPr>
        <w:pStyle w:val="Tablenotes"/>
      </w:pPr>
      <w:r w:rsidRPr="00AF2665">
        <w:rPr>
          <w:b/>
        </w:rPr>
        <w:t>Abbreviations</w:t>
      </w:r>
      <w:r w:rsidRPr="00F370B5">
        <w:t xml:space="preserve">: </w:t>
      </w:r>
      <w:r>
        <w:t xml:space="preserve">BCR = biochemical recurrence; PSMA = prostate-specific membrane antigen; </w:t>
      </w:r>
      <w:r w:rsidRPr="00F370B5">
        <w:t>QALY = quality</w:t>
      </w:r>
      <w:r>
        <w:t>-</w:t>
      </w:r>
      <w:r w:rsidRPr="00F370B5">
        <w:t>adjusted life year</w:t>
      </w:r>
      <w:r>
        <w:t>; RCT = randomised controlled trial.</w:t>
      </w:r>
    </w:p>
    <w:p w14:paraId="3E58C76B" w14:textId="16B45231" w:rsidR="00F71DD3" w:rsidRDefault="00F71DD3" w:rsidP="006F02E2">
      <w:pPr>
        <w:pStyle w:val="Tablenotes"/>
      </w:pPr>
      <w:r>
        <w:t>Source: Table ES9, p40 of the ADAR</w:t>
      </w:r>
    </w:p>
    <w:p w14:paraId="5B81618A" w14:textId="5C917A84" w:rsidR="009B2ECD" w:rsidRDefault="00F71DD3" w:rsidP="007D45E4">
      <w:pPr>
        <w:pStyle w:val="Heading2"/>
        <w:spacing w:before="240"/>
      </w:pPr>
      <w:r>
        <w:t>Cost consequence analysi</w:t>
      </w:r>
      <w:r w:rsidR="00AE45BE" w:rsidRPr="00AE45BE">
        <w:t>s</w:t>
      </w:r>
    </w:p>
    <w:p w14:paraId="64F8928B" w14:textId="20D2C4DC" w:rsidR="00AE45BE" w:rsidRDefault="00AE45BE" w:rsidP="00AE45BE">
      <w:r>
        <w:t>The result of the CCA</w:t>
      </w:r>
      <w:r w:rsidR="00F71DD3">
        <w:t xml:space="preserve"> for </w:t>
      </w:r>
      <w:r w:rsidR="00AD1934">
        <w:t>primary staging</w:t>
      </w:r>
      <w:r w:rsidR="00F71DD3">
        <w:t xml:space="preserve"> </w:t>
      </w:r>
      <w:r>
        <w:t xml:space="preserve">is presented in Table 10; for </w:t>
      </w:r>
      <w:r w:rsidR="00AD1934">
        <w:t>restaging</w:t>
      </w:r>
      <w:r>
        <w:t xml:space="preserve"> is presented in Table 11 (vs. CVI) and Table 12 (vs. no imaging).</w:t>
      </w:r>
    </w:p>
    <w:p w14:paraId="52874AC8" w14:textId="2F766A63" w:rsidR="00F71DD3" w:rsidRDefault="00F71DD3" w:rsidP="007D45E4">
      <w:pPr>
        <w:pStyle w:val="Caption"/>
        <w:spacing w:before="240"/>
      </w:pPr>
      <w:bookmarkStart w:id="40" w:name="_Ref71096727"/>
      <w:bookmarkStart w:id="41" w:name="_Toc71729651"/>
      <w:r>
        <w:t>Table</w:t>
      </w:r>
      <w:bookmarkEnd w:id="40"/>
      <w:r>
        <w:t xml:space="preserve"> 10</w:t>
      </w:r>
      <w:r>
        <w:tab/>
        <w:t>Key r</w:t>
      </w:r>
      <w:r w:rsidRPr="000A1561">
        <w:t>esults of the cost consequence analysis: P</w:t>
      </w:r>
      <w:r w:rsidR="00AD1934">
        <w:t>rimary staging</w:t>
      </w:r>
      <w:bookmarkEnd w:id="41"/>
    </w:p>
    <w:tbl>
      <w:tblPr>
        <w:tblStyle w:val="TableGrid130"/>
        <w:tblW w:w="5000" w:type="pct"/>
        <w:tblLook w:val="04A0" w:firstRow="1" w:lastRow="0" w:firstColumn="1" w:lastColumn="0" w:noHBand="0" w:noVBand="1"/>
        <w:tblCaption w:val="Results of the cost consequence analysis: Population 1"/>
        <w:tblDescription w:val="Results of the cost consequence analysis: Population 1"/>
      </w:tblPr>
      <w:tblGrid>
        <w:gridCol w:w="4391"/>
        <w:gridCol w:w="1417"/>
        <w:gridCol w:w="1985"/>
        <w:gridCol w:w="1223"/>
      </w:tblGrid>
      <w:tr w:rsidR="00F71DD3" w:rsidRPr="000A1561" w14:paraId="38389F10" w14:textId="77777777" w:rsidTr="00692054">
        <w:trPr>
          <w:cnfStyle w:val="100000000000" w:firstRow="1" w:lastRow="0" w:firstColumn="0" w:lastColumn="0" w:oddVBand="0" w:evenVBand="0" w:oddHBand="0" w:evenHBand="0" w:firstRowFirstColumn="0" w:firstRowLastColumn="0" w:lastRowFirstColumn="0" w:lastRowLastColumn="0"/>
          <w:tblHeader/>
        </w:trPr>
        <w:tc>
          <w:tcPr>
            <w:tcW w:w="2435" w:type="pct"/>
          </w:tcPr>
          <w:p w14:paraId="2B4CB7DE" w14:textId="77777777" w:rsidR="00F71DD3" w:rsidRPr="000A1561" w:rsidRDefault="00F71DD3" w:rsidP="00F71DD3">
            <w:pPr>
              <w:widowControl w:val="0"/>
              <w:spacing w:after="40"/>
              <w:rPr>
                <w:rFonts w:ascii="Arial Narrow" w:hAnsi="Arial Narrow"/>
                <w:b/>
              </w:rPr>
            </w:pPr>
            <w:r w:rsidRPr="000A1561">
              <w:rPr>
                <w:rFonts w:ascii="Arial Narrow" w:hAnsi="Arial Narrow"/>
                <w:b/>
              </w:rPr>
              <w:t>Health state</w:t>
            </w:r>
          </w:p>
        </w:tc>
        <w:tc>
          <w:tcPr>
            <w:tcW w:w="786" w:type="pct"/>
          </w:tcPr>
          <w:p w14:paraId="393697FD" w14:textId="77777777" w:rsidR="00F71DD3" w:rsidRPr="000A1561" w:rsidRDefault="00F71DD3" w:rsidP="00F71DD3">
            <w:pPr>
              <w:widowControl w:val="0"/>
              <w:spacing w:after="40"/>
              <w:jc w:val="center"/>
              <w:rPr>
                <w:rFonts w:ascii="Arial Narrow" w:hAnsi="Arial Narrow"/>
                <w:b/>
              </w:rPr>
            </w:pPr>
            <w:r w:rsidRPr="000A1561">
              <w:rPr>
                <w:rFonts w:ascii="Arial Narrow" w:hAnsi="Arial Narrow"/>
                <w:b/>
              </w:rPr>
              <w:t>PSMA PET/CT</w:t>
            </w:r>
          </w:p>
        </w:tc>
        <w:tc>
          <w:tcPr>
            <w:tcW w:w="1101" w:type="pct"/>
          </w:tcPr>
          <w:p w14:paraId="7E71A4AA" w14:textId="77777777" w:rsidR="00F71DD3" w:rsidRPr="000A1561" w:rsidRDefault="00F71DD3" w:rsidP="00F71DD3">
            <w:pPr>
              <w:widowControl w:val="0"/>
              <w:spacing w:after="40"/>
              <w:jc w:val="center"/>
              <w:rPr>
                <w:rFonts w:ascii="Arial Narrow" w:hAnsi="Arial Narrow"/>
                <w:b/>
              </w:rPr>
            </w:pPr>
            <w:r w:rsidRPr="000A1561">
              <w:rPr>
                <w:rFonts w:ascii="Arial Narrow" w:hAnsi="Arial Narrow"/>
                <w:b/>
              </w:rPr>
              <w:t>Conventional imaging</w:t>
            </w:r>
          </w:p>
        </w:tc>
        <w:tc>
          <w:tcPr>
            <w:tcW w:w="679" w:type="pct"/>
          </w:tcPr>
          <w:p w14:paraId="68C71334" w14:textId="6C83346A" w:rsidR="00F71DD3" w:rsidRPr="00692054" w:rsidRDefault="00F71DD3" w:rsidP="00692054">
            <w:pPr>
              <w:widowControl w:val="0"/>
              <w:spacing w:after="40"/>
              <w:jc w:val="center"/>
              <w:rPr>
                <w:rFonts w:ascii="Arial Narrow" w:hAnsi="Arial Narrow"/>
                <w:b/>
                <w:i/>
                <w:iCs/>
              </w:rPr>
            </w:pPr>
            <w:r w:rsidRPr="00692054">
              <w:rPr>
                <w:rStyle w:val="TablecommentChar"/>
                <w:b/>
                <w:bCs/>
                <w:i w:val="0"/>
                <w:iCs/>
                <w:color w:val="auto"/>
              </w:rPr>
              <w:t>Increment</w:t>
            </w:r>
          </w:p>
        </w:tc>
      </w:tr>
      <w:tr w:rsidR="00F71DD3" w:rsidRPr="000A1561" w14:paraId="49C27CE1" w14:textId="77777777" w:rsidTr="00692054">
        <w:trPr>
          <w:cnfStyle w:val="100000000000" w:firstRow="1" w:lastRow="0" w:firstColumn="0" w:lastColumn="0" w:oddVBand="0" w:evenVBand="0" w:oddHBand="0" w:evenHBand="0" w:firstRowFirstColumn="0" w:firstRowLastColumn="0" w:lastRowFirstColumn="0" w:lastRowLastColumn="0"/>
          <w:tblHeader/>
        </w:trPr>
        <w:tc>
          <w:tcPr>
            <w:tcW w:w="2435" w:type="pct"/>
            <w:tcBorders>
              <w:right w:val="nil"/>
            </w:tcBorders>
            <w:shd w:val="clear" w:color="auto" w:fill="F2F2F2" w:themeFill="background1" w:themeFillShade="F2"/>
          </w:tcPr>
          <w:p w14:paraId="6F3AF53D" w14:textId="77777777" w:rsidR="00F71DD3" w:rsidRPr="000A1561" w:rsidRDefault="00F71DD3" w:rsidP="00F71DD3">
            <w:pPr>
              <w:widowControl w:val="0"/>
              <w:spacing w:after="40"/>
              <w:rPr>
                <w:rFonts w:ascii="Arial Narrow" w:hAnsi="Arial Narrow"/>
              </w:rPr>
            </w:pPr>
            <w:r w:rsidRPr="000A1561">
              <w:rPr>
                <w:rFonts w:ascii="Arial Narrow" w:hAnsi="Arial Narrow"/>
              </w:rPr>
              <w:t>Costs</w:t>
            </w:r>
          </w:p>
        </w:tc>
        <w:tc>
          <w:tcPr>
            <w:tcW w:w="786" w:type="pct"/>
            <w:tcBorders>
              <w:left w:val="nil"/>
              <w:right w:val="nil"/>
            </w:tcBorders>
            <w:shd w:val="clear" w:color="auto" w:fill="F2F2F2" w:themeFill="background1" w:themeFillShade="F2"/>
            <w:vAlign w:val="bottom"/>
          </w:tcPr>
          <w:p w14:paraId="43DF097D" w14:textId="77777777" w:rsidR="00F71DD3" w:rsidRPr="000A1561" w:rsidRDefault="00F71DD3" w:rsidP="00F71DD3">
            <w:pPr>
              <w:widowControl w:val="0"/>
              <w:spacing w:after="40"/>
              <w:jc w:val="center"/>
              <w:rPr>
                <w:rFonts w:ascii="Arial Narrow" w:hAnsi="Arial Narrow"/>
              </w:rPr>
            </w:pPr>
          </w:p>
        </w:tc>
        <w:tc>
          <w:tcPr>
            <w:tcW w:w="1101" w:type="pct"/>
            <w:tcBorders>
              <w:left w:val="nil"/>
              <w:right w:val="nil"/>
            </w:tcBorders>
            <w:shd w:val="clear" w:color="auto" w:fill="F2F2F2" w:themeFill="background1" w:themeFillShade="F2"/>
            <w:vAlign w:val="bottom"/>
          </w:tcPr>
          <w:p w14:paraId="5E7BE2A4" w14:textId="77777777" w:rsidR="00F71DD3" w:rsidRPr="000A1561" w:rsidRDefault="00F71DD3" w:rsidP="00F71DD3">
            <w:pPr>
              <w:widowControl w:val="0"/>
              <w:spacing w:after="40"/>
              <w:jc w:val="center"/>
              <w:rPr>
                <w:rFonts w:ascii="Arial Narrow" w:hAnsi="Arial Narrow"/>
              </w:rPr>
            </w:pPr>
          </w:p>
        </w:tc>
        <w:tc>
          <w:tcPr>
            <w:tcW w:w="679" w:type="pct"/>
            <w:tcBorders>
              <w:left w:val="nil"/>
            </w:tcBorders>
            <w:shd w:val="clear" w:color="auto" w:fill="F2F2F2" w:themeFill="background1" w:themeFillShade="F2"/>
            <w:vAlign w:val="bottom"/>
          </w:tcPr>
          <w:p w14:paraId="51B28C70" w14:textId="77777777" w:rsidR="00F71DD3" w:rsidRPr="00692054" w:rsidRDefault="00F71DD3" w:rsidP="00F71DD3">
            <w:pPr>
              <w:widowControl w:val="0"/>
              <w:spacing w:after="40"/>
              <w:jc w:val="center"/>
              <w:rPr>
                <w:rFonts w:ascii="Arial Narrow" w:hAnsi="Arial Narrow"/>
                <w:iCs/>
              </w:rPr>
            </w:pPr>
          </w:p>
        </w:tc>
      </w:tr>
      <w:tr w:rsidR="00F71DD3" w:rsidRPr="000A1561" w14:paraId="094E7C0C" w14:textId="77777777" w:rsidTr="00692054">
        <w:trPr>
          <w:cnfStyle w:val="100000000000" w:firstRow="1" w:lastRow="0" w:firstColumn="0" w:lastColumn="0" w:oddVBand="0" w:evenVBand="0" w:oddHBand="0" w:evenHBand="0" w:firstRowFirstColumn="0" w:firstRowLastColumn="0" w:lastRowFirstColumn="0" w:lastRowLastColumn="0"/>
          <w:tblHeader/>
        </w:trPr>
        <w:tc>
          <w:tcPr>
            <w:tcW w:w="2435" w:type="pct"/>
          </w:tcPr>
          <w:p w14:paraId="453D958F" w14:textId="77777777" w:rsidR="00F71DD3" w:rsidRPr="000A1561" w:rsidRDefault="00F71DD3" w:rsidP="00F71DD3">
            <w:pPr>
              <w:widowControl w:val="0"/>
              <w:spacing w:after="40"/>
              <w:rPr>
                <w:rFonts w:ascii="Arial Narrow" w:hAnsi="Arial Narrow"/>
              </w:rPr>
            </w:pPr>
            <w:r w:rsidRPr="000A1561">
              <w:rPr>
                <w:rFonts w:ascii="Arial Narrow" w:hAnsi="Arial Narrow"/>
              </w:rPr>
              <w:t>Cost of initial testing</w:t>
            </w:r>
          </w:p>
        </w:tc>
        <w:tc>
          <w:tcPr>
            <w:tcW w:w="786" w:type="pct"/>
            <w:vAlign w:val="bottom"/>
          </w:tcPr>
          <w:p w14:paraId="669F7646" w14:textId="77777777" w:rsidR="00F71DD3" w:rsidRPr="000A1561" w:rsidRDefault="00F71DD3" w:rsidP="00F71DD3">
            <w:pPr>
              <w:widowControl w:val="0"/>
              <w:spacing w:after="40"/>
              <w:jc w:val="center"/>
              <w:rPr>
                <w:rFonts w:ascii="Arial Narrow" w:hAnsi="Arial Narrow"/>
              </w:rPr>
            </w:pPr>
            <w:r w:rsidRPr="000A1561">
              <w:rPr>
                <w:rFonts w:ascii="Arial Narrow" w:hAnsi="Arial Narrow"/>
              </w:rPr>
              <w:t>$1,400</w:t>
            </w:r>
          </w:p>
        </w:tc>
        <w:tc>
          <w:tcPr>
            <w:tcW w:w="1101" w:type="pct"/>
            <w:vAlign w:val="bottom"/>
          </w:tcPr>
          <w:p w14:paraId="0E8947C8" w14:textId="77777777" w:rsidR="00F71DD3" w:rsidRPr="000A1561" w:rsidRDefault="00F71DD3" w:rsidP="00F71DD3">
            <w:pPr>
              <w:widowControl w:val="0"/>
              <w:spacing w:after="40"/>
              <w:jc w:val="center"/>
              <w:rPr>
                <w:rFonts w:ascii="Arial Narrow" w:hAnsi="Arial Narrow"/>
              </w:rPr>
            </w:pPr>
            <w:r w:rsidRPr="000A1561">
              <w:rPr>
                <w:rFonts w:ascii="Arial Narrow" w:hAnsi="Arial Narrow"/>
              </w:rPr>
              <w:t>$1,187.95</w:t>
            </w:r>
          </w:p>
        </w:tc>
        <w:tc>
          <w:tcPr>
            <w:tcW w:w="679" w:type="pct"/>
            <w:vAlign w:val="bottom"/>
          </w:tcPr>
          <w:p w14:paraId="439369CB" w14:textId="77777777" w:rsidR="00F71DD3" w:rsidRPr="00692054" w:rsidRDefault="00F71DD3" w:rsidP="00F71DD3">
            <w:pPr>
              <w:widowControl w:val="0"/>
              <w:spacing w:after="40"/>
              <w:jc w:val="center"/>
              <w:rPr>
                <w:rFonts w:ascii="Arial Narrow" w:hAnsi="Arial Narrow"/>
                <w:iCs/>
              </w:rPr>
            </w:pPr>
            <w:r w:rsidRPr="00692054">
              <w:rPr>
                <w:rFonts w:ascii="Arial Narrow" w:hAnsi="Arial Narrow"/>
                <w:iCs/>
              </w:rPr>
              <w:t>$212.05</w:t>
            </w:r>
          </w:p>
        </w:tc>
      </w:tr>
      <w:tr w:rsidR="00F71DD3" w:rsidRPr="000A1561" w14:paraId="7E41AF12" w14:textId="77777777" w:rsidTr="00692054">
        <w:trPr>
          <w:cnfStyle w:val="100000000000" w:firstRow="1" w:lastRow="0" w:firstColumn="0" w:lastColumn="0" w:oddVBand="0" w:evenVBand="0" w:oddHBand="0" w:evenHBand="0" w:firstRowFirstColumn="0" w:firstRowLastColumn="0" w:lastRowFirstColumn="0" w:lastRowLastColumn="0"/>
          <w:tblHeader/>
        </w:trPr>
        <w:tc>
          <w:tcPr>
            <w:tcW w:w="2435" w:type="pct"/>
          </w:tcPr>
          <w:p w14:paraId="22F99008" w14:textId="77777777" w:rsidR="00F71DD3" w:rsidRPr="000A1561" w:rsidRDefault="00F71DD3" w:rsidP="00F71DD3">
            <w:pPr>
              <w:widowControl w:val="0"/>
              <w:spacing w:after="40"/>
              <w:rPr>
                <w:rFonts w:ascii="Arial Narrow" w:hAnsi="Arial Narrow"/>
              </w:rPr>
            </w:pPr>
            <w:r w:rsidRPr="000A1561">
              <w:rPr>
                <w:rFonts w:ascii="Arial Narrow" w:hAnsi="Arial Narrow"/>
              </w:rPr>
              <w:t>Cost of repeat imaging for equivocal results</w:t>
            </w:r>
          </w:p>
        </w:tc>
        <w:tc>
          <w:tcPr>
            <w:tcW w:w="786" w:type="pct"/>
            <w:vAlign w:val="bottom"/>
          </w:tcPr>
          <w:p w14:paraId="5B175B2C" w14:textId="77777777" w:rsidR="00F71DD3" w:rsidRPr="000A1561" w:rsidRDefault="00F71DD3" w:rsidP="00F71DD3">
            <w:pPr>
              <w:widowControl w:val="0"/>
              <w:spacing w:after="40"/>
              <w:jc w:val="center"/>
              <w:rPr>
                <w:rFonts w:ascii="Arial Narrow" w:hAnsi="Arial Narrow"/>
              </w:rPr>
            </w:pPr>
            <w:r w:rsidRPr="000A1561">
              <w:rPr>
                <w:rFonts w:ascii="Arial Narrow" w:hAnsi="Arial Narrow"/>
              </w:rPr>
              <w:t>$98</w:t>
            </w:r>
          </w:p>
        </w:tc>
        <w:tc>
          <w:tcPr>
            <w:tcW w:w="1101" w:type="pct"/>
            <w:vAlign w:val="bottom"/>
          </w:tcPr>
          <w:p w14:paraId="2A117FC7" w14:textId="77777777" w:rsidR="00F71DD3" w:rsidRPr="000A1561" w:rsidRDefault="00F71DD3" w:rsidP="00F71DD3">
            <w:pPr>
              <w:widowControl w:val="0"/>
              <w:spacing w:after="40"/>
              <w:jc w:val="center"/>
              <w:rPr>
                <w:rFonts w:ascii="Arial Narrow" w:hAnsi="Arial Narrow"/>
              </w:rPr>
            </w:pPr>
            <w:r w:rsidRPr="000A1561">
              <w:rPr>
                <w:rFonts w:ascii="Arial Narrow" w:hAnsi="Arial Narrow"/>
              </w:rPr>
              <w:t>$273.23</w:t>
            </w:r>
          </w:p>
        </w:tc>
        <w:tc>
          <w:tcPr>
            <w:tcW w:w="679" w:type="pct"/>
            <w:vAlign w:val="bottom"/>
          </w:tcPr>
          <w:p w14:paraId="7C5FB222" w14:textId="77777777" w:rsidR="00F71DD3" w:rsidRPr="00692054" w:rsidRDefault="00F71DD3" w:rsidP="00F71DD3">
            <w:pPr>
              <w:widowControl w:val="0"/>
              <w:spacing w:after="40"/>
              <w:jc w:val="center"/>
              <w:rPr>
                <w:rFonts w:ascii="Arial Narrow" w:hAnsi="Arial Narrow"/>
                <w:iCs/>
              </w:rPr>
            </w:pPr>
            <w:r w:rsidRPr="00692054">
              <w:rPr>
                <w:rFonts w:ascii="Arial Narrow" w:hAnsi="Arial Narrow"/>
                <w:iCs/>
              </w:rPr>
              <w:t>-$175.23</w:t>
            </w:r>
          </w:p>
        </w:tc>
      </w:tr>
      <w:tr w:rsidR="00F71DD3" w:rsidRPr="000A1561" w14:paraId="57B84E1A" w14:textId="77777777" w:rsidTr="00692054">
        <w:trPr>
          <w:cnfStyle w:val="100000000000" w:firstRow="1" w:lastRow="0" w:firstColumn="0" w:lastColumn="0" w:oddVBand="0" w:evenVBand="0" w:oddHBand="0" w:evenHBand="0" w:firstRowFirstColumn="0" w:firstRowLastColumn="0" w:lastRowFirstColumn="0" w:lastRowLastColumn="0"/>
          <w:tblHeader/>
        </w:trPr>
        <w:tc>
          <w:tcPr>
            <w:tcW w:w="2435" w:type="pct"/>
          </w:tcPr>
          <w:p w14:paraId="38E634F5" w14:textId="77777777" w:rsidR="00F71DD3" w:rsidRPr="000A1561" w:rsidRDefault="00F71DD3" w:rsidP="00F71DD3">
            <w:pPr>
              <w:widowControl w:val="0"/>
              <w:spacing w:after="40"/>
              <w:rPr>
                <w:rFonts w:ascii="Arial Narrow" w:hAnsi="Arial Narrow"/>
                <w:bCs/>
              </w:rPr>
            </w:pPr>
            <w:r w:rsidRPr="000A1561">
              <w:rPr>
                <w:rFonts w:ascii="Arial Narrow" w:hAnsi="Arial Narrow"/>
                <w:bCs/>
              </w:rPr>
              <w:t>Total</w:t>
            </w:r>
          </w:p>
        </w:tc>
        <w:tc>
          <w:tcPr>
            <w:tcW w:w="786" w:type="pct"/>
            <w:vAlign w:val="bottom"/>
          </w:tcPr>
          <w:p w14:paraId="728A78BD" w14:textId="77777777" w:rsidR="00F71DD3" w:rsidRPr="000A1561" w:rsidRDefault="00F71DD3" w:rsidP="00F71DD3">
            <w:pPr>
              <w:widowControl w:val="0"/>
              <w:spacing w:after="40"/>
              <w:jc w:val="center"/>
              <w:rPr>
                <w:rFonts w:ascii="Arial Narrow" w:hAnsi="Arial Narrow"/>
                <w:bCs/>
              </w:rPr>
            </w:pPr>
            <w:r w:rsidRPr="000A1561">
              <w:rPr>
                <w:rFonts w:ascii="Arial Narrow" w:hAnsi="Arial Narrow"/>
                <w:bCs/>
              </w:rPr>
              <w:t>$1,498</w:t>
            </w:r>
          </w:p>
        </w:tc>
        <w:tc>
          <w:tcPr>
            <w:tcW w:w="1101" w:type="pct"/>
            <w:vAlign w:val="bottom"/>
          </w:tcPr>
          <w:p w14:paraId="4546CD6A" w14:textId="77777777" w:rsidR="00F71DD3" w:rsidRPr="000A1561" w:rsidRDefault="00F71DD3" w:rsidP="00F71DD3">
            <w:pPr>
              <w:widowControl w:val="0"/>
              <w:spacing w:after="40"/>
              <w:jc w:val="center"/>
              <w:rPr>
                <w:rFonts w:ascii="Arial Narrow" w:hAnsi="Arial Narrow"/>
                <w:bCs/>
              </w:rPr>
            </w:pPr>
            <w:r w:rsidRPr="000A1561">
              <w:rPr>
                <w:rFonts w:ascii="Arial Narrow" w:hAnsi="Arial Narrow"/>
                <w:bCs/>
              </w:rPr>
              <w:t>$1,461.18</w:t>
            </w:r>
          </w:p>
        </w:tc>
        <w:tc>
          <w:tcPr>
            <w:tcW w:w="679" w:type="pct"/>
            <w:vAlign w:val="bottom"/>
          </w:tcPr>
          <w:p w14:paraId="484344EF" w14:textId="77777777" w:rsidR="00F71DD3" w:rsidRPr="00692054" w:rsidRDefault="00F71DD3" w:rsidP="00F71DD3">
            <w:pPr>
              <w:widowControl w:val="0"/>
              <w:spacing w:after="40"/>
              <w:jc w:val="center"/>
              <w:rPr>
                <w:rFonts w:ascii="Arial Narrow" w:hAnsi="Arial Narrow"/>
                <w:bCs/>
                <w:iCs/>
              </w:rPr>
            </w:pPr>
            <w:r w:rsidRPr="00692054">
              <w:rPr>
                <w:rFonts w:ascii="Arial Narrow" w:hAnsi="Arial Narrow"/>
                <w:bCs/>
                <w:iCs/>
              </w:rPr>
              <w:t>$36.82</w:t>
            </w:r>
          </w:p>
        </w:tc>
      </w:tr>
      <w:tr w:rsidR="00F71DD3" w:rsidRPr="000A1561" w14:paraId="79D4AE10" w14:textId="77777777" w:rsidTr="00692054">
        <w:trPr>
          <w:cnfStyle w:val="100000000000" w:firstRow="1" w:lastRow="0" w:firstColumn="0" w:lastColumn="0" w:oddVBand="0" w:evenVBand="0" w:oddHBand="0" w:evenHBand="0" w:firstRowFirstColumn="0" w:firstRowLastColumn="0" w:lastRowFirstColumn="0" w:lastRowLastColumn="0"/>
          <w:tblHeader/>
        </w:trPr>
        <w:tc>
          <w:tcPr>
            <w:tcW w:w="2435" w:type="pct"/>
            <w:tcBorders>
              <w:right w:val="nil"/>
            </w:tcBorders>
            <w:shd w:val="clear" w:color="auto" w:fill="F2F2F2" w:themeFill="background1" w:themeFillShade="F2"/>
          </w:tcPr>
          <w:p w14:paraId="54992E02" w14:textId="77777777" w:rsidR="00F71DD3" w:rsidRPr="000A1561" w:rsidRDefault="00F71DD3" w:rsidP="00F71DD3">
            <w:pPr>
              <w:widowControl w:val="0"/>
              <w:spacing w:after="40"/>
              <w:rPr>
                <w:rFonts w:ascii="Arial Narrow" w:hAnsi="Arial Narrow"/>
              </w:rPr>
            </w:pPr>
            <w:r w:rsidRPr="000A1561">
              <w:rPr>
                <w:rFonts w:ascii="Arial Narrow" w:hAnsi="Arial Narrow"/>
              </w:rPr>
              <w:t>Outcomes</w:t>
            </w:r>
          </w:p>
        </w:tc>
        <w:tc>
          <w:tcPr>
            <w:tcW w:w="786" w:type="pct"/>
            <w:tcBorders>
              <w:left w:val="nil"/>
              <w:right w:val="nil"/>
            </w:tcBorders>
            <w:shd w:val="clear" w:color="auto" w:fill="F2F2F2" w:themeFill="background1" w:themeFillShade="F2"/>
            <w:vAlign w:val="bottom"/>
          </w:tcPr>
          <w:p w14:paraId="1386F884" w14:textId="77777777" w:rsidR="00F71DD3" w:rsidRPr="000A1561" w:rsidRDefault="00F71DD3" w:rsidP="00F71DD3">
            <w:pPr>
              <w:widowControl w:val="0"/>
              <w:spacing w:after="40"/>
              <w:jc w:val="center"/>
              <w:rPr>
                <w:rFonts w:ascii="Arial Narrow" w:hAnsi="Arial Narrow"/>
              </w:rPr>
            </w:pPr>
          </w:p>
        </w:tc>
        <w:tc>
          <w:tcPr>
            <w:tcW w:w="1101" w:type="pct"/>
            <w:tcBorders>
              <w:left w:val="nil"/>
              <w:right w:val="nil"/>
            </w:tcBorders>
            <w:shd w:val="clear" w:color="auto" w:fill="F2F2F2" w:themeFill="background1" w:themeFillShade="F2"/>
            <w:vAlign w:val="bottom"/>
          </w:tcPr>
          <w:p w14:paraId="3BF8A81C" w14:textId="77777777" w:rsidR="00F71DD3" w:rsidRPr="000A1561" w:rsidRDefault="00F71DD3" w:rsidP="00F71DD3">
            <w:pPr>
              <w:widowControl w:val="0"/>
              <w:spacing w:after="40"/>
              <w:jc w:val="center"/>
              <w:rPr>
                <w:rFonts w:ascii="Arial Narrow" w:hAnsi="Arial Narrow"/>
              </w:rPr>
            </w:pPr>
          </w:p>
        </w:tc>
        <w:tc>
          <w:tcPr>
            <w:tcW w:w="679" w:type="pct"/>
            <w:tcBorders>
              <w:left w:val="nil"/>
            </w:tcBorders>
            <w:shd w:val="clear" w:color="auto" w:fill="F2F2F2" w:themeFill="background1" w:themeFillShade="F2"/>
            <w:vAlign w:val="bottom"/>
          </w:tcPr>
          <w:p w14:paraId="4D5610F0" w14:textId="77777777" w:rsidR="00F71DD3" w:rsidRPr="00692054" w:rsidRDefault="00F71DD3" w:rsidP="00F71DD3">
            <w:pPr>
              <w:widowControl w:val="0"/>
              <w:spacing w:after="40"/>
              <w:jc w:val="center"/>
              <w:rPr>
                <w:rFonts w:ascii="Arial Narrow" w:hAnsi="Arial Narrow"/>
                <w:iCs/>
              </w:rPr>
            </w:pPr>
          </w:p>
        </w:tc>
      </w:tr>
      <w:tr w:rsidR="00F71DD3" w:rsidRPr="000A1561" w14:paraId="2B001019" w14:textId="77777777" w:rsidTr="00692054">
        <w:trPr>
          <w:cnfStyle w:val="100000000000" w:firstRow="1" w:lastRow="0" w:firstColumn="0" w:lastColumn="0" w:oddVBand="0" w:evenVBand="0" w:oddHBand="0" w:evenHBand="0" w:firstRowFirstColumn="0" w:firstRowLastColumn="0" w:lastRowFirstColumn="0" w:lastRowLastColumn="0"/>
          <w:tblHeader/>
        </w:trPr>
        <w:tc>
          <w:tcPr>
            <w:tcW w:w="2435" w:type="pct"/>
          </w:tcPr>
          <w:p w14:paraId="6F2684B6" w14:textId="77777777" w:rsidR="00F71DD3" w:rsidRPr="000A1561" w:rsidRDefault="00F71DD3" w:rsidP="00F71DD3">
            <w:pPr>
              <w:widowControl w:val="0"/>
              <w:spacing w:after="40"/>
              <w:rPr>
                <w:rFonts w:ascii="Arial Narrow" w:hAnsi="Arial Narrow"/>
              </w:rPr>
            </w:pPr>
            <w:r w:rsidRPr="000A1561">
              <w:rPr>
                <w:rFonts w:ascii="Arial Narrow" w:hAnsi="Arial Narrow"/>
              </w:rPr>
              <w:t>Overall accurate diagnoses</w:t>
            </w:r>
          </w:p>
        </w:tc>
        <w:tc>
          <w:tcPr>
            <w:tcW w:w="786" w:type="pct"/>
          </w:tcPr>
          <w:p w14:paraId="33BE1F59" w14:textId="77777777" w:rsidR="00F71DD3" w:rsidRPr="000A1561" w:rsidRDefault="00F71DD3" w:rsidP="00F71DD3">
            <w:pPr>
              <w:widowControl w:val="0"/>
              <w:spacing w:after="40"/>
              <w:jc w:val="center"/>
              <w:rPr>
                <w:rFonts w:ascii="Arial Narrow" w:hAnsi="Arial Narrow"/>
              </w:rPr>
            </w:pPr>
            <w:r w:rsidRPr="000A1561">
              <w:rPr>
                <w:rFonts w:ascii="Arial Narrow" w:hAnsi="Arial Narrow"/>
              </w:rPr>
              <w:t>94%</w:t>
            </w:r>
          </w:p>
        </w:tc>
        <w:tc>
          <w:tcPr>
            <w:tcW w:w="1101" w:type="pct"/>
          </w:tcPr>
          <w:p w14:paraId="1FC55C18" w14:textId="77777777" w:rsidR="00F71DD3" w:rsidRPr="000A1561" w:rsidRDefault="00F71DD3" w:rsidP="00F71DD3">
            <w:pPr>
              <w:widowControl w:val="0"/>
              <w:spacing w:after="40"/>
              <w:jc w:val="center"/>
              <w:rPr>
                <w:rFonts w:ascii="Arial Narrow" w:hAnsi="Arial Narrow"/>
              </w:rPr>
            </w:pPr>
            <w:r w:rsidRPr="000A1561">
              <w:rPr>
                <w:rFonts w:ascii="Arial Narrow" w:hAnsi="Arial Narrow"/>
              </w:rPr>
              <w:t>75%</w:t>
            </w:r>
          </w:p>
        </w:tc>
        <w:tc>
          <w:tcPr>
            <w:tcW w:w="679" w:type="pct"/>
          </w:tcPr>
          <w:p w14:paraId="716AD87C" w14:textId="77777777" w:rsidR="00F71DD3" w:rsidRPr="00692054" w:rsidRDefault="00F71DD3" w:rsidP="00F71DD3">
            <w:pPr>
              <w:pStyle w:val="Tablecomment"/>
              <w:jc w:val="center"/>
              <w:rPr>
                <w:i w:val="0"/>
                <w:iCs/>
                <w:color w:val="auto"/>
              </w:rPr>
            </w:pPr>
            <w:r w:rsidRPr="00692054">
              <w:rPr>
                <w:i w:val="0"/>
                <w:iCs/>
                <w:color w:val="auto"/>
              </w:rPr>
              <w:t>19%</w:t>
            </w:r>
          </w:p>
        </w:tc>
      </w:tr>
      <w:tr w:rsidR="00F71DD3" w:rsidRPr="000A1561" w14:paraId="3D71FF12" w14:textId="77777777" w:rsidTr="00692054">
        <w:trPr>
          <w:cnfStyle w:val="100000000000" w:firstRow="1" w:lastRow="0" w:firstColumn="0" w:lastColumn="0" w:oddVBand="0" w:evenVBand="0" w:oddHBand="0" w:evenHBand="0" w:firstRowFirstColumn="0" w:firstRowLastColumn="0" w:lastRowFirstColumn="0" w:lastRowLastColumn="0"/>
          <w:tblHeader/>
        </w:trPr>
        <w:tc>
          <w:tcPr>
            <w:tcW w:w="2435" w:type="pct"/>
          </w:tcPr>
          <w:p w14:paraId="3C765D15" w14:textId="77777777" w:rsidR="00F71DD3" w:rsidRPr="000A1561" w:rsidRDefault="00F71DD3" w:rsidP="00F71DD3">
            <w:pPr>
              <w:widowControl w:val="0"/>
              <w:spacing w:after="40"/>
              <w:rPr>
                <w:rFonts w:ascii="Arial Narrow" w:hAnsi="Arial Narrow"/>
              </w:rPr>
            </w:pPr>
            <w:r w:rsidRPr="000A1561">
              <w:rPr>
                <w:rFonts w:ascii="Arial Narrow" w:hAnsi="Arial Narrow"/>
              </w:rPr>
              <w:t xml:space="preserve">Futile treatments avoided in patients with </w:t>
            </w:r>
            <w:r>
              <w:rPr>
                <w:rFonts w:ascii="Arial Narrow" w:hAnsi="Arial Narrow"/>
              </w:rPr>
              <w:t>DM</w:t>
            </w:r>
          </w:p>
        </w:tc>
        <w:tc>
          <w:tcPr>
            <w:tcW w:w="786" w:type="pct"/>
          </w:tcPr>
          <w:p w14:paraId="23DDCBD7" w14:textId="77777777" w:rsidR="00F71DD3" w:rsidRPr="000A1561" w:rsidRDefault="00F71DD3" w:rsidP="00F71DD3">
            <w:pPr>
              <w:widowControl w:val="0"/>
              <w:spacing w:after="40"/>
              <w:jc w:val="center"/>
              <w:rPr>
                <w:rFonts w:ascii="Arial Narrow" w:hAnsi="Arial Narrow"/>
              </w:rPr>
            </w:pPr>
            <w:r w:rsidRPr="000A1561">
              <w:rPr>
                <w:rFonts w:ascii="Arial Narrow" w:hAnsi="Arial Narrow"/>
              </w:rPr>
              <w:t>15%</w:t>
            </w:r>
          </w:p>
        </w:tc>
        <w:tc>
          <w:tcPr>
            <w:tcW w:w="1101" w:type="pct"/>
          </w:tcPr>
          <w:p w14:paraId="0EE1CF73" w14:textId="77777777" w:rsidR="00F71DD3" w:rsidRPr="000A1561" w:rsidRDefault="00F71DD3" w:rsidP="00F71DD3">
            <w:pPr>
              <w:widowControl w:val="0"/>
              <w:spacing w:after="40"/>
              <w:jc w:val="center"/>
              <w:rPr>
                <w:rFonts w:ascii="Arial Narrow" w:hAnsi="Arial Narrow"/>
              </w:rPr>
            </w:pPr>
            <w:r w:rsidRPr="000A1561">
              <w:rPr>
                <w:rFonts w:ascii="Arial Narrow" w:hAnsi="Arial Narrow"/>
              </w:rPr>
              <w:t>9%</w:t>
            </w:r>
          </w:p>
        </w:tc>
        <w:tc>
          <w:tcPr>
            <w:tcW w:w="679" w:type="pct"/>
          </w:tcPr>
          <w:p w14:paraId="07E0282D" w14:textId="77777777" w:rsidR="00F71DD3" w:rsidRPr="00692054" w:rsidRDefault="00F71DD3" w:rsidP="00F71DD3">
            <w:pPr>
              <w:pStyle w:val="Tablecomment"/>
              <w:jc w:val="center"/>
              <w:rPr>
                <w:i w:val="0"/>
                <w:iCs/>
                <w:color w:val="auto"/>
              </w:rPr>
            </w:pPr>
            <w:r w:rsidRPr="00692054">
              <w:rPr>
                <w:i w:val="0"/>
                <w:iCs/>
                <w:color w:val="auto"/>
              </w:rPr>
              <w:t>6%</w:t>
            </w:r>
          </w:p>
        </w:tc>
      </w:tr>
      <w:tr w:rsidR="00F71DD3" w:rsidRPr="000A1561" w14:paraId="1FB77CCC" w14:textId="77777777" w:rsidTr="00692054">
        <w:trPr>
          <w:cnfStyle w:val="100000000000" w:firstRow="1" w:lastRow="0" w:firstColumn="0" w:lastColumn="0" w:oddVBand="0" w:evenVBand="0" w:oddHBand="0" w:evenHBand="0" w:firstRowFirstColumn="0" w:firstRowLastColumn="0" w:lastRowFirstColumn="0" w:lastRowLastColumn="0"/>
          <w:tblHeader/>
        </w:trPr>
        <w:tc>
          <w:tcPr>
            <w:tcW w:w="2435" w:type="pct"/>
          </w:tcPr>
          <w:p w14:paraId="59531C45" w14:textId="77777777" w:rsidR="00F71DD3" w:rsidRPr="000A1561" w:rsidRDefault="00F71DD3" w:rsidP="00F71DD3">
            <w:pPr>
              <w:widowControl w:val="0"/>
              <w:spacing w:after="40"/>
              <w:rPr>
                <w:rFonts w:ascii="Arial Narrow" w:hAnsi="Arial Narrow"/>
              </w:rPr>
            </w:pPr>
            <w:r w:rsidRPr="000A1561">
              <w:rPr>
                <w:rFonts w:ascii="Arial Narrow" w:hAnsi="Arial Narrow"/>
              </w:rPr>
              <w:t>Cost of futile treatments avoided</w:t>
            </w:r>
          </w:p>
        </w:tc>
        <w:tc>
          <w:tcPr>
            <w:tcW w:w="786" w:type="pct"/>
          </w:tcPr>
          <w:p w14:paraId="64706EE3" w14:textId="77777777" w:rsidR="00F71DD3" w:rsidRPr="000A1561" w:rsidRDefault="00F71DD3" w:rsidP="00F71DD3">
            <w:pPr>
              <w:widowControl w:val="0"/>
              <w:spacing w:after="40"/>
              <w:jc w:val="center"/>
              <w:rPr>
                <w:rFonts w:ascii="Arial Narrow" w:hAnsi="Arial Narrow"/>
              </w:rPr>
            </w:pPr>
            <w:r w:rsidRPr="000A1561">
              <w:rPr>
                <w:rFonts w:ascii="Arial Narrow" w:hAnsi="Arial Narrow"/>
              </w:rPr>
              <w:t>-$2,690.08</w:t>
            </w:r>
          </w:p>
        </w:tc>
        <w:tc>
          <w:tcPr>
            <w:tcW w:w="1101" w:type="pct"/>
          </w:tcPr>
          <w:p w14:paraId="485AE2EA" w14:textId="77777777" w:rsidR="00F71DD3" w:rsidRPr="000A1561" w:rsidRDefault="00F71DD3" w:rsidP="00F71DD3">
            <w:pPr>
              <w:widowControl w:val="0"/>
              <w:spacing w:after="40"/>
              <w:jc w:val="center"/>
              <w:rPr>
                <w:rFonts w:ascii="Arial Narrow" w:hAnsi="Arial Narrow"/>
              </w:rPr>
            </w:pPr>
            <w:r w:rsidRPr="000A1561">
              <w:rPr>
                <w:rFonts w:ascii="Arial Narrow" w:hAnsi="Arial Narrow"/>
              </w:rPr>
              <w:t>-$1,589.59</w:t>
            </w:r>
          </w:p>
        </w:tc>
        <w:tc>
          <w:tcPr>
            <w:tcW w:w="679" w:type="pct"/>
          </w:tcPr>
          <w:p w14:paraId="61C00CCA" w14:textId="77777777" w:rsidR="00F71DD3" w:rsidRPr="00692054" w:rsidRDefault="00F71DD3" w:rsidP="00F71DD3">
            <w:pPr>
              <w:widowControl w:val="0"/>
              <w:spacing w:after="40"/>
              <w:jc w:val="center"/>
              <w:rPr>
                <w:rFonts w:ascii="Arial Narrow" w:hAnsi="Arial Narrow"/>
                <w:iCs/>
              </w:rPr>
            </w:pPr>
            <w:r w:rsidRPr="00692054">
              <w:rPr>
                <w:rFonts w:ascii="Arial Narrow" w:hAnsi="Arial Narrow"/>
                <w:iCs/>
              </w:rPr>
              <w:t>-$1,100.49</w:t>
            </w:r>
          </w:p>
        </w:tc>
      </w:tr>
      <w:tr w:rsidR="00F71DD3" w:rsidRPr="000A1561" w14:paraId="22D861D0" w14:textId="77777777" w:rsidTr="00692054">
        <w:trPr>
          <w:cnfStyle w:val="100000000000" w:firstRow="1" w:lastRow="0" w:firstColumn="0" w:lastColumn="0" w:oddVBand="0" w:evenVBand="0" w:oddHBand="0" w:evenHBand="0" w:firstRowFirstColumn="0" w:firstRowLastColumn="0" w:lastRowFirstColumn="0" w:lastRowLastColumn="0"/>
          <w:tblHeader/>
        </w:trPr>
        <w:tc>
          <w:tcPr>
            <w:tcW w:w="2435" w:type="pct"/>
          </w:tcPr>
          <w:p w14:paraId="5D3B68A9" w14:textId="77777777" w:rsidR="00F71DD3" w:rsidRPr="000A1561" w:rsidRDefault="00F71DD3" w:rsidP="00F71DD3">
            <w:pPr>
              <w:widowControl w:val="0"/>
              <w:spacing w:after="40"/>
              <w:rPr>
                <w:rFonts w:ascii="Arial Narrow" w:hAnsi="Arial Narrow"/>
              </w:rPr>
            </w:pPr>
            <w:r w:rsidRPr="000A1561">
              <w:rPr>
                <w:rFonts w:ascii="Arial Narrow" w:hAnsi="Arial Narrow"/>
              </w:rPr>
              <w:t>Equivocal results</w:t>
            </w:r>
          </w:p>
        </w:tc>
        <w:tc>
          <w:tcPr>
            <w:tcW w:w="786" w:type="pct"/>
            <w:vAlign w:val="bottom"/>
          </w:tcPr>
          <w:p w14:paraId="4B2B1155" w14:textId="77777777" w:rsidR="00F71DD3" w:rsidRPr="000A1561" w:rsidRDefault="00F71DD3" w:rsidP="00F71DD3">
            <w:pPr>
              <w:widowControl w:val="0"/>
              <w:spacing w:after="40"/>
              <w:jc w:val="center"/>
              <w:rPr>
                <w:rFonts w:ascii="Arial Narrow" w:hAnsi="Arial Narrow"/>
              </w:rPr>
            </w:pPr>
            <w:r w:rsidRPr="000A1561">
              <w:rPr>
                <w:rFonts w:ascii="Arial Narrow" w:hAnsi="Arial Narrow"/>
              </w:rPr>
              <w:t>7%</w:t>
            </w:r>
          </w:p>
        </w:tc>
        <w:tc>
          <w:tcPr>
            <w:tcW w:w="1101" w:type="pct"/>
            <w:vAlign w:val="bottom"/>
          </w:tcPr>
          <w:p w14:paraId="4E44BFF9" w14:textId="77777777" w:rsidR="00F71DD3" w:rsidRPr="000A1561" w:rsidRDefault="00F71DD3" w:rsidP="00F71DD3">
            <w:pPr>
              <w:widowControl w:val="0"/>
              <w:spacing w:after="40"/>
              <w:jc w:val="center"/>
              <w:rPr>
                <w:rFonts w:ascii="Arial Narrow" w:hAnsi="Arial Narrow"/>
              </w:rPr>
            </w:pPr>
            <w:r w:rsidRPr="000A1561">
              <w:rPr>
                <w:rFonts w:ascii="Arial Narrow" w:hAnsi="Arial Narrow"/>
              </w:rPr>
              <w:t>23%</w:t>
            </w:r>
          </w:p>
        </w:tc>
        <w:tc>
          <w:tcPr>
            <w:tcW w:w="679" w:type="pct"/>
          </w:tcPr>
          <w:p w14:paraId="3E8581FB" w14:textId="77777777" w:rsidR="00F71DD3" w:rsidRPr="00692054" w:rsidRDefault="00F71DD3" w:rsidP="00F71DD3">
            <w:pPr>
              <w:pStyle w:val="Tablecomment"/>
              <w:jc w:val="center"/>
              <w:rPr>
                <w:i w:val="0"/>
                <w:iCs/>
                <w:color w:val="auto"/>
              </w:rPr>
            </w:pPr>
            <w:r w:rsidRPr="00692054">
              <w:rPr>
                <w:i w:val="0"/>
                <w:iCs/>
                <w:color w:val="auto"/>
              </w:rPr>
              <w:t>-16%</w:t>
            </w:r>
          </w:p>
        </w:tc>
      </w:tr>
      <w:tr w:rsidR="00F71DD3" w:rsidRPr="000A1561" w14:paraId="28EA3D6C" w14:textId="77777777" w:rsidTr="00692054">
        <w:trPr>
          <w:cnfStyle w:val="100000000000" w:firstRow="1" w:lastRow="0" w:firstColumn="0" w:lastColumn="0" w:oddVBand="0" w:evenVBand="0" w:oddHBand="0" w:evenHBand="0" w:firstRowFirstColumn="0" w:firstRowLastColumn="0" w:lastRowFirstColumn="0" w:lastRowLastColumn="0"/>
          <w:tblHeader/>
        </w:trPr>
        <w:tc>
          <w:tcPr>
            <w:tcW w:w="2435" w:type="pct"/>
          </w:tcPr>
          <w:p w14:paraId="622D240E" w14:textId="77777777" w:rsidR="00F71DD3" w:rsidRPr="000A1561" w:rsidRDefault="00F71DD3" w:rsidP="00F71DD3">
            <w:pPr>
              <w:widowControl w:val="0"/>
              <w:spacing w:after="40"/>
              <w:rPr>
                <w:rFonts w:ascii="Arial Narrow" w:hAnsi="Arial Narrow"/>
              </w:rPr>
            </w:pPr>
            <w:r w:rsidRPr="000A1561">
              <w:rPr>
                <w:rFonts w:ascii="Arial Narrow" w:hAnsi="Arial Narrow"/>
              </w:rPr>
              <w:t>% change in management</w:t>
            </w:r>
          </w:p>
        </w:tc>
        <w:tc>
          <w:tcPr>
            <w:tcW w:w="786" w:type="pct"/>
            <w:vAlign w:val="bottom"/>
          </w:tcPr>
          <w:p w14:paraId="78CD0F77" w14:textId="77777777" w:rsidR="00F71DD3" w:rsidRPr="000A1561" w:rsidRDefault="00F71DD3" w:rsidP="00F71DD3">
            <w:pPr>
              <w:widowControl w:val="0"/>
              <w:spacing w:after="40"/>
              <w:jc w:val="center"/>
              <w:rPr>
                <w:rFonts w:ascii="Arial Narrow" w:hAnsi="Arial Narrow"/>
              </w:rPr>
            </w:pPr>
            <w:r w:rsidRPr="000A1561">
              <w:rPr>
                <w:rFonts w:ascii="Arial Narrow" w:hAnsi="Arial Narrow"/>
              </w:rPr>
              <w:t>28%</w:t>
            </w:r>
          </w:p>
        </w:tc>
        <w:tc>
          <w:tcPr>
            <w:tcW w:w="1101" w:type="pct"/>
            <w:vAlign w:val="bottom"/>
          </w:tcPr>
          <w:p w14:paraId="6DD73506" w14:textId="77777777" w:rsidR="00F71DD3" w:rsidRPr="000A1561" w:rsidRDefault="00F71DD3" w:rsidP="00F71DD3">
            <w:pPr>
              <w:widowControl w:val="0"/>
              <w:spacing w:after="40"/>
              <w:jc w:val="center"/>
              <w:rPr>
                <w:rFonts w:ascii="Arial Narrow" w:hAnsi="Arial Narrow"/>
              </w:rPr>
            </w:pPr>
            <w:r w:rsidRPr="000A1561">
              <w:rPr>
                <w:rFonts w:ascii="Arial Narrow" w:hAnsi="Arial Narrow"/>
              </w:rPr>
              <w:t>15%</w:t>
            </w:r>
          </w:p>
        </w:tc>
        <w:tc>
          <w:tcPr>
            <w:tcW w:w="679" w:type="pct"/>
          </w:tcPr>
          <w:p w14:paraId="741A1D7D" w14:textId="77777777" w:rsidR="00F71DD3" w:rsidRPr="00692054" w:rsidRDefault="00F71DD3" w:rsidP="00F71DD3">
            <w:pPr>
              <w:pStyle w:val="Tablecomment"/>
              <w:jc w:val="center"/>
              <w:rPr>
                <w:i w:val="0"/>
                <w:iCs/>
                <w:color w:val="auto"/>
              </w:rPr>
            </w:pPr>
            <w:r w:rsidRPr="00692054">
              <w:rPr>
                <w:i w:val="0"/>
                <w:iCs/>
                <w:color w:val="auto"/>
              </w:rPr>
              <w:t>13%</w:t>
            </w:r>
          </w:p>
        </w:tc>
      </w:tr>
    </w:tbl>
    <w:p w14:paraId="3D431933" w14:textId="77777777" w:rsidR="00F71DD3" w:rsidRDefault="00F71DD3" w:rsidP="006F02E2">
      <w:pPr>
        <w:pStyle w:val="Tablenotes"/>
      </w:pPr>
      <w:r w:rsidRPr="0049108F">
        <w:rPr>
          <w:b/>
          <w:bCs/>
        </w:rPr>
        <w:t>Abbreviations:</w:t>
      </w:r>
      <w:r w:rsidRPr="000A1561">
        <w:t xml:space="preserve"> </w:t>
      </w:r>
      <w:r>
        <w:t xml:space="preserve">CT = computed tomography; </w:t>
      </w:r>
      <w:r w:rsidRPr="000A1561">
        <w:t xml:space="preserve">DM = distant metastases; NPV = negative predictive value; </w:t>
      </w:r>
      <w:r>
        <w:t xml:space="preserve">PET = positron emission tomography; </w:t>
      </w:r>
      <w:r w:rsidRPr="000A1561">
        <w:t>PN = pelvic nodal; PPV = positive predictive value</w:t>
      </w:r>
      <w:r>
        <w:t>; PSMA = prostate-specific membrane antigen</w:t>
      </w:r>
    </w:p>
    <w:p w14:paraId="3ED55431" w14:textId="190BB20C" w:rsidR="007D45E4" w:rsidRPr="007D45E4" w:rsidRDefault="00F71DD3" w:rsidP="007D45E4">
      <w:pPr>
        <w:pStyle w:val="Tablenotes"/>
        <w:rPr>
          <w:lang w:val="en-GB"/>
        </w:rPr>
      </w:pPr>
      <w:r w:rsidRPr="00F46CBE">
        <w:rPr>
          <w:b/>
          <w:lang w:val="en-GB"/>
        </w:rPr>
        <w:t>Source</w:t>
      </w:r>
      <w:r w:rsidRPr="00F46CBE">
        <w:rPr>
          <w:lang w:val="en-GB"/>
        </w:rPr>
        <w:t xml:space="preserve">: </w:t>
      </w:r>
      <w:r>
        <w:rPr>
          <w:lang w:val="en-GB"/>
        </w:rPr>
        <w:t>Table 11, p22 of the Commentary</w:t>
      </w:r>
      <w:bookmarkStart w:id="42" w:name="_Ref71096745"/>
      <w:bookmarkStart w:id="43" w:name="_Toc71729652"/>
      <w:r w:rsidR="007D45E4">
        <w:br w:type="page"/>
      </w:r>
    </w:p>
    <w:p w14:paraId="05D3007F" w14:textId="68953313" w:rsidR="00F71DD3" w:rsidRDefault="00F71DD3" w:rsidP="00F71DD3">
      <w:pPr>
        <w:pStyle w:val="Caption"/>
      </w:pPr>
      <w:r>
        <w:t xml:space="preserve">Table </w:t>
      </w:r>
      <w:bookmarkEnd w:id="42"/>
      <w:r>
        <w:t>11</w:t>
      </w:r>
      <w:r>
        <w:tab/>
        <w:t>Key r</w:t>
      </w:r>
      <w:r w:rsidRPr="00981225">
        <w:t xml:space="preserve">esults of the cost consequence analysis: </w:t>
      </w:r>
      <w:r w:rsidR="00AD1934">
        <w:t>R</w:t>
      </w:r>
      <w:r w:rsidR="00692054">
        <w:t>estaging</w:t>
      </w:r>
      <w:r w:rsidR="009340F2">
        <w:t>,</w:t>
      </w:r>
      <w:r w:rsidRPr="00981225">
        <w:t xml:space="preserve"> PSMA PET/CT vs</w:t>
      </w:r>
      <w:r>
        <w:t>.</w:t>
      </w:r>
      <w:r w:rsidRPr="00981225">
        <w:t xml:space="preserve"> conventional imaging</w:t>
      </w:r>
      <w:bookmarkEnd w:id="43"/>
    </w:p>
    <w:tbl>
      <w:tblPr>
        <w:tblStyle w:val="TableGrid120"/>
        <w:tblW w:w="5000" w:type="pct"/>
        <w:tblLook w:val="04A0" w:firstRow="1" w:lastRow="0" w:firstColumn="1" w:lastColumn="0" w:noHBand="0" w:noVBand="1"/>
        <w:tblCaption w:val="Health care costs by step and by health state"/>
        <w:tblDescription w:val="This table describes health care costs by step and by health state"/>
      </w:tblPr>
      <w:tblGrid>
        <w:gridCol w:w="4391"/>
        <w:gridCol w:w="1417"/>
        <w:gridCol w:w="1985"/>
        <w:gridCol w:w="1223"/>
      </w:tblGrid>
      <w:tr w:rsidR="00F71DD3" w:rsidRPr="00981225" w14:paraId="6CAFC4C9" w14:textId="77777777" w:rsidTr="00692054">
        <w:trPr>
          <w:cnfStyle w:val="100000000000" w:firstRow="1" w:lastRow="0" w:firstColumn="0" w:lastColumn="0" w:oddVBand="0" w:evenVBand="0" w:oddHBand="0" w:evenHBand="0" w:firstRowFirstColumn="0" w:firstRowLastColumn="0" w:lastRowFirstColumn="0" w:lastRowLastColumn="0"/>
          <w:tblHeader/>
        </w:trPr>
        <w:tc>
          <w:tcPr>
            <w:tcW w:w="2435" w:type="pct"/>
          </w:tcPr>
          <w:p w14:paraId="0AC6B03A" w14:textId="77777777" w:rsidR="00F71DD3" w:rsidRPr="00981225" w:rsidRDefault="00F71DD3" w:rsidP="00F71DD3">
            <w:pPr>
              <w:widowControl w:val="0"/>
              <w:spacing w:after="40"/>
              <w:rPr>
                <w:rFonts w:ascii="Arial Narrow" w:hAnsi="Arial Narrow"/>
                <w:b/>
              </w:rPr>
            </w:pPr>
            <w:r w:rsidRPr="00981225">
              <w:rPr>
                <w:rFonts w:ascii="Arial Narrow" w:hAnsi="Arial Narrow"/>
                <w:b/>
              </w:rPr>
              <w:t>Health state</w:t>
            </w:r>
          </w:p>
        </w:tc>
        <w:tc>
          <w:tcPr>
            <w:tcW w:w="786" w:type="pct"/>
          </w:tcPr>
          <w:p w14:paraId="03635B5E" w14:textId="77777777" w:rsidR="00F71DD3" w:rsidRPr="00981225" w:rsidRDefault="00F71DD3" w:rsidP="00F71DD3">
            <w:pPr>
              <w:widowControl w:val="0"/>
              <w:spacing w:after="40"/>
              <w:jc w:val="center"/>
              <w:rPr>
                <w:rFonts w:ascii="Arial Narrow" w:hAnsi="Arial Narrow"/>
                <w:b/>
              </w:rPr>
            </w:pPr>
            <w:r w:rsidRPr="00981225">
              <w:rPr>
                <w:rFonts w:ascii="Arial Narrow" w:hAnsi="Arial Narrow"/>
                <w:b/>
              </w:rPr>
              <w:t>PSMA PET/CT</w:t>
            </w:r>
          </w:p>
        </w:tc>
        <w:tc>
          <w:tcPr>
            <w:tcW w:w="1101" w:type="pct"/>
          </w:tcPr>
          <w:p w14:paraId="15B4E4C4" w14:textId="77777777" w:rsidR="00F71DD3" w:rsidRPr="00981225" w:rsidRDefault="00F71DD3" w:rsidP="00F71DD3">
            <w:pPr>
              <w:widowControl w:val="0"/>
              <w:spacing w:after="40"/>
              <w:jc w:val="center"/>
              <w:rPr>
                <w:rFonts w:ascii="Arial Narrow" w:hAnsi="Arial Narrow"/>
                <w:b/>
              </w:rPr>
            </w:pPr>
            <w:r w:rsidRPr="00981225">
              <w:rPr>
                <w:rFonts w:ascii="Arial Narrow" w:hAnsi="Arial Narrow"/>
                <w:b/>
              </w:rPr>
              <w:t>Conventional imaging</w:t>
            </w:r>
          </w:p>
        </w:tc>
        <w:tc>
          <w:tcPr>
            <w:tcW w:w="679" w:type="pct"/>
          </w:tcPr>
          <w:p w14:paraId="57B8EED8" w14:textId="62563A8C" w:rsidR="00F71DD3" w:rsidRPr="00692054" w:rsidRDefault="00F71DD3" w:rsidP="00F71DD3">
            <w:pPr>
              <w:widowControl w:val="0"/>
              <w:spacing w:after="40"/>
              <w:jc w:val="center"/>
              <w:rPr>
                <w:rFonts w:ascii="Arial Narrow" w:hAnsi="Arial Narrow"/>
                <w:b/>
                <w:i/>
                <w:iCs/>
              </w:rPr>
            </w:pPr>
            <w:r w:rsidRPr="00692054">
              <w:rPr>
                <w:rStyle w:val="TablecommentChar"/>
                <w:b/>
                <w:bCs/>
                <w:i w:val="0"/>
                <w:iCs/>
                <w:color w:val="auto"/>
              </w:rPr>
              <w:t>Increment</w:t>
            </w:r>
          </w:p>
        </w:tc>
      </w:tr>
      <w:tr w:rsidR="00F71DD3" w:rsidRPr="00981225" w14:paraId="6723608D" w14:textId="77777777" w:rsidTr="00692054">
        <w:tc>
          <w:tcPr>
            <w:tcW w:w="2435" w:type="pct"/>
            <w:tcBorders>
              <w:right w:val="nil"/>
            </w:tcBorders>
          </w:tcPr>
          <w:p w14:paraId="2E1D3793" w14:textId="77777777" w:rsidR="00F71DD3" w:rsidRPr="00981225" w:rsidRDefault="00F71DD3" w:rsidP="00F71DD3">
            <w:pPr>
              <w:widowControl w:val="0"/>
              <w:spacing w:after="40"/>
              <w:rPr>
                <w:b/>
                <w:bCs/>
              </w:rPr>
            </w:pPr>
            <w:r w:rsidRPr="00981225">
              <w:rPr>
                <w:b/>
                <w:bCs/>
              </w:rPr>
              <w:t>Costs</w:t>
            </w:r>
          </w:p>
        </w:tc>
        <w:tc>
          <w:tcPr>
            <w:tcW w:w="786" w:type="pct"/>
            <w:tcBorders>
              <w:left w:val="nil"/>
              <w:right w:val="nil"/>
            </w:tcBorders>
            <w:vAlign w:val="bottom"/>
          </w:tcPr>
          <w:p w14:paraId="31E9D340" w14:textId="77777777" w:rsidR="00F71DD3" w:rsidRPr="00981225" w:rsidRDefault="00F71DD3" w:rsidP="00F71DD3">
            <w:pPr>
              <w:widowControl w:val="0"/>
              <w:spacing w:after="40"/>
              <w:jc w:val="center"/>
              <w:rPr>
                <w:b/>
                <w:bCs/>
              </w:rPr>
            </w:pPr>
          </w:p>
        </w:tc>
        <w:tc>
          <w:tcPr>
            <w:tcW w:w="1101" w:type="pct"/>
            <w:tcBorders>
              <w:left w:val="nil"/>
              <w:right w:val="nil"/>
            </w:tcBorders>
            <w:vAlign w:val="bottom"/>
          </w:tcPr>
          <w:p w14:paraId="725A17B6" w14:textId="77777777" w:rsidR="00F71DD3" w:rsidRPr="00981225" w:rsidRDefault="00F71DD3" w:rsidP="00F71DD3">
            <w:pPr>
              <w:widowControl w:val="0"/>
              <w:spacing w:after="40"/>
              <w:jc w:val="center"/>
              <w:rPr>
                <w:b/>
                <w:bCs/>
              </w:rPr>
            </w:pPr>
          </w:p>
        </w:tc>
        <w:tc>
          <w:tcPr>
            <w:tcW w:w="679" w:type="pct"/>
            <w:tcBorders>
              <w:left w:val="nil"/>
            </w:tcBorders>
            <w:vAlign w:val="bottom"/>
          </w:tcPr>
          <w:p w14:paraId="054C9CAE" w14:textId="77777777" w:rsidR="00F71DD3" w:rsidRPr="00692054" w:rsidRDefault="00F71DD3" w:rsidP="00F71DD3">
            <w:pPr>
              <w:widowControl w:val="0"/>
              <w:spacing w:after="40"/>
              <w:jc w:val="center"/>
              <w:rPr>
                <w:b/>
                <w:bCs/>
                <w:iCs/>
              </w:rPr>
            </w:pPr>
          </w:p>
        </w:tc>
      </w:tr>
      <w:tr w:rsidR="00F71DD3" w:rsidRPr="00981225" w14:paraId="145B2296" w14:textId="77777777" w:rsidTr="00692054">
        <w:tc>
          <w:tcPr>
            <w:tcW w:w="2435" w:type="pct"/>
          </w:tcPr>
          <w:p w14:paraId="533BFAE8" w14:textId="1614F849" w:rsidR="00F71DD3" w:rsidRPr="00981225" w:rsidRDefault="00F71DD3" w:rsidP="00F71DD3">
            <w:pPr>
              <w:widowControl w:val="0"/>
              <w:spacing w:after="40"/>
            </w:pPr>
            <w:r w:rsidRPr="00981225">
              <w:t xml:space="preserve">Cost of </w:t>
            </w:r>
            <w:r w:rsidR="00AD1934">
              <w:t>primary imaging</w:t>
            </w:r>
          </w:p>
        </w:tc>
        <w:tc>
          <w:tcPr>
            <w:tcW w:w="786" w:type="pct"/>
          </w:tcPr>
          <w:p w14:paraId="3F156F85" w14:textId="77777777" w:rsidR="00F71DD3" w:rsidRPr="00981225" w:rsidRDefault="00F71DD3" w:rsidP="00F71DD3">
            <w:pPr>
              <w:widowControl w:val="0"/>
              <w:spacing w:after="40"/>
              <w:jc w:val="center"/>
            </w:pPr>
            <w:r w:rsidRPr="00981225">
              <w:t>$1,400.00</w:t>
            </w:r>
          </w:p>
        </w:tc>
        <w:tc>
          <w:tcPr>
            <w:tcW w:w="1101" w:type="pct"/>
          </w:tcPr>
          <w:p w14:paraId="346427F8" w14:textId="77777777" w:rsidR="00F71DD3" w:rsidRPr="00981225" w:rsidRDefault="00F71DD3" w:rsidP="00F71DD3">
            <w:pPr>
              <w:widowControl w:val="0"/>
              <w:spacing w:after="40"/>
              <w:jc w:val="center"/>
            </w:pPr>
            <w:r w:rsidRPr="00981225">
              <w:t>$1,187.95</w:t>
            </w:r>
          </w:p>
        </w:tc>
        <w:tc>
          <w:tcPr>
            <w:tcW w:w="679" w:type="pct"/>
          </w:tcPr>
          <w:p w14:paraId="015E2918" w14:textId="77777777" w:rsidR="00F71DD3" w:rsidRPr="00692054" w:rsidRDefault="00F71DD3" w:rsidP="00F71DD3">
            <w:pPr>
              <w:widowControl w:val="0"/>
              <w:spacing w:after="40"/>
              <w:jc w:val="center"/>
              <w:rPr>
                <w:iCs/>
              </w:rPr>
            </w:pPr>
            <w:r w:rsidRPr="00692054">
              <w:rPr>
                <w:iCs/>
              </w:rPr>
              <w:t>$212.05</w:t>
            </w:r>
          </w:p>
        </w:tc>
      </w:tr>
      <w:tr w:rsidR="00F71DD3" w:rsidRPr="00981225" w14:paraId="6443C899" w14:textId="77777777" w:rsidTr="00692054">
        <w:tc>
          <w:tcPr>
            <w:tcW w:w="2435" w:type="pct"/>
          </w:tcPr>
          <w:p w14:paraId="074A960F" w14:textId="77777777" w:rsidR="00F71DD3" w:rsidRPr="00981225" w:rsidRDefault="00F71DD3" w:rsidP="00F71DD3">
            <w:pPr>
              <w:widowControl w:val="0"/>
              <w:spacing w:after="40"/>
            </w:pPr>
            <w:r w:rsidRPr="00981225">
              <w:t>Cost of repeat imaging over 5 years</w:t>
            </w:r>
          </w:p>
        </w:tc>
        <w:tc>
          <w:tcPr>
            <w:tcW w:w="786" w:type="pct"/>
          </w:tcPr>
          <w:p w14:paraId="536B79F4" w14:textId="77777777" w:rsidR="00F71DD3" w:rsidRPr="00981225" w:rsidRDefault="00F71DD3" w:rsidP="00F71DD3">
            <w:pPr>
              <w:widowControl w:val="0"/>
              <w:spacing w:after="40"/>
              <w:jc w:val="center"/>
            </w:pPr>
            <w:r w:rsidRPr="00981225">
              <w:t>$211.77</w:t>
            </w:r>
          </w:p>
        </w:tc>
        <w:tc>
          <w:tcPr>
            <w:tcW w:w="1101" w:type="pct"/>
          </w:tcPr>
          <w:p w14:paraId="5D32662F" w14:textId="77777777" w:rsidR="00F71DD3" w:rsidRPr="00981225" w:rsidRDefault="00F71DD3" w:rsidP="00F71DD3">
            <w:pPr>
              <w:widowControl w:val="0"/>
              <w:spacing w:after="40"/>
              <w:jc w:val="center"/>
            </w:pPr>
            <w:r w:rsidRPr="00981225">
              <w:t>$467.44</w:t>
            </w:r>
          </w:p>
        </w:tc>
        <w:tc>
          <w:tcPr>
            <w:tcW w:w="679" w:type="pct"/>
          </w:tcPr>
          <w:p w14:paraId="718707D1" w14:textId="77777777" w:rsidR="00F71DD3" w:rsidRPr="00692054" w:rsidRDefault="00F71DD3" w:rsidP="00F71DD3">
            <w:pPr>
              <w:widowControl w:val="0"/>
              <w:spacing w:after="40"/>
              <w:jc w:val="center"/>
              <w:rPr>
                <w:iCs/>
              </w:rPr>
            </w:pPr>
            <w:r w:rsidRPr="00692054">
              <w:rPr>
                <w:iCs/>
              </w:rPr>
              <w:t>-$255.67</w:t>
            </w:r>
          </w:p>
        </w:tc>
      </w:tr>
      <w:tr w:rsidR="00F71DD3" w:rsidRPr="00981225" w14:paraId="3D2F238F" w14:textId="77777777" w:rsidTr="00692054">
        <w:tc>
          <w:tcPr>
            <w:tcW w:w="2435" w:type="pct"/>
          </w:tcPr>
          <w:p w14:paraId="1773702C" w14:textId="77777777" w:rsidR="00F71DD3" w:rsidRPr="00981225" w:rsidRDefault="00F71DD3" w:rsidP="00F71DD3">
            <w:pPr>
              <w:widowControl w:val="0"/>
              <w:spacing w:after="40"/>
              <w:rPr>
                <w:bCs/>
              </w:rPr>
            </w:pPr>
            <w:r w:rsidRPr="00981225">
              <w:rPr>
                <w:bCs/>
              </w:rPr>
              <w:t>Total</w:t>
            </w:r>
          </w:p>
        </w:tc>
        <w:tc>
          <w:tcPr>
            <w:tcW w:w="786" w:type="pct"/>
          </w:tcPr>
          <w:p w14:paraId="42A3129D" w14:textId="77777777" w:rsidR="00F71DD3" w:rsidRPr="00981225" w:rsidRDefault="00F71DD3" w:rsidP="00F71DD3">
            <w:pPr>
              <w:widowControl w:val="0"/>
              <w:spacing w:after="40"/>
              <w:jc w:val="center"/>
              <w:rPr>
                <w:bCs/>
              </w:rPr>
            </w:pPr>
            <w:r w:rsidRPr="00981225">
              <w:rPr>
                <w:bCs/>
              </w:rPr>
              <w:t>$1,</w:t>
            </w:r>
            <w:r w:rsidRPr="00981225">
              <w:t>611.77</w:t>
            </w:r>
          </w:p>
        </w:tc>
        <w:tc>
          <w:tcPr>
            <w:tcW w:w="1101" w:type="pct"/>
          </w:tcPr>
          <w:p w14:paraId="050DE795" w14:textId="77777777" w:rsidR="00F71DD3" w:rsidRPr="00981225" w:rsidRDefault="00F71DD3" w:rsidP="00F71DD3">
            <w:pPr>
              <w:widowControl w:val="0"/>
              <w:spacing w:after="40"/>
              <w:jc w:val="center"/>
              <w:rPr>
                <w:bCs/>
              </w:rPr>
            </w:pPr>
            <w:r w:rsidRPr="00981225">
              <w:rPr>
                <w:bCs/>
              </w:rPr>
              <w:t>$1,</w:t>
            </w:r>
            <w:r w:rsidRPr="00981225">
              <w:t>655.39</w:t>
            </w:r>
          </w:p>
        </w:tc>
        <w:tc>
          <w:tcPr>
            <w:tcW w:w="679" w:type="pct"/>
          </w:tcPr>
          <w:p w14:paraId="0179EABE" w14:textId="77777777" w:rsidR="00F71DD3" w:rsidRPr="00692054" w:rsidRDefault="00F71DD3" w:rsidP="00F71DD3">
            <w:pPr>
              <w:widowControl w:val="0"/>
              <w:spacing w:after="40"/>
              <w:jc w:val="center"/>
              <w:rPr>
                <w:bCs/>
                <w:iCs/>
              </w:rPr>
            </w:pPr>
            <w:r w:rsidRPr="00692054">
              <w:rPr>
                <w:iCs/>
              </w:rPr>
              <w:t>-$43.62</w:t>
            </w:r>
          </w:p>
        </w:tc>
      </w:tr>
      <w:tr w:rsidR="00F71DD3" w:rsidRPr="00981225" w14:paraId="7179DF30" w14:textId="77777777" w:rsidTr="00692054">
        <w:tc>
          <w:tcPr>
            <w:tcW w:w="2435" w:type="pct"/>
            <w:tcBorders>
              <w:right w:val="nil"/>
            </w:tcBorders>
          </w:tcPr>
          <w:p w14:paraId="5474090E" w14:textId="77777777" w:rsidR="00F71DD3" w:rsidRPr="00981225" w:rsidRDefault="00F71DD3" w:rsidP="00F71DD3">
            <w:pPr>
              <w:widowControl w:val="0"/>
              <w:spacing w:after="40"/>
              <w:rPr>
                <w:b/>
                <w:bCs/>
              </w:rPr>
            </w:pPr>
            <w:r w:rsidRPr="00981225">
              <w:rPr>
                <w:b/>
                <w:bCs/>
              </w:rPr>
              <w:t>Outcomes</w:t>
            </w:r>
          </w:p>
        </w:tc>
        <w:tc>
          <w:tcPr>
            <w:tcW w:w="786" w:type="pct"/>
            <w:tcBorders>
              <w:left w:val="nil"/>
              <w:right w:val="nil"/>
            </w:tcBorders>
          </w:tcPr>
          <w:p w14:paraId="028C36CE" w14:textId="77777777" w:rsidR="00F71DD3" w:rsidRPr="00981225" w:rsidRDefault="00F71DD3" w:rsidP="00F71DD3">
            <w:pPr>
              <w:widowControl w:val="0"/>
              <w:spacing w:after="40"/>
              <w:jc w:val="center"/>
              <w:rPr>
                <w:b/>
                <w:bCs/>
              </w:rPr>
            </w:pPr>
          </w:p>
        </w:tc>
        <w:tc>
          <w:tcPr>
            <w:tcW w:w="1101" w:type="pct"/>
            <w:tcBorders>
              <w:left w:val="nil"/>
              <w:right w:val="nil"/>
            </w:tcBorders>
          </w:tcPr>
          <w:p w14:paraId="581F32B5" w14:textId="77777777" w:rsidR="00F71DD3" w:rsidRPr="00981225" w:rsidRDefault="00F71DD3" w:rsidP="00F71DD3">
            <w:pPr>
              <w:widowControl w:val="0"/>
              <w:spacing w:after="40"/>
              <w:jc w:val="center"/>
              <w:rPr>
                <w:b/>
                <w:bCs/>
              </w:rPr>
            </w:pPr>
          </w:p>
        </w:tc>
        <w:tc>
          <w:tcPr>
            <w:tcW w:w="679" w:type="pct"/>
            <w:tcBorders>
              <w:left w:val="nil"/>
            </w:tcBorders>
          </w:tcPr>
          <w:p w14:paraId="3FE93A99" w14:textId="77777777" w:rsidR="00F71DD3" w:rsidRPr="00692054" w:rsidRDefault="00F71DD3" w:rsidP="00F71DD3">
            <w:pPr>
              <w:widowControl w:val="0"/>
              <w:spacing w:after="40"/>
              <w:jc w:val="center"/>
              <w:rPr>
                <w:b/>
                <w:bCs/>
                <w:iCs/>
              </w:rPr>
            </w:pPr>
          </w:p>
        </w:tc>
      </w:tr>
      <w:tr w:rsidR="00F71DD3" w:rsidRPr="00981225" w14:paraId="529267E1" w14:textId="77777777" w:rsidTr="00692054">
        <w:tc>
          <w:tcPr>
            <w:tcW w:w="2435" w:type="pct"/>
          </w:tcPr>
          <w:p w14:paraId="6B742BF2" w14:textId="77777777" w:rsidR="00F71DD3" w:rsidRPr="00981225" w:rsidRDefault="00F71DD3" w:rsidP="00F71DD3">
            <w:pPr>
              <w:widowControl w:val="0"/>
              <w:spacing w:after="40"/>
            </w:pPr>
            <w:r w:rsidRPr="00981225">
              <w:t>Overall accurate diagnoses</w:t>
            </w:r>
          </w:p>
        </w:tc>
        <w:tc>
          <w:tcPr>
            <w:tcW w:w="786" w:type="pct"/>
          </w:tcPr>
          <w:p w14:paraId="62C6D853" w14:textId="77777777" w:rsidR="00F71DD3" w:rsidRPr="00981225" w:rsidRDefault="00F71DD3" w:rsidP="00F71DD3">
            <w:pPr>
              <w:widowControl w:val="0"/>
              <w:spacing w:after="40"/>
              <w:jc w:val="center"/>
            </w:pPr>
            <w:r w:rsidRPr="00981225">
              <w:t>97%</w:t>
            </w:r>
          </w:p>
        </w:tc>
        <w:tc>
          <w:tcPr>
            <w:tcW w:w="1101" w:type="pct"/>
          </w:tcPr>
          <w:p w14:paraId="0165DA46" w14:textId="77777777" w:rsidR="00F71DD3" w:rsidRPr="00981225" w:rsidRDefault="00F71DD3" w:rsidP="00F71DD3">
            <w:pPr>
              <w:widowControl w:val="0"/>
              <w:spacing w:after="40"/>
              <w:jc w:val="center"/>
            </w:pPr>
            <w:r w:rsidRPr="00981225">
              <w:t>55%</w:t>
            </w:r>
          </w:p>
        </w:tc>
        <w:tc>
          <w:tcPr>
            <w:tcW w:w="679" w:type="pct"/>
          </w:tcPr>
          <w:p w14:paraId="3B73550B" w14:textId="77777777" w:rsidR="00F71DD3" w:rsidRPr="00692054" w:rsidRDefault="00F71DD3" w:rsidP="00F71DD3">
            <w:pPr>
              <w:pStyle w:val="Tablecomment"/>
              <w:jc w:val="center"/>
              <w:rPr>
                <w:i w:val="0"/>
                <w:iCs/>
                <w:color w:val="auto"/>
              </w:rPr>
            </w:pPr>
            <w:r w:rsidRPr="00692054">
              <w:rPr>
                <w:i w:val="0"/>
                <w:iCs/>
                <w:color w:val="auto"/>
              </w:rPr>
              <w:t>42%</w:t>
            </w:r>
          </w:p>
        </w:tc>
      </w:tr>
      <w:tr w:rsidR="00F71DD3" w:rsidRPr="00981225" w14:paraId="011E0BCA" w14:textId="77777777" w:rsidTr="00692054">
        <w:tc>
          <w:tcPr>
            <w:tcW w:w="2435" w:type="pct"/>
          </w:tcPr>
          <w:p w14:paraId="55A802B8" w14:textId="448D1512" w:rsidR="00F71DD3" w:rsidRPr="00981225" w:rsidRDefault="00F71DD3" w:rsidP="00F71DD3">
            <w:pPr>
              <w:widowControl w:val="0"/>
              <w:spacing w:after="40"/>
            </w:pPr>
            <w:r w:rsidRPr="00981225">
              <w:t xml:space="preserve">Futile treatments avoided in patients with </w:t>
            </w:r>
            <w:r w:rsidR="006B2CE8">
              <w:t>DM</w:t>
            </w:r>
          </w:p>
        </w:tc>
        <w:tc>
          <w:tcPr>
            <w:tcW w:w="786" w:type="pct"/>
          </w:tcPr>
          <w:p w14:paraId="297D40D6" w14:textId="77777777" w:rsidR="00F71DD3" w:rsidRPr="00981225" w:rsidRDefault="00F71DD3" w:rsidP="00F71DD3">
            <w:pPr>
              <w:widowControl w:val="0"/>
              <w:spacing w:after="40"/>
              <w:jc w:val="center"/>
            </w:pPr>
            <w:r w:rsidRPr="00981225">
              <w:t>52%</w:t>
            </w:r>
          </w:p>
        </w:tc>
        <w:tc>
          <w:tcPr>
            <w:tcW w:w="1101" w:type="pct"/>
          </w:tcPr>
          <w:p w14:paraId="452D0C1D" w14:textId="77777777" w:rsidR="00F71DD3" w:rsidRPr="00981225" w:rsidRDefault="00F71DD3" w:rsidP="00F71DD3">
            <w:pPr>
              <w:widowControl w:val="0"/>
              <w:spacing w:after="40"/>
              <w:jc w:val="center"/>
            </w:pPr>
            <w:r w:rsidRPr="00981225">
              <w:t>29%</w:t>
            </w:r>
          </w:p>
        </w:tc>
        <w:tc>
          <w:tcPr>
            <w:tcW w:w="679" w:type="pct"/>
          </w:tcPr>
          <w:p w14:paraId="6C367B1E" w14:textId="77777777" w:rsidR="00F71DD3" w:rsidRPr="00692054" w:rsidRDefault="00F71DD3" w:rsidP="00F71DD3">
            <w:pPr>
              <w:pStyle w:val="Tablecomment"/>
              <w:jc w:val="center"/>
              <w:rPr>
                <w:i w:val="0"/>
                <w:iCs/>
                <w:color w:val="auto"/>
              </w:rPr>
            </w:pPr>
            <w:r w:rsidRPr="00692054">
              <w:rPr>
                <w:i w:val="0"/>
                <w:iCs/>
                <w:color w:val="auto"/>
              </w:rPr>
              <w:t>23%</w:t>
            </w:r>
          </w:p>
        </w:tc>
      </w:tr>
      <w:tr w:rsidR="00F71DD3" w:rsidRPr="00981225" w14:paraId="55DC9275" w14:textId="77777777" w:rsidTr="00692054">
        <w:tc>
          <w:tcPr>
            <w:tcW w:w="2435" w:type="pct"/>
          </w:tcPr>
          <w:p w14:paraId="78B6E86C" w14:textId="77777777" w:rsidR="00F71DD3" w:rsidRPr="00981225" w:rsidRDefault="00F71DD3" w:rsidP="00F71DD3">
            <w:pPr>
              <w:widowControl w:val="0"/>
              <w:spacing w:after="40"/>
            </w:pPr>
            <w:r w:rsidRPr="00981225">
              <w:t>Cost of futile treatments avoided</w:t>
            </w:r>
          </w:p>
        </w:tc>
        <w:tc>
          <w:tcPr>
            <w:tcW w:w="786" w:type="pct"/>
          </w:tcPr>
          <w:p w14:paraId="1BFF5F3D" w14:textId="77777777" w:rsidR="00F71DD3" w:rsidRPr="00981225" w:rsidRDefault="00F71DD3" w:rsidP="00F71DD3">
            <w:pPr>
              <w:widowControl w:val="0"/>
              <w:spacing w:after="40"/>
              <w:jc w:val="center"/>
            </w:pPr>
            <w:r w:rsidRPr="00981225">
              <w:t>-$6,729.01</w:t>
            </w:r>
          </w:p>
        </w:tc>
        <w:tc>
          <w:tcPr>
            <w:tcW w:w="1101" w:type="pct"/>
          </w:tcPr>
          <w:p w14:paraId="2EF56AAC" w14:textId="77777777" w:rsidR="00F71DD3" w:rsidRPr="00981225" w:rsidRDefault="00F71DD3" w:rsidP="00F71DD3">
            <w:pPr>
              <w:widowControl w:val="0"/>
              <w:spacing w:after="40"/>
              <w:jc w:val="center"/>
            </w:pPr>
            <w:r w:rsidRPr="00981225">
              <w:t>-$3,769.27</w:t>
            </w:r>
          </w:p>
        </w:tc>
        <w:tc>
          <w:tcPr>
            <w:tcW w:w="679" w:type="pct"/>
          </w:tcPr>
          <w:p w14:paraId="180A1537" w14:textId="77777777" w:rsidR="00F71DD3" w:rsidRPr="00692054" w:rsidRDefault="00F71DD3" w:rsidP="00F71DD3">
            <w:pPr>
              <w:widowControl w:val="0"/>
              <w:spacing w:after="40"/>
              <w:jc w:val="center"/>
              <w:rPr>
                <w:iCs/>
              </w:rPr>
            </w:pPr>
            <w:r w:rsidRPr="00692054">
              <w:rPr>
                <w:iCs/>
              </w:rPr>
              <w:t>-$2,959.74</w:t>
            </w:r>
          </w:p>
        </w:tc>
      </w:tr>
      <w:tr w:rsidR="00F71DD3" w:rsidRPr="00981225" w14:paraId="16A37753" w14:textId="77777777" w:rsidTr="00692054">
        <w:tc>
          <w:tcPr>
            <w:tcW w:w="2435" w:type="pct"/>
          </w:tcPr>
          <w:p w14:paraId="09EB642E" w14:textId="77777777" w:rsidR="00F71DD3" w:rsidRPr="00981225" w:rsidRDefault="00F71DD3" w:rsidP="00F71DD3">
            <w:pPr>
              <w:widowControl w:val="0"/>
              <w:spacing w:after="40"/>
            </w:pPr>
            <w:r w:rsidRPr="00981225">
              <w:t>Repeat imaging over 5 years</w:t>
            </w:r>
          </w:p>
        </w:tc>
        <w:tc>
          <w:tcPr>
            <w:tcW w:w="786" w:type="pct"/>
          </w:tcPr>
          <w:p w14:paraId="266EEBBD" w14:textId="77777777" w:rsidR="00F71DD3" w:rsidRPr="00981225" w:rsidRDefault="00F71DD3" w:rsidP="00F71DD3">
            <w:pPr>
              <w:widowControl w:val="0"/>
              <w:spacing w:after="40"/>
              <w:jc w:val="center"/>
            </w:pPr>
            <w:r w:rsidRPr="00981225">
              <w:t>3%</w:t>
            </w:r>
          </w:p>
        </w:tc>
        <w:tc>
          <w:tcPr>
            <w:tcW w:w="1101" w:type="pct"/>
          </w:tcPr>
          <w:p w14:paraId="08567FE4" w14:textId="77777777" w:rsidR="00F71DD3" w:rsidRPr="00981225" w:rsidRDefault="00F71DD3" w:rsidP="00F71DD3">
            <w:pPr>
              <w:widowControl w:val="0"/>
              <w:spacing w:after="40"/>
              <w:jc w:val="center"/>
            </w:pPr>
            <w:r w:rsidRPr="00981225">
              <w:t>10%</w:t>
            </w:r>
          </w:p>
        </w:tc>
        <w:tc>
          <w:tcPr>
            <w:tcW w:w="679" w:type="pct"/>
          </w:tcPr>
          <w:p w14:paraId="7974F337" w14:textId="77777777" w:rsidR="00F71DD3" w:rsidRPr="00692054" w:rsidRDefault="00F71DD3" w:rsidP="00F71DD3">
            <w:pPr>
              <w:pStyle w:val="Tablecomment"/>
              <w:jc w:val="center"/>
              <w:rPr>
                <w:i w:val="0"/>
                <w:iCs/>
                <w:color w:val="auto"/>
              </w:rPr>
            </w:pPr>
            <w:r w:rsidRPr="00692054">
              <w:rPr>
                <w:i w:val="0"/>
                <w:iCs/>
                <w:color w:val="auto"/>
              </w:rPr>
              <w:t>-7%</w:t>
            </w:r>
          </w:p>
        </w:tc>
      </w:tr>
      <w:tr w:rsidR="00F71DD3" w:rsidRPr="00981225" w14:paraId="18DCFA83" w14:textId="77777777" w:rsidTr="00692054">
        <w:tc>
          <w:tcPr>
            <w:tcW w:w="2435" w:type="pct"/>
          </w:tcPr>
          <w:p w14:paraId="182565D3" w14:textId="77777777" w:rsidR="00F71DD3" w:rsidRPr="00981225" w:rsidRDefault="00F71DD3" w:rsidP="00F71DD3">
            <w:pPr>
              <w:widowControl w:val="0"/>
              <w:spacing w:after="40"/>
            </w:pPr>
            <w:r w:rsidRPr="00981225">
              <w:t xml:space="preserve">Overall % </w:t>
            </w:r>
            <w:r>
              <w:t>c</w:t>
            </w:r>
            <w:r w:rsidRPr="00981225">
              <w:t>hange in management</w:t>
            </w:r>
          </w:p>
        </w:tc>
        <w:tc>
          <w:tcPr>
            <w:tcW w:w="786" w:type="pct"/>
            <w:vAlign w:val="center"/>
          </w:tcPr>
          <w:p w14:paraId="6DC00BBE" w14:textId="77777777" w:rsidR="00F71DD3" w:rsidRPr="00981225" w:rsidRDefault="00F71DD3" w:rsidP="00F71DD3">
            <w:pPr>
              <w:widowControl w:val="0"/>
              <w:spacing w:after="40"/>
              <w:jc w:val="center"/>
            </w:pPr>
            <w:r w:rsidRPr="00981225">
              <w:t>59%</w:t>
            </w:r>
          </w:p>
        </w:tc>
        <w:tc>
          <w:tcPr>
            <w:tcW w:w="1101" w:type="pct"/>
            <w:vAlign w:val="center"/>
          </w:tcPr>
          <w:p w14:paraId="7B8F6BC9" w14:textId="77777777" w:rsidR="00F71DD3" w:rsidRPr="00981225" w:rsidRDefault="00F71DD3" w:rsidP="00F71DD3">
            <w:pPr>
              <w:widowControl w:val="0"/>
              <w:spacing w:after="40"/>
              <w:jc w:val="center"/>
            </w:pPr>
            <w:r w:rsidRPr="00981225">
              <w:t>NR</w:t>
            </w:r>
          </w:p>
        </w:tc>
        <w:tc>
          <w:tcPr>
            <w:tcW w:w="679" w:type="pct"/>
            <w:vAlign w:val="center"/>
          </w:tcPr>
          <w:p w14:paraId="4826F049" w14:textId="77777777" w:rsidR="00F71DD3" w:rsidRPr="00981225" w:rsidRDefault="00F71DD3" w:rsidP="00F71DD3">
            <w:pPr>
              <w:widowControl w:val="0"/>
              <w:spacing w:after="40"/>
              <w:jc w:val="center"/>
            </w:pPr>
            <w:r w:rsidRPr="00981225">
              <w:t>NR</w:t>
            </w:r>
          </w:p>
        </w:tc>
      </w:tr>
      <w:tr w:rsidR="00F71DD3" w:rsidRPr="00981225" w14:paraId="2F691BC1" w14:textId="77777777" w:rsidTr="00692054">
        <w:tc>
          <w:tcPr>
            <w:tcW w:w="2435" w:type="pct"/>
          </w:tcPr>
          <w:p w14:paraId="70832CD5" w14:textId="4749926D" w:rsidR="00F71DD3" w:rsidRPr="00981225" w:rsidRDefault="00F71DD3" w:rsidP="00F71DD3">
            <w:pPr>
              <w:widowControl w:val="0"/>
              <w:spacing w:after="40"/>
            </w:pPr>
            <w:r w:rsidRPr="00981225">
              <w:t xml:space="preserve">% </w:t>
            </w:r>
            <w:r>
              <w:t>c</w:t>
            </w:r>
            <w:r w:rsidRPr="00981225">
              <w:t xml:space="preserve">hange in management in patients </w:t>
            </w:r>
            <w:r>
              <w:t>with</w:t>
            </w:r>
            <w:r w:rsidRPr="00981225">
              <w:t xml:space="preserve"> negative/</w:t>
            </w:r>
            <w:r w:rsidR="00692054">
              <w:t xml:space="preserve"> </w:t>
            </w:r>
            <w:r w:rsidRPr="00981225">
              <w:t>equivocal conventional imaging</w:t>
            </w:r>
          </w:p>
        </w:tc>
        <w:tc>
          <w:tcPr>
            <w:tcW w:w="786" w:type="pct"/>
            <w:vAlign w:val="center"/>
          </w:tcPr>
          <w:p w14:paraId="735BDEE3" w14:textId="77777777" w:rsidR="00F71DD3" w:rsidRPr="00981225" w:rsidRDefault="00F71DD3" w:rsidP="00F71DD3">
            <w:pPr>
              <w:widowControl w:val="0"/>
              <w:spacing w:after="40"/>
              <w:jc w:val="center"/>
            </w:pPr>
            <w:r w:rsidRPr="00981225">
              <w:t>6</w:t>
            </w:r>
            <w:r>
              <w:t>1.5</w:t>
            </w:r>
            <w:r w:rsidRPr="00981225">
              <w:t>%</w:t>
            </w:r>
          </w:p>
        </w:tc>
        <w:tc>
          <w:tcPr>
            <w:tcW w:w="1101" w:type="pct"/>
            <w:vAlign w:val="center"/>
          </w:tcPr>
          <w:p w14:paraId="26829FE1" w14:textId="77777777" w:rsidR="00F71DD3" w:rsidRPr="00C4211C" w:rsidRDefault="00F71DD3" w:rsidP="00F71DD3">
            <w:pPr>
              <w:pStyle w:val="Tabletext"/>
              <w:jc w:val="center"/>
            </w:pPr>
            <w:r w:rsidRPr="00C4211C">
              <w:t>0%</w:t>
            </w:r>
            <w:r>
              <w:t xml:space="preserve"> †</w:t>
            </w:r>
          </w:p>
        </w:tc>
        <w:tc>
          <w:tcPr>
            <w:tcW w:w="679" w:type="pct"/>
            <w:vAlign w:val="center"/>
          </w:tcPr>
          <w:p w14:paraId="7C3C467D" w14:textId="77777777" w:rsidR="00F71DD3" w:rsidRPr="00C4211C" w:rsidRDefault="00F71DD3" w:rsidP="00F71DD3">
            <w:pPr>
              <w:pStyle w:val="Tabletext"/>
              <w:jc w:val="center"/>
            </w:pPr>
            <w:r w:rsidRPr="00C4211C">
              <w:t>61.5%</w:t>
            </w:r>
          </w:p>
        </w:tc>
      </w:tr>
    </w:tbl>
    <w:p w14:paraId="6E5A75C8" w14:textId="77777777" w:rsidR="00F71DD3" w:rsidRDefault="00F71DD3" w:rsidP="006F02E2">
      <w:pPr>
        <w:pStyle w:val="Tablenotes"/>
      </w:pPr>
      <w:r w:rsidRPr="00D34029">
        <w:rPr>
          <w:b/>
          <w:bCs/>
        </w:rPr>
        <w:t>Abbreviations:</w:t>
      </w:r>
      <w:r w:rsidRPr="00981225">
        <w:t xml:space="preserve"> </w:t>
      </w:r>
      <w:r>
        <w:t xml:space="preserve">CT = computed tomography; </w:t>
      </w:r>
      <w:r w:rsidRPr="000A1561">
        <w:t xml:space="preserve">DM = distant metastases; NPV = negative predictive value; </w:t>
      </w:r>
      <w:r>
        <w:t xml:space="preserve">NR = not reported; PET = positron emission tomography; </w:t>
      </w:r>
      <w:r w:rsidRPr="000A1561">
        <w:t>PN = pelvic nodal; PPV = positive predictive value</w:t>
      </w:r>
      <w:r>
        <w:t>; PSMA = prostate-specific membrane antigen</w:t>
      </w:r>
    </w:p>
    <w:p w14:paraId="0E8B9217" w14:textId="77777777" w:rsidR="00F71DD3" w:rsidRPr="00D635A4" w:rsidRDefault="00F71DD3" w:rsidP="006F02E2">
      <w:pPr>
        <w:pStyle w:val="Tablenotes"/>
      </w:pPr>
      <w:r>
        <w:t xml:space="preserve">† = </w:t>
      </w:r>
      <w:r w:rsidRPr="00D635A4">
        <w:t xml:space="preserve">The % change in management in patients with negative/equivocal findings having conventional imaging is 0%. The reference by the Applicant for this number is Roach et al. (2018) according to Attachment D1 PSMA PET Model Inputs, tab ‘Decision Tree Probabilities Pop 2’. </w:t>
      </w:r>
    </w:p>
    <w:p w14:paraId="39E4F02E" w14:textId="0E75E0CC" w:rsidR="00F71DD3" w:rsidRDefault="00F71DD3" w:rsidP="006F02E2">
      <w:pPr>
        <w:pStyle w:val="Tablenotes"/>
        <w:rPr>
          <w:lang w:val="en-GB"/>
        </w:rPr>
      </w:pPr>
      <w:r w:rsidRPr="00F46CBE">
        <w:rPr>
          <w:b/>
          <w:lang w:val="en-GB"/>
        </w:rPr>
        <w:t>Source</w:t>
      </w:r>
      <w:r w:rsidRPr="00F46CBE">
        <w:rPr>
          <w:lang w:val="en-GB"/>
        </w:rPr>
        <w:t xml:space="preserve">: </w:t>
      </w:r>
      <w:r>
        <w:rPr>
          <w:lang w:val="en-GB"/>
        </w:rPr>
        <w:t>Table 12, p23 of the Commentary</w:t>
      </w:r>
    </w:p>
    <w:p w14:paraId="20DB7608" w14:textId="750A4518" w:rsidR="00F71DD3" w:rsidRDefault="00F71DD3" w:rsidP="007D45E4">
      <w:pPr>
        <w:pStyle w:val="Caption"/>
        <w:spacing w:before="240"/>
      </w:pPr>
      <w:bookmarkStart w:id="44" w:name="_Ref71096842"/>
      <w:bookmarkStart w:id="45" w:name="_Toc71729653"/>
      <w:r>
        <w:t xml:space="preserve">Table </w:t>
      </w:r>
      <w:bookmarkEnd w:id="44"/>
      <w:r>
        <w:t>12</w:t>
      </w:r>
      <w:r>
        <w:tab/>
        <w:t>Key r</w:t>
      </w:r>
      <w:r w:rsidRPr="00964413">
        <w:t xml:space="preserve">esults of the cost consequence analysis: </w:t>
      </w:r>
      <w:r w:rsidR="00AD1934">
        <w:t>R</w:t>
      </w:r>
      <w:r w:rsidR="00692054">
        <w:t>estaging</w:t>
      </w:r>
      <w:r w:rsidR="009340F2">
        <w:t>,</w:t>
      </w:r>
      <w:r w:rsidRPr="00964413">
        <w:t xml:space="preserve"> PSMA PET/CT vs</w:t>
      </w:r>
      <w:r>
        <w:t>.</w:t>
      </w:r>
      <w:r w:rsidRPr="00964413">
        <w:t xml:space="preserve"> no imaging</w:t>
      </w:r>
      <w:bookmarkEnd w:id="45"/>
    </w:p>
    <w:tbl>
      <w:tblPr>
        <w:tblStyle w:val="TableGrid121"/>
        <w:tblW w:w="5000" w:type="pct"/>
        <w:tblLook w:val="04A0" w:firstRow="1" w:lastRow="0" w:firstColumn="1" w:lastColumn="0" w:noHBand="0" w:noVBand="1"/>
        <w:tblCaption w:val="Health care costs by step and by health state"/>
        <w:tblDescription w:val="This table describes health care costs by step and by health state"/>
      </w:tblPr>
      <w:tblGrid>
        <w:gridCol w:w="4674"/>
        <w:gridCol w:w="1558"/>
        <w:gridCol w:w="1419"/>
        <w:gridCol w:w="1365"/>
      </w:tblGrid>
      <w:tr w:rsidR="00F71DD3" w:rsidRPr="00964413" w14:paraId="4B56464A" w14:textId="77777777" w:rsidTr="00467542">
        <w:trPr>
          <w:cnfStyle w:val="100000000000" w:firstRow="1" w:lastRow="0" w:firstColumn="0" w:lastColumn="0" w:oddVBand="0" w:evenVBand="0" w:oddHBand="0" w:evenHBand="0" w:firstRowFirstColumn="0" w:firstRowLastColumn="0" w:lastRowFirstColumn="0" w:lastRowLastColumn="0"/>
          <w:tblHeader/>
        </w:trPr>
        <w:tc>
          <w:tcPr>
            <w:tcW w:w="2592" w:type="pct"/>
          </w:tcPr>
          <w:p w14:paraId="1E4BD2EC" w14:textId="77777777" w:rsidR="00F71DD3" w:rsidRPr="00964413" w:rsidRDefault="00F71DD3" w:rsidP="00F71DD3">
            <w:pPr>
              <w:widowControl w:val="0"/>
              <w:spacing w:after="40"/>
              <w:rPr>
                <w:rFonts w:ascii="Arial Narrow" w:hAnsi="Arial Narrow"/>
                <w:b/>
              </w:rPr>
            </w:pPr>
            <w:r w:rsidRPr="00964413">
              <w:rPr>
                <w:rFonts w:ascii="Arial Narrow" w:hAnsi="Arial Narrow"/>
                <w:b/>
              </w:rPr>
              <w:t>Health state</w:t>
            </w:r>
          </w:p>
        </w:tc>
        <w:tc>
          <w:tcPr>
            <w:tcW w:w="864" w:type="pct"/>
          </w:tcPr>
          <w:p w14:paraId="5DE75C2F" w14:textId="77777777" w:rsidR="00F71DD3" w:rsidRPr="00964413" w:rsidRDefault="00F71DD3" w:rsidP="00F71DD3">
            <w:pPr>
              <w:widowControl w:val="0"/>
              <w:spacing w:after="40"/>
              <w:jc w:val="center"/>
              <w:rPr>
                <w:rFonts w:ascii="Arial Narrow" w:hAnsi="Arial Narrow"/>
                <w:b/>
              </w:rPr>
            </w:pPr>
            <w:r w:rsidRPr="00964413">
              <w:rPr>
                <w:rFonts w:ascii="Arial Narrow" w:hAnsi="Arial Narrow"/>
                <w:b/>
              </w:rPr>
              <w:t>PSMA PET/CT</w:t>
            </w:r>
          </w:p>
        </w:tc>
        <w:tc>
          <w:tcPr>
            <w:tcW w:w="787" w:type="pct"/>
          </w:tcPr>
          <w:p w14:paraId="0FC8569C" w14:textId="67AED55A" w:rsidR="00F71DD3" w:rsidRPr="00964413" w:rsidRDefault="00467542" w:rsidP="00F71DD3">
            <w:pPr>
              <w:widowControl w:val="0"/>
              <w:spacing w:after="40"/>
              <w:jc w:val="center"/>
              <w:rPr>
                <w:rFonts w:ascii="Arial Narrow" w:hAnsi="Arial Narrow"/>
                <w:b/>
              </w:rPr>
            </w:pPr>
            <w:r>
              <w:rPr>
                <w:rFonts w:ascii="Arial Narrow" w:hAnsi="Arial Narrow"/>
                <w:b/>
              </w:rPr>
              <w:t xml:space="preserve">No </w:t>
            </w:r>
            <w:r w:rsidR="00F71DD3" w:rsidRPr="00964413">
              <w:rPr>
                <w:rFonts w:ascii="Arial Narrow" w:hAnsi="Arial Narrow"/>
                <w:b/>
              </w:rPr>
              <w:t>imaging</w:t>
            </w:r>
          </w:p>
        </w:tc>
        <w:tc>
          <w:tcPr>
            <w:tcW w:w="758" w:type="pct"/>
          </w:tcPr>
          <w:p w14:paraId="13AF68DB" w14:textId="35A8441D" w:rsidR="00F71DD3" w:rsidRPr="00467542" w:rsidRDefault="00F71DD3" w:rsidP="00F71DD3">
            <w:pPr>
              <w:widowControl w:val="0"/>
              <w:spacing w:after="40"/>
              <w:jc w:val="center"/>
              <w:rPr>
                <w:rFonts w:ascii="Arial Narrow" w:hAnsi="Arial Narrow"/>
                <w:b/>
                <w:i/>
                <w:iCs/>
              </w:rPr>
            </w:pPr>
            <w:r w:rsidRPr="00467542">
              <w:rPr>
                <w:rStyle w:val="TablecommentChar"/>
                <w:b/>
                <w:bCs/>
                <w:i w:val="0"/>
                <w:iCs/>
                <w:color w:val="auto"/>
              </w:rPr>
              <w:t>Increment</w:t>
            </w:r>
          </w:p>
        </w:tc>
      </w:tr>
      <w:tr w:rsidR="00F71DD3" w:rsidRPr="00964413" w14:paraId="2DFE5CD5" w14:textId="77777777" w:rsidTr="00467542">
        <w:trPr>
          <w:cnfStyle w:val="100000000000" w:firstRow="1" w:lastRow="0" w:firstColumn="0" w:lastColumn="0" w:oddVBand="0" w:evenVBand="0" w:oddHBand="0" w:evenHBand="0" w:firstRowFirstColumn="0" w:firstRowLastColumn="0" w:lastRowFirstColumn="0" w:lastRowLastColumn="0"/>
          <w:tblHeader/>
        </w:trPr>
        <w:tc>
          <w:tcPr>
            <w:tcW w:w="2592" w:type="pct"/>
            <w:tcBorders>
              <w:right w:val="nil"/>
            </w:tcBorders>
          </w:tcPr>
          <w:p w14:paraId="47D36F95" w14:textId="77777777" w:rsidR="00F71DD3" w:rsidRPr="00964413" w:rsidRDefault="00F71DD3" w:rsidP="00F71DD3">
            <w:pPr>
              <w:widowControl w:val="0"/>
              <w:spacing w:after="40"/>
              <w:rPr>
                <w:rFonts w:ascii="Arial Narrow" w:hAnsi="Arial Narrow"/>
                <w:b/>
                <w:bCs/>
              </w:rPr>
            </w:pPr>
            <w:r w:rsidRPr="00964413">
              <w:rPr>
                <w:rFonts w:ascii="Arial Narrow" w:hAnsi="Arial Narrow"/>
                <w:b/>
                <w:bCs/>
              </w:rPr>
              <w:t>Costs</w:t>
            </w:r>
          </w:p>
        </w:tc>
        <w:tc>
          <w:tcPr>
            <w:tcW w:w="864" w:type="pct"/>
            <w:tcBorders>
              <w:left w:val="nil"/>
              <w:right w:val="nil"/>
            </w:tcBorders>
            <w:vAlign w:val="bottom"/>
          </w:tcPr>
          <w:p w14:paraId="156C73C9" w14:textId="77777777" w:rsidR="00F71DD3" w:rsidRPr="00964413" w:rsidRDefault="00F71DD3" w:rsidP="00F71DD3">
            <w:pPr>
              <w:widowControl w:val="0"/>
              <w:spacing w:after="40"/>
              <w:jc w:val="center"/>
              <w:rPr>
                <w:rFonts w:ascii="Arial Narrow" w:hAnsi="Arial Narrow"/>
                <w:b/>
                <w:bCs/>
              </w:rPr>
            </w:pPr>
          </w:p>
        </w:tc>
        <w:tc>
          <w:tcPr>
            <w:tcW w:w="787" w:type="pct"/>
            <w:tcBorders>
              <w:left w:val="nil"/>
              <w:right w:val="nil"/>
            </w:tcBorders>
            <w:vAlign w:val="bottom"/>
          </w:tcPr>
          <w:p w14:paraId="7CA29286" w14:textId="77777777" w:rsidR="00F71DD3" w:rsidRPr="00964413" w:rsidRDefault="00F71DD3" w:rsidP="00F71DD3">
            <w:pPr>
              <w:widowControl w:val="0"/>
              <w:spacing w:after="40"/>
              <w:jc w:val="center"/>
              <w:rPr>
                <w:rFonts w:ascii="Arial Narrow" w:hAnsi="Arial Narrow"/>
                <w:b/>
                <w:bCs/>
              </w:rPr>
            </w:pPr>
          </w:p>
        </w:tc>
        <w:tc>
          <w:tcPr>
            <w:tcW w:w="758" w:type="pct"/>
            <w:tcBorders>
              <w:left w:val="nil"/>
            </w:tcBorders>
            <w:vAlign w:val="bottom"/>
          </w:tcPr>
          <w:p w14:paraId="03DC1AD7" w14:textId="77777777" w:rsidR="00F71DD3" w:rsidRPr="00467542" w:rsidRDefault="00F71DD3" w:rsidP="00F71DD3">
            <w:pPr>
              <w:widowControl w:val="0"/>
              <w:spacing w:after="40"/>
              <w:jc w:val="center"/>
              <w:rPr>
                <w:rFonts w:ascii="Arial Narrow" w:hAnsi="Arial Narrow"/>
                <w:b/>
                <w:bCs/>
              </w:rPr>
            </w:pPr>
          </w:p>
        </w:tc>
      </w:tr>
      <w:tr w:rsidR="00F71DD3" w:rsidRPr="00964413" w14:paraId="5AD966F5" w14:textId="77777777" w:rsidTr="00467542">
        <w:trPr>
          <w:cnfStyle w:val="100000000000" w:firstRow="1" w:lastRow="0" w:firstColumn="0" w:lastColumn="0" w:oddVBand="0" w:evenVBand="0" w:oddHBand="0" w:evenHBand="0" w:firstRowFirstColumn="0" w:firstRowLastColumn="0" w:lastRowFirstColumn="0" w:lastRowLastColumn="0"/>
          <w:tblHeader/>
        </w:trPr>
        <w:tc>
          <w:tcPr>
            <w:tcW w:w="2592" w:type="pct"/>
          </w:tcPr>
          <w:p w14:paraId="123C3019" w14:textId="1126F4C7" w:rsidR="00F71DD3" w:rsidRPr="00964413" w:rsidRDefault="00F71DD3" w:rsidP="00F71DD3">
            <w:pPr>
              <w:widowControl w:val="0"/>
              <w:spacing w:after="40"/>
              <w:rPr>
                <w:rFonts w:ascii="Arial Narrow" w:hAnsi="Arial Narrow"/>
              </w:rPr>
            </w:pPr>
            <w:r w:rsidRPr="00964413">
              <w:rPr>
                <w:rFonts w:ascii="Arial Narrow" w:hAnsi="Arial Narrow"/>
              </w:rPr>
              <w:t xml:space="preserve">Cost of </w:t>
            </w:r>
            <w:r w:rsidR="00AD1934">
              <w:rPr>
                <w:rFonts w:ascii="Arial Narrow" w:hAnsi="Arial Narrow"/>
              </w:rPr>
              <w:t>primary</w:t>
            </w:r>
          </w:p>
        </w:tc>
        <w:tc>
          <w:tcPr>
            <w:tcW w:w="864" w:type="pct"/>
          </w:tcPr>
          <w:p w14:paraId="2A0DE4F5" w14:textId="77777777" w:rsidR="00F71DD3" w:rsidRPr="00964413" w:rsidRDefault="00F71DD3" w:rsidP="00F71DD3">
            <w:pPr>
              <w:widowControl w:val="0"/>
              <w:spacing w:after="40"/>
              <w:jc w:val="center"/>
              <w:rPr>
                <w:rFonts w:ascii="Arial Narrow" w:hAnsi="Arial Narrow"/>
              </w:rPr>
            </w:pPr>
            <w:r w:rsidRPr="00964413">
              <w:rPr>
                <w:rFonts w:ascii="Arial Narrow" w:hAnsi="Arial Narrow"/>
              </w:rPr>
              <w:t>$1,400.00</w:t>
            </w:r>
          </w:p>
        </w:tc>
        <w:tc>
          <w:tcPr>
            <w:tcW w:w="787" w:type="pct"/>
          </w:tcPr>
          <w:p w14:paraId="7215557B" w14:textId="77777777" w:rsidR="00F71DD3" w:rsidRPr="00964413" w:rsidRDefault="00F71DD3" w:rsidP="00F71DD3">
            <w:pPr>
              <w:widowControl w:val="0"/>
              <w:spacing w:after="40"/>
              <w:jc w:val="center"/>
              <w:rPr>
                <w:rFonts w:ascii="Arial Narrow" w:hAnsi="Arial Narrow"/>
              </w:rPr>
            </w:pPr>
            <w:r w:rsidRPr="00964413">
              <w:rPr>
                <w:rFonts w:ascii="Arial Narrow" w:hAnsi="Arial Narrow"/>
              </w:rPr>
              <w:t>$0.00</w:t>
            </w:r>
          </w:p>
        </w:tc>
        <w:tc>
          <w:tcPr>
            <w:tcW w:w="758" w:type="pct"/>
          </w:tcPr>
          <w:p w14:paraId="377D3EA7" w14:textId="77777777" w:rsidR="00F71DD3" w:rsidRPr="00467542" w:rsidRDefault="00F71DD3" w:rsidP="00F71DD3">
            <w:pPr>
              <w:widowControl w:val="0"/>
              <w:spacing w:after="40"/>
              <w:jc w:val="center"/>
              <w:rPr>
                <w:rFonts w:ascii="Arial Narrow" w:hAnsi="Arial Narrow"/>
              </w:rPr>
            </w:pPr>
            <w:r w:rsidRPr="00467542">
              <w:rPr>
                <w:rFonts w:ascii="Arial Narrow" w:hAnsi="Arial Narrow"/>
              </w:rPr>
              <w:t>$1,400.00</w:t>
            </w:r>
          </w:p>
        </w:tc>
      </w:tr>
      <w:tr w:rsidR="00F71DD3" w:rsidRPr="00964413" w14:paraId="00A8E4CD" w14:textId="77777777" w:rsidTr="00467542">
        <w:trPr>
          <w:cnfStyle w:val="100000000000" w:firstRow="1" w:lastRow="0" w:firstColumn="0" w:lastColumn="0" w:oddVBand="0" w:evenVBand="0" w:oddHBand="0" w:evenHBand="0" w:firstRowFirstColumn="0" w:firstRowLastColumn="0" w:lastRowFirstColumn="0" w:lastRowLastColumn="0"/>
          <w:tblHeader/>
        </w:trPr>
        <w:tc>
          <w:tcPr>
            <w:tcW w:w="2592" w:type="pct"/>
          </w:tcPr>
          <w:p w14:paraId="614F9A1F" w14:textId="77777777" w:rsidR="00F71DD3" w:rsidRPr="00964413" w:rsidRDefault="00F71DD3" w:rsidP="00F71DD3">
            <w:pPr>
              <w:widowControl w:val="0"/>
              <w:spacing w:after="40"/>
              <w:rPr>
                <w:rFonts w:ascii="Arial Narrow" w:hAnsi="Arial Narrow"/>
              </w:rPr>
            </w:pPr>
            <w:r w:rsidRPr="00964413">
              <w:rPr>
                <w:rFonts w:ascii="Arial Narrow" w:hAnsi="Arial Narrow"/>
              </w:rPr>
              <w:t xml:space="preserve">Cost of repeat imaging </w:t>
            </w:r>
            <w:r w:rsidRPr="002B2A9D">
              <w:rPr>
                <w:rFonts w:ascii="Arial Narrow" w:hAnsi="Arial Narrow"/>
              </w:rPr>
              <w:t>over 5 years</w:t>
            </w:r>
          </w:p>
        </w:tc>
        <w:tc>
          <w:tcPr>
            <w:tcW w:w="864" w:type="pct"/>
          </w:tcPr>
          <w:p w14:paraId="45D87E4A" w14:textId="77777777" w:rsidR="00F71DD3" w:rsidRPr="00964413" w:rsidRDefault="00F71DD3" w:rsidP="00F71DD3">
            <w:pPr>
              <w:widowControl w:val="0"/>
              <w:spacing w:after="40"/>
              <w:jc w:val="center"/>
              <w:rPr>
                <w:rFonts w:ascii="Arial Narrow" w:hAnsi="Arial Narrow"/>
              </w:rPr>
            </w:pPr>
            <w:r w:rsidRPr="00964413">
              <w:rPr>
                <w:rFonts w:ascii="Arial Narrow" w:hAnsi="Arial Narrow"/>
              </w:rPr>
              <w:t>$403.29</w:t>
            </w:r>
          </w:p>
        </w:tc>
        <w:tc>
          <w:tcPr>
            <w:tcW w:w="787" w:type="pct"/>
          </w:tcPr>
          <w:p w14:paraId="1D71AD5C" w14:textId="77777777" w:rsidR="00F71DD3" w:rsidRPr="00964413" w:rsidRDefault="00F71DD3" w:rsidP="00F71DD3">
            <w:pPr>
              <w:widowControl w:val="0"/>
              <w:spacing w:after="40"/>
              <w:jc w:val="center"/>
              <w:rPr>
                <w:rFonts w:ascii="Arial Narrow" w:hAnsi="Arial Narrow"/>
              </w:rPr>
            </w:pPr>
            <w:r w:rsidRPr="00964413">
              <w:rPr>
                <w:rFonts w:ascii="Arial Narrow" w:hAnsi="Arial Narrow"/>
              </w:rPr>
              <w:t>$0.00</w:t>
            </w:r>
          </w:p>
        </w:tc>
        <w:tc>
          <w:tcPr>
            <w:tcW w:w="758" w:type="pct"/>
          </w:tcPr>
          <w:p w14:paraId="2D14590C" w14:textId="77777777" w:rsidR="00F71DD3" w:rsidRPr="00467542" w:rsidRDefault="00F71DD3" w:rsidP="00F71DD3">
            <w:pPr>
              <w:widowControl w:val="0"/>
              <w:spacing w:after="40"/>
              <w:jc w:val="center"/>
              <w:rPr>
                <w:rFonts w:ascii="Arial Narrow" w:hAnsi="Arial Narrow"/>
              </w:rPr>
            </w:pPr>
            <w:r w:rsidRPr="00467542">
              <w:rPr>
                <w:rFonts w:ascii="Arial Narrow" w:hAnsi="Arial Narrow"/>
              </w:rPr>
              <w:t>$403.29</w:t>
            </w:r>
          </w:p>
        </w:tc>
      </w:tr>
      <w:tr w:rsidR="00F71DD3" w:rsidRPr="00964413" w14:paraId="1A951B8B" w14:textId="77777777" w:rsidTr="00467542">
        <w:trPr>
          <w:cnfStyle w:val="100000000000" w:firstRow="1" w:lastRow="0" w:firstColumn="0" w:lastColumn="0" w:oddVBand="0" w:evenVBand="0" w:oddHBand="0" w:evenHBand="0" w:firstRowFirstColumn="0" w:firstRowLastColumn="0" w:lastRowFirstColumn="0" w:lastRowLastColumn="0"/>
          <w:tblHeader/>
        </w:trPr>
        <w:tc>
          <w:tcPr>
            <w:tcW w:w="2592" w:type="pct"/>
          </w:tcPr>
          <w:p w14:paraId="6A5E2BDE" w14:textId="77777777" w:rsidR="00F71DD3" w:rsidRPr="00964413" w:rsidRDefault="00F71DD3" w:rsidP="00F71DD3">
            <w:pPr>
              <w:widowControl w:val="0"/>
              <w:spacing w:after="40"/>
              <w:rPr>
                <w:rFonts w:ascii="Arial Narrow" w:hAnsi="Arial Narrow"/>
                <w:bCs/>
              </w:rPr>
            </w:pPr>
            <w:r w:rsidRPr="00964413">
              <w:rPr>
                <w:rFonts w:ascii="Arial Narrow" w:hAnsi="Arial Narrow"/>
                <w:bCs/>
              </w:rPr>
              <w:t>Total</w:t>
            </w:r>
          </w:p>
        </w:tc>
        <w:tc>
          <w:tcPr>
            <w:tcW w:w="864" w:type="pct"/>
          </w:tcPr>
          <w:p w14:paraId="39C5C19C" w14:textId="77777777" w:rsidR="00F71DD3" w:rsidRPr="00964413" w:rsidRDefault="00F71DD3" w:rsidP="00F71DD3">
            <w:pPr>
              <w:widowControl w:val="0"/>
              <w:spacing w:after="40"/>
              <w:jc w:val="center"/>
              <w:rPr>
                <w:rFonts w:ascii="Arial Narrow" w:hAnsi="Arial Narrow"/>
                <w:bCs/>
              </w:rPr>
            </w:pPr>
            <w:r w:rsidRPr="00964413">
              <w:rPr>
                <w:rFonts w:ascii="Arial Narrow" w:hAnsi="Arial Narrow"/>
              </w:rPr>
              <w:t>$1,803.29</w:t>
            </w:r>
          </w:p>
        </w:tc>
        <w:tc>
          <w:tcPr>
            <w:tcW w:w="787" w:type="pct"/>
          </w:tcPr>
          <w:p w14:paraId="72A15A6E" w14:textId="77777777" w:rsidR="00F71DD3" w:rsidRPr="00964413" w:rsidRDefault="00F71DD3" w:rsidP="00F71DD3">
            <w:pPr>
              <w:widowControl w:val="0"/>
              <w:spacing w:after="40"/>
              <w:jc w:val="center"/>
              <w:rPr>
                <w:rFonts w:ascii="Arial Narrow" w:hAnsi="Arial Narrow"/>
                <w:bCs/>
              </w:rPr>
            </w:pPr>
            <w:r w:rsidRPr="00964413">
              <w:rPr>
                <w:rFonts w:ascii="Arial Narrow" w:hAnsi="Arial Narrow"/>
              </w:rPr>
              <w:t>$0.00</w:t>
            </w:r>
          </w:p>
        </w:tc>
        <w:tc>
          <w:tcPr>
            <w:tcW w:w="758" w:type="pct"/>
          </w:tcPr>
          <w:p w14:paraId="33172938" w14:textId="77777777" w:rsidR="00F71DD3" w:rsidRPr="00467542" w:rsidRDefault="00F71DD3" w:rsidP="00F71DD3">
            <w:pPr>
              <w:widowControl w:val="0"/>
              <w:spacing w:after="40"/>
              <w:jc w:val="center"/>
              <w:rPr>
                <w:rFonts w:ascii="Arial Narrow" w:hAnsi="Arial Narrow"/>
                <w:bCs/>
              </w:rPr>
            </w:pPr>
            <w:r w:rsidRPr="00467542">
              <w:rPr>
                <w:rFonts w:ascii="Arial Narrow" w:hAnsi="Arial Narrow"/>
              </w:rPr>
              <w:t>$1,803.29</w:t>
            </w:r>
          </w:p>
        </w:tc>
      </w:tr>
      <w:tr w:rsidR="00F71DD3" w:rsidRPr="00964413" w14:paraId="7F77630E" w14:textId="77777777" w:rsidTr="00467542">
        <w:trPr>
          <w:cnfStyle w:val="100000000000" w:firstRow="1" w:lastRow="0" w:firstColumn="0" w:lastColumn="0" w:oddVBand="0" w:evenVBand="0" w:oddHBand="0" w:evenHBand="0" w:firstRowFirstColumn="0" w:firstRowLastColumn="0" w:lastRowFirstColumn="0" w:lastRowLastColumn="0"/>
          <w:tblHeader/>
        </w:trPr>
        <w:tc>
          <w:tcPr>
            <w:tcW w:w="2592" w:type="pct"/>
            <w:tcBorders>
              <w:right w:val="nil"/>
            </w:tcBorders>
          </w:tcPr>
          <w:p w14:paraId="654E60EF" w14:textId="77777777" w:rsidR="00F71DD3" w:rsidRPr="00964413" w:rsidRDefault="00F71DD3" w:rsidP="00F71DD3">
            <w:pPr>
              <w:widowControl w:val="0"/>
              <w:spacing w:after="40"/>
              <w:rPr>
                <w:rFonts w:ascii="Arial Narrow" w:hAnsi="Arial Narrow"/>
                <w:b/>
                <w:bCs/>
              </w:rPr>
            </w:pPr>
            <w:r w:rsidRPr="00964413">
              <w:rPr>
                <w:rFonts w:ascii="Arial Narrow" w:hAnsi="Arial Narrow"/>
                <w:b/>
                <w:bCs/>
              </w:rPr>
              <w:t>Outcomes</w:t>
            </w:r>
          </w:p>
        </w:tc>
        <w:tc>
          <w:tcPr>
            <w:tcW w:w="864" w:type="pct"/>
            <w:tcBorders>
              <w:left w:val="nil"/>
              <w:right w:val="nil"/>
            </w:tcBorders>
          </w:tcPr>
          <w:p w14:paraId="0AE9AEEF" w14:textId="77777777" w:rsidR="00F71DD3" w:rsidRPr="00964413" w:rsidRDefault="00F71DD3" w:rsidP="00F71DD3">
            <w:pPr>
              <w:widowControl w:val="0"/>
              <w:spacing w:after="40"/>
              <w:jc w:val="center"/>
              <w:rPr>
                <w:rFonts w:ascii="Arial Narrow" w:hAnsi="Arial Narrow"/>
                <w:b/>
                <w:bCs/>
              </w:rPr>
            </w:pPr>
          </w:p>
        </w:tc>
        <w:tc>
          <w:tcPr>
            <w:tcW w:w="787" w:type="pct"/>
            <w:tcBorders>
              <w:left w:val="nil"/>
              <w:right w:val="nil"/>
            </w:tcBorders>
          </w:tcPr>
          <w:p w14:paraId="41E8AED6" w14:textId="77777777" w:rsidR="00F71DD3" w:rsidRPr="00964413" w:rsidRDefault="00F71DD3" w:rsidP="00F71DD3">
            <w:pPr>
              <w:widowControl w:val="0"/>
              <w:spacing w:after="40"/>
              <w:jc w:val="center"/>
              <w:rPr>
                <w:rFonts w:ascii="Arial Narrow" w:hAnsi="Arial Narrow"/>
                <w:b/>
                <w:bCs/>
              </w:rPr>
            </w:pPr>
          </w:p>
        </w:tc>
        <w:tc>
          <w:tcPr>
            <w:tcW w:w="758" w:type="pct"/>
            <w:tcBorders>
              <w:left w:val="nil"/>
            </w:tcBorders>
          </w:tcPr>
          <w:p w14:paraId="1688216F" w14:textId="77777777" w:rsidR="00F71DD3" w:rsidRPr="00467542" w:rsidRDefault="00F71DD3" w:rsidP="00F71DD3">
            <w:pPr>
              <w:widowControl w:val="0"/>
              <w:spacing w:after="40"/>
              <w:jc w:val="center"/>
              <w:rPr>
                <w:rFonts w:ascii="Arial Narrow" w:hAnsi="Arial Narrow"/>
                <w:b/>
                <w:bCs/>
              </w:rPr>
            </w:pPr>
          </w:p>
        </w:tc>
      </w:tr>
      <w:tr w:rsidR="00F71DD3" w:rsidRPr="00964413" w14:paraId="35F32FB1" w14:textId="77777777" w:rsidTr="00467542">
        <w:trPr>
          <w:cnfStyle w:val="100000000000" w:firstRow="1" w:lastRow="0" w:firstColumn="0" w:lastColumn="0" w:oddVBand="0" w:evenVBand="0" w:oddHBand="0" w:evenHBand="0" w:firstRowFirstColumn="0" w:firstRowLastColumn="0" w:lastRowFirstColumn="0" w:lastRowLastColumn="0"/>
          <w:tblHeader/>
        </w:trPr>
        <w:tc>
          <w:tcPr>
            <w:tcW w:w="2592" w:type="pct"/>
          </w:tcPr>
          <w:p w14:paraId="22201815" w14:textId="77777777" w:rsidR="00F71DD3" w:rsidRPr="00964413" w:rsidRDefault="00F71DD3" w:rsidP="00F71DD3">
            <w:pPr>
              <w:widowControl w:val="0"/>
              <w:spacing w:after="40"/>
              <w:rPr>
                <w:rFonts w:ascii="Arial Narrow" w:hAnsi="Arial Narrow"/>
              </w:rPr>
            </w:pPr>
            <w:r w:rsidRPr="00964413">
              <w:rPr>
                <w:rFonts w:ascii="Arial Narrow" w:hAnsi="Arial Narrow"/>
              </w:rPr>
              <w:t>Overall accurate diagnoses</w:t>
            </w:r>
          </w:p>
        </w:tc>
        <w:tc>
          <w:tcPr>
            <w:tcW w:w="864" w:type="pct"/>
          </w:tcPr>
          <w:p w14:paraId="4448AB2E" w14:textId="77777777" w:rsidR="00F71DD3" w:rsidRPr="00964413" w:rsidRDefault="00F71DD3" w:rsidP="00F71DD3">
            <w:pPr>
              <w:widowControl w:val="0"/>
              <w:spacing w:after="40"/>
              <w:jc w:val="center"/>
              <w:rPr>
                <w:rFonts w:ascii="Arial Narrow" w:hAnsi="Arial Narrow"/>
              </w:rPr>
            </w:pPr>
            <w:r w:rsidRPr="00964413">
              <w:rPr>
                <w:rFonts w:ascii="Arial Narrow" w:hAnsi="Arial Narrow"/>
              </w:rPr>
              <w:t>98%</w:t>
            </w:r>
          </w:p>
        </w:tc>
        <w:tc>
          <w:tcPr>
            <w:tcW w:w="787" w:type="pct"/>
          </w:tcPr>
          <w:p w14:paraId="32DBDD7A" w14:textId="77777777" w:rsidR="00F71DD3" w:rsidRPr="00964413" w:rsidRDefault="00F71DD3" w:rsidP="00F71DD3">
            <w:pPr>
              <w:widowControl w:val="0"/>
              <w:spacing w:after="40"/>
              <w:jc w:val="center"/>
              <w:rPr>
                <w:rFonts w:ascii="Arial Narrow" w:hAnsi="Arial Narrow"/>
              </w:rPr>
            </w:pPr>
            <w:r w:rsidRPr="00964413">
              <w:rPr>
                <w:rFonts w:ascii="Arial Narrow" w:hAnsi="Arial Narrow"/>
              </w:rPr>
              <w:t>64%</w:t>
            </w:r>
          </w:p>
        </w:tc>
        <w:tc>
          <w:tcPr>
            <w:tcW w:w="758" w:type="pct"/>
          </w:tcPr>
          <w:p w14:paraId="37CC5C06" w14:textId="77777777" w:rsidR="00F71DD3" w:rsidRPr="00692054" w:rsidRDefault="00F71DD3" w:rsidP="00F71DD3">
            <w:pPr>
              <w:pStyle w:val="Tablecomment"/>
              <w:jc w:val="center"/>
              <w:rPr>
                <w:i w:val="0"/>
                <w:iCs/>
                <w:color w:val="auto"/>
              </w:rPr>
            </w:pPr>
            <w:r w:rsidRPr="00692054">
              <w:rPr>
                <w:i w:val="0"/>
                <w:iCs/>
                <w:color w:val="auto"/>
              </w:rPr>
              <w:t>34%</w:t>
            </w:r>
          </w:p>
        </w:tc>
      </w:tr>
      <w:tr w:rsidR="00F71DD3" w:rsidRPr="00964413" w14:paraId="6FC8300C" w14:textId="77777777" w:rsidTr="00467542">
        <w:trPr>
          <w:cnfStyle w:val="100000000000" w:firstRow="1" w:lastRow="0" w:firstColumn="0" w:lastColumn="0" w:oddVBand="0" w:evenVBand="0" w:oddHBand="0" w:evenHBand="0" w:firstRowFirstColumn="0" w:firstRowLastColumn="0" w:lastRowFirstColumn="0" w:lastRowLastColumn="0"/>
          <w:tblHeader/>
        </w:trPr>
        <w:tc>
          <w:tcPr>
            <w:tcW w:w="2592" w:type="pct"/>
          </w:tcPr>
          <w:p w14:paraId="4D796727" w14:textId="3FFC3814" w:rsidR="00F71DD3" w:rsidRPr="00964413" w:rsidRDefault="00F71DD3" w:rsidP="00F71DD3">
            <w:pPr>
              <w:widowControl w:val="0"/>
              <w:spacing w:after="40"/>
              <w:rPr>
                <w:rFonts w:ascii="Arial Narrow" w:hAnsi="Arial Narrow"/>
              </w:rPr>
            </w:pPr>
            <w:r w:rsidRPr="00964413">
              <w:rPr>
                <w:rFonts w:ascii="Arial Narrow" w:hAnsi="Arial Narrow"/>
              </w:rPr>
              <w:t xml:space="preserve">Futile treatments avoided in patients with </w:t>
            </w:r>
            <w:r w:rsidR="006B2CE8">
              <w:rPr>
                <w:rFonts w:ascii="Arial Narrow" w:hAnsi="Arial Narrow"/>
              </w:rPr>
              <w:t>DM</w:t>
            </w:r>
          </w:p>
        </w:tc>
        <w:tc>
          <w:tcPr>
            <w:tcW w:w="864" w:type="pct"/>
          </w:tcPr>
          <w:p w14:paraId="45771271" w14:textId="77777777" w:rsidR="00F71DD3" w:rsidRPr="00964413" w:rsidRDefault="00F71DD3" w:rsidP="00F71DD3">
            <w:pPr>
              <w:widowControl w:val="0"/>
              <w:spacing w:after="40"/>
              <w:jc w:val="center"/>
              <w:rPr>
                <w:rFonts w:ascii="Arial Narrow" w:hAnsi="Arial Narrow"/>
              </w:rPr>
            </w:pPr>
            <w:r w:rsidRPr="00964413">
              <w:rPr>
                <w:rFonts w:ascii="Arial Narrow" w:hAnsi="Arial Narrow"/>
              </w:rPr>
              <w:t>19%</w:t>
            </w:r>
          </w:p>
        </w:tc>
        <w:tc>
          <w:tcPr>
            <w:tcW w:w="787" w:type="pct"/>
          </w:tcPr>
          <w:p w14:paraId="040B59A3" w14:textId="77777777" w:rsidR="00F71DD3" w:rsidRPr="00964413" w:rsidRDefault="00F71DD3" w:rsidP="00F71DD3">
            <w:pPr>
              <w:widowControl w:val="0"/>
              <w:spacing w:after="40"/>
              <w:jc w:val="center"/>
              <w:rPr>
                <w:rFonts w:ascii="Arial Narrow" w:hAnsi="Arial Narrow"/>
              </w:rPr>
            </w:pPr>
            <w:r w:rsidRPr="00964413">
              <w:rPr>
                <w:rFonts w:ascii="Arial Narrow" w:hAnsi="Arial Narrow"/>
              </w:rPr>
              <w:t>0%</w:t>
            </w:r>
          </w:p>
        </w:tc>
        <w:tc>
          <w:tcPr>
            <w:tcW w:w="758" w:type="pct"/>
          </w:tcPr>
          <w:p w14:paraId="427A7ADC" w14:textId="77777777" w:rsidR="00F71DD3" w:rsidRPr="00964413" w:rsidRDefault="00F71DD3" w:rsidP="00F71DD3">
            <w:pPr>
              <w:widowControl w:val="0"/>
              <w:spacing w:after="40"/>
              <w:jc w:val="center"/>
              <w:rPr>
                <w:rFonts w:ascii="Arial Narrow" w:hAnsi="Arial Narrow"/>
              </w:rPr>
            </w:pPr>
            <w:r w:rsidRPr="00964413">
              <w:rPr>
                <w:rFonts w:ascii="Arial Narrow" w:hAnsi="Arial Narrow"/>
              </w:rPr>
              <w:t>NE</w:t>
            </w:r>
          </w:p>
        </w:tc>
      </w:tr>
      <w:tr w:rsidR="00F71DD3" w:rsidRPr="00964413" w14:paraId="7BD70B5A" w14:textId="77777777" w:rsidTr="00467542">
        <w:trPr>
          <w:cnfStyle w:val="100000000000" w:firstRow="1" w:lastRow="0" w:firstColumn="0" w:lastColumn="0" w:oddVBand="0" w:evenVBand="0" w:oddHBand="0" w:evenHBand="0" w:firstRowFirstColumn="0" w:firstRowLastColumn="0" w:lastRowFirstColumn="0" w:lastRowLastColumn="0"/>
          <w:tblHeader/>
        </w:trPr>
        <w:tc>
          <w:tcPr>
            <w:tcW w:w="2592" w:type="pct"/>
          </w:tcPr>
          <w:p w14:paraId="6DE82C4D" w14:textId="77777777" w:rsidR="00F71DD3" w:rsidRPr="00964413" w:rsidRDefault="00F71DD3" w:rsidP="00F71DD3">
            <w:pPr>
              <w:widowControl w:val="0"/>
              <w:spacing w:after="40"/>
              <w:rPr>
                <w:rFonts w:ascii="Arial Narrow" w:hAnsi="Arial Narrow"/>
              </w:rPr>
            </w:pPr>
            <w:r w:rsidRPr="00964413">
              <w:rPr>
                <w:rFonts w:ascii="Arial Narrow" w:hAnsi="Arial Narrow"/>
              </w:rPr>
              <w:t>Cost of futile treatments avoided</w:t>
            </w:r>
          </w:p>
        </w:tc>
        <w:tc>
          <w:tcPr>
            <w:tcW w:w="864" w:type="pct"/>
          </w:tcPr>
          <w:p w14:paraId="7EF86E32" w14:textId="77777777" w:rsidR="00F71DD3" w:rsidRPr="00964413" w:rsidRDefault="00F71DD3" w:rsidP="00F71DD3">
            <w:pPr>
              <w:widowControl w:val="0"/>
              <w:spacing w:after="40"/>
              <w:jc w:val="center"/>
              <w:rPr>
                <w:rFonts w:ascii="Arial Narrow" w:hAnsi="Arial Narrow"/>
              </w:rPr>
            </w:pPr>
            <w:r w:rsidRPr="00964413">
              <w:rPr>
                <w:rFonts w:ascii="Arial Narrow" w:hAnsi="Arial Narrow"/>
              </w:rPr>
              <w:t>-$2,448.05</w:t>
            </w:r>
          </w:p>
        </w:tc>
        <w:tc>
          <w:tcPr>
            <w:tcW w:w="787" w:type="pct"/>
          </w:tcPr>
          <w:p w14:paraId="1BA8677B" w14:textId="77777777" w:rsidR="00F71DD3" w:rsidRPr="00964413" w:rsidRDefault="00F71DD3" w:rsidP="00F71DD3">
            <w:pPr>
              <w:widowControl w:val="0"/>
              <w:spacing w:after="40"/>
              <w:jc w:val="center"/>
              <w:rPr>
                <w:rFonts w:ascii="Arial Narrow" w:hAnsi="Arial Narrow"/>
              </w:rPr>
            </w:pPr>
            <w:r w:rsidRPr="00964413">
              <w:rPr>
                <w:rFonts w:ascii="Arial Narrow" w:hAnsi="Arial Narrow"/>
              </w:rPr>
              <w:t>$0.00</w:t>
            </w:r>
          </w:p>
        </w:tc>
        <w:tc>
          <w:tcPr>
            <w:tcW w:w="758" w:type="pct"/>
          </w:tcPr>
          <w:p w14:paraId="2696A224" w14:textId="77777777" w:rsidR="00F71DD3" w:rsidRPr="00964413" w:rsidRDefault="00F71DD3" w:rsidP="00F71DD3">
            <w:pPr>
              <w:widowControl w:val="0"/>
              <w:spacing w:after="40"/>
              <w:jc w:val="center"/>
              <w:rPr>
                <w:rFonts w:ascii="Arial Narrow" w:hAnsi="Arial Narrow"/>
              </w:rPr>
            </w:pPr>
            <w:r w:rsidRPr="00964413">
              <w:rPr>
                <w:rFonts w:ascii="Arial Narrow" w:hAnsi="Arial Narrow"/>
              </w:rPr>
              <w:t>-$2,448.05</w:t>
            </w:r>
          </w:p>
        </w:tc>
      </w:tr>
      <w:tr w:rsidR="00F71DD3" w:rsidRPr="00964413" w14:paraId="67839CB3" w14:textId="77777777" w:rsidTr="00467542">
        <w:trPr>
          <w:cnfStyle w:val="100000000000" w:firstRow="1" w:lastRow="0" w:firstColumn="0" w:lastColumn="0" w:oddVBand="0" w:evenVBand="0" w:oddHBand="0" w:evenHBand="0" w:firstRowFirstColumn="0" w:firstRowLastColumn="0" w:lastRowFirstColumn="0" w:lastRowLastColumn="0"/>
          <w:tblHeader/>
        </w:trPr>
        <w:tc>
          <w:tcPr>
            <w:tcW w:w="2592" w:type="pct"/>
          </w:tcPr>
          <w:p w14:paraId="03DB7874" w14:textId="77777777" w:rsidR="00F71DD3" w:rsidRPr="00964413" w:rsidRDefault="00F71DD3" w:rsidP="00F71DD3">
            <w:pPr>
              <w:widowControl w:val="0"/>
              <w:spacing w:after="40"/>
              <w:rPr>
                <w:rFonts w:ascii="Arial Narrow" w:hAnsi="Arial Narrow"/>
              </w:rPr>
            </w:pPr>
            <w:r w:rsidRPr="00964413">
              <w:rPr>
                <w:rFonts w:ascii="Arial Narrow" w:hAnsi="Arial Narrow"/>
              </w:rPr>
              <w:t xml:space="preserve">Repeat imaging over </w:t>
            </w:r>
            <w:r w:rsidRPr="002B2A9D">
              <w:rPr>
                <w:rFonts w:ascii="Arial Narrow" w:hAnsi="Arial Narrow"/>
              </w:rPr>
              <w:t xml:space="preserve">5 years </w:t>
            </w:r>
            <w:r>
              <w:rPr>
                <w:rFonts w:ascii="Arial Narrow" w:hAnsi="Arial Narrow"/>
              </w:rPr>
              <w:t>†</w:t>
            </w:r>
          </w:p>
        </w:tc>
        <w:tc>
          <w:tcPr>
            <w:tcW w:w="864" w:type="pct"/>
          </w:tcPr>
          <w:p w14:paraId="15A8BE41" w14:textId="77777777" w:rsidR="00F71DD3" w:rsidRPr="00964413" w:rsidRDefault="00F71DD3" w:rsidP="00F71DD3">
            <w:pPr>
              <w:widowControl w:val="0"/>
              <w:spacing w:after="40"/>
              <w:jc w:val="center"/>
              <w:rPr>
                <w:rFonts w:ascii="Arial Narrow" w:hAnsi="Arial Narrow"/>
              </w:rPr>
            </w:pPr>
            <w:r w:rsidRPr="00964413">
              <w:rPr>
                <w:rFonts w:ascii="Arial Narrow" w:hAnsi="Arial Narrow"/>
              </w:rPr>
              <w:t>7%</w:t>
            </w:r>
          </w:p>
        </w:tc>
        <w:tc>
          <w:tcPr>
            <w:tcW w:w="787" w:type="pct"/>
          </w:tcPr>
          <w:p w14:paraId="05977B5D" w14:textId="77777777" w:rsidR="00F71DD3" w:rsidRPr="00964413" w:rsidRDefault="00F71DD3" w:rsidP="00F71DD3">
            <w:pPr>
              <w:widowControl w:val="0"/>
              <w:spacing w:after="40"/>
              <w:jc w:val="center"/>
              <w:rPr>
                <w:rFonts w:ascii="Arial Narrow" w:hAnsi="Arial Narrow"/>
              </w:rPr>
            </w:pPr>
            <w:r w:rsidRPr="00964413">
              <w:rPr>
                <w:rFonts w:ascii="Arial Narrow" w:hAnsi="Arial Narrow"/>
              </w:rPr>
              <w:t>0%</w:t>
            </w:r>
          </w:p>
        </w:tc>
        <w:tc>
          <w:tcPr>
            <w:tcW w:w="758" w:type="pct"/>
          </w:tcPr>
          <w:p w14:paraId="1F6457A8" w14:textId="77777777" w:rsidR="00F71DD3" w:rsidRPr="00964413" w:rsidRDefault="00F71DD3" w:rsidP="00F71DD3">
            <w:pPr>
              <w:widowControl w:val="0"/>
              <w:spacing w:after="40"/>
              <w:jc w:val="center"/>
              <w:rPr>
                <w:rFonts w:ascii="Arial Narrow" w:hAnsi="Arial Narrow"/>
              </w:rPr>
            </w:pPr>
            <w:r w:rsidRPr="00964413">
              <w:rPr>
                <w:rFonts w:ascii="Arial Narrow" w:hAnsi="Arial Narrow"/>
              </w:rPr>
              <w:t>NE</w:t>
            </w:r>
          </w:p>
        </w:tc>
      </w:tr>
    </w:tbl>
    <w:p w14:paraId="3F1F629C" w14:textId="77777777" w:rsidR="00F71DD3" w:rsidRDefault="00F71DD3" w:rsidP="00F71DD3">
      <w:pPr>
        <w:pStyle w:val="Tablenotes1"/>
      </w:pPr>
      <w:r w:rsidRPr="00BF65AD">
        <w:rPr>
          <w:b/>
          <w:bCs/>
        </w:rPr>
        <w:t>Abbreviations:</w:t>
      </w:r>
      <w:r w:rsidRPr="00BF65AD">
        <w:t xml:space="preserve"> CT = computed tomography; DM = distant metastases; NE = not estimable; NPV = negative predictive value; PET = positron emission tomography; PN = pelvic nodal; PPV = positive predictive value; PSMA = prostate-specific membrane antigen.</w:t>
      </w:r>
    </w:p>
    <w:p w14:paraId="2D70FEF7" w14:textId="77777777" w:rsidR="00F71DD3" w:rsidRPr="00436C1D" w:rsidRDefault="00F71DD3" w:rsidP="00F71DD3">
      <w:pPr>
        <w:pStyle w:val="Tablenotes1"/>
      </w:pPr>
      <w:r>
        <w:t>† =</w:t>
      </w:r>
      <w:r w:rsidRPr="00A76E3E">
        <w:t xml:space="preserve"> </w:t>
      </w:r>
      <w:r>
        <w:t>a</w:t>
      </w:r>
      <w:r w:rsidRPr="00A76E3E">
        <w:t>ssumes no repeat imaging in no imaging arm.</w:t>
      </w:r>
    </w:p>
    <w:p w14:paraId="7E1A8BE8" w14:textId="00432BD4" w:rsidR="00F71DD3" w:rsidRPr="00A76E3E" w:rsidRDefault="00F71DD3" w:rsidP="00F71DD3">
      <w:pPr>
        <w:pStyle w:val="Tablenotes1"/>
      </w:pPr>
      <w:r w:rsidRPr="00A76E3E">
        <w:rPr>
          <w:b/>
          <w:lang w:val="en-GB"/>
        </w:rPr>
        <w:t>Source</w:t>
      </w:r>
      <w:r w:rsidRPr="00A76E3E">
        <w:rPr>
          <w:lang w:val="en-GB"/>
        </w:rPr>
        <w:t xml:space="preserve">: </w:t>
      </w:r>
      <w:r>
        <w:rPr>
          <w:lang w:val="en-GB"/>
        </w:rPr>
        <w:t>Table 13, p24 of the Commentary</w:t>
      </w:r>
    </w:p>
    <w:p w14:paraId="7F72C0A2" w14:textId="0EE87C18" w:rsidR="00F71DD3" w:rsidRPr="00F71DD3" w:rsidRDefault="00F71DD3" w:rsidP="00F71DD3">
      <w:pPr>
        <w:pStyle w:val="Heading2"/>
      </w:pPr>
      <w:r>
        <w:t>Cost-effectiveness analysis</w:t>
      </w:r>
    </w:p>
    <w:p w14:paraId="36EFF711" w14:textId="2EE61F4B" w:rsidR="007D45E4" w:rsidRPr="007D45E4" w:rsidRDefault="00F71DD3" w:rsidP="007D45E4">
      <w:r>
        <w:t xml:space="preserve">The cost per additional accurate diagnosis and cost per futile treatment avoided for </w:t>
      </w:r>
      <w:r w:rsidR="003E585F">
        <w:t>primary staging</w:t>
      </w:r>
      <w:r>
        <w:t xml:space="preserve"> is presented in Table 13.</w:t>
      </w:r>
      <w:bookmarkStart w:id="46" w:name="_Ref71097006"/>
      <w:bookmarkStart w:id="47" w:name="_Toc71729654"/>
      <w:r w:rsidR="007D45E4">
        <w:br w:type="page"/>
      </w:r>
    </w:p>
    <w:p w14:paraId="550AE67C" w14:textId="0EA6FACB" w:rsidR="00F71DD3" w:rsidRDefault="00F71DD3" w:rsidP="00F71DD3">
      <w:pPr>
        <w:pStyle w:val="Caption"/>
      </w:pPr>
      <w:r>
        <w:t>Table</w:t>
      </w:r>
      <w:bookmarkEnd w:id="46"/>
      <w:r>
        <w:t xml:space="preserve"> 13</w:t>
      </w:r>
      <w:r>
        <w:tab/>
      </w:r>
      <w:r w:rsidRPr="000D3AFE">
        <w:t>Cost per additional accurate diagnosis</w:t>
      </w:r>
      <w:r>
        <w:t xml:space="preserve"> / </w:t>
      </w:r>
      <w:r w:rsidRPr="000D3AFE">
        <w:t>cost per futile treatment avoided: P</w:t>
      </w:r>
      <w:r w:rsidR="00AD1934">
        <w:t>rimary staging</w:t>
      </w:r>
      <w:bookmarkEnd w:id="47"/>
    </w:p>
    <w:tbl>
      <w:tblPr>
        <w:tblStyle w:val="TableGrid131"/>
        <w:tblW w:w="5000" w:type="pct"/>
        <w:tblLook w:val="04A0" w:firstRow="1" w:lastRow="0" w:firstColumn="1" w:lastColumn="0" w:noHBand="0" w:noVBand="1"/>
        <w:tblCaption w:val="Cost per additional accurate diagnosis/cost per futile treatment avoided: Population 1 "/>
        <w:tblDescription w:val="Cost per additional accurate diagnosis/cost per futile treatment avoided: Population 1 "/>
      </w:tblPr>
      <w:tblGrid>
        <w:gridCol w:w="2397"/>
        <w:gridCol w:w="842"/>
        <w:gridCol w:w="476"/>
        <w:gridCol w:w="1316"/>
        <w:gridCol w:w="1316"/>
        <w:gridCol w:w="1318"/>
        <w:gridCol w:w="1351"/>
      </w:tblGrid>
      <w:tr w:rsidR="00F71DD3" w:rsidRPr="000D3AFE" w14:paraId="0224400B" w14:textId="77777777" w:rsidTr="00F71DD3">
        <w:trPr>
          <w:cnfStyle w:val="100000000000" w:firstRow="1" w:lastRow="0" w:firstColumn="0" w:lastColumn="0" w:oddVBand="0" w:evenVBand="0" w:oddHBand="0" w:evenHBand="0" w:firstRowFirstColumn="0" w:firstRowLastColumn="0" w:lastRowFirstColumn="0" w:lastRowLastColumn="0"/>
          <w:tblHeader/>
        </w:trPr>
        <w:tc>
          <w:tcPr>
            <w:tcW w:w="1329" w:type="pct"/>
          </w:tcPr>
          <w:p w14:paraId="1E390761" w14:textId="77777777" w:rsidR="00F71DD3" w:rsidRPr="000D3AFE" w:rsidRDefault="00F71DD3" w:rsidP="00F71DD3">
            <w:pPr>
              <w:widowControl w:val="0"/>
              <w:spacing w:after="40"/>
              <w:rPr>
                <w:rFonts w:ascii="Arial Narrow" w:hAnsi="Arial Narrow"/>
                <w:b/>
              </w:rPr>
            </w:pPr>
          </w:p>
        </w:tc>
        <w:tc>
          <w:tcPr>
            <w:tcW w:w="731" w:type="pct"/>
            <w:gridSpan w:val="2"/>
          </w:tcPr>
          <w:p w14:paraId="0CDCD009" w14:textId="77777777" w:rsidR="00F71DD3" w:rsidRPr="000D3AFE" w:rsidRDefault="00F71DD3" w:rsidP="00F71DD3">
            <w:pPr>
              <w:widowControl w:val="0"/>
              <w:spacing w:after="40"/>
              <w:jc w:val="center"/>
              <w:rPr>
                <w:rFonts w:ascii="Arial Narrow" w:hAnsi="Arial Narrow"/>
                <w:b/>
              </w:rPr>
            </w:pPr>
            <w:r w:rsidRPr="000D3AFE">
              <w:rPr>
                <w:rFonts w:ascii="Arial Narrow" w:hAnsi="Arial Narrow"/>
                <w:b/>
              </w:rPr>
              <w:t>Cost</w:t>
            </w:r>
          </w:p>
        </w:tc>
        <w:tc>
          <w:tcPr>
            <w:tcW w:w="730" w:type="pct"/>
          </w:tcPr>
          <w:p w14:paraId="0E259ACD" w14:textId="77777777" w:rsidR="00F71DD3" w:rsidRPr="000D3AFE" w:rsidRDefault="00F71DD3" w:rsidP="00F71DD3">
            <w:pPr>
              <w:widowControl w:val="0"/>
              <w:spacing w:after="40"/>
              <w:jc w:val="center"/>
              <w:rPr>
                <w:rFonts w:ascii="Arial Narrow" w:hAnsi="Arial Narrow"/>
                <w:b/>
              </w:rPr>
            </w:pPr>
            <w:r w:rsidRPr="000D3AFE">
              <w:rPr>
                <w:rFonts w:ascii="Arial Narrow" w:hAnsi="Arial Narrow"/>
                <w:b/>
              </w:rPr>
              <w:t>Incremental cost</w:t>
            </w:r>
          </w:p>
        </w:tc>
        <w:tc>
          <w:tcPr>
            <w:tcW w:w="730" w:type="pct"/>
          </w:tcPr>
          <w:p w14:paraId="53B0606C" w14:textId="77777777" w:rsidR="00F71DD3" w:rsidRPr="000D3AFE" w:rsidRDefault="00F71DD3" w:rsidP="00F71DD3">
            <w:pPr>
              <w:widowControl w:val="0"/>
              <w:spacing w:after="40"/>
              <w:jc w:val="center"/>
              <w:rPr>
                <w:rFonts w:ascii="Arial Narrow" w:hAnsi="Arial Narrow"/>
                <w:b/>
              </w:rPr>
            </w:pPr>
            <w:r w:rsidRPr="000D3AFE">
              <w:rPr>
                <w:rFonts w:ascii="Arial Narrow" w:hAnsi="Arial Narrow"/>
                <w:b/>
              </w:rPr>
              <w:t>Effectiveness</w:t>
            </w:r>
          </w:p>
        </w:tc>
        <w:tc>
          <w:tcPr>
            <w:tcW w:w="731" w:type="pct"/>
          </w:tcPr>
          <w:p w14:paraId="306FE0AF" w14:textId="77777777" w:rsidR="00F71DD3" w:rsidRPr="000D3AFE" w:rsidRDefault="00F71DD3" w:rsidP="00F71DD3">
            <w:pPr>
              <w:widowControl w:val="0"/>
              <w:spacing w:after="40"/>
              <w:jc w:val="center"/>
              <w:rPr>
                <w:rFonts w:ascii="Arial Narrow" w:hAnsi="Arial Narrow"/>
                <w:b/>
              </w:rPr>
            </w:pPr>
            <w:r w:rsidRPr="000D3AFE">
              <w:rPr>
                <w:rFonts w:ascii="Arial Narrow" w:hAnsi="Arial Narrow"/>
                <w:b/>
              </w:rPr>
              <w:t>Incremental effectiveness</w:t>
            </w:r>
          </w:p>
        </w:tc>
        <w:tc>
          <w:tcPr>
            <w:tcW w:w="750" w:type="pct"/>
          </w:tcPr>
          <w:p w14:paraId="4F0B5E0F" w14:textId="77777777" w:rsidR="00F71DD3" w:rsidRPr="000D3AFE" w:rsidRDefault="00F71DD3" w:rsidP="00F71DD3">
            <w:pPr>
              <w:widowControl w:val="0"/>
              <w:spacing w:after="40"/>
              <w:jc w:val="center"/>
              <w:rPr>
                <w:rFonts w:ascii="Arial Narrow" w:hAnsi="Arial Narrow"/>
                <w:b/>
              </w:rPr>
            </w:pPr>
            <w:r w:rsidRPr="000D3AFE">
              <w:rPr>
                <w:rFonts w:ascii="Arial Narrow" w:hAnsi="Arial Narrow"/>
                <w:b/>
              </w:rPr>
              <w:t>ICER</w:t>
            </w:r>
          </w:p>
        </w:tc>
      </w:tr>
      <w:tr w:rsidR="00F71DD3" w:rsidRPr="000D3AFE" w14:paraId="16F03BFE" w14:textId="77777777" w:rsidTr="00F71DD3">
        <w:tc>
          <w:tcPr>
            <w:tcW w:w="1796" w:type="pct"/>
            <w:gridSpan w:val="2"/>
            <w:tcBorders>
              <w:right w:val="nil"/>
            </w:tcBorders>
          </w:tcPr>
          <w:p w14:paraId="43B98A43" w14:textId="77777777" w:rsidR="00F71DD3" w:rsidRPr="000D3AFE" w:rsidRDefault="00F71DD3" w:rsidP="00F71DD3">
            <w:pPr>
              <w:widowControl w:val="0"/>
              <w:spacing w:after="40"/>
              <w:rPr>
                <w:b/>
              </w:rPr>
            </w:pPr>
            <w:r w:rsidRPr="00F46CBE">
              <w:rPr>
                <w:b/>
              </w:rPr>
              <w:t>Cost per additional accurate diagnosis</w:t>
            </w:r>
          </w:p>
        </w:tc>
        <w:tc>
          <w:tcPr>
            <w:tcW w:w="264" w:type="pct"/>
            <w:tcBorders>
              <w:left w:val="nil"/>
              <w:right w:val="nil"/>
            </w:tcBorders>
          </w:tcPr>
          <w:p w14:paraId="3FFA02E2" w14:textId="77777777" w:rsidR="00F71DD3" w:rsidRPr="000D3AFE" w:rsidRDefault="00F71DD3" w:rsidP="00F71DD3">
            <w:pPr>
              <w:widowControl w:val="0"/>
              <w:spacing w:after="40"/>
              <w:jc w:val="center"/>
            </w:pPr>
          </w:p>
        </w:tc>
        <w:tc>
          <w:tcPr>
            <w:tcW w:w="730" w:type="pct"/>
            <w:tcBorders>
              <w:left w:val="nil"/>
              <w:right w:val="nil"/>
            </w:tcBorders>
          </w:tcPr>
          <w:p w14:paraId="754D8113" w14:textId="77777777" w:rsidR="00F71DD3" w:rsidRPr="000D3AFE" w:rsidRDefault="00F71DD3" w:rsidP="00F71DD3">
            <w:pPr>
              <w:widowControl w:val="0"/>
              <w:spacing w:after="40"/>
              <w:jc w:val="center"/>
            </w:pPr>
          </w:p>
        </w:tc>
        <w:tc>
          <w:tcPr>
            <w:tcW w:w="730" w:type="pct"/>
            <w:tcBorders>
              <w:left w:val="nil"/>
              <w:right w:val="nil"/>
            </w:tcBorders>
          </w:tcPr>
          <w:p w14:paraId="395DA219" w14:textId="77777777" w:rsidR="00F71DD3" w:rsidRPr="000D3AFE" w:rsidRDefault="00F71DD3" w:rsidP="00F71DD3">
            <w:pPr>
              <w:widowControl w:val="0"/>
              <w:spacing w:after="40"/>
              <w:jc w:val="center"/>
            </w:pPr>
          </w:p>
        </w:tc>
        <w:tc>
          <w:tcPr>
            <w:tcW w:w="731" w:type="pct"/>
            <w:tcBorders>
              <w:left w:val="nil"/>
              <w:right w:val="nil"/>
            </w:tcBorders>
          </w:tcPr>
          <w:p w14:paraId="58207E02" w14:textId="77777777" w:rsidR="00F71DD3" w:rsidRPr="000D3AFE" w:rsidRDefault="00F71DD3" w:rsidP="00F71DD3">
            <w:pPr>
              <w:widowControl w:val="0"/>
              <w:spacing w:after="40"/>
              <w:jc w:val="center"/>
            </w:pPr>
          </w:p>
        </w:tc>
        <w:tc>
          <w:tcPr>
            <w:tcW w:w="750" w:type="pct"/>
            <w:tcBorders>
              <w:left w:val="nil"/>
            </w:tcBorders>
          </w:tcPr>
          <w:p w14:paraId="718F0643" w14:textId="77777777" w:rsidR="00F71DD3" w:rsidRPr="000D3AFE" w:rsidRDefault="00F71DD3" w:rsidP="00F71DD3">
            <w:pPr>
              <w:widowControl w:val="0"/>
              <w:spacing w:after="40"/>
              <w:jc w:val="center"/>
            </w:pPr>
          </w:p>
        </w:tc>
      </w:tr>
      <w:tr w:rsidR="00F71DD3" w:rsidRPr="000D3AFE" w14:paraId="5D7D886D" w14:textId="77777777" w:rsidTr="00F71DD3">
        <w:tc>
          <w:tcPr>
            <w:tcW w:w="1329" w:type="pct"/>
          </w:tcPr>
          <w:p w14:paraId="193A384C" w14:textId="77777777" w:rsidR="00F71DD3" w:rsidRPr="000D3AFE" w:rsidRDefault="00F71DD3" w:rsidP="00F71DD3">
            <w:pPr>
              <w:widowControl w:val="0"/>
              <w:spacing w:after="40"/>
            </w:pPr>
            <w:r w:rsidRPr="000D3AFE">
              <w:t>PSMA PET/CT</w:t>
            </w:r>
          </w:p>
        </w:tc>
        <w:tc>
          <w:tcPr>
            <w:tcW w:w="731" w:type="pct"/>
            <w:gridSpan w:val="2"/>
          </w:tcPr>
          <w:p w14:paraId="698E77D9" w14:textId="77777777" w:rsidR="00F71DD3" w:rsidRPr="000D3AFE" w:rsidRDefault="00F71DD3" w:rsidP="00F71DD3">
            <w:pPr>
              <w:widowControl w:val="0"/>
              <w:spacing w:after="40"/>
              <w:jc w:val="center"/>
            </w:pPr>
            <w:r w:rsidRPr="000D3AFE">
              <w:t>$1,498.00</w:t>
            </w:r>
          </w:p>
        </w:tc>
        <w:tc>
          <w:tcPr>
            <w:tcW w:w="730" w:type="pct"/>
            <w:tcBorders>
              <w:top w:val="nil"/>
              <w:bottom w:val="nil"/>
            </w:tcBorders>
          </w:tcPr>
          <w:p w14:paraId="1998C189" w14:textId="77777777" w:rsidR="00F71DD3" w:rsidRPr="000D3AFE" w:rsidRDefault="00F71DD3" w:rsidP="00F71DD3">
            <w:pPr>
              <w:widowControl w:val="0"/>
              <w:spacing w:after="40"/>
              <w:jc w:val="center"/>
            </w:pPr>
            <w:r w:rsidRPr="000D3AFE">
              <w:t>$36.82</w:t>
            </w:r>
          </w:p>
        </w:tc>
        <w:tc>
          <w:tcPr>
            <w:tcW w:w="730" w:type="pct"/>
          </w:tcPr>
          <w:p w14:paraId="1445685C" w14:textId="77777777" w:rsidR="00F71DD3" w:rsidRPr="000D3AFE" w:rsidRDefault="00F71DD3" w:rsidP="00F71DD3">
            <w:pPr>
              <w:widowControl w:val="0"/>
              <w:spacing w:after="40"/>
              <w:jc w:val="center"/>
            </w:pPr>
            <w:r w:rsidRPr="000D3AFE">
              <w:t>94%</w:t>
            </w:r>
          </w:p>
        </w:tc>
        <w:tc>
          <w:tcPr>
            <w:tcW w:w="731" w:type="pct"/>
            <w:tcBorders>
              <w:top w:val="nil"/>
              <w:bottom w:val="nil"/>
            </w:tcBorders>
          </w:tcPr>
          <w:p w14:paraId="45C13EC1" w14:textId="77777777" w:rsidR="00F71DD3" w:rsidRPr="000D3AFE" w:rsidRDefault="00F71DD3" w:rsidP="00F71DD3">
            <w:pPr>
              <w:widowControl w:val="0"/>
              <w:spacing w:after="40"/>
              <w:jc w:val="center"/>
            </w:pPr>
            <w:r w:rsidRPr="000D3AFE">
              <w:t>20%</w:t>
            </w:r>
          </w:p>
        </w:tc>
        <w:tc>
          <w:tcPr>
            <w:tcW w:w="750" w:type="pct"/>
            <w:tcBorders>
              <w:top w:val="nil"/>
              <w:bottom w:val="nil"/>
            </w:tcBorders>
          </w:tcPr>
          <w:p w14:paraId="219147D5" w14:textId="77777777" w:rsidR="00F71DD3" w:rsidRPr="000D3AFE" w:rsidRDefault="00F71DD3" w:rsidP="00F71DD3">
            <w:pPr>
              <w:widowControl w:val="0"/>
              <w:spacing w:after="40"/>
              <w:jc w:val="center"/>
            </w:pPr>
            <w:r w:rsidRPr="000D3AFE">
              <w:t>$185.82</w:t>
            </w:r>
          </w:p>
        </w:tc>
      </w:tr>
      <w:tr w:rsidR="00F71DD3" w:rsidRPr="000D3AFE" w14:paraId="5A600A12" w14:textId="77777777" w:rsidTr="00F71DD3">
        <w:tc>
          <w:tcPr>
            <w:tcW w:w="1329" w:type="pct"/>
          </w:tcPr>
          <w:p w14:paraId="33E79377" w14:textId="77777777" w:rsidR="00F71DD3" w:rsidRPr="000D3AFE" w:rsidRDefault="00F71DD3" w:rsidP="00F71DD3">
            <w:pPr>
              <w:widowControl w:val="0"/>
              <w:spacing w:after="40"/>
            </w:pPr>
            <w:r w:rsidRPr="000D3AFE">
              <w:t>Conventional imaging</w:t>
            </w:r>
          </w:p>
        </w:tc>
        <w:tc>
          <w:tcPr>
            <w:tcW w:w="731" w:type="pct"/>
            <w:gridSpan w:val="2"/>
          </w:tcPr>
          <w:p w14:paraId="56111C36" w14:textId="77777777" w:rsidR="00F71DD3" w:rsidRPr="000D3AFE" w:rsidRDefault="00F71DD3" w:rsidP="00F71DD3">
            <w:pPr>
              <w:widowControl w:val="0"/>
              <w:spacing w:after="40"/>
              <w:jc w:val="center"/>
            </w:pPr>
            <w:r w:rsidRPr="000D3AFE">
              <w:t>$1,461.18</w:t>
            </w:r>
          </w:p>
        </w:tc>
        <w:tc>
          <w:tcPr>
            <w:tcW w:w="730" w:type="pct"/>
            <w:tcBorders>
              <w:top w:val="nil"/>
              <w:bottom w:val="nil"/>
            </w:tcBorders>
          </w:tcPr>
          <w:p w14:paraId="6974379B" w14:textId="77777777" w:rsidR="00F71DD3" w:rsidRPr="000D3AFE" w:rsidRDefault="00F71DD3" w:rsidP="00F71DD3">
            <w:pPr>
              <w:widowControl w:val="0"/>
              <w:spacing w:after="40"/>
              <w:jc w:val="center"/>
            </w:pPr>
          </w:p>
        </w:tc>
        <w:tc>
          <w:tcPr>
            <w:tcW w:w="730" w:type="pct"/>
          </w:tcPr>
          <w:p w14:paraId="2A86160B" w14:textId="77777777" w:rsidR="00F71DD3" w:rsidRPr="000D3AFE" w:rsidRDefault="00F71DD3" w:rsidP="00F71DD3">
            <w:pPr>
              <w:widowControl w:val="0"/>
              <w:spacing w:after="40"/>
              <w:jc w:val="center"/>
            </w:pPr>
            <w:r w:rsidRPr="000D3AFE">
              <w:t>75%</w:t>
            </w:r>
          </w:p>
        </w:tc>
        <w:tc>
          <w:tcPr>
            <w:tcW w:w="731" w:type="pct"/>
            <w:tcBorders>
              <w:top w:val="nil"/>
              <w:bottom w:val="nil"/>
            </w:tcBorders>
          </w:tcPr>
          <w:p w14:paraId="75086A93" w14:textId="77777777" w:rsidR="00F71DD3" w:rsidRPr="000D3AFE" w:rsidRDefault="00F71DD3" w:rsidP="00F71DD3">
            <w:pPr>
              <w:widowControl w:val="0"/>
              <w:spacing w:after="40"/>
              <w:jc w:val="center"/>
            </w:pPr>
          </w:p>
        </w:tc>
        <w:tc>
          <w:tcPr>
            <w:tcW w:w="750" w:type="pct"/>
            <w:tcBorders>
              <w:top w:val="nil"/>
              <w:bottom w:val="nil"/>
            </w:tcBorders>
          </w:tcPr>
          <w:p w14:paraId="5EED8DA6" w14:textId="77777777" w:rsidR="00F71DD3" w:rsidRPr="000D3AFE" w:rsidRDefault="00F71DD3" w:rsidP="00F71DD3">
            <w:pPr>
              <w:widowControl w:val="0"/>
              <w:spacing w:after="40"/>
              <w:jc w:val="center"/>
            </w:pPr>
          </w:p>
        </w:tc>
      </w:tr>
      <w:tr w:rsidR="00F71DD3" w:rsidRPr="000D3AFE" w14:paraId="18143CEA" w14:textId="77777777" w:rsidTr="00F71DD3">
        <w:tc>
          <w:tcPr>
            <w:tcW w:w="1796" w:type="pct"/>
            <w:gridSpan w:val="2"/>
            <w:tcBorders>
              <w:right w:val="nil"/>
            </w:tcBorders>
          </w:tcPr>
          <w:p w14:paraId="316F3C8A" w14:textId="77777777" w:rsidR="00F71DD3" w:rsidRPr="000D3AFE" w:rsidRDefault="00F71DD3" w:rsidP="00F71DD3">
            <w:pPr>
              <w:widowControl w:val="0"/>
              <w:spacing w:after="40"/>
              <w:rPr>
                <w:b/>
              </w:rPr>
            </w:pPr>
            <w:r w:rsidRPr="000D3AFE">
              <w:rPr>
                <w:b/>
              </w:rPr>
              <w:t>Cost per futile treatment avoided</w:t>
            </w:r>
          </w:p>
        </w:tc>
        <w:tc>
          <w:tcPr>
            <w:tcW w:w="264" w:type="pct"/>
            <w:tcBorders>
              <w:left w:val="nil"/>
              <w:right w:val="nil"/>
            </w:tcBorders>
          </w:tcPr>
          <w:p w14:paraId="13725878" w14:textId="77777777" w:rsidR="00F71DD3" w:rsidRPr="000D3AFE" w:rsidRDefault="00F71DD3" w:rsidP="00F71DD3">
            <w:pPr>
              <w:widowControl w:val="0"/>
              <w:spacing w:after="40"/>
              <w:jc w:val="center"/>
            </w:pPr>
          </w:p>
        </w:tc>
        <w:tc>
          <w:tcPr>
            <w:tcW w:w="730" w:type="pct"/>
            <w:tcBorders>
              <w:left w:val="nil"/>
              <w:right w:val="nil"/>
            </w:tcBorders>
          </w:tcPr>
          <w:p w14:paraId="24B8C15F" w14:textId="77777777" w:rsidR="00F71DD3" w:rsidRPr="000D3AFE" w:rsidRDefault="00F71DD3" w:rsidP="00F71DD3">
            <w:pPr>
              <w:widowControl w:val="0"/>
              <w:spacing w:after="40"/>
              <w:jc w:val="center"/>
            </w:pPr>
          </w:p>
        </w:tc>
        <w:tc>
          <w:tcPr>
            <w:tcW w:w="730" w:type="pct"/>
            <w:tcBorders>
              <w:left w:val="nil"/>
              <w:right w:val="nil"/>
            </w:tcBorders>
          </w:tcPr>
          <w:p w14:paraId="5EDF21D1" w14:textId="77777777" w:rsidR="00F71DD3" w:rsidRPr="000D3AFE" w:rsidRDefault="00F71DD3" w:rsidP="00F71DD3">
            <w:pPr>
              <w:widowControl w:val="0"/>
              <w:spacing w:after="40"/>
              <w:jc w:val="center"/>
            </w:pPr>
          </w:p>
        </w:tc>
        <w:tc>
          <w:tcPr>
            <w:tcW w:w="731" w:type="pct"/>
            <w:tcBorders>
              <w:left w:val="nil"/>
              <w:right w:val="nil"/>
            </w:tcBorders>
          </w:tcPr>
          <w:p w14:paraId="312133A1" w14:textId="77777777" w:rsidR="00F71DD3" w:rsidRPr="000D3AFE" w:rsidRDefault="00F71DD3" w:rsidP="00F71DD3">
            <w:pPr>
              <w:widowControl w:val="0"/>
              <w:spacing w:after="40"/>
              <w:jc w:val="center"/>
            </w:pPr>
          </w:p>
        </w:tc>
        <w:tc>
          <w:tcPr>
            <w:tcW w:w="750" w:type="pct"/>
            <w:tcBorders>
              <w:left w:val="nil"/>
            </w:tcBorders>
          </w:tcPr>
          <w:p w14:paraId="61C6861F" w14:textId="77777777" w:rsidR="00F71DD3" w:rsidRPr="000D3AFE" w:rsidRDefault="00F71DD3" w:rsidP="00F71DD3">
            <w:pPr>
              <w:widowControl w:val="0"/>
              <w:spacing w:after="40"/>
              <w:jc w:val="center"/>
            </w:pPr>
          </w:p>
        </w:tc>
      </w:tr>
      <w:tr w:rsidR="00F71DD3" w:rsidRPr="000D3AFE" w14:paraId="22714D30" w14:textId="77777777" w:rsidTr="00F71DD3">
        <w:tc>
          <w:tcPr>
            <w:tcW w:w="1329" w:type="pct"/>
          </w:tcPr>
          <w:p w14:paraId="5B7194D4" w14:textId="77777777" w:rsidR="00F71DD3" w:rsidRPr="000D3AFE" w:rsidRDefault="00F71DD3" w:rsidP="00F71DD3">
            <w:pPr>
              <w:widowControl w:val="0"/>
              <w:spacing w:after="40"/>
            </w:pPr>
            <w:r w:rsidRPr="000D3AFE">
              <w:t>PSMA PET/CT</w:t>
            </w:r>
          </w:p>
        </w:tc>
        <w:tc>
          <w:tcPr>
            <w:tcW w:w="731" w:type="pct"/>
            <w:gridSpan w:val="2"/>
          </w:tcPr>
          <w:p w14:paraId="2F676F38" w14:textId="77777777" w:rsidR="00F71DD3" w:rsidRPr="000D3AFE" w:rsidRDefault="00F71DD3" w:rsidP="00F71DD3">
            <w:pPr>
              <w:widowControl w:val="0"/>
              <w:spacing w:after="40"/>
              <w:jc w:val="center"/>
            </w:pPr>
            <w:r w:rsidRPr="000D3AFE">
              <w:t>$1,498.00</w:t>
            </w:r>
          </w:p>
        </w:tc>
        <w:tc>
          <w:tcPr>
            <w:tcW w:w="730" w:type="pct"/>
            <w:tcBorders>
              <w:top w:val="nil"/>
              <w:bottom w:val="nil"/>
            </w:tcBorders>
          </w:tcPr>
          <w:p w14:paraId="2E2287E5" w14:textId="77777777" w:rsidR="00F71DD3" w:rsidRPr="000D3AFE" w:rsidRDefault="00F71DD3" w:rsidP="00F71DD3">
            <w:pPr>
              <w:widowControl w:val="0"/>
              <w:spacing w:after="40"/>
              <w:jc w:val="center"/>
            </w:pPr>
            <w:r w:rsidRPr="000D3AFE">
              <w:t>$36.82</w:t>
            </w:r>
          </w:p>
        </w:tc>
        <w:tc>
          <w:tcPr>
            <w:tcW w:w="730" w:type="pct"/>
          </w:tcPr>
          <w:p w14:paraId="7DC419C7" w14:textId="77777777" w:rsidR="00F71DD3" w:rsidRPr="000D3AFE" w:rsidRDefault="00F71DD3" w:rsidP="00F71DD3">
            <w:pPr>
              <w:widowControl w:val="0"/>
              <w:spacing w:after="40"/>
              <w:jc w:val="center"/>
            </w:pPr>
            <w:r w:rsidRPr="000D3AFE">
              <w:t>15%</w:t>
            </w:r>
          </w:p>
        </w:tc>
        <w:tc>
          <w:tcPr>
            <w:tcW w:w="731" w:type="pct"/>
            <w:tcBorders>
              <w:top w:val="nil"/>
              <w:bottom w:val="nil"/>
            </w:tcBorders>
          </w:tcPr>
          <w:p w14:paraId="671DF355" w14:textId="77777777" w:rsidR="00F71DD3" w:rsidRPr="000D3AFE" w:rsidRDefault="00F71DD3" w:rsidP="00F71DD3">
            <w:pPr>
              <w:widowControl w:val="0"/>
              <w:spacing w:after="40"/>
              <w:jc w:val="center"/>
            </w:pPr>
            <w:r w:rsidRPr="000D3AFE">
              <w:t>6%</w:t>
            </w:r>
          </w:p>
        </w:tc>
        <w:tc>
          <w:tcPr>
            <w:tcW w:w="750" w:type="pct"/>
            <w:tcBorders>
              <w:top w:val="nil"/>
              <w:bottom w:val="nil"/>
            </w:tcBorders>
          </w:tcPr>
          <w:p w14:paraId="030CF074" w14:textId="77777777" w:rsidR="00F71DD3" w:rsidRPr="000D3AFE" w:rsidRDefault="00F71DD3" w:rsidP="00F71DD3">
            <w:pPr>
              <w:widowControl w:val="0"/>
              <w:spacing w:after="40"/>
              <w:jc w:val="center"/>
            </w:pPr>
            <w:r w:rsidRPr="000D3AFE">
              <w:t>$603.46</w:t>
            </w:r>
          </w:p>
        </w:tc>
      </w:tr>
      <w:tr w:rsidR="00F71DD3" w:rsidRPr="000D3AFE" w14:paraId="3528FDB6" w14:textId="77777777" w:rsidTr="00F71DD3">
        <w:tc>
          <w:tcPr>
            <w:tcW w:w="1329" w:type="pct"/>
          </w:tcPr>
          <w:p w14:paraId="6FAAE302" w14:textId="77777777" w:rsidR="00F71DD3" w:rsidRPr="000D3AFE" w:rsidRDefault="00F71DD3" w:rsidP="00F71DD3">
            <w:pPr>
              <w:widowControl w:val="0"/>
              <w:spacing w:after="40"/>
            </w:pPr>
            <w:r w:rsidRPr="000D3AFE">
              <w:t>Conventional imaging</w:t>
            </w:r>
          </w:p>
        </w:tc>
        <w:tc>
          <w:tcPr>
            <w:tcW w:w="731" w:type="pct"/>
            <w:gridSpan w:val="2"/>
          </w:tcPr>
          <w:p w14:paraId="09D3B9E4" w14:textId="77777777" w:rsidR="00F71DD3" w:rsidRPr="000D3AFE" w:rsidRDefault="00F71DD3" w:rsidP="00F71DD3">
            <w:pPr>
              <w:widowControl w:val="0"/>
              <w:spacing w:after="40"/>
              <w:jc w:val="center"/>
            </w:pPr>
            <w:r w:rsidRPr="000D3AFE">
              <w:t>$1,461.18</w:t>
            </w:r>
          </w:p>
        </w:tc>
        <w:tc>
          <w:tcPr>
            <w:tcW w:w="730" w:type="pct"/>
            <w:tcBorders>
              <w:top w:val="nil"/>
              <w:bottom w:val="single" w:sz="4" w:space="0" w:color="auto"/>
            </w:tcBorders>
          </w:tcPr>
          <w:p w14:paraId="1A8F248A" w14:textId="77777777" w:rsidR="00F71DD3" w:rsidRPr="000D3AFE" w:rsidRDefault="00F71DD3" w:rsidP="00F71DD3">
            <w:pPr>
              <w:widowControl w:val="0"/>
              <w:spacing w:after="40"/>
              <w:jc w:val="center"/>
            </w:pPr>
          </w:p>
        </w:tc>
        <w:tc>
          <w:tcPr>
            <w:tcW w:w="730" w:type="pct"/>
            <w:tcBorders>
              <w:bottom w:val="single" w:sz="4" w:space="0" w:color="auto"/>
            </w:tcBorders>
          </w:tcPr>
          <w:p w14:paraId="00798B44" w14:textId="77777777" w:rsidR="00F71DD3" w:rsidRPr="000D3AFE" w:rsidRDefault="00F71DD3" w:rsidP="00F71DD3">
            <w:pPr>
              <w:widowControl w:val="0"/>
              <w:spacing w:after="40"/>
              <w:jc w:val="center"/>
            </w:pPr>
            <w:r w:rsidRPr="000D3AFE">
              <w:t>9%</w:t>
            </w:r>
          </w:p>
        </w:tc>
        <w:tc>
          <w:tcPr>
            <w:tcW w:w="731" w:type="pct"/>
            <w:tcBorders>
              <w:top w:val="nil"/>
              <w:bottom w:val="single" w:sz="4" w:space="0" w:color="auto"/>
            </w:tcBorders>
          </w:tcPr>
          <w:p w14:paraId="51E06DF8" w14:textId="77777777" w:rsidR="00F71DD3" w:rsidRPr="000D3AFE" w:rsidRDefault="00F71DD3" w:rsidP="00F71DD3">
            <w:pPr>
              <w:widowControl w:val="0"/>
              <w:spacing w:after="40"/>
              <w:jc w:val="center"/>
            </w:pPr>
          </w:p>
        </w:tc>
        <w:tc>
          <w:tcPr>
            <w:tcW w:w="750" w:type="pct"/>
            <w:tcBorders>
              <w:top w:val="nil"/>
              <w:bottom w:val="single" w:sz="4" w:space="0" w:color="auto"/>
            </w:tcBorders>
          </w:tcPr>
          <w:p w14:paraId="29E79AC3" w14:textId="77777777" w:rsidR="00F71DD3" w:rsidRPr="000D3AFE" w:rsidRDefault="00F71DD3" w:rsidP="00F71DD3">
            <w:pPr>
              <w:widowControl w:val="0"/>
              <w:spacing w:after="40"/>
              <w:jc w:val="center"/>
            </w:pPr>
          </w:p>
        </w:tc>
      </w:tr>
    </w:tbl>
    <w:p w14:paraId="009A04EA" w14:textId="77777777" w:rsidR="00F71DD3" w:rsidRPr="000D3AFE" w:rsidRDefault="00F71DD3" w:rsidP="006F02E2">
      <w:pPr>
        <w:pStyle w:val="Tablenotes"/>
      </w:pPr>
      <w:r w:rsidRPr="00477F26">
        <w:rPr>
          <w:b/>
        </w:rPr>
        <w:t>Abbreviations</w:t>
      </w:r>
      <w:r w:rsidRPr="000D3AFE">
        <w:t xml:space="preserve">: </w:t>
      </w:r>
      <w:r>
        <w:t xml:space="preserve">CT = computed tomography; </w:t>
      </w:r>
      <w:r w:rsidRPr="000D3AFE">
        <w:t>ICER = Incremental Cost-Effectiveness Ratio</w:t>
      </w:r>
      <w:r>
        <w:t>; PET = positron emission tomography; PSMA = prostate-specific membrane antigen.</w:t>
      </w:r>
    </w:p>
    <w:p w14:paraId="2FBB37A9" w14:textId="77777777" w:rsidR="00F71DD3" w:rsidRDefault="00F71DD3" w:rsidP="006F02E2">
      <w:pPr>
        <w:pStyle w:val="Tablenotes"/>
        <w:rPr>
          <w:lang w:val="fr-CH"/>
        </w:rPr>
      </w:pPr>
      <w:r w:rsidRPr="005D6884">
        <w:rPr>
          <w:b/>
          <w:lang w:val="fr-CH"/>
        </w:rPr>
        <w:t>Source</w:t>
      </w:r>
      <w:r w:rsidRPr="005D6884">
        <w:rPr>
          <w:lang w:val="fr-CH"/>
        </w:rPr>
        <w:t>. MSAC ADAR 1632, Table ES 13, p.43.</w:t>
      </w:r>
    </w:p>
    <w:p w14:paraId="5F28EF50" w14:textId="4A39BAC6" w:rsidR="00ED1B88" w:rsidRDefault="00F71DD3" w:rsidP="007D45E4">
      <w:pPr>
        <w:spacing w:before="240"/>
      </w:pPr>
      <w:r w:rsidRPr="00163C9D">
        <w:t xml:space="preserve">The cost per additional accurate diagnosis and cost per futile treatment avoided for </w:t>
      </w:r>
      <w:r w:rsidR="003E585F">
        <w:t>restaging</w:t>
      </w:r>
      <w:r w:rsidRPr="00163C9D">
        <w:t xml:space="preserve"> is presented in</w:t>
      </w:r>
      <w:r>
        <w:t xml:space="preserve"> Table 14, according to PSA subgroups as presented by the </w:t>
      </w:r>
      <w:r w:rsidR="00365211">
        <w:t>ADAR</w:t>
      </w:r>
      <w:r>
        <w:t xml:space="preserve">. </w:t>
      </w:r>
      <w:bookmarkStart w:id="48" w:name="_Ref71097030"/>
      <w:bookmarkStart w:id="49" w:name="_Toc71729655"/>
      <w:r w:rsidR="00ED1B88">
        <w:t xml:space="preserve">The weighted costs and effects </w:t>
      </w:r>
      <w:r w:rsidR="006B2CE8">
        <w:t>we</w:t>
      </w:r>
      <w:r w:rsidR="00ED1B88">
        <w:t xml:space="preserve">re based on the estimated relative proportion of patients currently receiving CVI (PSA </w:t>
      </w:r>
      <w:r w:rsidR="005D77C0">
        <w:sym w:font="Symbol" w:char="F0B3"/>
      </w:r>
      <w:r w:rsidR="00ED1B88">
        <w:t>1.0</w:t>
      </w:r>
      <w:r w:rsidR="008947B2">
        <w:t> </w:t>
      </w:r>
      <w:r w:rsidR="00ED1B88">
        <w:t>ng/ml) or no imaging (PSA &lt;1.0</w:t>
      </w:r>
      <w:r w:rsidR="008947B2">
        <w:t> </w:t>
      </w:r>
      <w:r w:rsidR="00ED1B88">
        <w:t>ng/ml), which PSMA PET/CT is likely to replace.</w:t>
      </w:r>
      <w:r w:rsidR="00ED1B88">
        <w:rPr>
          <w:i/>
          <w:iCs/>
        </w:rPr>
        <w:t xml:space="preserve"> </w:t>
      </w:r>
      <w:r w:rsidR="00ED1B88">
        <w:t xml:space="preserve">The </w:t>
      </w:r>
      <w:r w:rsidR="007725FF">
        <w:t>C</w:t>
      </w:r>
      <w:r w:rsidR="00ED1B88">
        <w:t>ommentary noted this weighting wa</w:t>
      </w:r>
      <w:r w:rsidR="00ED1B88" w:rsidRPr="00ED1B88">
        <w:t xml:space="preserve">s based on the proportion of patients that fall into each group based on </w:t>
      </w:r>
      <w:proofErr w:type="spellStart"/>
      <w:r w:rsidR="00ED1B88" w:rsidRPr="00ED1B88">
        <w:t>Fendler</w:t>
      </w:r>
      <w:proofErr w:type="spellEnd"/>
      <w:r w:rsidR="00ED1B88" w:rsidRPr="00ED1B88">
        <w:t xml:space="preserve"> et al. (2019). Those with PSA </w:t>
      </w:r>
      <w:r w:rsidR="005D77C0">
        <w:sym w:font="Symbol" w:char="F0B3"/>
      </w:r>
      <w:r w:rsidR="00ED1B88" w:rsidRPr="00ED1B88">
        <w:t>1.0</w:t>
      </w:r>
      <w:r w:rsidR="008947B2">
        <w:t> </w:t>
      </w:r>
      <w:r w:rsidR="00ED1B88" w:rsidRPr="00ED1B88">
        <w:t>ng/ml represented 66.1% of patients enrolled in the single-arm prospective study and those with PSA &lt;1.0</w:t>
      </w:r>
      <w:r w:rsidR="008947B2">
        <w:t> </w:t>
      </w:r>
      <w:r w:rsidR="00ED1B88" w:rsidRPr="00ED1B88">
        <w:t>ng/ml represented the balance of patients in the study (33.9%)</w:t>
      </w:r>
      <w:r w:rsidR="00ED1B88">
        <w:t>.</w:t>
      </w:r>
    </w:p>
    <w:p w14:paraId="6D9172A4" w14:textId="5A1F279F" w:rsidR="00F71DD3" w:rsidRDefault="00F71DD3" w:rsidP="007D45E4">
      <w:pPr>
        <w:pStyle w:val="Caption"/>
        <w:spacing w:before="240"/>
      </w:pPr>
      <w:r>
        <w:t xml:space="preserve">Table </w:t>
      </w:r>
      <w:bookmarkEnd w:id="48"/>
      <w:r w:rsidR="00ED1B88">
        <w:t>14</w:t>
      </w:r>
      <w:r>
        <w:tab/>
      </w:r>
      <w:r w:rsidRPr="00DB073B">
        <w:t>Cost per additional accurate diagnosis</w:t>
      </w:r>
      <w:r>
        <w:t xml:space="preserve"> </w:t>
      </w:r>
      <w:r w:rsidRPr="00DB073B">
        <w:t>/</w:t>
      </w:r>
      <w:r>
        <w:t xml:space="preserve"> </w:t>
      </w:r>
      <w:r w:rsidRPr="00DB073B">
        <w:t xml:space="preserve">cost per futile treatment avoided: </w:t>
      </w:r>
      <w:bookmarkEnd w:id="49"/>
      <w:r w:rsidR="009340F2">
        <w:t>R</w:t>
      </w:r>
      <w:r w:rsidR="00467542">
        <w:t>estaging</w:t>
      </w:r>
    </w:p>
    <w:tbl>
      <w:tblPr>
        <w:tblStyle w:val="TableGrid123"/>
        <w:tblW w:w="5000" w:type="pct"/>
        <w:tblLook w:val="04A0" w:firstRow="1" w:lastRow="0" w:firstColumn="1" w:lastColumn="0" w:noHBand="0" w:noVBand="1"/>
        <w:tblCaption w:val="Incremental costs and effectiveness"/>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396"/>
        <w:gridCol w:w="1091"/>
        <w:gridCol w:w="225"/>
        <w:gridCol w:w="9"/>
        <w:gridCol w:w="1307"/>
        <w:gridCol w:w="9"/>
        <w:gridCol w:w="1307"/>
        <w:gridCol w:w="9"/>
        <w:gridCol w:w="1307"/>
        <w:gridCol w:w="9"/>
        <w:gridCol w:w="1347"/>
      </w:tblGrid>
      <w:tr w:rsidR="00F71DD3" w:rsidRPr="00DB073B" w14:paraId="27D245AA" w14:textId="77777777" w:rsidTr="00867637">
        <w:trPr>
          <w:cnfStyle w:val="100000000000" w:firstRow="1" w:lastRow="0" w:firstColumn="0" w:lastColumn="0" w:oddVBand="0" w:evenVBand="0" w:oddHBand="0" w:evenHBand="0" w:firstRowFirstColumn="0" w:firstRowLastColumn="0" w:lastRowFirstColumn="0" w:lastRowLastColumn="0"/>
          <w:tblHeader/>
        </w:trPr>
        <w:tc>
          <w:tcPr>
            <w:tcW w:w="1328" w:type="pct"/>
          </w:tcPr>
          <w:p w14:paraId="7FE7DDA2" w14:textId="77777777" w:rsidR="00F71DD3" w:rsidRPr="00DB073B" w:rsidRDefault="00F71DD3" w:rsidP="00F71DD3">
            <w:pPr>
              <w:widowControl w:val="0"/>
              <w:spacing w:after="40"/>
              <w:rPr>
                <w:rFonts w:ascii="Arial Narrow" w:hAnsi="Arial Narrow"/>
                <w:b/>
              </w:rPr>
            </w:pPr>
          </w:p>
        </w:tc>
        <w:tc>
          <w:tcPr>
            <w:tcW w:w="730" w:type="pct"/>
            <w:gridSpan w:val="2"/>
          </w:tcPr>
          <w:p w14:paraId="7D2E8AF5" w14:textId="77777777" w:rsidR="00F71DD3" w:rsidRPr="00DB073B" w:rsidRDefault="00F71DD3" w:rsidP="00F71DD3">
            <w:pPr>
              <w:widowControl w:val="0"/>
              <w:spacing w:after="40"/>
              <w:jc w:val="center"/>
              <w:rPr>
                <w:rFonts w:ascii="Arial Narrow" w:hAnsi="Arial Narrow"/>
                <w:b/>
              </w:rPr>
            </w:pPr>
            <w:r w:rsidRPr="00DB073B">
              <w:rPr>
                <w:rFonts w:ascii="Arial Narrow" w:hAnsi="Arial Narrow"/>
                <w:b/>
              </w:rPr>
              <w:t>Cost</w:t>
            </w:r>
          </w:p>
        </w:tc>
        <w:tc>
          <w:tcPr>
            <w:tcW w:w="730" w:type="pct"/>
            <w:gridSpan w:val="2"/>
          </w:tcPr>
          <w:p w14:paraId="7D95C3A0" w14:textId="77777777" w:rsidR="00F71DD3" w:rsidRPr="00DB073B" w:rsidRDefault="00F71DD3" w:rsidP="00F71DD3">
            <w:pPr>
              <w:widowControl w:val="0"/>
              <w:spacing w:after="40"/>
              <w:jc w:val="center"/>
              <w:rPr>
                <w:rFonts w:ascii="Arial Narrow" w:hAnsi="Arial Narrow"/>
                <w:b/>
              </w:rPr>
            </w:pPr>
            <w:r w:rsidRPr="00DB073B">
              <w:rPr>
                <w:rFonts w:ascii="Arial Narrow" w:hAnsi="Arial Narrow"/>
                <w:b/>
              </w:rPr>
              <w:t>Incremental cost</w:t>
            </w:r>
          </w:p>
        </w:tc>
        <w:tc>
          <w:tcPr>
            <w:tcW w:w="730" w:type="pct"/>
            <w:gridSpan w:val="2"/>
          </w:tcPr>
          <w:p w14:paraId="757EBD3E" w14:textId="77777777" w:rsidR="00F71DD3" w:rsidRPr="00DB073B" w:rsidRDefault="00F71DD3" w:rsidP="00F71DD3">
            <w:pPr>
              <w:widowControl w:val="0"/>
              <w:spacing w:after="40"/>
              <w:jc w:val="center"/>
              <w:rPr>
                <w:rFonts w:ascii="Arial Narrow" w:hAnsi="Arial Narrow"/>
                <w:b/>
              </w:rPr>
            </w:pPr>
            <w:r w:rsidRPr="00DB073B">
              <w:rPr>
                <w:rFonts w:ascii="Arial Narrow" w:hAnsi="Arial Narrow"/>
                <w:b/>
              </w:rPr>
              <w:t>Effectiveness</w:t>
            </w:r>
          </w:p>
        </w:tc>
        <w:tc>
          <w:tcPr>
            <w:tcW w:w="730" w:type="pct"/>
            <w:gridSpan w:val="2"/>
          </w:tcPr>
          <w:p w14:paraId="1A2EF7ED" w14:textId="77777777" w:rsidR="00F71DD3" w:rsidRPr="00DB073B" w:rsidRDefault="00F71DD3" w:rsidP="00F71DD3">
            <w:pPr>
              <w:widowControl w:val="0"/>
              <w:spacing w:after="40"/>
              <w:jc w:val="center"/>
              <w:rPr>
                <w:rFonts w:ascii="Arial Narrow" w:hAnsi="Arial Narrow"/>
                <w:b/>
              </w:rPr>
            </w:pPr>
            <w:r w:rsidRPr="00DB073B">
              <w:rPr>
                <w:rFonts w:ascii="Arial Narrow" w:hAnsi="Arial Narrow"/>
                <w:b/>
              </w:rPr>
              <w:t>Incremental effectiveness</w:t>
            </w:r>
          </w:p>
        </w:tc>
        <w:tc>
          <w:tcPr>
            <w:tcW w:w="753" w:type="pct"/>
            <w:gridSpan w:val="2"/>
          </w:tcPr>
          <w:p w14:paraId="16E9F114" w14:textId="77777777" w:rsidR="00F71DD3" w:rsidRPr="00DB073B" w:rsidRDefault="00F71DD3" w:rsidP="00F71DD3">
            <w:pPr>
              <w:widowControl w:val="0"/>
              <w:spacing w:after="40"/>
              <w:jc w:val="center"/>
              <w:rPr>
                <w:rFonts w:ascii="Arial Narrow" w:hAnsi="Arial Narrow"/>
                <w:b/>
              </w:rPr>
            </w:pPr>
            <w:r w:rsidRPr="00DB073B">
              <w:rPr>
                <w:rFonts w:ascii="Arial Narrow" w:hAnsi="Arial Narrow"/>
                <w:b/>
              </w:rPr>
              <w:t>ICER</w:t>
            </w:r>
          </w:p>
        </w:tc>
      </w:tr>
      <w:tr w:rsidR="00F71DD3" w:rsidRPr="00DB073B" w14:paraId="76B446C9" w14:textId="77777777" w:rsidTr="00F71DD3">
        <w:tc>
          <w:tcPr>
            <w:tcW w:w="1933" w:type="pct"/>
            <w:gridSpan w:val="2"/>
            <w:tcBorders>
              <w:right w:val="nil"/>
            </w:tcBorders>
          </w:tcPr>
          <w:p w14:paraId="48C7437A" w14:textId="77777777" w:rsidR="00F71DD3" w:rsidRPr="00DB073B" w:rsidRDefault="00F71DD3" w:rsidP="00F71DD3">
            <w:pPr>
              <w:widowControl w:val="0"/>
              <w:spacing w:after="40"/>
              <w:rPr>
                <w:b/>
              </w:rPr>
            </w:pPr>
            <w:r w:rsidRPr="00F46CBE">
              <w:rPr>
                <w:b/>
              </w:rPr>
              <w:t>Cost per additional accurate diagnosis</w:t>
            </w:r>
          </w:p>
        </w:tc>
        <w:tc>
          <w:tcPr>
            <w:tcW w:w="130" w:type="pct"/>
            <w:gridSpan w:val="2"/>
            <w:tcBorders>
              <w:left w:val="nil"/>
              <w:right w:val="nil"/>
            </w:tcBorders>
          </w:tcPr>
          <w:p w14:paraId="1F748C6B" w14:textId="77777777" w:rsidR="00F71DD3" w:rsidRPr="00DB073B" w:rsidRDefault="00F71DD3" w:rsidP="00F71DD3">
            <w:pPr>
              <w:widowControl w:val="0"/>
              <w:spacing w:after="40"/>
              <w:jc w:val="center"/>
            </w:pPr>
          </w:p>
        </w:tc>
        <w:tc>
          <w:tcPr>
            <w:tcW w:w="730" w:type="pct"/>
            <w:gridSpan w:val="2"/>
            <w:tcBorders>
              <w:left w:val="nil"/>
              <w:right w:val="nil"/>
            </w:tcBorders>
          </w:tcPr>
          <w:p w14:paraId="553BAA54" w14:textId="77777777" w:rsidR="00F71DD3" w:rsidRPr="00DB073B" w:rsidRDefault="00F71DD3" w:rsidP="00F71DD3">
            <w:pPr>
              <w:widowControl w:val="0"/>
              <w:spacing w:after="40"/>
              <w:jc w:val="center"/>
            </w:pPr>
          </w:p>
        </w:tc>
        <w:tc>
          <w:tcPr>
            <w:tcW w:w="730" w:type="pct"/>
            <w:gridSpan w:val="2"/>
            <w:tcBorders>
              <w:left w:val="nil"/>
              <w:right w:val="nil"/>
            </w:tcBorders>
          </w:tcPr>
          <w:p w14:paraId="6D0240F7" w14:textId="77777777" w:rsidR="00F71DD3" w:rsidRPr="00DB073B" w:rsidRDefault="00F71DD3" w:rsidP="00F71DD3">
            <w:pPr>
              <w:widowControl w:val="0"/>
              <w:spacing w:after="40"/>
              <w:jc w:val="center"/>
            </w:pPr>
          </w:p>
        </w:tc>
        <w:tc>
          <w:tcPr>
            <w:tcW w:w="730" w:type="pct"/>
            <w:gridSpan w:val="2"/>
            <w:tcBorders>
              <w:left w:val="nil"/>
              <w:right w:val="nil"/>
            </w:tcBorders>
          </w:tcPr>
          <w:p w14:paraId="0A832584" w14:textId="77777777" w:rsidR="00F71DD3" w:rsidRPr="00DB073B" w:rsidRDefault="00F71DD3" w:rsidP="00F71DD3">
            <w:pPr>
              <w:widowControl w:val="0"/>
              <w:spacing w:after="40"/>
              <w:jc w:val="center"/>
            </w:pPr>
          </w:p>
        </w:tc>
        <w:tc>
          <w:tcPr>
            <w:tcW w:w="748" w:type="pct"/>
            <w:tcBorders>
              <w:left w:val="nil"/>
            </w:tcBorders>
          </w:tcPr>
          <w:p w14:paraId="6442EE13" w14:textId="77777777" w:rsidR="00F71DD3" w:rsidRPr="00DB073B" w:rsidRDefault="00F71DD3" w:rsidP="00F71DD3">
            <w:pPr>
              <w:widowControl w:val="0"/>
              <w:spacing w:after="40"/>
              <w:jc w:val="center"/>
            </w:pPr>
          </w:p>
        </w:tc>
      </w:tr>
      <w:tr w:rsidR="00F71DD3" w:rsidRPr="00DB073B" w14:paraId="5EDF1F6E" w14:textId="77777777" w:rsidTr="00F71DD3">
        <w:tc>
          <w:tcPr>
            <w:tcW w:w="1328" w:type="pct"/>
            <w:tcBorders>
              <w:right w:val="nil"/>
            </w:tcBorders>
          </w:tcPr>
          <w:p w14:paraId="7D0C7ED5" w14:textId="1130F8D0" w:rsidR="00F71DD3" w:rsidRPr="005D77C0" w:rsidRDefault="00F71DD3" w:rsidP="00F71DD3">
            <w:pPr>
              <w:widowControl w:val="0"/>
              <w:spacing w:after="40"/>
              <w:rPr>
                <w:b/>
                <w:bCs/>
              </w:rPr>
            </w:pPr>
            <w:r w:rsidRPr="005D77C0">
              <w:rPr>
                <w:b/>
                <w:bCs/>
              </w:rPr>
              <w:t xml:space="preserve">PSA </w:t>
            </w:r>
            <w:r w:rsidR="005D77C0" w:rsidRPr="005D77C0">
              <w:rPr>
                <w:b/>
                <w:bCs/>
              </w:rPr>
              <w:sym w:font="Symbol" w:char="F0B3"/>
            </w:r>
            <w:r w:rsidRPr="005D77C0">
              <w:rPr>
                <w:b/>
                <w:bCs/>
              </w:rPr>
              <w:t>1.0</w:t>
            </w:r>
            <w:r w:rsidR="008947B2" w:rsidRPr="005D77C0">
              <w:rPr>
                <w:b/>
                <w:bCs/>
              </w:rPr>
              <w:t> </w:t>
            </w:r>
            <w:r w:rsidRPr="005D77C0">
              <w:rPr>
                <w:b/>
                <w:bCs/>
              </w:rPr>
              <w:t>ng/ml</w:t>
            </w:r>
          </w:p>
        </w:tc>
        <w:tc>
          <w:tcPr>
            <w:tcW w:w="730" w:type="pct"/>
            <w:gridSpan w:val="2"/>
            <w:tcBorders>
              <w:left w:val="nil"/>
              <w:right w:val="nil"/>
            </w:tcBorders>
          </w:tcPr>
          <w:p w14:paraId="636AAE48" w14:textId="77777777" w:rsidR="00F71DD3" w:rsidRPr="00DB073B" w:rsidRDefault="00F71DD3" w:rsidP="00F71DD3">
            <w:pPr>
              <w:widowControl w:val="0"/>
              <w:spacing w:after="40"/>
              <w:jc w:val="center"/>
              <w:rPr>
                <w:u w:val="single"/>
              </w:rPr>
            </w:pPr>
          </w:p>
        </w:tc>
        <w:tc>
          <w:tcPr>
            <w:tcW w:w="730" w:type="pct"/>
            <w:gridSpan w:val="2"/>
            <w:tcBorders>
              <w:left w:val="nil"/>
              <w:right w:val="nil"/>
            </w:tcBorders>
          </w:tcPr>
          <w:p w14:paraId="0EACF892" w14:textId="77777777" w:rsidR="00F71DD3" w:rsidRPr="00DB073B" w:rsidRDefault="00F71DD3" w:rsidP="00F71DD3">
            <w:pPr>
              <w:widowControl w:val="0"/>
              <w:spacing w:after="40"/>
              <w:jc w:val="center"/>
              <w:rPr>
                <w:u w:val="single"/>
              </w:rPr>
            </w:pPr>
          </w:p>
        </w:tc>
        <w:tc>
          <w:tcPr>
            <w:tcW w:w="730" w:type="pct"/>
            <w:gridSpan w:val="2"/>
            <w:tcBorders>
              <w:left w:val="nil"/>
              <w:right w:val="nil"/>
            </w:tcBorders>
          </w:tcPr>
          <w:p w14:paraId="1CC8A88C" w14:textId="77777777" w:rsidR="00F71DD3" w:rsidRPr="00DB073B" w:rsidRDefault="00F71DD3" w:rsidP="00F71DD3">
            <w:pPr>
              <w:widowControl w:val="0"/>
              <w:spacing w:after="40"/>
              <w:jc w:val="center"/>
              <w:rPr>
                <w:u w:val="single"/>
              </w:rPr>
            </w:pPr>
          </w:p>
        </w:tc>
        <w:tc>
          <w:tcPr>
            <w:tcW w:w="730" w:type="pct"/>
            <w:gridSpan w:val="2"/>
            <w:tcBorders>
              <w:left w:val="nil"/>
              <w:right w:val="nil"/>
            </w:tcBorders>
          </w:tcPr>
          <w:p w14:paraId="58F6BC7A" w14:textId="77777777" w:rsidR="00F71DD3" w:rsidRPr="00DB073B" w:rsidRDefault="00F71DD3" w:rsidP="00F71DD3">
            <w:pPr>
              <w:widowControl w:val="0"/>
              <w:spacing w:after="40"/>
              <w:jc w:val="center"/>
              <w:rPr>
                <w:u w:val="single"/>
              </w:rPr>
            </w:pPr>
          </w:p>
        </w:tc>
        <w:tc>
          <w:tcPr>
            <w:tcW w:w="753" w:type="pct"/>
            <w:gridSpan w:val="2"/>
            <w:tcBorders>
              <w:left w:val="nil"/>
            </w:tcBorders>
          </w:tcPr>
          <w:p w14:paraId="0CA98850" w14:textId="77777777" w:rsidR="00F71DD3" w:rsidRPr="00DB073B" w:rsidRDefault="00F71DD3" w:rsidP="00F71DD3">
            <w:pPr>
              <w:widowControl w:val="0"/>
              <w:spacing w:after="40"/>
              <w:jc w:val="center"/>
              <w:rPr>
                <w:u w:val="single"/>
              </w:rPr>
            </w:pPr>
          </w:p>
        </w:tc>
      </w:tr>
      <w:tr w:rsidR="00F71DD3" w:rsidRPr="00DB073B" w14:paraId="5377AB64" w14:textId="77777777" w:rsidTr="00F71DD3">
        <w:tc>
          <w:tcPr>
            <w:tcW w:w="1328" w:type="pct"/>
          </w:tcPr>
          <w:p w14:paraId="30C5ABE8" w14:textId="77777777" w:rsidR="00F71DD3" w:rsidRPr="00DB073B" w:rsidRDefault="00F71DD3" w:rsidP="00F71DD3">
            <w:pPr>
              <w:widowControl w:val="0"/>
              <w:spacing w:after="40"/>
            </w:pPr>
            <w:r w:rsidRPr="00DB073B">
              <w:t>PSMA PET/CT</w:t>
            </w:r>
          </w:p>
        </w:tc>
        <w:tc>
          <w:tcPr>
            <w:tcW w:w="730" w:type="pct"/>
            <w:gridSpan w:val="2"/>
          </w:tcPr>
          <w:p w14:paraId="2A60C12B" w14:textId="77777777" w:rsidR="00F71DD3" w:rsidRPr="00DB073B" w:rsidRDefault="00F71DD3" w:rsidP="00F71DD3">
            <w:pPr>
              <w:widowControl w:val="0"/>
              <w:spacing w:after="40"/>
              <w:jc w:val="center"/>
            </w:pPr>
            <w:r w:rsidRPr="00DB073B">
              <w:t>$1,611.77</w:t>
            </w:r>
          </w:p>
        </w:tc>
        <w:tc>
          <w:tcPr>
            <w:tcW w:w="730" w:type="pct"/>
            <w:gridSpan w:val="2"/>
            <w:tcBorders>
              <w:top w:val="nil"/>
              <w:bottom w:val="nil"/>
            </w:tcBorders>
          </w:tcPr>
          <w:p w14:paraId="5CDF58F3" w14:textId="77777777" w:rsidR="00F71DD3" w:rsidRPr="00DB073B" w:rsidRDefault="00F71DD3" w:rsidP="00F71DD3">
            <w:pPr>
              <w:widowControl w:val="0"/>
              <w:spacing w:after="40"/>
              <w:jc w:val="center"/>
            </w:pPr>
          </w:p>
        </w:tc>
        <w:tc>
          <w:tcPr>
            <w:tcW w:w="730" w:type="pct"/>
            <w:gridSpan w:val="2"/>
          </w:tcPr>
          <w:p w14:paraId="7F64434E" w14:textId="77777777" w:rsidR="00F71DD3" w:rsidRPr="00DB073B" w:rsidRDefault="00F71DD3" w:rsidP="00F71DD3">
            <w:pPr>
              <w:widowControl w:val="0"/>
              <w:spacing w:after="40"/>
              <w:jc w:val="center"/>
            </w:pPr>
            <w:r w:rsidRPr="00DB073B">
              <w:t>97%</w:t>
            </w:r>
          </w:p>
        </w:tc>
        <w:tc>
          <w:tcPr>
            <w:tcW w:w="730" w:type="pct"/>
            <w:gridSpan w:val="2"/>
            <w:tcBorders>
              <w:top w:val="nil"/>
              <w:bottom w:val="nil"/>
            </w:tcBorders>
          </w:tcPr>
          <w:p w14:paraId="44771028" w14:textId="77777777" w:rsidR="00F71DD3" w:rsidRPr="00DB073B" w:rsidRDefault="00F71DD3" w:rsidP="00F71DD3">
            <w:pPr>
              <w:widowControl w:val="0"/>
              <w:spacing w:after="40"/>
              <w:jc w:val="center"/>
            </w:pPr>
          </w:p>
        </w:tc>
        <w:tc>
          <w:tcPr>
            <w:tcW w:w="753" w:type="pct"/>
            <w:gridSpan w:val="2"/>
            <w:tcBorders>
              <w:top w:val="nil"/>
              <w:bottom w:val="nil"/>
            </w:tcBorders>
          </w:tcPr>
          <w:p w14:paraId="26B39C15" w14:textId="77777777" w:rsidR="00F71DD3" w:rsidRPr="00DB073B" w:rsidRDefault="00F71DD3" w:rsidP="00F71DD3">
            <w:pPr>
              <w:widowControl w:val="0"/>
              <w:spacing w:after="40"/>
              <w:jc w:val="center"/>
            </w:pPr>
          </w:p>
        </w:tc>
      </w:tr>
      <w:tr w:rsidR="00F71DD3" w:rsidRPr="00DB073B" w14:paraId="499B9954" w14:textId="77777777" w:rsidTr="00F71DD3">
        <w:tc>
          <w:tcPr>
            <w:tcW w:w="1328" w:type="pct"/>
          </w:tcPr>
          <w:p w14:paraId="30F70C65" w14:textId="77777777" w:rsidR="00F71DD3" w:rsidRPr="00DB073B" w:rsidRDefault="00F71DD3" w:rsidP="00F71DD3">
            <w:pPr>
              <w:widowControl w:val="0"/>
              <w:spacing w:after="40"/>
            </w:pPr>
            <w:r w:rsidRPr="00DB073B">
              <w:t>Conventional imaging</w:t>
            </w:r>
          </w:p>
        </w:tc>
        <w:tc>
          <w:tcPr>
            <w:tcW w:w="730" w:type="pct"/>
            <w:gridSpan w:val="2"/>
          </w:tcPr>
          <w:p w14:paraId="10A35C35" w14:textId="77777777" w:rsidR="00F71DD3" w:rsidRPr="00DB073B" w:rsidRDefault="00F71DD3" w:rsidP="00F71DD3">
            <w:pPr>
              <w:widowControl w:val="0"/>
              <w:spacing w:after="40"/>
              <w:jc w:val="center"/>
            </w:pPr>
            <w:r w:rsidRPr="00DB073B">
              <w:t>$1,655.39</w:t>
            </w:r>
          </w:p>
        </w:tc>
        <w:tc>
          <w:tcPr>
            <w:tcW w:w="730" w:type="pct"/>
            <w:gridSpan w:val="2"/>
            <w:tcBorders>
              <w:top w:val="nil"/>
              <w:bottom w:val="nil"/>
            </w:tcBorders>
          </w:tcPr>
          <w:p w14:paraId="661504BD" w14:textId="77777777" w:rsidR="00F71DD3" w:rsidRPr="00DB073B" w:rsidRDefault="00F71DD3" w:rsidP="00F71DD3">
            <w:pPr>
              <w:widowControl w:val="0"/>
              <w:spacing w:after="40"/>
              <w:jc w:val="center"/>
            </w:pPr>
            <w:r w:rsidRPr="00DB073B">
              <w:t>-$43.62</w:t>
            </w:r>
          </w:p>
        </w:tc>
        <w:tc>
          <w:tcPr>
            <w:tcW w:w="730" w:type="pct"/>
            <w:gridSpan w:val="2"/>
          </w:tcPr>
          <w:p w14:paraId="4F63BC4C" w14:textId="77777777" w:rsidR="00F71DD3" w:rsidRPr="00DB073B" w:rsidRDefault="00F71DD3" w:rsidP="00F71DD3">
            <w:pPr>
              <w:widowControl w:val="0"/>
              <w:spacing w:after="40"/>
              <w:jc w:val="center"/>
            </w:pPr>
            <w:r w:rsidRPr="00DB073B">
              <w:t>55%</w:t>
            </w:r>
          </w:p>
        </w:tc>
        <w:tc>
          <w:tcPr>
            <w:tcW w:w="730" w:type="pct"/>
            <w:gridSpan w:val="2"/>
            <w:tcBorders>
              <w:top w:val="nil"/>
              <w:bottom w:val="nil"/>
            </w:tcBorders>
          </w:tcPr>
          <w:p w14:paraId="403B9031" w14:textId="77777777" w:rsidR="00F71DD3" w:rsidRPr="00DB073B" w:rsidRDefault="00F71DD3" w:rsidP="00F71DD3">
            <w:pPr>
              <w:widowControl w:val="0"/>
              <w:spacing w:after="40"/>
              <w:jc w:val="center"/>
            </w:pPr>
            <w:r w:rsidRPr="00DB073B">
              <w:t>43%</w:t>
            </w:r>
          </w:p>
        </w:tc>
        <w:tc>
          <w:tcPr>
            <w:tcW w:w="753" w:type="pct"/>
            <w:gridSpan w:val="2"/>
            <w:tcBorders>
              <w:top w:val="nil"/>
              <w:bottom w:val="nil"/>
            </w:tcBorders>
          </w:tcPr>
          <w:p w14:paraId="481786CF" w14:textId="77777777" w:rsidR="00F71DD3" w:rsidRPr="00DB073B" w:rsidRDefault="00F71DD3" w:rsidP="00F71DD3">
            <w:pPr>
              <w:widowControl w:val="0"/>
              <w:spacing w:after="40"/>
              <w:jc w:val="center"/>
            </w:pPr>
            <w:r w:rsidRPr="00DB073B">
              <w:t>-$101.66</w:t>
            </w:r>
          </w:p>
        </w:tc>
      </w:tr>
      <w:tr w:rsidR="00F71DD3" w:rsidRPr="00DB073B" w14:paraId="1FE47423" w14:textId="77777777" w:rsidTr="00F71DD3">
        <w:tc>
          <w:tcPr>
            <w:tcW w:w="1328" w:type="pct"/>
            <w:tcBorders>
              <w:right w:val="nil"/>
            </w:tcBorders>
          </w:tcPr>
          <w:p w14:paraId="7155F518" w14:textId="77C85B6A" w:rsidR="00F71DD3" w:rsidRPr="005D77C0" w:rsidRDefault="00F71DD3" w:rsidP="00F71DD3">
            <w:pPr>
              <w:widowControl w:val="0"/>
              <w:spacing w:after="40"/>
              <w:rPr>
                <w:b/>
                <w:bCs/>
              </w:rPr>
            </w:pPr>
            <w:r w:rsidRPr="005D77C0">
              <w:rPr>
                <w:b/>
                <w:bCs/>
              </w:rPr>
              <w:t>PSA &lt;1.0</w:t>
            </w:r>
            <w:r w:rsidR="008947B2" w:rsidRPr="005D77C0">
              <w:rPr>
                <w:b/>
                <w:bCs/>
              </w:rPr>
              <w:t> </w:t>
            </w:r>
            <w:r w:rsidRPr="005D77C0">
              <w:rPr>
                <w:b/>
                <w:bCs/>
              </w:rPr>
              <w:t>ng/ml</w:t>
            </w:r>
          </w:p>
        </w:tc>
        <w:tc>
          <w:tcPr>
            <w:tcW w:w="730" w:type="pct"/>
            <w:gridSpan w:val="2"/>
            <w:tcBorders>
              <w:left w:val="nil"/>
              <w:right w:val="nil"/>
            </w:tcBorders>
          </w:tcPr>
          <w:p w14:paraId="09A881CC" w14:textId="77777777" w:rsidR="00F71DD3" w:rsidRPr="00DB073B" w:rsidRDefault="00F71DD3" w:rsidP="00F71DD3">
            <w:pPr>
              <w:widowControl w:val="0"/>
              <w:spacing w:after="40"/>
              <w:jc w:val="center"/>
              <w:rPr>
                <w:u w:val="single"/>
              </w:rPr>
            </w:pPr>
          </w:p>
        </w:tc>
        <w:tc>
          <w:tcPr>
            <w:tcW w:w="730" w:type="pct"/>
            <w:gridSpan w:val="2"/>
            <w:tcBorders>
              <w:left w:val="nil"/>
              <w:right w:val="nil"/>
            </w:tcBorders>
          </w:tcPr>
          <w:p w14:paraId="20882E20" w14:textId="77777777" w:rsidR="00F71DD3" w:rsidRPr="00DB073B" w:rsidRDefault="00F71DD3" w:rsidP="00F71DD3">
            <w:pPr>
              <w:widowControl w:val="0"/>
              <w:spacing w:after="40"/>
              <w:jc w:val="center"/>
              <w:rPr>
                <w:u w:val="single"/>
              </w:rPr>
            </w:pPr>
          </w:p>
        </w:tc>
        <w:tc>
          <w:tcPr>
            <w:tcW w:w="730" w:type="pct"/>
            <w:gridSpan w:val="2"/>
            <w:tcBorders>
              <w:left w:val="nil"/>
              <w:right w:val="nil"/>
            </w:tcBorders>
          </w:tcPr>
          <w:p w14:paraId="235E5240" w14:textId="77777777" w:rsidR="00F71DD3" w:rsidRPr="00DB073B" w:rsidRDefault="00F71DD3" w:rsidP="00F71DD3">
            <w:pPr>
              <w:widowControl w:val="0"/>
              <w:spacing w:after="40"/>
              <w:jc w:val="center"/>
              <w:rPr>
                <w:u w:val="single"/>
              </w:rPr>
            </w:pPr>
          </w:p>
        </w:tc>
        <w:tc>
          <w:tcPr>
            <w:tcW w:w="730" w:type="pct"/>
            <w:gridSpan w:val="2"/>
            <w:tcBorders>
              <w:left w:val="nil"/>
              <w:right w:val="nil"/>
            </w:tcBorders>
          </w:tcPr>
          <w:p w14:paraId="748625CE" w14:textId="77777777" w:rsidR="00F71DD3" w:rsidRPr="00DB073B" w:rsidRDefault="00F71DD3" w:rsidP="00F71DD3">
            <w:pPr>
              <w:widowControl w:val="0"/>
              <w:spacing w:after="40"/>
              <w:jc w:val="center"/>
              <w:rPr>
                <w:u w:val="single"/>
              </w:rPr>
            </w:pPr>
          </w:p>
        </w:tc>
        <w:tc>
          <w:tcPr>
            <w:tcW w:w="753" w:type="pct"/>
            <w:gridSpan w:val="2"/>
            <w:tcBorders>
              <w:left w:val="nil"/>
            </w:tcBorders>
          </w:tcPr>
          <w:p w14:paraId="596557C1" w14:textId="77777777" w:rsidR="00F71DD3" w:rsidRPr="00DB073B" w:rsidRDefault="00F71DD3" w:rsidP="00F71DD3">
            <w:pPr>
              <w:widowControl w:val="0"/>
              <w:spacing w:after="40"/>
              <w:jc w:val="center"/>
              <w:rPr>
                <w:u w:val="single"/>
              </w:rPr>
            </w:pPr>
          </w:p>
        </w:tc>
      </w:tr>
      <w:tr w:rsidR="00F71DD3" w:rsidRPr="00DB073B" w14:paraId="0F4459BD" w14:textId="77777777" w:rsidTr="00F71DD3">
        <w:tc>
          <w:tcPr>
            <w:tcW w:w="1328" w:type="pct"/>
          </w:tcPr>
          <w:p w14:paraId="1A482135" w14:textId="77777777" w:rsidR="00F71DD3" w:rsidRPr="00DB073B" w:rsidRDefault="00F71DD3" w:rsidP="00F71DD3">
            <w:pPr>
              <w:widowControl w:val="0"/>
              <w:spacing w:after="40"/>
            </w:pPr>
            <w:r w:rsidRPr="00DB073B">
              <w:t>PSMA PET/CT</w:t>
            </w:r>
          </w:p>
        </w:tc>
        <w:tc>
          <w:tcPr>
            <w:tcW w:w="730" w:type="pct"/>
            <w:gridSpan w:val="2"/>
          </w:tcPr>
          <w:p w14:paraId="5C2EB476" w14:textId="77777777" w:rsidR="00F71DD3" w:rsidRPr="00DB073B" w:rsidRDefault="00F71DD3" w:rsidP="00F71DD3">
            <w:pPr>
              <w:widowControl w:val="0"/>
              <w:spacing w:after="40"/>
              <w:jc w:val="center"/>
            </w:pPr>
            <w:r w:rsidRPr="00DB073B">
              <w:t>$1,803.29</w:t>
            </w:r>
          </w:p>
        </w:tc>
        <w:tc>
          <w:tcPr>
            <w:tcW w:w="730" w:type="pct"/>
            <w:gridSpan w:val="2"/>
            <w:tcBorders>
              <w:top w:val="nil"/>
              <w:bottom w:val="nil"/>
            </w:tcBorders>
          </w:tcPr>
          <w:p w14:paraId="06CDF447" w14:textId="77777777" w:rsidR="00F71DD3" w:rsidRPr="00DB073B" w:rsidRDefault="00F71DD3" w:rsidP="00F71DD3">
            <w:pPr>
              <w:widowControl w:val="0"/>
              <w:spacing w:after="40"/>
              <w:jc w:val="center"/>
            </w:pPr>
          </w:p>
        </w:tc>
        <w:tc>
          <w:tcPr>
            <w:tcW w:w="730" w:type="pct"/>
            <w:gridSpan w:val="2"/>
          </w:tcPr>
          <w:p w14:paraId="2621005E" w14:textId="77777777" w:rsidR="00F71DD3" w:rsidRPr="00DB073B" w:rsidRDefault="00F71DD3" w:rsidP="00F71DD3">
            <w:pPr>
              <w:widowControl w:val="0"/>
              <w:spacing w:after="40"/>
              <w:jc w:val="center"/>
            </w:pPr>
            <w:r w:rsidRPr="00DB073B">
              <w:t>97%</w:t>
            </w:r>
          </w:p>
        </w:tc>
        <w:tc>
          <w:tcPr>
            <w:tcW w:w="730" w:type="pct"/>
            <w:gridSpan w:val="2"/>
            <w:tcBorders>
              <w:top w:val="nil"/>
              <w:bottom w:val="nil"/>
            </w:tcBorders>
          </w:tcPr>
          <w:p w14:paraId="5B17CEF1" w14:textId="77777777" w:rsidR="00F71DD3" w:rsidRPr="00DB073B" w:rsidRDefault="00F71DD3" w:rsidP="00F71DD3">
            <w:pPr>
              <w:widowControl w:val="0"/>
              <w:spacing w:after="40"/>
              <w:jc w:val="center"/>
            </w:pPr>
          </w:p>
        </w:tc>
        <w:tc>
          <w:tcPr>
            <w:tcW w:w="753" w:type="pct"/>
            <w:gridSpan w:val="2"/>
            <w:tcBorders>
              <w:top w:val="nil"/>
              <w:bottom w:val="nil"/>
            </w:tcBorders>
          </w:tcPr>
          <w:p w14:paraId="3B6AE79E" w14:textId="77777777" w:rsidR="00F71DD3" w:rsidRPr="00DB073B" w:rsidRDefault="00F71DD3" w:rsidP="00F71DD3">
            <w:pPr>
              <w:widowControl w:val="0"/>
              <w:spacing w:after="40"/>
              <w:jc w:val="center"/>
            </w:pPr>
          </w:p>
        </w:tc>
      </w:tr>
      <w:tr w:rsidR="00F71DD3" w:rsidRPr="00DB073B" w14:paraId="3F94CDD5" w14:textId="77777777" w:rsidTr="00F71DD3">
        <w:tc>
          <w:tcPr>
            <w:tcW w:w="1328" w:type="pct"/>
          </w:tcPr>
          <w:p w14:paraId="4C336A1F" w14:textId="77777777" w:rsidR="00F71DD3" w:rsidRPr="00DB073B" w:rsidRDefault="00F71DD3" w:rsidP="00F71DD3">
            <w:pPr>
              <w:widowControl w:val="0"/>
              <w:spacing w:after="40"/>
            </w:pPr>
            <w:r w:rsidRPr="00DB073B">
              <w:t>No imaging</w:t>
            </w:r>
          </w:p>
        </w:tc>
        <w:tc>
          <w:tcPr>
            <w:tcW w:w="730" w:type="pct"/>
            <w:gridSpan w:val="2"/>
          </w:tcPr>
          <w:p w14:paraId="6B7B0585" w14:textId="77777777" w:rsidR="00F71DD3" w:rsidRPr="00DB073B" w:rsidRDefault="00F71DD3" w:rsidP="00F71DD3">
            <w:pPr>
              <w:widowControl w:val="0"/>
              <w:spacing w:after="40"/>
              <w:jc w:val="center"/>
            </w:pPr>
            <w:r w:rsidRPr="00DB073B">
              <w:t>$0.00</w:t>
            </w:r>
          </w:p>
        </w:tc>
        <w:tc>
          <w:tcPr>
            <w:tcW w:w="730" w:type="pct"/>
            <w:gridSpan w:val="2"/>
            <w:tcBorders>
              <w:top w:val="nil"/>
              <w:bottom w:val="nil"/>
            </w:tcBorders>
          </w:tcPr>
          <w:p w14:paraId="698FAC7C" w14:textId="77777777" w:rsidR="00F71DD3" w:rsidRPr="00DB073B" w:rsidRDefault="00F71DD3" w:rsidP="00F71DD3">
            <w:pPr>
              <w:widowControl w:val="0"/>
              <w:spacing w:after="40"/>
              <w:jc w:val="center"/>
            </w:pPr>
            <w:r w:rsidRPr="00DB073B">
              <w:t>$1,803.29</w:t>
            </w:r>
          </w:p>
        </w:tc>
        <w:tc>
          <w:tcPr>
            <w:tcW w:w="730" w:type="pct"/>
            <w:gridSpan w:val="2"/>
          </w:tcPr>
          <w:p w14:paraId="47D903E9" w14:textId="77777777" w:rsidR="00F71DD3" w:rsidRPr="00DB073B" w:rsidRDefault="00F71DD3" w:rsidP="00F71DD3">
            <w:pPr>
              <w:widowControl w:val="0"/>
              <w:spacing w:after="40"/>
              <w:jc w:val="center"/>
            </w:pPr>
            <w:r w:rsidRPr="00DB073B">
              <w:t>64%</w:t>
            </w:r>
          </w:p>
        </w:tc>
        <w:tc>
          <w:tcPr>
            <w:tcW w:w="730" w:type="pct"/>
            <w:gridSpan w:val="2"/>
            <w:tcBorders>
              <w:top w:val="nil"/>
              <w:bottom w:val="nil"/>
            </w:tcBorders>
          </w:tcPr>
          <w:p w14:paraId="6B77ECF1" w14:textId="77777777" w:rsidR="00F71DD3" w:rsidRPr="00DB073B" w:rsidRDefault="00F71DD3" w:rsidP="00F71DD3">
            <w:pPr>
              <w:widowControl w:val="0"/>
              <w:spacing w:after="40"/>
              <w:jc w:val="center"/>
            </w:pPr>
            <w:r w:rsidRPr="00DB073B">
              <w:t>34%</w:t>
            </w:r>
          </w:p>
        </w:tc>
        <w:tc>
          <w:tcPr>
            <w:tcW w:w="753" w:type="pct"/>
            <w:gridSpan w:val="2"/>
            <w:tcBorders>
              <w:top w:val="nil"/>
              <w:bottom w:val="nil"/>
            </w:tcBorders>
          </w:tcPr>
          <w:p w14:paraId="72C9B795" w14:textId="77777777" w:rsidR="00F71DD3" w:rsidRPr="00DB073B" w:rsidRDefault="00F71DD3" w:rsidP="00F71DD3">
            <w:pPr>
              <w:widowControl w:val="0"/>
              <w:spacing w:after="40"/>
              <w:jc w:val="center"/>
            </w:pPr>
            <w:r w:rsidRPr="00DB073B">
              <w:t>$5,356.17</w:t>
            </w:r>
          </w:p>
        </w:tc>
      </w:tr>
      <w:tr w:rsidR="00F71DD3" w:rsidRPr="00DB073B" w14:paraId="627E87F1" w14:textId="77777777" w:rsidTr="00F71DD3">
        <w:tc>
          <w:tcPr>
            <w:tcW w:w="1328" w:type="pct"/>
          </w:tcPr>
          <w:p w14:paraId="4AA94436" w14:textId="77777777" w:rsidR="00F71DD3" w:rsidRPr="00DB073B" w:rsidRDefault="00F71DD3" w:rsidP="00F71DD3">
            <w:pPr>
              <w:widowControl w:val="0"/>
              <w:spacing w:after="40"/>
            </w:pPr>
            <w:r w:rsidRPr="00DB073B">
              <w:t>Weighted</w:t>
            </w:r>
          </w:p>
        </w:tc>
        <w:tc>
          <w:tcPr>
            <w:tcW w:w="730" w:type="pct"/>
            <w:gridSpan w:val="2"/>
          </w:tcPr>
          <w:p w14:paraId="5AAAB1AB" w14:textId="77777777" w:rsidR="00F71DD3" w:rsidRPr="00DB073B" w:rsidRDefault="00F71DD3" w:rsidP="00F71DD3">
            <w:pPr>
              <w:widowControl w:val="0"/>
              <w:spacing w:after="40"/>
              <w:jc w:val="center"/>
            </w:pPr>
            <w:r w:rsidRPr="00DB073B">
              <w:t>$1,180.29</w:t>
            </w:r>
          </w:p>
        </w:tc>
        <w:tc>
          <w:tcPr>
            <w:tcW w:w="730" w:type="pct"/>
            <w:gridSpan w:val="2"/>
            <w:tcBorders>
              <w:top w:val="nil"/>
              <w:bottom w:val="nil"/>
            </w:tcBorders>
          </w:tcPr>
          <w:p w14:paraId="616ED618" w14:textId="77777777" w:rsidR="00F71DD3" w:rsidRPr="00DB073B" w:rsidRDefault="00F71DD3" w:rsidP="00F71DD3">
            <w:pPr>
              <w:widowControl w:val="0"/>
              <w:spacing w:after="40"/>
              <w:jc w:val="center"/>
            </w:pPr>
            <w:r w:rsidRPr="00DB073B">
              <w:t>$431.48</w:t>
            </w:r>
          </w:p>
        </w:tc>
        <w:tc>
          <w:tcPr>
            <w:tcW w:w="730" w:type="pct"/>
            <w:gridSpan w:val="2"/>
          </w:tcPr>
          <w:p w14:paraId="741842EA" w14:textId="77777777" w:rsidR="00F71DD3" w:rsidRPr="00DB073B" w:rsidRDefault="00F71DD3" w:rsidP="00F71DD3">
            <w:pPr>
              <w:widowControl w:val="0"/>
              <w:spacing w:after="40"/>
              <w:jc w:val="center"/>
            </w:pPr>
            <w:r w:rsidRPr="00DB073B">
              <w:t>57%</w:t>
            </w:r>
          </w:p>
        </w:tc>
        <w:tc>
          <w:tcPr>
            <w:tcW w:w="730" w:type="pct"/>
            <w:gridSpan w:val="2"/>
            <w:tcBorders>
              <w:top w:val="nil"/>
              <w:bottom w:val="nil"/>
            </w:tcBorders>
          </w:tcPr>
          <w:p w14:paraId="61CBEFEF" w14:textId="77777777" w:rsidR="00F71DD3" w:rsidRPr="00DB073B" w:rsidRDefault="00F71DD3" w:rsidP="00F71DD3">
            <w:pPr>
              <w:widowControl w:val="0"/>
              <w:spacing w:after="40"/>
              <w:jc w:val="center"/>
            </w:pPr>
            <w:r w:rsidRPr="00DB073B">
              <w:t>40%</w:t>
            </w:r>
          </w:p>
        </w:tc>
        <w:tc>
          <w:tcPr>
            <w:tcW w:w="753" w:type="pct"/>
            <w:gridSpan w:val="2"/>
            <w:tcBorders>
              <w:top w:val="nil"/>
              <w:bottom w:val="nil"/>
            </w:tcBorders>
          </w:tcPr>
          <w:p w14:paraId="67C09770" w14:textId="77777777" w:rsidR="00F71DD3" w:rsidRPr="00DB073B" w:rsidRDefault="00F71DD3" w:rsidP="00F71DD3">
            <w:pPr>
              <w:widowControl w:val="0"/>
              <w:spacing w:after="40"/>
              <w:jc w:val="center"/>
            </w:pPr>
            <w:r w:rsidRPr="00DB073B">
              <w:t>$1,071.80</w:t>
            </w:r>
          </w:p>
        </w:tc>
      </w:tr>
      <w:tr w:rsidR="00F71DD3" w:rsidRPr="00DB073B" w14:paraId="1B1006CB" w14:textId="77777777" w:rsidTr="00F71DD3">
        <w:tc>
          <w:tcPr>
            <w:tcW w:w="1933" w:type="pct"/>
            <w:gridSpan w:val="2"/>
            <w:tcBorders>
              <w:right w:val="nil"/>
            </w:tcBorders>
          </w:tcPr>
          <w:p w14:paraId="2B3203BD" w14:textId="77777777" w:rsidR="00F71DD3" w:rsidRPr="00DB073B" w:rsidRDefault="00F71DD3" w:rsidP="00F71DD3">
            <w:pPr>
              <w:widowControl w:val="0"/>
              <w:spacing w:after="40"/>
              <w:rPr>
                <w:b/>
              </w:rPr>
            </w:pPr>
            <w:r w:rsidRPr="00F46CBE">
              <w:rPr>
                <w:b/>
              </w:rPr>
              <w:t>Cost per futile treatment avoided</w:t>
            </w:r>
          </w:p>
        </w:tc>
        <w:tc>
          <w:tcPr>
            <w:tcW w:w="130" w:type="pct"/>
            <w:gridSpan w:val="2"/>
            <w:tcBorders>
              <w:left w:val="nil"/>
              <w:right w:val="nil"/>
            </w:tcBorders>
          </w:tcPr>
          <w:p w14:paraId="38C645AC" w14:textId="77777777" w:rsidR="00F71DD3" w:rsidRPr="00DB073B" w:rsidRDefault="00F71DD3" w:rsidP="00F71DD3">
            <w:pPr>
              <w:widowControl w:val="0"/>
              <w:spacing w:after="40"/>
              <w:jc w:val="center"/>
            </w:pPr>
          </w:p>
        </w:tc>
        <w:tc>
          <w:tcPr>
            <w:tcW w:w="730" w:type="pct"/>
            <w:gridSpan w:val="2"/>
            <w:tcBorders>
              <w:left w:val="nil"/>
              <w:right w:val="nil"/>
            </w:tcBorders>
          </w:tcPr>
          <w:p w14:paraId="296BB36C" w14:textId="77777777" w:rsidR="00F71DD3" w:rsidRPr="00DB073B" w:rsidRDefault="00F71DD3" w:rsidP="00F71DD3">
            <w:pPr>
              <w:widowControl w:val="0"/>
              <w:spacing w:after="40"/>
              <w:jc w:val="center"/>
            </w:pPr>
          </w:p>
        </w:tc>
        <w:tc>
          <w:tcPr>
            <w:tcW w:w="730" w:type="pct"/>
            <w:gridSpan w:val="2"/>
            <w:tcBorders>
              <w:left w:val="nil"/>
              <w:right w:val="nil"/>
            </w:tcBorders>
          </w:tcPr>
          <w:p w14:paraId="23CF0B35" w14:textId="77777777" w:rsidR="00F71DD3" w:rsidRPr="00DB073B" w:rsidRDefault="00F71DD3" w:rsidP="00F71DD3">
            <w:pPr>
              <w:widowControl w:val="0"/>
              <w:spacing w:after="40"/>
              <w:jc w:val="center"/>
            </w:pPr>
          </w:p>
        </w:tc>
        <w:tc>
          <w:tcPr>
            <w:tcW w:w="730" w:type="pct"/>
            <w:gridSpan w:val="2"/>
            <w:tcBorders>
              <w:left w:val="nil"/>
              <w:right w:val="nil"/>
            </w:tcBorders>
          </w:tcPr>
          <w:p w14:paraId="58EDA2FB" w14:textId="77777777" w:rsidR="00F71DD3" w:rsidRPr="00DB073B" w:rsidRDefault="00F71DD3" w:rsidP="00F71DD3">
            <w:pPr>
              <w:widowControl w:val="0"/>
              <w:spacing w:after="40"/>
              <w:jc w:val="center"/>
            </w:pPr>
          </w:p>
        </w:tc>
        <w:tc>
          <w:tcPr>
            <w:tcW w:w="748" w:type="pct"/>
            <w:tcBorders>
              <w:left w:val="nil"/>
            </w:tcBorders>
          </w:tcPr>
          <w:p w14:paraId="2F924FE6" w14:textId="77777777" w:rsidR="00F71DD3" w:rsidRPr="00DB073B" w:rsidRDefault="00F71DD3" w:rsidP="00F71DD3">
            <w:pPr>
              <w:widowControl w:val="0"/>
              <w:spacing w:after="40"/>
              <w:jc w:val="center"/>
            </w:pPr>
          </w:p>
        </w:tc>
      </w:tr>
      <w:tr w:rsidR="00F71DD3" w:rsidRPr="00DB073B" w14:paraId="4511523B" w14:textId="77777777" w:rsidTr="00F71DD3">
        <w:tc>
          <w:tcPr>
            <w:tcW w:w="1328" w:type="pct"/>
            <w:tcBorders>
              <w:right w:val="nil"/>
            </w:tcBorders>
          </w:tcPr>
          <w:p w14:paraId="50E16439" w14:textId="2B2D319C" w:rsidR="00F71DD3" w:rsidRPr="005D77C0" w:rsidRDefault="00F71DD3" w:rsidP="00F71DD3">
            <w:pPr>
              <w:widowControl w:val="0"/>
              <w:spacing w:after="40"/>
              <w:rPr>
                <w:b/>
                <w:bCs/>
              </w:rPr>
            </w:pPr>
            <w:r w:rsidRPr="005D77C0">
              <w:rPr>
                <w:b/>
                <w:bCs/>
              </w:rPr>
              <w:t xml:space="preserve">PSA </w:t>
            </w:r>
            <w:r w:rsidR="005D77C0" w:rsidRPr="005D77C0">
              <w:rPr>
                <w:b/>
                <w:bCs/>
              </w:rPr>
              <w:sym w:font="Symbol" w:char="F0B3"/>
            </w:r>
            <w:r w:rsidRPr="005D77C0">
              <w:rPr>
                <w:b/>
                <w:bCs/>
              </w:rPr>
              <w:t>1.0</w:t>
            </w:r>
            <w:r w:rsidR="008947B2" w:rsidRPr="005D77C0">
              <w:rPr>
                <w:b/>
                <w:bCs/>
              </w:rPr>
              <w:t> </w:t>
            </w:r>
            <w:r w:rsidRPr="005D77C0">
              <w:rPr>
                <w:b/>
                <w:bCs/>
              </w:rPr>
              <w:t>ng/ml</w:t>
            </w:r>
          </w:p>
        </w:tc>
        <w:tc>
          <w:tcPr>
            <w:tcW w:w="730" w:type="pct"/>
            <w:gridSpan w:val="2"/>
            <w:tcBorders>
              <w:left w:val="nil"/>
              <w:right w:val="nil"/>
            </w:tcBorders>
          </w:tcPr>
          <w:p w14:paraId="71CECDAC" w14:textId="77777777" w:rsidR="00F71DD3" w:rsidRPr="00DB073B" w:rsidRDefault="00F71DD3" w:rsidP="00F71DD3">
            <w:pPr>
              <w:widowControl w:val="0"/>
              <w:spacing w:after="40"/>
              <w:jc w:val="center"/>
              <w:rPr>
                <w:u w:val="single"/>
              </w:rPr>
            </w:pPr>
          </w:p>
        </w:tc>
        <w:tc>
          <w:tcPr>
            <w:tcW w:w="730" w:type="pct"/>
            <w:gridSpan w:val="2"/>
            <w:tcBorders>
              <w:left w:val="nil"/>
              <w:right w:val="nil"/>
            </w:tcBorders>
          </w:tcPr>
          <w:p w14:paraId="25B54010" w14:textId="77777777" w:rsidR="00F71DD3" w:rsidRPr="00DB073B" w:rsidRDefault="00F71DD3" w:rsidP="00F71DD3">
            <w:pPr>
              <w:widowControl w:val="0"/>
              <w:spacing w:after="40"/>
              <w:jc w:val="center"/>
              <w:rPr>
                <w:u w:val="single"/>
              </w:rPr>
            </w:pPr>
          </w:p>
        </w:tc>
        <w:tc>
          <w:tcPr>
            <w:tcW w:w="730" w:type="pct"/>
            <w:gridSpan w:val="2"/>
            <w:tcBorders>
              <w:left w:val="nil"/>
              <w:right w:val="nil"/>
            </w:tcBorders>
          </w:tcPr>
          <w:p w14:paraId="356773F7" w14:textId="77777777" w:rsidR="00F71DD3" w:rsidRPr="00DB073B" w:rsidRDefault="00F71DD3" w:rsidP="00F71DD3">
            <w:pPr>
              <w:widowControl w:val="0"/>
              <w:spacing w:after="40"/>
              <w:jc w:val="center"/>
              <w:rPr>
                <w:u w:val="single"/>
              </w:rPr>
            </w:pPr>
          </w:p>
        </w:tc>
        <w:tc>
          <w:tcPr>
            <w:tcW w:w="730" w:type="pct"/>
            <w:gridSpan w:val="2"/>
            <w:tcBorders>
              <w:left w:val="nil"/>
              <w:right w:val="nil"/>
            </w:tcBorders>
          </w:tcPr>
          <w:p w14:paraId="5CD88F83" w14:textId="77777777" w:rsidR="00F71DD3" w:rsidRPr="00DB073B" w:rsidRDefault="00F71DD3" w:rsidP="00F71DD3">
            <w:pPr>
              <w:widowControl w:val="0"/>
              <w:spacing w:after="40"/>
              <w:jc w:val="center"/>
              <w:rPr>
                <w:u w:val="single"/>
              </w:rPr>
            </w:pPr>
          </w:p>
        </w:tc>
        <w:tc>
          <w:tcPr>
            <w:tcW w:w="753" w:type="pct"/>
            <w:gridSpan w:val="2"/>
            <w:tcBorders>
              <w:left w:val="nil"/>
            </w:tcBorders>
          </w:tcPr>
          <w:p w14:paraId="7B068B0C" w14:textId="77777777" w:rsidR="00F71DD3" w:rsidRPr="00DB073B" w:rsidRDefault="00F71DD3" w:rsidP="00F71DD3">
            <w:pPr>
              <w:widowControl w:val="0"/>
              <w:spacing w:after="40"/>
              <w:jc w:val="center"/>
              <w:rPr>
                <w:u w:val="single"/>
              </w:rPr>
            </w:pPr>
          </w:p>
        </w:tc>
      </w:tr>
      <w:tr w:rsidR="00F71DD3" w:rsidRPr="00DB073B" w14:paraId="4B1FF9E0" w14:textId="77777777" w:rsidTr="00F71DD3">
        <w:tc>
          <w:tcPr>
            <w:tcW w:w="1328" w:type="pct"/>
          </w:tcPr>
          <w:p w14:paraId="448C7979" w14:textId="77777777" w:rsidR="00F71DD3" w:rsidRPr="00DB073B" w:rsidRDefault="00F71DD3" w:rsidP="00F71DD3">
            <w:pPr>
              <w:widowControl w:val="0"/>
              <w:spacing w:after="40"/>
            </w:pPr>
            <w:r w:rsidRPr="00DB073B">
              <w:t>PSMA PET/CT</w:t>
            </w:r>
          </w:p>
        </w:tc>
        <w:tc>
          <w:tcPr>
            <w:tcW w:w="730" w:type="pct"/>
            <w:gridSpan w:val="2"/>
          </w:tcPr>
          <w:p w14:paraId="5C1D0134" w14:textId="77777777" w:rsidR="00F71DD3" w:rsidRPr="00DB073B" w:rsidRDefault="00F71DD3" w:rsidP="00F71DD3">
            <w:pPr>
              <w:widowControl w:val="0"/>
              <w:spacing w:after="40"/>
              <w:jc w:val="center"/>
            </w:pPr>
            <w:r w:rsidRPr="00DB073B">
              <w:t>$1,611.77</w:t>
            </w:r>
          </w:p>
        </w:tc>
        <w:tc>
          <w:tcPr>
            <w:tcW w:w="730" w:type="pct"/>
            <w:gridSpan w:val="2"/>
            <w:tcBorders>
              <w:top w:val="nil"/>
              <w:bottom w:val="nil"/>
            </w:tcBorders>
          </w:tcPr>
          <w:p w14:paraId="5FC41775" w14:textId="77777777" w:rsidR="00F71DD3" w:rsidRPr="00DB073B" w:rsidRDefault="00F71DD3" w:rsidP="00F71DD3">
            <w:pPr>
              <w:widowControl w:val="0"/>
              <w:spacing w:after="40"/>
              <w:jc w:val="center"/>
            </w:pPr>
          </w:p>
        </w:tc>
        <w:tc>
          <w:tcPr>
            <w:tcW w:w="730" w:type="pct"/>
            <w:gridSpan w:val="2"/>
          </w:tcPr>
          <w:p w14:paraId="00C4CF1B" w14:textId="77777777" w:rsidR="00F71DD3" w:rsidRPr="00DB073B" w:rsidRDefault="00F71DD3" w:rsidP="00F71DD3">
            <w:pPr>
              <w:widowControl w:val="0"/>
              <w:spacing w:after="40"/>
              <w:jc w:val="center"/>
            </w:pPr>
            <w:r w:rsidRPr="00DB073B">
              <w:t>52%</w:t>
            </w:r>
          </w:p>
        </w:tc>
        <w:tc>
          <w:tcPr>
            <w:tcW w:w="730" w:type="pct"/>
            <w:gridSpan w:val="2"/>
            <w:tcBorders>
              <w:top w:val="nil"/>
              <w:bottom w:val="nil"/>
            </w:tcBorders>
          </w:tcPr>
          <w:p w14:paraId="1949EBFE" w14:textId="77777777" w:rsidR="00F71DD3" w:rsidRPr="00DB073B" w:rsidRDefault="00F71DD3" w:rsidP="00F71DD3">
            <w:pPr>
              <w:widowControl w:val="0"/>
              <w:spacing w:after="40"/>
              <w:jc w:val="center"/>
            </w:pPr>
          </w:p>
        </w:tc>
        <w:tc>
          <w:tcPr>
            <w:tcW w:w="753" w:type="pct"/>
            <w:gridSpan w:val="2"/>
            <w:tcBorders>
              <w:top w:val="nil"/>
              <w:bottom w:val="nil"/>
            </w:tcBorders>
          </w:tcPr>
          <w:p w14:paraId="43EF370E" w14:textId="77777777" w:rsidR="00F71DD3" w:rsidRPr="00DB073B" w:rsidRDefault="00F71DD3" w:rsidP="00F71DD3">
            <w:pPr>
              <w:widowControl w:val="0"/>
              <w:spacing w:after="40"/>
              <w:jc w:val="center"/>
            </w:pPr>
          </w:p>
        </w:tc>
      </w:tr>
      <w:tr w:rsidR="00F71DD3" w:rsidRPr="00DB073B" w14:paraId="798FDC0C" w14:textId="77777777" w:rsidTr="00F71DD3">
        <w:tc>
          <w:tcPr>
            <w:tcW w:w="1328" w:type="pct"/>
          </w:tcPr>
          <w:p w14:paraId="24C1EA2E" w14:textId="77777777" w:rsidR="00F71DD3" w:rsidRPr="00DB073B" w:rsidRDefault="00F71DD3" w:rsidP="00F71DD3">
            <w:pPr>
              <w:widowControl w:val="0"/>
              <w:spacing w:after="40"/>
            </w:pPr>
            <w:r w:rsidRPr="00DB073B">
              <w:t>Conventional imaging</w:t>
            </w:r>
          </w:p>
        </w:tc>
        <w:tc>
          <w:tcPr>
            <w:tcW w:w="730" w:type="pct"/>
            <w:gridSpan w:val="2"/>
          </w:tcPr>
          <w:p w14:paraId="3E41BE74" w14:textId="77777777" w:rsidR="00F71DD3" w:rsidRPr="00DB073B" w:rsidRDefault="00F71DD3" w:rsidP="00F71DD3">
            <w:pPr>
              <w:widowControl w:val="0"/>
              <w:spacing w:after="40"/>
              <w:jc w:val="center"/>
            </w:pPr>
            <w:r w:rsidRPr="00DB073B">
              <w:t>$1,655.39</w:t>
            </w:r>
          </w:p>
        </w:tc>
        <w:tc>
          <w:tcPr>
            <w:tcW w:w="730" w:type="pct"/>
            <w:gridSpan w:val="2"/>
            <w:tcBorders>
              <w:top w:val="nil"/>
              <w:bottom w:val="nil"/>
            </w:tcBorders>
          </w:tcPr>
          <w:p w14:paraId="7B343683" w14:textId="77777777" w:rsidR="00F71DD3" w:rsidRPr="00DB073B" w:rsidRDefault="00F71DD3" w:rsidP="00F71DD3">
            <w:pPr>
              <w:widowControl w:val="0"/>
              <w:spacing w:after="40"/>
              <w:jc w:val="center"/>
            </w:pPr>
            <w:r w:rsidRPr="00DB073B">
              <w:t>-$43.62</w:t>
            </w:r>
          </w:p>
        </w:tc>
        <w:tc>
          <w:tcPr>
            <w:tcW w:w="730" w:type="pct"/>
            <w:gridSpan w:val="2"/>
          </w:tcPr>
          <w:p w14:paraId="1D1C3FA5" w14:textId="77777777" w:rsidR="00F71DD3" w:rsidRPr="00DB073B" w:rsidRDefault="00F71DD3" w:rsidP="00F71DD3">
            <w:pPr>
              <w:widowControl w:val="0"/>
              <w:spacing w:after="40"/>
              <w:jc w:val="center"/>
            </w:pPr>
            <w:r w:rsidRPr="00DB073B">
              <w:t>29%</w:t>
            </w:r>
          </w:p>
        </w:tc>
        <w:tc>
          <w:tcPr>
            <w:tcW w:w="730" w:type="pct"/>
            <w:gridSpan w:val="2"/>
            <w:tcBorders>
              <w:top w:val="nil"/>
              <w:bottom w:val="nil"/>
            </w:tcBorders>
          </w:tcPr>
          <w:p w14:paraId="5FC260C0" w14:textId="77777777" w:rsidR="00F71DD3" w:rsidRPr="00DB073B" w:rsidRDefault="00F71DD3" w:rsidP="00F71DD3">
            <w:pPr>
              <w:widowControl w:val="0"/>
              <w:spacing w:after="40"/>
              <w:jc w:val="center"/>
            </w:pPr>
            <w:r w:rsidRPr="00DB073B">
              <w:t>23%</w:t>
            </w:r>
          </w:p>
        </w:tc>
        <w:tc>
          <w:tcPr>
            <w:tcW w:w="753" w:type="pct"/>
            <w:gridSpan w:val="2"/>
            <w:tcBorders>
              <w:top w:val="nil"/>
              <w:bottom w:val="nil"/>
            </w:tcBorders>
          </w:tcPr>
          <w:p w14:paraId="3F068E5A" w14:textId="77777777" w:rsidR="00F71DD3" w:rsidRPr="00DB073B" w:rsidRDefault="00F71DD3" w:rsidP="00F71DD3">
            <w:pPr>
              <w:widowControl w:val="0"/>
              <w:spacing w:after="40"/>
              <w:jc w:val="center"/>
            </w:pPr>
            <w:r w:rsidRPr="00DB073B">
              <w:t>-$191.33</w:t>
            </w:r>
          </w:p>
        </w:tc>
      </w:tr>
      <w:tr w:rsidR="00F71DD3" w:rsidRPr="00DB073B" w14:paraId="082966DC" w14:textId="77777777" w:rsidTr="00F71DD3">
        <w:tc>
          <w:tcPr>
            <w:tcW w:w="1328" w:type="pct"/>
            <w:tcBorders>
              <w:right w:val="nil"/>
            </w:tcBorders>
          </w:tcPr>
          <w:p w14:paraId="1EF9B1E5" w14:textId="782FE658" w:rsidR="00F71DD3" w:rsidRPr="005D77C0" w:rsidRDefault="00F71DD3" w:rsidP="00F71DD3">
            <w:pPr>
              <w:widowControl w:val="0"/>
              <w:spacing w:after="40"/>
              <w:rPr>
                <w:b/>
                <w:bCs/>
              </w:rPr>
            </w:pPr>
            <w:r w:rsidRPr="005D77C0">
              <w:rPr>
                <w:b/>
                <w:bCs/>
              </w:rPr>
              <w:t>PSA &lt;1.0</w:t>
            </w:r>
            <w:r w:rsidR="008947B2" w:rsidRPr="005D77C0">
              <w:rPr>
                <w:b/>
                <w:bCs/>
              </w:rPr>
              <w:t> </w:t>
            </w:r>
            <w:r w:rsidRPr="005D77C0">
              <w:rPr>
                <w:b/>
                <w:bCs/>
              </w:rPr>
              <w:t>ng/ml</w:t>
            </w:r>
          </w:p>
        </w:tc>
        <w:tc>
          <w:tcPr>
            <w:tcW w:w="730" w:type="pct"/>
            <w:gridSpan w:val="2"/>
            <w:tcBorders>
              <w:left w:val="nil"/>
              <w:right w:val="nil"/>
            </w:tcBorders>
          </w:tcPr>
          <w:p w14:paraId="6C2A69A4" w14:textId="77777777" w:rsidR="00F71DD3" w:rsidRPr="00DB073B" w:rsidRDefault="00F71DD3" w:rsidP="00F71DD3">
            <w:pPr>
              <w:widowControl w:val="0"/>
              <w:spacing w:after="40"/>
              <w:jc w:val="center"/>
              <w:rPr>
                <w:u w:val="single"/>
              </w:rPr>
            </w:pPr>
          </w:p>
        </w:tc>
        <w:tc>
          <w:tcPr>
            <w:tcW w:w="730" w:type="pct"/>
            <w:gridSpan w:val="2"/>
            <w:tcBorders>
              <w:left w:val="nil"/>
              <w:right w:val="nil"/>
            </w:tcBorders>
          </w:tcPr>
          <w:p w14:paraId="3223B569" w14:textId="77777777" w:rsidR="00F71DD3" w:rsidRPr="00DB073B" w:rsidRDefault="00F71DD3" w:rsidP="00F71DD3">
            <w:pPr>
              <w:widowControl w:val="0"/>
              <w:spacing w:after="40"/>
              <w:jc w:val="center"/>
              <w:rPr>
                <w:u w:val="single"/>
              </w:rPr>
            </w:pPr>
          </w:p>
        </w:tc>
        <w:tc>
          <w:tcPr>
            <w:tcW w:w="730" w:type="pct"/>
            <w:gridSpan w:val="2"/>
            <w:tcBorders>
              <w:left w:val="nil"/>
              <w:right w:val="nil"/>
            </w:tcBorders>
          </w:tcPr>
          <w:p w14:paraId="1EF3484D" w14:textId="77777777" w:rsidR="00F71DD3" w:rsidRPr="00DB073B" w:rsidRDefault="00F71DD3" w:rsidP="00F71DD3">
            <w:pPr>
              <w:widowControl w:val="0"/>
              <w:spacing w:after="40"/>
              <w:jc w:val="center"/>
              <w:rPr>
                <w:u w:val="single"/>
              </w:rPr>
            </w:pPr>
          </w:p>
        </w:tc>
        <w:tc>
          <w:tcPr>
            <w:tcW w:w="730" w:type="pct"/>
            <w:gridSpan w:val="2"/>
            <w:tcBorders>
              <w:left w:val="nil"/>
              <w:right w:val="nil"/>
            </w:tcBorders>
          </w:tcPr>
          <w:p w14:paraId="76296C90" w14:textId="77777777" w:rsidR="00F71DD3" w:rsidRPr="00DB073B" w:rsidRDefault="00F71DD3" w:rsidP="00F71DD3">
            <w:pPr>
              <w:widowControl w:val="0"/>
              <w:spacing w:after="40"/>
              <w:jc w:val="center"/>
              <w:rPr>
                <w:u w:val="single"/>
              </w:rPr>
            </w:pPr>
          </w:p>
        </w:tc>
        <w:tc>
          <w:tcPr>
            <w:tcW w:w="753" w:type="pct"/>
            <w:gridSpan w:val="2"/>
            <w:tcBorders>
              <w:left w:val="nil"/>
            </w:tcBorders>
          </w:tcPr>
          <w:p w14:paraId="2E36D22A" w14:textId="77777777" w:rsidR="00F71DD3" w:rsidRPr="00DB073B" w:rsidRDefault="00F71DD3" w:rsidP="00F71DD3">
            <w:pPr>
              <w:widowControl w:val="0"/>
              <w:spacing w:after="40"/>
              <w:jc w:val="center"/>
              <w:rPr>
                <w:u w:val="single"/>
              </w:rPr>
            </w:pPr>
          </w:p>
        </w:tc>
      </w:tr>
      <w:tr w:rsidR="00F71DD3" w:rsidRPr="00DB073B" w14:paraId="1B62B3EB" w14:textId="77777777" w:rsidTr="00F71DD3">
        <w:tc>
          <w:tcPr>
            <w:tcW w:w="1328" w:type="pct"/>
          </w:tcPr>
          <w:p w14:paraId="375BB1FB" w14:textId="77777777" w:rsidR="00F71DD3" w:rsidRPr="00DB073B" w:rsidRDefault="00F71DD3" w:rsidP="00F71DD3">
            <w:pPr>
              <w:widowControl w:val="0"/>
              <w:spacing w:after="40"/>
            </w:pPr>
            <w:r w:rsidRPr="00DB073B">
              <w:t>PSMA PET/CT</w:t>
            </w:r>
          </w:p>
        </w:tc>
        <w:tc>
          <w:tcPr>
            <w:tcW w:w="730" w:type="pct"/>
            <w:gridSpan w:val="2"/>
          </w:tcPr>
          <w:p w14:paraId="53C7BC87" w14:textId="77777777" w:rsidR="00F71DD3" w:rsidRPr="00DB073B" w:rsidRDefault="00F71DD3" w:rsidP="00F71DD3">
            <w:pPr>
              <w:widowControl w:val="0"/>
              <w:spacing w:after="40"/>
              <w:jc w:val="center"/>
            </w:pPr>
            <w:r w:rsidRPr="00DB073B">
              <w:t>$1,803.29</w:t>
            </w:r>
          </w:p>
        </w:tc>
        <w:tc>
          <w:tcPr>
            <w:tcW w:w="730" w:type="pct"/>
            <w:gridSpan w:val="2"/>
            <w:tcBorders>
              <w:top w:val="nil"/>
              <w:bottom w:val="nil"/>
            </w:tcBorders>
          </w:tcPr>
          <w:p w14:paraId="309878C9" w14:textId="77777777" w:rsidR="00F71DD3" w:rsidRPr="00DB073B" w:rsidRDefault="00F71DD3" w:rsidP="00F71DD3">
            <w:pPr>
              <w:widowControl w:val="0"/>
              <w:spacing w:after="40"/>
              <w:jc w:val="center"/>
            </w:pPr>
          </w:p>
        </w:tc>
        <w:tc>
          <w:tcPr>
            <w:tcW w:w="730" w:type="pct"/>
            <w:gridSpan w:val="2"/>
          </w:tcPr>
          <w:p w14:paraId="645E8684" w14:textId="77777777" w:rsidR="00F71DD3" w:rsidRPr="00DB073B" w:rsidRDefault="00F71DD3" w:rsidP="00F71DD3">
            <w:pPr>
              <w:widowControl w:val="0"/>
              <w:spacing w:after="40"/>
              <w:jc w:val="center"/>
            </w:pPr>
            <w:r w:rsidRPr="00DB073B">
              <w:t>19%</w:t>
            </w:r>
          </w:p>
        </w:tc>
        <w:tc>
          <w:tcPr>
            <w:tcW w:w="730" w:type="pct"/>
            <w:gridSpan w:val="2"/>
            <w:tcBorders>
              <w:top w:val="nil"/>
              <w:bottom w:val="nil"/>
            </w:tcBorders>
          </w:tcPr>
          <w:p w14:paraId="195B6B72" w14:textId="77777777" w:rsidR="00F71DD3" w:rsidRPr="00DB073B" w:rsidRDefault="00F71DD3" w:rsidP="00F71DD3">
            <w:pPr>
              <w:widowControl w:val="0"/>
              <w:spacing w:after="40"/>
              <w:jc w:val="center"/>
            </w:pPr>
          </w:p>
        </w:tc>
        <w:tc>
          <w:tcPr>
            <w:tcW w:w="753" w:type="pct"/>
            <w:gridSpan w:val="2"/>
            <w:tcBorders>
              <w:top w:val="nil"/>
              <w:bottom w:val="nil"/>
            </w:tcBorders>
          </w:tcPr>
          <w:p w14:paraId="6335A0B2" w14:textId="77777777" w:rsidR="00F71DD3" w:rsidRPr="00DB073B" w:rsidRDefault="00F71DD3" w:rsidP="00F71DD3">
            <w:pPr>
              <w:widowControl w:val="0"/>
              <w:spacing w:after="40"/>
              <w:jc w:val="center"/>
            </w:pPr>
          </w:p>
        </w:tc>
      </w:tr>
      <w:tr w:rsidR="00F71DD3" w:rsidRPr="00DB073B" w14:paraId="6FE26E17" w14:textId="77777777" w:rsidTr="00F71DD3">
        <w:tc>
          <w:tcPr>
            <w:tcW w:w="1328" w:type="pct"/>
          </w:tcPr>
          <w:p w14:paraId="349CFD63" w14:textId="77777777" w:rsidR="00F71DD3" w:rsidRPr="00DB073B" w:rsidRDefault="00F71DD3" w:rsidP="00F71DD3">
            <w:pPr>
              <w:widowControl w:val="0"/>
              <w:spacing w:after="40"/>
            </w:pPr>
            <w:r w:rsidRPr="00DB073B">
              <w:t>No imaging</w:t>
            </w:r>
          </w:p>
        </w:tc>
        <w:tc>
          <w:tcPr>
            <w:tcW w:w="730" w:type="pct"/>
            <w:gridSpan w:val="2"/>
          </w:tcPr>
          <w:p w14:paraId="05B18F97" w14:textId="77777777" w:rsidR="00F71DD3" w:rsidRPr="00DB073B" w:rsidRDefault="00F71DD3" w:rsidP="00F71DD3">
            <w:pPr>
              <w:widowControl w:val="0"/>
              <w:spacing w:after="40"/>
              <w:jc w:val="center"/>
            </w:pPr>
            <w:r w:rsidRPr="00DB073B">
              <w:t>$0.00</w:t>
            </w:r>
          </w:p>
        </w:tc>
        <w:tc>
          <w:tcPr>
            <w:tcW w:w="730" w:type="pct"/>
            <w:gridSpan w:val="2"/>
            <w:tcBorders>
              <w:top w:val="nil"/>
              <w:bottom w:val="nil"/>
            </w:tcBorders>
          </w:tcPr>
          <w:p w14:paraId="07DE586B" w14:textId="77777777" w:rsidR="00F71DD3" w:rsidRPr="00DB073B" w:rsidRDefault="00F71DD3" w:rsidP="00F71DD3">
            <w:pPr>
              <w:widowControl w:val="0"/>
              <w:spacing w:after="40"/>
              <w:jc w:val="center"/>
            </w:pPr>
            <w:r w:rsidRPr="00DB073B">
              <w:t>$1,803.29</w:t>
            </w:r>
          </w:p>
        </w:tc>
        <w:tc>
          <w:tcPr>
            <w:tcW w:w="730" w:type="pct"/>
            <w:gridSpan w:val="2"/>
          </w:tcPr>
          <w:p w14:paraId="77F2BC10" w14:textId="77777777" w:rsidR="00F71DD3" w:rsidRPr="00DB073B" w:rsidRDefault="00F71DD3" w:rsidP="00F71DD3">
            <w:pPr>
              <w:widowControl w:val="0"/>
              <w:spacing w:after="40"/>
              <w:jc w:val="center"/>
            </w:pPr>
            <w:r w:rsidRPr="00DB073B">
              <w:t>0%</w:t>
            </w:r>
          </w:p>
        </w:tc>
        <w:tc>
          <w:tcPr>
            <w:tcW w:w="730" w:type="pct"/>
            <w:gridSpan w:val="2"/>
            <w:tcBorders>
              <w:top w:val="nil"/>
              <w:bottom w:val="nil"/>
            </w:tcBorders>
          </w:tcPr>
          <w:p w14:paraId="36259EAF" w14:textId="77777777" w:rsidR="00F71DD3" w:rsidRPr="00DB073B" w:rsidRDefault="00F71DD3" w:rsidP="00F71DD3">
            <w:pPr>
              <w:widowControl w:val="0"/>
              <w:spacing w:after="40"/>
              <w:jc w:val="center"/>
            </w:pPr>
            <w:r w:rsidRPr="00DB073B">
              <w:t>19%</w:t>
            </w:r>
          </w:p>
        </w:tc>
        <w:tc>
          <w:tcPr>
            <w:tcW w:w="753" w:type="pct"/>
            <w:gridSpan w:val="2"/>
            <w:tcBorders>
              <w:top w:val="nil"/>
              <w:bottom w:val="nil"/>
            </w:tcBorders>
          </w:tcPr>
          <w:p w14:paraId="5C457691" w14:textId="77777777" w:rsidR="00F71DD3" w:rsidRPr="00DB073B" w:rsidRDefault="00F71DD3" w:rsidP="00F71DD3">
            <w:pPr>
              <w:widowControl w:val="0"/>
              <w:spacing w:after="40"/>
              <w:jc w:val="center"/>
            </w:pPr>
            <w:r w:rsidRPr="00DB073B">
              <w:t>$9,563.23</w:t>
            </w:r>
          </w:p>
        </w:tc>
      </w:tr>
      <w:tr w:rsidR="00F71DD3" w:rsidRPr="00DB073B" w14:paraId="514216E6" w14:textId="77777777" w:rsidTr="00F71DD3">
        <w:tc>
          <w:tcPr>
            <w:tcW w:w="1328" w:type="pct"/>
          </w:tcPr>
          <w:p w14:paraId="5CA66B41" w14:textId="2710067C" w:rsidR="00F71DD3" w:rsidRPr="00F46CBE" w:rsidRDefault="00F71DD3" w:rsidP="00F71DD3">
            <w:pPr>
              <w:widowControl w:val="0"/>
              <w:spacing w:after="40"/>
              <w:rPr>
                <w:b/>
              </w:rPr>
            </w:pPr>
            <w:r w:rsidRPr="00F46CBE">
              <w:rPr>
                <w:b/>
              </w:rPr>
              <w:t>Weighted</w:t>
            </w:r>
            <w:r w:rsidRPr="00F46CBE">
              <w:rPr>
                <w:b/>
                <w:bCs/>
              </w:rPr>
              <w:t xml:space="preserve"> (PSA </w:t>
            </w:r>
            <w:r w:rsidR="005D77C0" w:rsidRPr="005D77C0">
              <w:rPr>
                <w:b/>
                <w:bCs/>
              </w:rPr>
              <w:sym w:font="Symbol" w:char="F0B3"/>
            </w:r>
            <w:r w:rsidRPr="00F46CBE">
              <w:rPr>
                <w:b/>
                <w:bCs/>
              </w:rPr>
              <w:t>1.0</w:t>
            </w:r>
            <w:r w:rsidR="000E020B">
              <w:rPr>
                <w:b/>
                <w:bCs/>
              </w:rPr>
              <w:t> </w:t>
            </w:r>
            <w:r w:rsidRPr="00F46CBE">
              <w:rPr>
                <w:b/>
                <w:bCs/>
              </w:rPr>
              <w:t>ng/ml and PSA &lt;1.0</w:t>
            </w:r>
            <w:r w:rsidR="008947B2">
              <w:rPr>
                <w:b/>
                <w:bCs/>
              </w:rPr>
              <w:t> </w:t>
            </w:r>
            <w:r w:rsidRPr="00F46CBE">
              <w:rPr>
                <w:b/>
                <w:bCs/>
              </w:rPr>
              <w:t>ng/ml)</w:t>
            </w:r>
          </w:p>
        </w:tc>
        <w:tc>
          <w:tcPr>
            <w:tcW w:w="730" w:type="pct"/>
            <w:gridSpan w:val="2"/>
          </w:tcPr>
          <w:p w14:paraId="776D830A" w14:textId="77777777" w:rsidR="00F71DD3" w:rsidRPr="00DB073B" w:rsidRDefault="00F71DD3" w:rsidP="00F71DD3">
            <w:pPr>
              <w:widowControl w:val="0"/>
              <w:spacing w:after="40"/>
              <w:jc w:val="center"/>
            </w:pPr>
            <w:r w:rsidRPr="00DB073B">
              <w:t>$1,180.29</w:t>
            </w:r>
          </w:p>
        </w:tc>
        <w:tc>
          <w:tcPr>
            <w:tcW w:w="730" w:type="pct"/>
            <w:gridSpan w:val="2"/>
            <w:tcBorders>
              <w:top w:val="nil"/>
              <w:bottom w:val="single" w:sz="4" w:space="0" w:color="auto"/>
            </w:tcBorders>
          </w:tcPr>
          <w:p w14:paraId="3F48FC16" w14:textId="77777777" w:rsidR="00F71DD3" w:rsidRPr="00DB073B" w:rsidRDefault="00F71DD3" w:rsidP="00F71DD3">
            <w:pPr>
              <w:widowControl w:val="0"/>
              <w:spacing w:after="40"/>
              <w:jc w:val="center"/>
            </w:pPr>
            <w:r w:rsidRPr="00DB073B">
              <w:t>$431.48</w:t>
            </w:r>
          </w:p>
        </w:tc>
        <w:tc>
          <w:tcPr>
            <w:tcW w:w="730" w:type="pct"/>
            <w:gridSpan w:val="2"/>
            <w:tcBorders>
              <w:bottom w:val="single" w:sz="4" w:space="0" w:color="auto"/>
            </w:tcBorders>
          </w:tcPr>
          <w:p w14:paraId="6DFBAFBB" w14:textId="77777777" w:rsidR="00F71DD3" w:rsidRPr="00DB073B" w:rsidRDefault="00F71DD3" w:rsidP="00F71DD3">
            <w:pPr>
              <w:widowControl w:val="0"/>
              <w:spacing w:after="40"/>
              <w:jc w:val="center"/>
            </w:pPr>
            <w:r w:rsidRPr="00DB073B">
              <w:t>21%</w:t>
            </w:r>
          </w:p>
        </w:tc>
        <w:tc>
          <w:tcPr>
            <w:tcW w:w="730" w:type="pct"/>
            <w:gridSpan w:val="2"/>
            <w:tcBorders>
              <w:top w:val="nil"/>
              <w:bottom w:val="single" w:sz="4" w:space="0" w:color="auto"/>
            </w:tcBorders>
          </w:tcPr>
          <w:p w14:paraId="6B918DAB" w14:textId="77777777" w:rsidR="00F71DD3" w:rsidRPr="00DB073B" w:rsidRDefault="00F71DD3" w:rsidP="00F71DD3">
            <w:pPr>
              <w:widowControl w:val="0"/>
              <w:spacing w:after="40"/>
              <w:jc w:val="center"/>
            </w:pPr>
            <w:r w:rsidRPr="00DB073B">
              <w:t>31%</w:t>
            </w:r>
          </w:p>
        </w:tc>
        <w:tc>
          <w:tcPr>
            <w:tcW w:w="753" w:type="pct"/>
            <w:gridSpan w:val="2"/>
            <w:tcBorders>
              <w:top w:val="nil"/>
              <w:bottom w:val="single" w:sz="4" w:space="0" w:color="auto"/>
            </w:tcBorders>
          </w:tcPr>
          <w:p w14:paraId="49F4D953" w14:textId="77777777" w:rsidR="00F71DD3" w:rsidRPr="00DB073B" w:rsidRDefault="00F71DD3" w:rsidP="00F71DD3">
            <w:pPr>
              <w:widowControl w:val="0"/>
              <w:spacing w:after="40"/>
              <w:jc w:val="center"/>
            </w:pPr>
            <w:r w:rsidRPr="00DB073B">
              <w:t>$1,386.03</w:t>
            </w:r>
          </w:p>
        </w:tc>
      </w:tr>
    </w:tbl>
    <w:p w14:paraId="6F7555E9" w14:textId="77777777" w:rsidR="00F71DD3" w:rsidRPr="007442A0" w:rsidRDefault="00F71DD3" w:rsidP="006F02E2">
      <w:pPr>
        <w:pStyle w:val="Tablenotes"/>
      </w:pPr>
      <w:r w:rsidRPr="00DE0297">
        <w:rPr>
          <w:b/>
        </w:rPr>
        <w:t>Abbreviations</w:t>
      </w:r>
      <w:r w:rsidRPr="007442A0">
        <w:t xml:space="preserve">: CT = computed tomography; ICER = </w:t>
      </w:r>
      <w:r>
        <w:t>i</w:t>
      </w:r>
      <w:r w:rsidRPr="007442A0">
        <w:t xml:space="preserve">ncremental </w:t>
      </w:r>
      <w:r>
        <w:t>c</w:t>
      </w:r>
      <w:r w:rsidRPr="007442A0">
        <w:t>ost-</w:t>
      </w:r>
      <w:r>
        <w:t>e</w:t>
      </w:r>
      <w:r w:rsidRPr="007442A0">
        <w:t xml:space="preserve">ffectiveness </w:t>
      </w:r>
      <w:r>
        <w:t>r</w:t>
      </w:r>
      <w:r w:rsidRPr="007442A0">
        <w:t>atio; PET = positron emission tomography; PSA = prostate specific antigen; PSMA = prostate-specific membrane antigen.</w:t>
      </w:r>
    </w:p>
    <w:p w14:paraId="4F0712A9" w14:textId="1E9B7560" w:rsidR="00AE45BE" w:rsidRPr="007D45E4" w:rsidRDefault="00F71DD3" w:rsidP="007D45E4">
      <w:pPr>
        <w:pStyle w:val="Tablenotes"/>
        <w:rPr>
          <w:szCs w:val="18"/>
        </w:rPr>
      </w:pPr>
      <w:r w:rsidRPr="00DE0297">
        <w:rPr>
          <w:b/>
          <w:lang w:val="en-GB"/>
        </w:rPr>
        <w:t>S</w:t>
      </w:r>
      <w:r w:rsidRPr="006B33FF">
        <w:rPr>
          <w:b/>
          <w:lang w:val="en-GB"/>
        </w:rPr>
        <w:t>ource</w:t>
      </w:r>
      <w:r w:rsidRPr="007442A0">
        <w:rPr>
          <w:lang w:val="en-GB"/>
        </w:rPr>
        <w:t>: MSAC ADAR 1632 Table D22 p.256</w:t>
      </w:r>
      <w:r w:rsidRPr="00F46CBE">
        <w:rPr>
          <w:lang w:val="en-GB"/>
        </w:rPr>
        <w:t>.</w:t>
      </w:r>
    </w:p>
    <w:p w14:paraId="7CCBDF00" w14:textId="71D976DB" w:rsidR="00AE45BE" w:rsidRPr="00AE45BE" w:rsidRDefault="00AE45BE" w:rsidP="00AE45BE">
      <w:pPr>
        <w:pStyle w:val="Heading2"/>
      </w:pPr>
      <w:r>
        <w:t>Cost-utility analys</w:t>
      </w:r>
      <w:r w:rsidR="00F71DD3">
        <w:t>i</w:t>
      </w:r>
      <w:r>
        <w:t>s</w:t>
      </w:r>
    </w:p>
    <w:p w14:paraId="7E154801" w14:textId="4F7232B6" w:rsidR="009B2ECD" w:rsidRDefault="00942750" w:rsidP="00942750">
      <w:r w:rsidRPr="00942750">
        <w:t xml:space="preserve">The overall costs and effectiveness, and incremental costs and effectiveness with resulting ICERs, are displayed in </w:t>
      </w:r>
      <w:r>
        <w:t>Table 15</w:t>
      </w:r>
      <w:r w:rsidRPr="00942750">
        <w:t>.</w:t>
      </w:r>
      <w:r>
        <w:rPr>
          <w:i/>
          <w:iCs/>
        </w:rPr>
        <w:t xml:space="preserve"> </w:t>
      </w:r>
      <w:r>
        <w:rPr>
          <w:iCs/>
        </w:rPr>
        <w:t>Consistent with the CEA</w:t>
      </w:r>
      <w:r>
        <w:t xml:space="preserve">, the same weighting is used from </w:t>
      </w:r>
      <w:proofErr w:type="spellStart"/>
      <w:r>
        <w:t>Fendler</w:t>
      </w:r>
      <w:proofErr w:type="spellEnd"/>
      <w:r>
        <w:t xml:space="preserve"> et al. (2019) to estimate</w:t>
      </w:r>
      <w:r w:rsidR="009B2ECD">
        <w:t xml:space="preserve"> </w:t>
      </w:r>
      <w:r>
        <w:t xml:space="preserve">a </w:t>
      </w:r>
      <w:r w:rsidR="009B2ECD" w:rsidRPr="00384F61">
        <w:t>weighted cost</w:t>
      </w:r>
      <w:r w:rsidR="009B2ECD">
        <w:t xml:space="preserve"> per </w:t>
      </w:r>
      <w:r w:rsidR="009B2ECD" w:rsidRPr="00384F61">
        <w:t>quality</w:t>
      </w:r>
      <w:r w:rsidR="009B2ECD">
        <w:t>-</w:t>
      </w:r>
      <w:r w:rsidR="009B2ECD" w:rsidRPr="00384F61">
        <w:t>adjusted life year (QALY)</w:t>
      </w:r>
      <w:r>
        <w:t>.</w:t>
      </w:r>
    </w:p>
    <w:p w14:paraId="5B2706EB" w14:textId="370BE5DF" w:rsidR="00AE45BE" w:rsidRDefault="00AE45BE" w:rsidP="007D45E4">
      <w:pPr>
        <w:pStyle w:val="Caption"/>
        <w:spacing w:before="240"/>
      </w:pPr>
      <w:bookmarkStart w:id="50" w:name="_Ref71097079"/>
      <w:bookmarkStart w:id="51" w:name="_Toc71729656"/>
      <w:r>
        <w:t xml:space="preserve">Table </w:t>
      </w:r>
      <w:bookmarkEnd w:id="50"/>
      <w:r w:rsidR="00942750">
        <w:t>15</w:t>
      </w:r>
      <w:r w:rsidR="00896027">
        <w:tab/>
      </w:r>
      <w:r>
        <w:t xml:space="preserve">Base case incremental costs, effectiveness and ICERs: </w:t>
      </w:r>
      <w:r w:rsidR="003E585F">
        <w:t>both p</w:t>
      </w:r>
      <w:r>
        <w:t>opulation</w:t>
      </w:r>
      <w:r w:rsidR="003E585F">
        <w:t>s</w:t>
      </w:r>
      <w:bookmarkEnd w:id="51"/>
    </w:p>
    <w:tbl>
      <w:tblPr>
        <w:tblStyle w:val="TableGrid126"/>
        <w:tblW w:w="5000" w:type="pct"/>
        <w:tblLook w:val="04A0" w:firstRow="1" w:lastRow="0" w:firstColumn="1" w:lastColumn="0" w:noHBand="0" w:noVBand="1"/>
        <w:tblCaption w:val="Incremental costs and effectiveness"/>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690"/>
        <w:gridCol w:w="1024"/>
        <w:gridCol w:w="1316"/>
        <w:gridCol w:w="1316"/>
        <w:gridCol w:w="1318"/>
        <w:gridCol w:w="1352"/>
      </w:tblGrid>
      <w:tr w:rsidR="00AE45BE" w:rsidRPr="00674935" w14:paraId="0F409188" w14:textId="77777777" w:rsidTr="00AD1934">
        <w:trPr>
          <w:cnfStyle w:val="100000000000" w:firstRow="1" w:lastRow="0" w:firstColumn="0" w:lastColumn="0" w:oddVBand="0" w:evenVBand="0" w:oddHBand="0" w:evenHBand="0" w:firstRowFirstColumn="0" w:firstRowLastColumn="0" w:lastRowFirstColumn="0" w:lastRowLastColumn="0"/>
          <w:tblHeader/>
        </w:trPr>
        <w:tc>
          <w:tcPr>
            <w:tcW w:w="1491" w:type="pct"/>
          </w:tcPr>
          <w:p w14:paraId="03415D8F" w14:textId="77777777" w:rsidR="00AE45BE" w:rsidRPr="00674935" w:rsidRDefault="00AE45BE" w:rsidP="00F71DD3">
            <w:pPr>
              <w:widowControl w:val="0"/>
              <w:spacing w:after="40"/>
              <w:rPr>
                <w:rFonts w:ascii="Arial Narrow" w:hAnsi="Arial Narrow"/>
                <w:b/>
              </w:rPr>
            </w:pPr>
          </w:p>
        </w:tc>
        <w:tc>
          <w:tcPr>
            <w:tcW w:w="568" w:type="pct"/>
          </w:tcPr>
          <w:p w14:paraId="7DAEF7E9" w14:textId="77777777" w:rsidR="00AE45BE" w:rsidRPr="00674935" w:rsidRDefault="00AE45BE" w:rsidP="00F71DD3">
            <w:pPr>
              <w:widowControl w:val="0"/>
              <w:spacing w:after="40"/>
              <w:jc w:val="center"/>
              <w:rPr>
                <w:rFonts w:ascii="Arial Narrow" w:hAnsi="Arial Narrow"/>
                <w:b/>
              </w:rPr>
            </w:pPr>
            <w:r w:rsidRPr="00674935">
              <w:rPr>
                <w:rFonts w:ascii="Arial Narrow" w:hAnsi="Arial Narrow"/>
                <w:b/>
              </w:rPr>
              <w:t>Cost</w:t>
            </w:r>
          </w:p>
        </w:tc>
        <w:tc>
          <w:tcPr>
            <w:tcW w:w="730" w:type="pct"/>
          </w:tcPr>
          <w:p w14:paraId="3C6991FE" w14:textId="77777777" w:rsidR="00AE45BE" w:rsidRPr="00674935" w:rsidRDefault="00AE45BE" w:rsidP="00F71DD3">
            <w:pPr>
              <w:widowControl w:val="0"/>
              <w:spacing w:after="40"/>
              <w:jc w:val="center"/>
              <w:rPr>
                <w:rFonts w:ascii="Arial Narrow" w:hAnsi="Arial Narrow"/>
                <w:b/>
              </w:rPr>
            </w:pPr>
            <w:r w:rsidRPr="00674935">
              <w:rPr>
                <w:rFonts w:ascii="Arial Narrow" w:hAnsi="Arial Narrow"/>
                <w:b/>
              </w:rPr>
              <w:t>Incremental cost</w:t>
            </w:r>
          </w:p>
        </w:tc>
        <w:tc>
          <w:tcPr>
            <w:tcW w:w="730" w:type="pct"/>
          </w:tcPr>
          <w:p w14:paraId="3912A0DB" w14:textId="77777777" w:rsidR="00AE45BE" w:rsidRPr="00674935" w:rsidRDefault="00AE45BE" w:rsidP="00F71DD3">
            <w:pPr>
              <w:widowControl w:val="0"/>
              <w:spacing w:after="40"/>
              <w:jc w:val="center"/>
              <w:rPr>
                <w:rFonts w:ascii="Arial Narrow" w:hAnsi="Arial Narrow"/>
                <w:b/>
              </w:rPr>
            </w:pPr>
            <w:r w:rsidRPr="00674935">
              <w:rPr>
                <w:rFonts w:ascii="Arial Narrow" w:hAnsi="Arial Narrow"/>
                <w:b/>
              </w:rPr>
              <w:t>Effectiveness (QALYs)</w:t>
            </w:r>
          </w:p>
        </w:tc>
        <w:tc>
          <w:tcPr>
            <w:tcW w:w="731" w:type="pct"/>
          </w:tcPr>
          <w:p w14:paraId="1AB1B466" w14:textId="77777777" w:rsidR="00AE45BE" w:rsidRPr="00674935" w:rsidRDefault="00AE45BE" w:rsidP="00F71DD3">
            <w:pPr>
              <w:widowControl w:val="0"/>
              <w:spacing w:after="40"/>
              <w:jc w:val="center"/>
              <w:rPr>
                <w:rFonts w:ascii="Arial Narrow" w:hAnsi="Arial Narrow"/>
                <w:b/>
              </w:rPr>
            </w:pPr>
            <w:r w:rsidRPr="00674935">
              <w:rPr>
                <w:rFonts w:ascii="Arial Narrow" w:hAnsi="Arial Narrow"/>
                <w:b/>
              </w:rPr>
              <w:t>Incremental effectiveness</w:t>
            </w:r>
          </w:p>
        </w:tc>
        <w:tc>
          <w:tcPr>
            <w:tcW w:w="750" w:type="pct"/>
          </w:tcPr>
          <w:p w14:paraId="2E62616E" w14:textId="77777777" w:rsidR="00AE45BE" w:rsidRPr="00674935" w:rsidRDefault="00AE45BE" w:rsidP="00F71DD3">
            <w:pPr>
              <w:widowControl w:val="0"/>
              <w:spacing w:after="40"/>
              <w:jc w:val="center"/>
              <w:rPr>
                <w:rFonts w:ascii="Arial Narrow" w:hAnsi="Arial Narrow"/>
                <w:b/>
              </w:rPr>
            </w:pPr>
            <w:r w:rsidRPr="00674935">
              <w:rPr>
                <w:rFonts w:ascii="Arial Narrow" w:hAnsi="Arial Narrow"/>
                <w:b/>
              </w:rPr>
              <w:t>ICER</w:t>
            </w:r>
          </w:p>
        </w:tc>
      </w:tr>
      <w:tr w:rsidR="00AE45BE" w:rsidRPr="00674935" w14:paraId="238BD376" w14:textId="77777777" w:rsidTr="00AD1934">
        <w:tc>
          <w:tcPr>
            <w:tcW w:w="1491" w:type="pct"/>
            <w:tcBorders>
              <w:right w:val="nil"/>
            </w:tcBorders>
          </w:tcPr>
          <w:p w14:paraId="3B1BB658" w14:textId="12F3B9EF" w:rsidR="00AE45BE" w:rsidRPr="00674935" w:rsidRDefault="00AE45BE" w:rsidP="00F71DD3">
            <w:pPr>
              <w:widowControl w:val="0"/>
              <w:spacing w:after="40"/>
              <w:rPr>
                <w:b/>
              </w:rPr>
            </w:pPr>
            <w:r w:rsidRPr="00674935">
              <w:rPr>
                <w:b/>
              </w:rPr>
              <w:t>P</w:t>
            </w:r>
            <w:r w:rsidR="00AD1934">
              <w:rPr>
                <w:b/>
              </w:rPr>
              <w:t>rimary staging</w:t>
            </w:r>
          </w:p>
        </w:tc>
        <w:tc>
          <w:tcPr>
            <w:tcW w:w="568" w:type="pct"/>
            <w:tcBorders>
              <w:left w:val="nil"/>
              <w:right w:val="nil"/>
            </w:tcBorders>
          </w:tcPr>
          <w:p w14:paraId="312F20B1" w14:textId="77777777" w:rsidR="00AE45BE" w:rsidRPr="00674935" w:rsidRDefault="00AE45BE" w:rsidP="00F71DD3">
            <w:pPr>
              <w:widowControl w:val="0"/>
              <w:spacing w:after="40"/>
              <w:jc w:val="center"/>
            </w:pPr>
          </w:p>
        </w:tc>
        <w:tc>
          <w:tcPr>
            <w:tcW w:w="730" w:type="pct"/>
            <w:tcBorders>
              <w:left w:val="nil"/>
              <w:right w:val="nil"/>
            </w:tcBorders>
          </w:tcPr>
          <w:p w14:paraId="7805EE27" w14:textId="77777777" w:rsidR="00AE45BE" w:rsidRPr="00674935" w:rsidRDefault="00AE45BE" w:rsidP="00F71DD3">
            <w:pPr>
              <w:widowControl w:val="0"/>
              <w:spacing w:after="40"/>
              <w:jc w:val="center"/>
            </w:pPr>
          </w:p>
        </w:tc>
        <w:tc>
          <w:tcPr>
            <w:tcW w:w="730" w:type="pct"/>
            <w:tcBorders>
              <w:left w:val="nil"/>
              <w:right w:val="nil"/>
            </w:tcBorders>
          </w:tcPr>
          <w:p w14:paraId="168E55CB" w14:textId="77777777" w:rsidR="00AE45BE" w:rsidRPr="00674935" w:rsidRDefault="00AE45BE" w:rsidP="00F71DD3">
            <w:pPr>
              <w:widowControl w:val="0"/>
              <w:spacing w:after="40"/>
              <w:jc w:val="center"/>
            </w:pPr>
          </w:p>
        </w:tc>
        <w:tc>
          <w:tcPr>
            <w:tcW w:w="731" w:type="pct"/>
            <w:tcBorders>
              <w:left w:val="nil"/>
              <w:right w:val="nil"/>
            </w:tcBorders>
          </w:tcPr>
          <w:p w14:paraId="6D7DF787" w14:textId="77777777" w:rsidR="00AE45BE" w:rsidRPr="00674935" w:rsidRDefault="00AE45BE" w:rsidP="00F71DD3">
            <w:pPr>
              <w:widowControl w:val="0"/>
              <w:spacing w:after="40"/>
              <w:jc w:val="center"/>
            </w:pPr>
          </w:p>
        </w:tc>
        <w:tc>
          <w:tcPr>
            <w:tcW w:w="750" w:type="pct"/>
            <w:tcBorders>
              <w:left w:val="nil"/>
            </w:tcBorders>
          </w:tcPr>
          <w:p w14:paraId="148DEB62" w14:textId="77777777" w:rsidR="00AE45BE" w:rsidRPr="00674935" w:rsidRDefault="00AE45BE" w:rsidP="00F71DD3">
            <w:pPr>
              <w:widowControl w:val="0"/>
              <w:spacing w:after="40"/>
              <w:jc w:val="center"/>
            </w:pPr>
          </w:p>
        </w:tc>
      </w:tr>
      <w:tr w:rsidR="00AE45BE" w:rsidRPr="00674935" w14:paraId="297FFB36" w14:textId="77777777" w:rsidTr="00AD1934">
        <w:tc>
          <w:tcPr>
            <w:tcW w:w="1491" w:type="pct"/>
          </w:tcPr>
          <w:p w14:paraId="463C2CEF" w14:textId="77777777" w:rsidR="00AE45BE" w:rsidRPr="00674935" w:rsidRDefault="00AE45BE" w:rsidP="00F71DD3">
            <w:pPr>
              <w:widowControl w:val="0"/>
              <w:spacing w:after="40"/>
            </w:pPr>
            <w:r w:rsidRPr="00674935">
              <w:t>PSMA PET/CT</w:t>
            </w:r>
          </w:p>
        </w:tc>
        <w:tc>
          <w:tcPr>
            <w:tcW w:w="568" w:type="pct"/>
          </w:tcPr>
          <w:p w14:paraId="0D94A937" w14:textId="77777777" w:rsidR="00AE45BE" w:rsidRPr="00674935" w:rsidRDefault="00AE45BE" w:rsidP="00F71DD3">
            <w:pPr>
              <w:widowControl w:val="0"/>
              <w:spacing w:after="40"/>
              <w:jc w:val="center"/>
            </w:pPr>
            <w:r w:rsidRPr="00674935">
              <w:t>$37,746</w:t>
            </w:r>
          </w:p>
        </w:tc>
        <w:tc>
          <w:tcPr>
            <w:tcW w:w="730" w:type="pct"/>
            <w:tcBorders>
              <w:top w:val="nil"/>
              <w:bottom w:val="nil"/>
            </w:tcBorders>
          </w:tcPr>
          <w:p w14:paraId="1B2C5509" w14:textId="77777777" w:rsidR="00AE45BE" w:rsidRPr="00674935" w:rsidRDefault="00AE45BE" w:rsidP="00F71DD3">
            <w:pPr>
              <w:widowControl w:val="0"/>
              <w:spacing w:after="40"/>
              <w:jc w:val="center"/>
            </w:pPr>
          </w:p>
        </w:tc>
        <w:tc>
          <w:tcPr>
            <w:tcW w:w="730" w:type="pct"/>
          </w:tcPr>
          <w:p w14:paraId="0EC6FAA3" w14:textId="77777777" w:rsidR="00AE45BE" w:rsidRPr="00674935" w:rsidRDefault="00AE45BE" w:rsidP="00F71DD3">
            <w:pPr>
              <w:widowControl w:val="0"/>
              <w:spacing w:after="40"/>
              <w:jc w:val="center"/>
            </w:pPr>
            <w:r w:rsidRPr="00674935">
              <w:t>4.49</w:t>
            </w:r>
          </w:p>
        </w:tc>
        <w:tc>
          <w:tcPr>
            <w:tcW w:w="731" w:type="pct"/>
            <w:tcBorders>
              <w:top w:val="nil"/>
              <w:bottom w:val="nil"/>
            </w:tcBorders>
          </w:tcPr>
          <w:p w14:paraId="0289F3D2" w14:textId="77777777" w:rsidR="00AE45BE" w:rsidRPr="00674935" w:rsidRDefault="00AE45BE" w:rsidP="00F71DD3">
            <w:pPr>
              <w:widowControl w:val="0"/>
              <w:spacing w:after="40"/>
              <w:jc w:val="center"/>
            </w:pPr>
          </w:p>
        </w:tc>
        <w:tc>
          <w:tcPr>
            <w:tcW w:w="750" w:type="pct"/>
            <w:tcBorders>
              <w:top w:val="nil"/>
              <w:bottom w:val="nil"/>
            </w:tcBorders>
          </w:tcPr>
          <w:p w14:paraId="015B6009" w14:textId="77777777" w:rsidR="00AE45BE" w:rsidRPr="00674935" w:rsidRDefault="00AE45BE" w:rsidP="00F71DD3">
            <w:pPr>
              <w:widowControl w:val="0"/>
              <w:spacing w:after="40"/>
              <w:jc w:val="center"/>
            </w:pPr>
          </w:p>
        </w:tc>
      </w:tr>
      <w:tr w:rsidR="00AE45BE" w:rsidRPr="00674935" w14:paraId="15C1E910" w14:textId="77777777" w:rsidTr="00AD1934">
        <w:tc>
          <w:tcPr>
            <w:tcW w:w="1491" w:type="pct"/>
          </w:tcPr>
          <w:p w14:paraId="2DD50B19" w14:textId="77777777" w:rsidR="00AE45BE" w:rsidRPr="00674935" w:rsidRDefault="00AE45BE" w:rsidP="00F71DD3">
            <w:pPr>
              <w:widowControl w:val="0"/>
              <w:spacing w:after="40"/>
            </w:pPr>
            <w:r w:rsidRPr="00674935">
              <w:t>Conventional imaging</w:t>
            </w:r>
          </w:p>
        </w:tc>
        <w:tc>
          <w:tcPr>
            <w:tcW w:w="568" w:type="pct"/>
          </w:tcPr>
          <w:p w14:paraId="61178586" w14:textId="77777777" w:rsidR="00AE45BE" w:rsidRPr="00674935" w:rsidRDefault="00AE45BE" w:rsidP="00F71DD3">
            <w:pPr>
              <w:widowControl w:val="0"/>
              <w:spacing w:after="40"/>
              <w:jc w:val="center"/>
            </w:pPr>
            <w:r w:rsidRPr="00674935">
              <w:t>$38,057</w:t>
            </w:r>
          </w:p>
        </w:tc>
        <w:tc>
          <w:tcPr>
            <w:tcW w:w="730" w:type="pct"/>
            <w:tcBorders>
              <w:top w:val="nil"/>
              <w:bottom w:val="nil"/>
            </w:tcBorders>
          </w:tcPr>
          <w:p w14:paraId="5E6A5A27" w14:textId="77777777" w:rsidR="00AE45BE" w:rsidRPr="00674935" w:rsidRDefault="00AE45BE" w:rsidP="00F71DD3">
            <w:pPr>
              <w:widowControl w:val="0"/>
              <w:spacing w:after="40"/>
              <w:jc w:val="center"/>
            </w:pPr>
            <w:r w:rsidRPr="00674935">
              <w:t>-$312</w:t>
            </w:r>
          </w:p>
        </w:tc>
        <w:tc>
          <w:tcPr>
            <w:tcW w:w="730" w:type="pct"/>
          </w:tcPr>
          <w:p w14:paraId="3111850D" w14:textId="77777777" w:rsidR="00AE45BE" w:rsidRPr="00674935" w:rsidRDefault="00AE45BE" w:rsidP="00F71DD3">
            <w:pPr>
              <w:widowControl w:val="0"/>
              <w:spacing w:after="40"/>
              <w:jc w:val="center"/>
            </w:pPr>
            <w:r w:rsidRPr="00674935">
              <w:t>4.39</w:t>
            </w:r>
          </w:p>
        </w:tc>
        <w:tc>
          <w:tcPr>
            <w:tcW w:w="731" w:type="pct"/>
            <w:tcBorders>
              <w:top w:val="nil"/>
              <w:bottom w:val="nil"/>
            </w:tcBorders>
          </w:tcPr>
          <w:p w14:paraId="082A195F" w14:textId="77777777" w:rsidR="00AE45BE" w:rsidRPr="00674935" w:rsidRDefault="00AE45BE" w:rsidP="00F71DD3">
            <w:pPr>
              <w:widowControl w:val="0"/>
              <w:spacing w:after="40"/>
              <w:jc w:val="center"/>
            </w:pPr>
            <w:r w:rsidRPr="00674935">
              <w:t>0.11</w:t>
            </w:r>
          </w:p>
        </w:tc>
        <w:tc>
          <w:tcPr>
            <w:tcW w:w="750" w:type="pct"/>
            <w:tcBorders>
              <w:top w:val="nil"/>
              <w:bottom w:val="nil"/>
            </w:tcBorders>
          </w:tcPr>
          <w:p w14:paraId="521BF63A" w14:textId="77777777" w:rsidR="00AE45BE" w:rsidRPr="00467542" w:rsidRDefault="00AE45BE" w:rsidP="00F71DD3">
            <w:pPr>
              <w:widowControl w:val="0"/>
              <w:spacing w:after="40"/>
              <w:jc w:val="center"/>
              <w:rPr>
                <w:i/>
                <w:iCs/>
              </w:rPr>
            </w:pPr>
            <w:r w:rsidRPr="00467542">
              <w:t>Dominant</w:t>
            </w:r>
          </w:p>
        </w:tc>
      </w:tr>
      <w:tr w:rsidR="00AE45BE" w:rsidRPr="00674935" w14:paraId="55578970" w14:textId="77777777" w:rsidTr="00AD1934">
        <w:tc>
          <w:tcPr>
            <w:tcW w:w="1491" w:type="pct"/>
            <w:tcBorders>
              <w:right w:val="nil"/>
            </w:tcBorders>
          </w:tcPr>
          <w:p w14:paraId="4B16C40F" w14:textId="41491E0A" w:rsidR="00AE45BE" w:rsidRPr="00674935" w:rsidRDefault="00AD1934" w:rsidP="00F71DD3">
            <w:pPr>
              <w:widowControl w:val="0"/>
              <w:spacing w:after="40"/>
              <w:rPr>
                <w:b/>
                <w:bCs/>
              </w:rPr>
            </w:pPr>
            <w:r>
              <w:rPr>
                <w:b/>
                <w:bCs/>
              </w:rPr>
              <w:t>Restaging</w:t>
            </w:r>
          </w:p>
        </w:tc>
        <w:tc>
          <w:tcPr>
            <w:tcW w:w="568" w:type="pct"/>
            <w:tcBorders>
              <w:left w:val="nil"/>
              <w:right w:val="nil"/>
            </w:tcBorders>
          </w:tcPr>
          <w:p w14:paraId="436C4499" w14:textId="77777777" w:rsidR="00AE45BE" w:rsidRPr="00674935" w:rsidRDefault="00AE45BE" w:rsidP="00F71DD3">
            <w:pPr>
              <w:widowControl w:val="0"/>
              <w:spacing w:after="40"/>
              <w:jc w:val="center"/>
            </w:pPr>
          </w:p>
        </w:tc>
        <w:tc>
          <w:tcPr>
            <w:tcW w:w="730" w:type="pct"/>
            <w:tcBorders>
              <w:left w:val="nil"/>
              <w:right w:val="nil"/>
            </w:tcBorders>
          </w:tcPr>
          <w:p w14:paraId="2B90708F" w14:textId="77777777" w:rsidR="00AE45BE" w:rsidRPr="00674935" w:rsidRDefault="00AE45BE" w:rsidP="00F71DD3">
            <w:pPr>
              <w:widowControl w:val="0"/>
              <w:spacing w:after="40"/>
              <w:jc w:val="center"/>
            </w:pPr>
          </w:p>
        </w:tc>
        <w:tc>
          <w:tcPr>
            <w:tcW w:w="730" w:type="pct"/>
            <w:tcBorders>
              <w:left w:val="nil"/>
              <w:right w:val="nil"/>
            </w:tcBorders>
          </w:tcPr>
          <w:p w14:paraId="5F3AE2A8" w14:textId="77777777" w:rsidR="00AE45BE" w:rsidRPr="00674935" w:rsidRDefault="00AE45BE" w:rsidP="00F71DD3">
            <w:pPr>
              <w:widowControl w:val="0"/>
              <w:spacing w:after="40"/>
              <w:jc w:val="center"/>
            </w:pPr>
          </w:p>
        </w:tc>
        <w:tc>
          <w:tcPr>
            <w:tcW w:w="731" w:type="pct"/>
            <w:tcBorders>
              <w:left w:val="nil"/>
              <w:right w:val="nil"/>
            </w:tcBorders>
          </w:tcPr>
          <w:p w14:paraId="71163686" w14:textId="77777777" w:rsidR="00AE45BE" w:rsidRPr="00674935" w:rsidRDefault="00AE45BE" w:rsidP="00F71DD3">
            <w:pPr>
              <w:widowControl w:val="0"/>
              <w:spacing w:after="40"/>
              <w:jc w:val="center"/>
            </w:pPr>
          </w:p>
        </w:tc>
        <w:tc>
          <w:tcPr>
            <w:tcW w:w="750" w:type="pct"/>
            <w:tcBorders>
              <w:left w:val="nil"/>
            </w:tcBorders>
          </w:tcPr>
          <w:p w14:paraId="7C36974E" w14:textId="77777777" w:rsidR="00AE45BE" w:rsidRPr="00674935" w:rsidRDefault="00AE45BE" w:rsidP="00F71DD3">
            <w:pPr>
              <w:widowControl w:val="0"/>
              <w:spacing w:after="40"/>
              <w:jc w:val="center"/>
            </w:pPr>
          </w:p>
        </w:tc>
      </w:tr>
      <w:tr w:rsidR="00AE45BE" w:rsidRPr="00674935" w14:paraId="028EEBE9" w14:textId="77777777" w:rsidTr="00AD1934">
        <w:tc>
          <w:tcPr>
            <w:tcW w:w="1491" w:type="pct"/>
            <w:tcBorders>
              <w:right w:val="nil"/>
            </w:tcBorders>
          </w:tcPr>
          <w:p w14:paraId="1A408281" w14:textId="167B29F9" w:rsidR="00AE45BE" w:rsidRPr="00674935" w:rsidRDefault="00AE45BE" w:rsidP="00F71DD3">
            <w:pPr>
              <w:widowControl w:val="0"/>
              <w:spacing w:after="40"/>
              <w:rPr>
                <w:b/>
                <w:bCs/>
              </w:rPr>
            </w:pPr>
            <w:r w:rsidRPr="00674935">
              <w:rPr>
                <w:b/>
                <w:bCs/>
              </w:rPr>
              <w:t xml:space="preserve">PSA </w:t>
            </w:r>
            <w:r w:rsidR="005D77C0" w:rsidRPr="005D77C0">
              <w:rPr>
                <w:b/>
                <w:bCs/>
              </w:rPr>
              <w:sym w:font="Symbol" w:char="F0B3"/>
            </w:r>
            <w:r w:rsidRPr="00674935">
              <w:rPr>
                <w:b/>
                <w:bCs/>
              </w:rPr>
              <w:t>1.0</w:t>
            </w:r>
            <w:r w:rsidR="008947B2">
              <w:rPr>
                <w:b/>
                <w:bCs/>
              </w:rPr>
              <w:t> </w:t>
            </w:r>
            <w:r w:rsidRPr="00F85545">
              <w:rPr>
                <w:b/>
                <w:bCs/>
              </w:rPr>
              <w:t>ng/ml</w:t>
            </w:r>
          </w:p>
        </w:tc>
        <w:tc>
          <w:tcPr>
            <w:tcW w:w="568" w:type="pct"/>
            <w:tcBorders>
              <w:left w:val="nil"/>
              <w:right w:val="nil"/>
            </w:tcBorders>
          </w:tcPr>
          <w:p w14:paraId="37DB4929" w14:textId="77777777" w:rsidR="00AE45BE" w:rsidRPr="00674935" w:rsidRDefault="00AE45BE" w:rsidP="00F71DD3">
            <w:pPr>
              <w:widowControl w:val="0"/>
              <w:spacing w:after="40"/>
              <w:jc w:val="center"/>
            </w:pPr>
          </w:p>
        </w:tc>
        <w:tc>
          <w:tcPr>
            <w:tcW w:w="730" w:type="pct"/>
            <w:tcBorders>
              <w:left w:val="nil"/>
              <w:right w:val="nil"/>
            </w:tcBorders>
          </w:tcPr>
          <w:p w14:paraId="72926982" w14:textId="77777777" w:rsidR="00AE45BE" w:rsidRPr="00674935" w:rsidRDefault="00AE45BE" w:rsidP="00F71DD3">
            <w:pPr>
              <w:widowControl w:val="0"/>
              <w:spacing w:after="40"/>
              <w:jc w:val="center"/>
            </w:pPr>
          </w:p>
        </w:tc>
        <w:tc>
          <w:tcPr>
            <w:tcW w:w="730" w:type="pct"/>
            <w:tcBorders>
              <w:left w:val="nil"/>
              <w:right w:val="nil"/>
            </w:tcBorders>
          </w:tcPr>
          <w:p w14:paraId="75E6823B" w14:textId="77777777" w:rsidR="00AE45BE" w:rsidRPr="00674935" w:rsidRDefault="00AE45BE" w:rsidP="00F71DD3">
            <w:pPr>
              <w:widowControl w:val="0"/>
              <w:spacing w:after="40"/>
              <w:jc w:val="center"/>
            </w:pPr>
          </w:p>
        </w:tc>
        <w:tc>
          <w:tcPr>
            <w:tcW w:w="731" w:type="pct"/>
            <w:tcBorders>
              <w:left w:val="nil"/>
              <w:right w:val="nil"/>
            </w:tcBorders>
          </w:tcPr>
          <w:p w14:paraId="271F01C1" w14:textId="77777777" w:rsidR="00AE45BE" w:rsidRPr="00674935" w:rsidRDefault="00AE45BE" w:rsidP="00F71DD3">
            <w:pPr>
              <w:widowControl w:val="0"/>
              <w:spacing w:after="40"/>
              <w:jc w:val="center"/>
            </w:pPr>
          </w:p>
        </w:tc>
        <w:tc>
          <w:tcPr>
            <w:tcW w:w="750" w:type="pct"/>
            <w:tcBorders>
              <w:left w:val="nil"/>
            </w:tcBorders>
          </w:tcPr>
          <w:p w14:paraId="6B930760" w14:textId="77777777" w:rsidR="00AE45BE" w:rsidRPr="00674935" w:rsidRDefault="00AE45BE" w:rsidP="00F71DD3">
            <w:pPr>
              <w:widowControl w:val="0"/>
              <w:spacing w:after="40"/>
              <w:jc w:val="center"/>
            </w:pPr>
          </w:p>
        </w:tc>
      </w:tr>
      <w:tr w:rsidR="00AE45BE" w:rsidRPr="00674935" w14:paraId="43D685AB" w14:textId="77777777" w:rsidTr="00AD1934">
        <w:tc>
          <w:tcPr>
            <w:tcW w:w="1491" w:type="pct"/>
          </w:tcPr>
          <w:p w14:paraId="3FFCEAD7" w14:textId="77777777" w:rsidR="00AE45BE" w:rsidRPr="00674935" w:rsidRDefault="00AE45BE" w:rsidP="00F71DD3">
            <w:pPr>
              <w:widowControl w:val="0"/>
              <w:spacing w:after="40"/>
            </w:pPr>
            <w:r w:rsidRPr="00674935">
              <w:t>PSMA PET/CT</w:t>
            </w:r>
          </w:p>
        </w:tc>
        <w:tc>
          <w:tcPr>
            <w:tcW w:w="568" w:type="pct"/>
          </w:tcPr>
          <w:p w14:paraId="64C9FF7D" w14:textId="77777777" w:rsidR="00AE45BE" w:rsidRPr="006B2CE8" w:rsidRDefault="00AE45BE" w:rsidP="00F71DD3">
            <w:pPr>
              <w:widowControl w:val="0"/>
              <w:spacing w:after="40"/>
              <w:jc w:val="center"/>
            </w:pPr>
            <w:r w:rsidRPr="006B2CE8">
              <w:t>$46,154</w:t>
            </w:r>
          </w:p>
          <w:p w14:paraId="345B56E5" w14:textId="77777777" w:rsidR="00AE45BE" w:rsidRPr="006B2CE8" w:rsidRDefault="00AE45BE" w:rsidP="00F71DD3">
            <w:pPr>
              <w:pStyle w:val="Tablecomment"/>
              <w:widowControl w:val="0"/>
              <w:jc w:val="center"/>
              <w:rPr>
                <w:color w:val="auto"/>
              </w:rPr>
            </w:pPr>
            <w:r w:rsidRPr="006B2CE8">
              <w:rPr>
                <w:color w:val="auto"/>
              </w:rPr>
              <w:t>$46,877</w:t>
            </w:r>
          </w:p>
        </w:tc>
        <w:tc>
          <w:tcPr>
            <w:tcW w:w="730" w:type="pct"/>
            <w:tcBorders>
              <w:top w:val="nil"/>
              <w:bottom w:val="nil"/>
            </w:tcBorders>
          </w:tcPr>
          <w:p w14:paraId="2F216C07" w14:textId="77777777" w:rsidR="00AE45BE" w:rsidRPr="006B2CE8" w:rsidRDefault="00AE45BE" w:rsidP="00F71DD3">
            <w:pPr>
              <w:widowControl w:val="0"/>
              <w:spacing w:after="40"/>
              <w:jc w:val="center"/>
            </w:pPr>
          </w:p>
        </w:tc>
        <w:tc>
          <w:tcPr>
            <w:tcW w:w="730" w:type="pct"/>
          </w:tcPr>
          <w:p w14:paraId="303A2468" w14:textId="77777777" w:rsidR="00AE45BE" w:rsidRPr="006B2CE8" w:rsidRDefault="00AE45BE" w:rsidP="00F71DD3">
            <w:pPr>
              <w:widowControl w:val="0"/>
              <w:spacing w:after="40"/>
              <w:jc w:val="center"/>
            </w:pPr>
            <w:r w:rsidRPr="006B2CE8">
              <w:t>2.71</w:t>
            </w:r>
          </w:p>
          <w:p w14:paraId="419377C8" w14:textId="77777777" w:rsidR="00AE45BE" w:rsidRPr="006B2CE8" w:rsidRDefault="00AE45BE" w:rsidP="00F71DD3">
            <w:pPr>
              <w:pStyle w:val="Tablecomment"/>
              <w:widowControl w:val="0"/>
              <w:jc w:val="center"/>
              <w:rPr>
                <w:color w:val="auto"/>
              </w:rPr>
            </w:pPr>
            <w:r w:rsidRPr="006B2CE8">
              <w:rPr>
                <w:color w:val="auto"/>
              </w:rPr>
              <w:t>2.87</w:t>
            </w:r>
          </w:p>
        </w:tc>
        <w:tc>
          <w:tcPr>
            <w:tcW w:w="731" w:type="pct"/>
            <w:tcBorders>
              <w:top w:val="nil"/>
              <w:bottom w:val="nil"/>
            </w:tcBorders>
          </w:tcPr>
          <w:p w14:paraId="516710DE" w14:textId="77777777" w:rsidR="00AE45BE" w:rsidRPr="00674935" w:rsidRDefault="00AE45BE" w:rsidP="00F71DD3">
            <w:pPr>
              <w:widowControl w:val="0"/>
              <w:spacing w:after="40"/>
              <w:jc w:val="center"/>
            </w:pPr>
          </w:p>
        </w:tc>
        <w:tc>
          <w:tcPr>
            <w:tcW w:w="750" w:type="pct"/>
            <w:tcBorders>
              <w:top w:val="nil"/>
              <w:bottom w:val="nil"/>
            </w:tcBorders>
          </w:tcPr>
          <w:p w14:paraId="79FEECFC" w14:textId="77777777" w:rsidR="00AE45BE" w:rsidRPr="00674935" w:rsidRDefault="00AE45BE" w:rsidP="00F71DD3">
            <w:pPr>
              <w:widowControl w:val="0"/>
              <w:spacing w:after="40"/>
              <w:jc w:val="center"/>
            </w:pPr>
          </w:p>
        </w:tc>
      </w:tr>
      <w:tr w:rsidR="00AE45BE" w:rsidRPr="00674935" w14:paraId="78857A72" w14:textId="77777777" w:rsidTr="00AD1934">
        <w:tc>
          <w:tcPr>
            <w:tcW w:w="1491" w:type="pct"/>
          </w:tcPr>
          <w:p w14:paraId="17D2D05C" w14:textId="77777777" w:rsidR="00AE45BE" w:rsidRPr="00674935" w:rsidRDefault="00AE45BE" w:rsidP="00F71DD3">
            <w:pPr>
              <w:widowControl w:val="0"/>
              <w:spacing w:after="40"/>
            </w:pPr>
            <w:r w:rsidRPr="00674935">
              <w:t>Conventional imaging</w:t>
            </w:r>
          </w:p>
        </w:tc>
        <w:tc>
          <w:tcPr>
            <w:tcW w:w="568" w:type="pct"/>
          </w:tcPr>
          <w:p w14:paraId="0D9007BB" w14:textId="77777777" w:rsidR="00AE45BE" w:rsidRPr="006B2CE8" w:rsidRDefault="00AE45BE" w:rsidP="00F71DD3">
            <w:pPr>
              <w:widowControl w:val="0"/>
              <w:spacing w:after="40"/>
              <w:jc w:val="center"/>
            </w:pPr>
            <w:r w:rsidRPr="006B2CE8">
              <w:t>$46,877</w:t>
            </w:r>
          </w:p>
          <w:p w14:paraId="69854E26" w14:textId="77777777" w:rsidR="00AE45BE" w:rsidRPr="006B2CE8" w:rsidRDefault="00AE45BE" w:rsidP="00F71DD3">
            <w:pPr>
              <w:pStyle w:val="Tablecomment"/>
              <w:widowControl w:val="0"/>
              <w:jc w:val="center"/>
              <w:rPr>
                <w:color w:val="auto"/>
              </w:rPr>
            </w:pPr>
            <w:r w:rsidRPr="006B2CE8">
              <w:rPr>
                <w:color w:val="auto"/>
              </w:rPr>
              <w:t>$46,154</w:t>
            </w:r>
          </w:p>
        </w:tc>
        <w:tc>
          <w:tcPr>
            <w:tcW w:w="730" w:type="pct"/>
            <w:tcBorders>
              <w:top w:val="nil"/>
              <w:bottom w:val="nil"/>
            </w:tcBorders>
          </w:tcPr>
          <w:p w14:paraId="3A13F101" w14:textId="77777777" w:rsidR="00AE45BE" w:rsidRPr="006B2CE8" w:rsidRDefault="00AE45BE" w:rsidP="00F71DD3">
            <w:pPr>
              <w:widowControl w:val="0"/>
              <w:spacing w:after="40"/>
              <w:jc w:val="center"/>
            </w:pPr>
            <w:r w:rsidRPr="006B2CE8">
              <w:t>$723</w:t>
            </w:r>
          </w:p>
        </w:tc>
        <w:tc>
          <w:tcPr>
            <w:tcW w:w="730" w:type="pct"/>
          </w:tcPr>
          <w:p w14:paraId="2A118E1A" w14:textId="77777777" w:rsidR="00AE45BE" w:rsidRPr="006B2CE8" w:rsidRDefault="00AE45BE" w:rsidP="00F71DD3">
            <w:pPr>
              <w:widowControl w:val="0"/>
              <w:spacing w:after="40"/>
              <w:jc w:val="center"/>
            </w:pPr>
            <w:r w:rsidRPr="006B2CE8">
              <w:t>2.87</w:t>
            </w:r>
          </w:p>
          <w:p w14:paraId="7E855402" w14:textId="77777777" w:rsidR="00AE45BE" w:rsidRPr="006B2CE8" w:rsidRDefault="00AE45BE" w:rsidP="00F71DD3">
            <w:pPr>
              <w:pStyle w:val="Tablecomment"/>
              <w:widowControl w:val="0"/>
              <w:jc w:val="center"/>
              <w:rPr>
                <w:color w:val="auto"/>
              </w:rPr>
            </w:pPr>
            <w:r w:rsidRPr="006B2CE8">
              <w:rPr>
                <w:color w:val="auto"/>
              </w:rPr>
              <w:t>2.71</w:t>
            </w:r>
          </w:p>
        </w:tc>
        <w:tc>
          <w:tcPr>
            <w:tcW w:w="731" w:type="pct"/>
            <w:tcBorders>
              <w:top w:val="nil"/>
              <w:bottom w:val="nil"/>
            </w:tcBorders>
          </w:tcPr>
          <w:p w14:paraId="5BF4C563" w14:textId="77777777" w:rsidR="00AE45BE" w:rsidRPr="00674935" w:rsidRDefault="00AE45BE" w:rsidP="00F71DD3">
            <w:pPr>
              <w:widowControl w:val="0"/>
              <w:spacing w:after="40"/>
              <w:jc w:val="center"/>
            </w:pPr>
            <w:r w:rsidRPr="00674935">
              <w:t>0.16</w:t>
            </w:r>
          </w:p>
        </w:tc>
        <w:tc>
          <w:tcPr>
            <w:tcW w:w="750" w:type="pct"/>
            <w:tcBorders>
              <w:top w:val="nil"/>
              <w:bottom w:val="nil"/>
            </w:tcBorders>
          </w:tcPr>
          <w:p w14:paraId="5845601F" w14:textId="77777777" w:rsidR="00AE45BE" w:rsidRPr="00674935" w:rsidRDefault="00AE45BE" w:rsidP="00F71DD3">
            <w:pPr>
              <w:widowControl w:val="0"/>
              <w:spacing w:after="40"/>
              <w:jc w:val="center"/>
            </w:pPr>
            <w:r w:rsidRPr="00674935">
              <w:t>$4,574</w:t>
            </w:r>
          </w:p>
        </w:tc>
      </w:tr>
      <w:tr w:rsidR="00AE45BE" w:rsidRPr="00674935" w14:paraId="69F9D060" w14:textId="77777777" w:rsidTr="00AD1934">
        <w:tc>
          <w:tcPr>
            <w:tcW w:w="1491" w:type="pct"/>
            <w:tcBorders>
              <w:right w:val="nil"/>
            </w:tcBorders>
          </w:tcPr>
          <w:p w14:paraId="33B76AEA" w14:textId="55597AAB" w:rsidR="00AE45BE" w:rsidRPr="003B66EB" w:rsidRDefault="00AE45BE" w:rsidP="00F71DD3">
            <w:pPr>
              <w:widowControl w:val="0"/>
              <w:spacing w:after="40"/>
              <w:rPr>
                <w:b/>
                <w:bCs/>
              </w:rPr>
            </w:pPr>
            <w:r w:rsidRPr="003B66EB">
              <w:rPr>
                <w:b/>
                <w:bCs/>
              </w:rPr>
              <w:t>PSA &lt;1.0</w:t>
            </w:r>
            <w:r w:rsidR="008947B2">
              <w:rPr>
                <w:b/>
                <w:bCs/>
              </w:rPr>
              <w:t> </w:t>
            </w:r>
            <w:r w:rsidRPr="00F85545">
              <w:rPr>
                <w:b/>
                <w:bCs/>
              </w:rPr>
              <w:t>ng/ml</w:t>
            </w:r>
          </w:p>
        </w:tc>
        <w:tc>
          <w:tcPr>
            <w:tcW w:w="568" w:type="pct"/>
            <w:tcBorders>
              <w:left w:val="nil"/>
              <w:right w:val="nil"/>
            </w:tcBorders>
          </w:tcPr>
          <w:p w14:paraId="1E8D6475" w14:textId="77777777" w:rsidR="00AE45BE" w:rsidRPr="006B2CE8" w:rsidRDefault="00AE45BE" w:rsidP="00F71DD3">
            <w:pPr>
              <w:widowControl w:val="0"/>
              <w:spacing w:after="40"/>
              <w:jc w:val="center"/>
            </w:pPr>
          </w:p>
        </w:tc>
        <w:tc>
          <w:tcPr>
            <w:tcW w:w="730" w:type="pct"/>
            <w:tcBorders>
              <w:left w:val="nil"/>
              <w:right w:val="nil"/>
            </w:tcBorders>
          </w:tcPr>
          <w:p w14:paraId="3153A0FD" w14:textId="77777777" w:rsidR="00AE45BE" w:rsidRPr="006B2CE8" w:rsidRDefault="00AE45BE" w:rsidP="00F71DD3">
            <w:pPr>
              <w:widowControl w:val="0"/>
              <w:spacing w:after="40"/>
              <w:jc w:val="center"/>
            </w:pPr>
          </w:p>
        </w:tc>
        <w:tc>
          <w:tcPr>
            <w:tcW w:w="730" w:type="pct"/>
            <w:tcBorders>
              <w:left w:val="nil"/>
              <w:right w:val="nil"/>
            </w:tcBorders>
          </w:tcPr>
          <w:p w14:paraId="7053E47F" w14:textId="77777777" w:rsidR="00AE45BE" w:rsidRPr="006B2CE8" w:rsidRDefault="00AE45BE" w:rsidP="00F71DD3">
            <w:pPr>
              <w:widowControl w:val="0"/>
              <w:spacing w:after="40"/>
              <w:jc w:val="center"/>
            </w:pPr>
          </w:p>
        </w:tc>
        <w:tc>
          <w:tcPr>
            <w:tcW w:w="731" w:type="pct"/>
            <w:tcBorders>
              <w:left w:val="nil"/>
              <w:right w:val="nil"/>
            </w:tcBorders>
          </w:tcPr>
          <w:p w14:paraId="5D71CD21" w14:textId="77777777" w:rsidR="00AE45BE" w:rsidRPr="00674935" w:rsidRDefault="00AE45BE" w:rsidP="00F71DD3">
            <w:pPr>
              <w:widowControl w:val="0"/>
              <w:spacing w:after="40"/>
              <w:jc w:val="center"/>
            </w:pPr>
          </w:p>
        </w:tc>
        <w:tc>
          <w:tcPr>
            <w:tcW w:w="750" w:type="pct"/>
            <w:tcBorders>
              <w:left w:val="nil"/>
            </w:tcBorders>
          </w:tcPr>
          <w:p w14:paraId="71D74187" w14:textId="77777777" w:rsidR="00AE45BE" w:rsidRPr="00674935" w:rsidRDefault="00AE45BE" w:rsidP="00F71DD3">
            <w:pPr>
              <w:widowControl w:val="0"/>
              <w:spacing w:after="40"/>
              <w:jc w:val="center"/>
            </w:pPr>
          </w:p>
        </w:tc>
      </w:tr>
      <w:tr w:rsidR="00AE45BE" w:rsidRPr="00674935" w14:paraId="420A411E" w14:textId="77777777" w:rsidTr="00AD1934">
        <w:tc>
          <w:tcPr>
            <w:tcW w:w="1491" w:type="pct"/>
          </w:tcPr>
          <w:p w14:paraId="2FBBE84A" w14:textId="77777777" w:rsidR="00AE45BE" w:rsidRPr="00674935" w:rsidRDefault="00AE45BE" w:rsidP="00F71DD3">
            <w:pPr>
              <w:widowControl w:val="0"/>
              <w:spacing w:after="40"/>
            </w:pPr>
            <w:r w:rsidRPr="00674935">
              <w:t>PSMA PET/CT</w:t>
            </w:r>
          </w:p>
        </w:tc>
        <w:tc>
          <w:tcPr>
            <w:tcW w:w="568" w:type="pct"/>
          </w:tcPr>
          <w:p w14:paraId="56CB2A8F" w14:textId="77777777" w:rsidR="00AE45BE" w:rsidRPr="006B2CE8" w:rsidRDefault="00AE45BE" w:rsidP="00F71DD3">
            <w:pPr>
              <w:widowControl w:val="0"/>
              <w:spacing w:after="40"/>
              <w:jc w:val="center"/>
            </w:pPr>
            <w:r w:rsidRPr="006B2CE8">
              <w:t>$32,257</w:t>
            </w:r>
          </w:p>
          <w:p w14:paraId="4B2C9B52" w14:textId="77777777" w:rsidR="00AE45BE" w:rsidRPr="006B2CE8" w:rsidRDefault="00AE45BE" w:rsidP="00F71DD3">
            <w:pPr>
              <w:pStyle w:val="Tablecomment"/>
              <w:widowControl w:val="0"/>
              <w:jc w:val="center"/>
              <w:rPr>
                <w:color w:val="auto"/>
              </w:rPr>
            </w:pPr>
            <w:r w:rsidRPr="006B2CE8">
              <w:rPr>
                <w:color w:val="auto"/>
              </w:rPr>
              <w:t>$35,802</w:t>
            </w:r>
          </w:p>
        </w:tc>
        <w:tc>
          <w:tcPr>
            <w:tcW w:w="730" w:type="pct"/>
            <w:tcBorders>
              <w:top w:val="nil"/>
              <w:bottom w:val="nil"/>
            </w:tcBorders>
          </w:tcPr>
          <w:p w14:paraId="094F7DCC" w14:textId="77777777" w:rsidR="00AE45BE" w:rsidRPr="006B2CE8" w:rsidRDefault="00AE45BE" w:rsidP="00F71DD3">
            <w:pPr>
              <w:widowControl w:val="0"/>
              <w:spacing w:after="40"/>
              <w:jc w:val="center"/>
            </w:pPr>
          </w:p>
        </w:tc>
        <w:tc>
          <w:tcPr>
            <w:tcW w:w="730" w:type="pct"/>
          </w:tcPr>
          <w:p w14:paraId="4999A8E4" w14:textId="77777777" w:rsidR="00AE45BE" w:rsidRPr="006B2CE8" w:rsidRDefault="00AE45BE" w:rsidP="00F71DD3">
            <w:pPr>
              <w:widowControl w:val="0"/>
              <w:spacing w:after="40"/>
              <w:jc w:val="center"/>
            </w:pPr>
            <w:r w:rsidRPr="006B2CE8">
              <w:t>4.07</w:t>
            </w:r>
          </w:p>
          <w:p w14:paraId="26F10BFF" w14:textId="77777777" w:rsidR="00AE45BE" w:rsidRPr="006B2CE8" w:rsidRDefault="00AE45BE" w:rsidP="00F71DD3">
            <w:pPr>
              <w:pStyle w:val="Tablecomment"/>
              <w:widowControl w:val="0"/>
              <w:jc w:val="center"/>
              <w:rPr>
                <w:color w:val="auto"/>
              </w:rPr>
            </w:pPr>
            <w:r w:rsidRPr="006B2CE8">
              <w:rPr>
                <w:color w:val="auto"/>
              </w:rPr>
              <w:t>4.24</w:t>
            </w:r>
          </w:p>
        </w:tc>
        <w:tc>
          <w:tcPr>
            <w:tcW w:w="731" w:type="pct"/>
            <w:tcBorders>
              <w:top w:val="nil"/>
              <w:bottom w:val="nil"/>
            </w:tcBorders>
          </w:tcPr>
          <w:p w14:paraId="0865EEF6" w14:textId="77777777" w:rsidR="00AE45BE" w:rsidRPr="00674935" w:rsidRDefault="00AE45BE" w:rsidP="00F71DD3">
            <w:pPr>
              <w:widowControl w:val="0"/>
              <w:spacing w:after="40"/>
              <w:jc w:val="center"/>
            </w:pPr>
          </w:p>
        </w:tc>
        <w:tc>
          <w:tcPr>
            <w:tcW w:w="750" w:type="pct"/>
            <w:tcBorders>
              <w:top w:val="nil"/>
              <w:bottom w:val="nil"/>
            </w:tcBorders>
          </w:tcPr>
          <w:p w14:paraId="498D051F" w14:textId="77777777" w:rsidR="00AE45BE" w:rsidRPr="00674935" w:rsidRDefault="00AE45BE" w:rsidP="00F71DD3">
            <w:pPr>
              <w:widowControl w:val="0"/>
              <w:spacing w:after="40"/>
              <w:jc w:val="center"/>
            </w:pPr>
          </w:p>
        </w:tc>
      </w:tr>
      <w:tr w:rsidR="00AE45BE" w:rsidRPr="00674935" w14:paraId="579D224A" w14:textId="77777777" w:rsidTr="00AD1934">
        <w:tc>
          <w:tcPr>
            <w:tcW w:w="1491" w:type="pct"/>
          </w:tcPr>
          <w:p w14:paraId="1E70E0FC" w14:textId="77777777" w:rsidR="00AE45BE" w:rsidRPr="00674935" w:rsidRDefault="00AE45BE" w:rsidP="00F71DD3">
            <w:pPr>
              <w:widowControl w:val="0"/>
              <w:spacing w:after="40"/>
            </w:pPr>
            <w:r w:rsidRPr="00674935">
              <w:t>No imaging</w:t>
            </w:r>
          </w:p>
        </w:tc>
        <w:tc>
          <w:tcPr>
            <w:tcW w:w="568" w:type="pct"/>
          </w:tcPr>
          <w:p w14:paraId="6B73E927" w14:textId="77777777" w:rsidR="00AE45BE" w:rsidRPr="006B2CE8" w:rsidRDefault="00AE45BE" w:rsidP="00F71DD3">
            <w:pPr>
              <w:widowControl w:val="0"/>
              <w:spacing w:after="40"/>
              <w:jc w:val="center"/>
            </w:pPr>
            <w:r w:rsidRPr="006B2CE8">
              <w:t>$35,802</w:t>
            </w:r>
          </w:p>
          <w:p w14:paraId="58C4738E" w14:textId="77777777" w:rsidR="00AE45BE" w:rsidRPr="006B2CE8" w:rsidRDefault="00AE45BE" w:rsidP="00F71DD3">
            <w:pPr>
              <w:pStyle w:val="Tablecomment"/>
              <w:widowControl w:val="0"/>
              <w:jc w:val="center"/>
              <w:rPr>
                <w:color w:val="auto"/>
              </w:rPr>
            </w:pPr>
            <w:r w:rsidRPr="006B2CE8">
              <w:rPr>
                <w:color w:val="auto"/>
              </w:rPr>
              <w:t>$32,257</w:t>
            </w:r>
          </w:p>
        </w:tc>
        <w:tc>
          <w:tcPr>
            <w:tcW w:w="730" w:type="pct"/>
            <w:tcBorders>
              <w:top w:val="nil"/>
              <w:bottom w:val="nil"/>
            </w:tcBorders>
          </w:tcPr>
          <w:p w14:paraId="0391E821" w14:textId="77777777" w:rsidR="00AE45BE" w:rsidRPr="006B2CE8" w:rsidRDefault="00AE45BE" w:rsidP="00F71DD3">
            <w:pPr>
              <w:widowControl w:val="0"/>
              <w:spacing w:after="40"/>
              <w:jc w:val="center"/>
            </w:pPr>
            <w:r w:rsidRPr="006B2CE8">
              <w:t>$3,546</w:t>
            </w:r>
          </w:p>
        </w:tc>
        <w:tc>
          <w:tcPr>
            <w:tcW w:w="730" w:type="pct"/>
          </w:tcPr>
          <w:p w14:paraId="0F82EFCA" w14:textId="77777777" w:rsidR="00AE45BE" w:rsidRPr="006B2CE8" w:rsidRDefault="00AE45BE" w:rsidP="00F71DD3">
            <w:pPr>
              <w:widowControl w:val="0"/>
              <w:spacing w:after="40"/>
              <w:jc w:val="center"/>
            </w:pPr>
            <w:r w:rsidRPr="006B2CE8">
              <w:t>4.24</w:t>
            </w:r>
          </w:p>
          <w:p w14:paraId="2D35DBE5" w14:textId="77777777" w:rsidR="00AE45BE" w:rsidRPr="006B2CE8" w:rsidRDefault="00AE45BE" w:rsidP="00F71DD3">
            <w:pPr>
              <w:pStyle w:val="Tablecomment"/>
              <w:widowControl w:val="0"/>
              <w:jc w:val="center"/>
              <w:rPr>
                <w:color w:val="auto"/>
              </w:rPr>
            </w:pPr>
            <w:r w:rsidRPr="006B2CE8">
              <w:rPr>
                <w:color w:val="auto"/>
              </w:rPr>
              <w:t>4.07</w:t>
            </w:r>
          </w:p>
        </w:tc>
        <w:tc>
          <w:tcPr>
            <w:tcW w:w="731" w:type="pct"/>
            <w:tcBorders>
              <w:top w:val="nil"/>
              <w:bottom w:val="nil"/>
            </w:tcBorders>
          </w:tcPr>
          <w:p w14:paraId="0641ACEC" w14:textId="77777777" w:rsidR="00AE45BE" w:rsidRPr="00674935" w:rsidRDefault="00AE45BE" w:rsidP="00F71DD3">
            <w:pPr>
              <w:widowControl w:val="0"/>
              <w:spacing w:after="40"/>
              <w:jc w:val="center"/>
            </w:pPr>
            <w:r w:rsidRPr="00674935">
              <w:t>0.17</w:t>
            </w:r>
          </w:p>
        </w:tc>
        <w:tc>
          <w:tcPr>
            <w:tcW w:w="750" w:type="pct"/>
            <w:tcBorders>
              <w:top w:val="nil"/>
              <w:bottom w:val="nil"/>
            </w:tcBorders>
          </w:tcPr>
          <w:p w14:paraId="20938D36" w14:textId="77777777" w:rsidR="00AE45BE" w:rsidRPr="00674935" w:rsidRDefault="00AE45BE" w:rsidP="00F71DD3">
            <w:pPr>
              <w:widowControl w:val="0"/>
              <w:spacing w:after="40"/>
              <w:jc w:val="center"/>
            </w:pPr>
            <w:r w:rsidRPr="00674935">
              <w:t>$20,414</w:t>
            </w:r>
          </w:p>
        </w:tc>
      </w:tr>
      <w:tr w:rsidR="00AE45BE" w:rsidRPr="00674935" w14:paraId="0BC22364" w14:textId="77777777" w:rsidTr="00AD1934">
        <w:tc>
          <w:tcPr>
            <w:tcW w:w="1491" w:type="pct"/>
          </w:tcPr>
          <w:p w14:paraId="42394A46" w14:textId="14332596" w:rsidR="00AE45BE" w:rsidRPr="00674935" w:rsidRDefault="00AE45BE" w:rsidP="00F71DD3">
            <w:pPr>
              <w:widowControl w:val="0"/>
              <w:spacing w:after="40"/>
              <w:rPr>
                <w:b/>
              </w:rPr>
            </w:pPr>
            <w:r w:rsidRPr="00674935">
              <w:rPr>
                <w:b/>
              </w:rPr>
              <w:t>Weighted</w:t>
            </w:r>
            <w:r w:rsidR="008947B2">
              <w:rPr>
                <w:b/>
              </w:rPr>
              <w:t xml:space="preserve"> (PSA </w:t>
            </w:r>
            <w:r w:rsidR="005D77C0" w:rsidRPr="005D77C0">
              <w:rPr>
                <w:b/>
                <w:bCs/>
              </w:rPr>
              <w:sym w:font="Symbol" w:char="F0B3"/>
            </w:r>
            <w:r w:rsidR="008947B2">
              <w:rPr>
                <w:b/>
              </w:rPr>
              <w:t>1.0 ng/ml and PSA &lt;1.0 </w:t>
            </w:r>
            <w:r>
              <w:rPr>
                <w:b/>
              </w:rPr>
              <w:t>ng/ml)</w:t>
            </w:r>
          </w:p>
        </w:tc>
        <w:tc>
          <w:tcPr>
            <w:tcW w:w="568" w:type="pct"/>
          </w:tcPr>
          <w:p w14:paraId="2AE32DA8" w14:textId="77777777" w:rsidR="00AE45BE" w:rsidRPr="00674935" w:rsidRDefault="00AE45BE" w:rsidP="00F71DD3">
            <w:pPr>
              <w:widowControl w:val="0"/>
              <w:spacing w:after="40"/>
              <w:jc w:val="center"/>
              <w:rPr>
                <w:b/>
              </w:rPr>
            </w:pPr>
          </w:p>
        </w:tc>
        <w:tc>
          <w:tcPr>
            <w:tcW w:w="730" w:type="pct"/>
            <w:tcBorders>
              <w:top w:val="nil"/>
              <w:bottom w:val="single" w:sz="4" w:space="0" w:color="auto"/>
            </w:tcBorders>
          </w:tcPr>
          <w:p w14:paraId="685B51C8" w14:textId="77777777" w:rsidR="00AE45BE" w:rsidRPr="00674935" w:rsidRDefault="00AE45BE" w:rsidP="00F71DD3">
            <w:pPr>
              <w:widowControl w:val="0"/>
              <w:spacing w:after="40"/>
              <w:jc w:val="center"/>
              <w:rPr>
                <w:b/>
              </w:rPr>
            </w:pPr>
            <w:r w:rsidRPr="00674935">
              <w:rPr>
                <w:b/>
                <w:bCs/>
              </w:rPr>
              <w:t>$1,542</w:t>
            </w:r>
          </w:p>
        </w:tc>
        <w:tc>
          <w:tcPr>
            <w:tcW w:w="730" w:type="pct"/>
            <w:tcBorders>
              <w:bottom w:val="single" w:sz="4" w:space="0" w:color="auto"/>
            </w:tcBorders>
          </w:tcPr>
          <w:p w14:paraId="125D5800" w14:textId="77777777" w:rsidR="00AE45BE" w:rsidRPr="00674935" w:rsidRDefault="00AE45BE" w:rsidP="00F71DD3">
            <w:pPr>
              <w:widowControl w:val="0"/>
              <w:spacing w:after="40"/>
              <w:jc w:val="center"/>
              <w:rPr>
                <w:b/>
              </w:rPr>
            </w:pPr>
          </w:p>
        </w:tc>
        <w:tc>
          <w:tcPr>
            <w:tcW w:w="731" w:type="pct"/>
            <w:tcBorders>
              <w:top w:val="nil"/>
              <w:bottom w:val="single" w:sz="4" w:space="0" w:color="auto"/>
            </w:tcBorders>
          </w:tcPr>
          <w:p w14:paraId="2205B285" w14:textId="77777777" w:rsidR="00AE45BE" w:rsidRPr="00674935" w:rsidRDefault="00AE45BE" w:rsidP="00F71DD3">
            <w:pPr>
              <w:widowControl w:val="0"/>
              <w:spacing w:after="40"/>
              <w:jc w:val="center"/>
              <w:rPr>
                <w:b/>
              </w:rPr>
            </w:pPr>
            <w:r w:rsidRPr="00674935">
              <w:rPr>
                <w:b/>
              </w:rPr>
              <w:t>0.16</w:t>
            </w:r>
          </w:p>
        </w:tc>
        <w:tc>
          <w:tcPr>
            <w:tcW w:w="750" w:type="pct"/>
            <w:tcBorders>
              <w:top w:val="nil"/>
              <w:bottom w:val="single" w:sz="4" w:space="0" w:color="auto"/>
            </w:tcBorders>
          </w:tcPr>
          <w:p w14:paraId="4F9E6CD6" w14:textId="77777777" w:rsidR="00AE45BE" w:rsidRPr="00674935" w:rsidRDefault="00AE45BE" w:rsidP="00F71DD3">
            <w:pPr>
              <w:widowControl w:val="0"/>
              <w:spacing w:after="40"/>
              <w:jc w:val="center"/>
              <w:rPr>
                <w:b/>
              </w:rPr>
            </w:pPr>
            <w:r w:rsidRPr="00674935">
              <w:rPr>
                <w:b/>
              </w:rPr>
              <w:t>$9,168</w:t>
            </w:r>
          </w:p>
        </w:tc>
      </w:tr>
    </w:tbl>
    <w:p w14:paraId="31D4580B" w14:textId="77777777" w:rsidR="00AE45BE" w:rsidRPr="00674935" w:rsidRDefault="00AE45BE" w:rsidP="006F02E2">
      <w:pPr>
        <w:pStyle w:val="Tablenotes"/>
      </w:pPr>
      <w:r w:rsidRPr="00AC7B08">
        <w:rPr>
          <w:b/>
        </w:rPr>
        <w:t>Abbreviations:</w:t>
      </w:r>
      <w:r w:rsidRPr="00674935">
        <w:t xml:space="preserve"> </w:t>
      </w:r>
      <w:r>
        <w:t xml:space="preserve">CT = computed tomography; </w:t>
      </w:r>
      <w:r w:rsidRPr="00674935">
        <w:t xml:space="preserve">ICER = </w:t>
      </w:r>
      <w:r>
        <w:t>i</w:t>
      </w:r>
      <w:r w:rsidRPr="00674935">
        <w:t xml:space="preserve">ncremental </w:t>
      </w:r>
      <w:r>
        <w:t>c</w:t>
      </w:r>
      <w:r w:rsidRPr="00674935">
        <w:t>ost-</w:t>
      </w:r>
      <w:r>
        <w:t>e</w:t>
      </w:r>
      <w:r w:rsidRPr="00674935">
        <w:t xml:space="preserve">ffectiveness </w:t>
      </w:r>
      <w:r>
        <w:t>r</w:t>
      </w:r>
      <w:r w:rsidRPr="00674935">
        <w:t>atio</w:t>
      </w:r>
      <w:r>
        <w:t>; PET = positron emission tomography; PSA = prostate specific antigen; PSMA = prostate-specific membrane antigen</w:t>
      </w:r>
      <w:r w:rsidRPr="00674935" w:rsidDel="00C208F9">
        <w:t xml:space="preserve">; </w:t>
      </w:r>
      <w:r w:rsidRPr="00674935">
        <w:t>QALY = quality</w:t>
      </w:r>
      <w:r>
        <w:t>-</w:t>
      </w:r>
      <w:r w:rsidRPr="00674935">
        <w:t>adjusted life year</w:t>
      </w:r>
    </w:p>
    <w:p w14:paraId="3A4277FC" w14:textId="1AD42130" w:rsidR="00AE45BE" w:rsidRDefault="00AE45BE" w:rsidP="006F02E2">
      <w:pPr>
        <w:pStyle w:val="Tablenotes"/>
      </w:pPr>
      <w:r w:rsidRPr="00404658">
        <w:rPr>
          <w:b/>
        </w:rPr>
        <w:t>Source</w:t>
      </w:r>
      <w:r>
        <w:t>: MSAC ADAR Table D.29, p.264.</w:t>
      </w:r>
    </w:p>
    <w:p w14:paraId="5709FFF5" w14:textId="520C25D4" w:rsidR="00942750" w:rsidRDefault="00942750" w:rsidP="006F02E2">
      <w:pPr>
        <w:pStyle w:val="Tablenotes"/>
      </w:pPr>
      <w:r>
        <w:t>Note, italicised represents ADAR transcription errors corrected in the Commentary</w:t>
      </w:r>
    </w:p>
    <w:p w14:paraId="3AE9F5F2" w14:textId="3C8D13E4" w:rsidR="007D45E4" w:rsidRPr="007D45E4" w:rsidRDefault="00942750" w:rsidP="007D45E4">
      <w:pPr>
        <w:tabs>
          <w:tab w:val="left" w:pos="720"/>
          <w:tab w:val="left" w:pos="1140"/>
        </w:tabs>
        <w:spacing w:before="240"/>
      </w:pPr>
      <w:r>
        <w:t>The key drivers of the economic model are summarised in Table 16.</w:t>
      </w:r>
      <w:r w:rsidR="00BA24A5">
        <w:t xml:space="preserve"> For </w:t>
      </w:r>
      <w:r w:rsidR="00AD1934">
        <w:t>primary</w:t>
      </w:r>
      <w:r w:rsidR="00467542">
        <w:t xml:space="preserve"> staging</w:t>
      </w:r>
      <w:r w:rsidR="00BA24A5">
        <w:t xml:space="preserve">, PSMA PET/CT remained dominant in all scenarios except when the time horizon increased to 30 years. For </w:t>
      </w:r>
      <w:r w:rsidR="00467542">
        <w:t>restaging</w:t>
      </w:r>
      <w:r w:rsidR="00BA24A5">
        <w:t>, s</w:t>
      </w:r>
      <w:r w:rsidR="00BA24A5" w:rsidRPr="00BA24A5">
        <w:t xml:space="preserve">everal additional sensitivity analyses were performed </w:t>
      </w:r>
      <w:r w:rsidR="006B2CE8">
        <w:t>for</w:t>
      </w:r>
      <w:r w:rsidR="00BA24A5">
        <w:t xml:space="preserve"> the</w:t>
      </w:r>
      <w:r w:rsidR="00BA24A5" w:rsidRPr="00BA24A5">
        <w:t xml:space="preserve"> </w:t>
      </w:r>
      <w:r w:rsidR="007725FF" w:rsidRPr="00BA24A5">
        <w:t>C</w:t>
      </w:r>
      <w:r w:rsidR="00BA24A5" w:rsidRPr="00BA24A5">
        <w:t xml:space="preserve">ommentary, varying the proportion of patients with DM, </w:t>
      </w:r>
      <w:r w:rsidR="00BA24A5">
        <w:t>pelvic nodal (</w:t>
      </w:r>
      <w:r w:rsidR="00BA24A5" w:rsidRPr="00BA24A5">
        <w:t>PN</w:t>
      </w:r>
      <w:r w:rsidR="00BA24A5">
        <w:t>)</w:t>
      </w:r>
      <w:r w:rsidR="00BA24A5" w:rsidRPr="00BA24A5">
        <w:t xml:space="preserve"> and local disease at baseline, given t</w:t>
      </w:r>
      <w:r w:rsidR="00BA24A5">
        <w:t xml:space="preserve">he uncertainty in these numbers. </w:t>
      </w:r>
      <w:r w:rsidR="00BA24A5" w:rsidRPr="00BA24A5">
        <w:t>Of these, two in particular affected the re</w:t>
      </w:r>
      <w:r w:rsidR="00BA24A5">
        <w:t>sults of PSMA PET/CT compared with</w:t>
      </w:r>
      <w:r w:rsidR="00BA24A5" w:rsidRPr="00BA24A5">
        <w:t xml:space="preserve"> no imaging: varying the proportions of patients with DM and local disease at baseline, although neither increased the ICER </w:t>
      </w:r>
      <w:r w:rsidR="00BA24A5">
        <w:t xml:space="preserve">above when </w:t>
      </w:r>
      <w:r w:rsidR="00950927">
        <w:t xml:space="preserve">the </w:t>
      </w:r>
      <w:r w:rsidR="00BA24A5">
        <w:t>time horizon was shortened to 5 years (~$34,000 per QALY).</w:t>
      </w:r>
      <w:r w:rsidR="007D45E4">
        <w:br w:type="page"/>
      </w:r>
    </w:p>
    <w:p w14:paraId="76E7A204" w14:textId="62B4533B" w:rsidR="00467542" w:rsidRDefault="00467542" w:rsidP="00467542">
      <w:pPr>
        <w:pStyle w:val="Caption"/>
      </w:pPr>
      <w:r>
        <w:t>Table 16</w:t>
      </w:r>
      <w:r>
        <w:tab/>
        <w:t>Sensitivity analyses</w:t>
      </w:r>
    </w:p>
    <w:tbl>
      <w:tblPr>
        <w:tblStyle w:val="TableGrid1"/>
        <w:tblW w:w="5000" w:type="pct"/>
        <w:tblLook w:val="04A0" w:firstRow="1" w:lastRow="0" w:firstColumn="1" w:lastColumn="0" w:noHBand="0" w:noVBand="1"/>
        <w:tblCaption w:val="Table 24 Key drivers of the economic model"/>
        <w:tblDescription w:val="This table describes what factors and assumptions in the economic model affect the incremental cost-effectiveness to the greatest extent."/>
      </w:tblPr>
      <w:tblGrid>
        <w:gridCol w:w="2830"/>
        <w:gridCol w:w="2836"/>
        <w:gridCol w:w="3350"/>
      </w:tblGrid>
      <w:tr w:rsidR="00942750" w:rsidRPr="009340F2" w14:paraId="6F076B9F" w14:textId="77777777" w:rsidTr="0065682D">
        <w:trPr>
          <w:cnfStyle w:val="100000000000" w:firstRow="1" w:lastRow="0" w:firstColumn="0" w:lastColumn="0" w:oddVBand="0" w:evenVBand="0" w:oddHBand="0" w:evenHBand="0" w:firstRowFirstColumn="0" w:firstRowLastColumn="0" w:lastRowFirstColumn="0" w:lastRowLastColumn="0"/>
        </w:trPr>
        <w:tc>
          <w:tcPr>
            <w:tcW w:w="1569" w:type="pct"/>
          </w:tcPr>
          <w:p w14:paraId="21028BCC" w14:textId="77777777" w:rsidR="00942750" w:rsidRPr="009340F2" w:rsidRDefault="00942750" w:rsidP="00365211">
            <w:pPr>
              <w:pStyle w:val="TableHeading"/>
              <w:rPr>
                <w:snapToGrid w:val="0"/>
                <w:lang w:eastAsia="en-US"/>
              </w:rPr>
            </w:pPr>
            <w:r w:rsidRPr="009340F2">
              <w:rPr>
                <w:snapToGrid w:val="0"/>
                <w:lang w:eastAsia="en-US"/>
              </w:rPr>
              <w:t>Description</w:t>
            </w:r>
          </w:p>
        </w:tc>
        <w:tc>
          <w:tcPr>
            <w:tcW w:w="1573" w:type="pct"/>
          </w:tcPr>
          <w:p w14:paraId="79B9DCA2" w14:textId="77777777" w:rsidR="00942750" w:rsidRPr="009340F2" w:rsidRDefault="00942750" w:rsidP="00365211">
            <w:pPr>
              <w:pStyle w:val="TableHeading"/>
              <w:rPr>
                <w:snapToGrid w:val="0"/>
                <w:lang w:eastAsia="en-US"/>
              </w:rPr>
            </w:pPr>
            <w:r w:rsidRPr="009340F2">
              <w:rPr>
                <w:snapToGrid w:val="0"/>
                <w:lang w:eastAsia="en-US"/>
              </w:rPr>
              <w:t>Method/Value</w:t>
            </w:r>
          </w:p>
        </w:tc>
        <w:tc>
          <w:tcPr>
            <w:tcW w:w="1858" w:type="pct"/>
          </w:tcPr>
          <w:p w14:paraId="6A5236A6" w14:textId="77777777" w:rsidR="00942750" w:rsidRPr="009340F2" w:rsidRDefault="00942750" w:rsidP="006F02E2">
            <w:pPr>
              <w:pStyle w:val="TableHeading"/>
              <w:ind w:left="31" w:hanging="31"/>
              <w:jc w:val="left"/>
              <w:rPr>
                <w:snapToGrid w:val="0"/>
                <w:lang w:eastAsia="en-US"/>
              </w:rPr>
            </w:pPr>
            <w:r w:rsidRPr="009340F2">
              <w:rPr>
                <w:snapToGrid w:val="0"/>
                <w:lang w:eastAsia="en-US"/>
              </w:rPr>
              <w:t>Impact of ICER compared to base case</w:t>
            </w:r>
          </w:p>
        </w:tc>
      </w:tr>
      <w:tr w:rsidR="00942750" w:rsidRPr="009340F2" w14:paraId="6ACA9EA5" w14:textId="77777777" w:rsidTr="0065682D">
        <w:tc>
          <w:tcPr>
            <w:tcW w:w="5000" w:type="pct"/>
            <w:gridSpan w:val="3"/>
          </w:tcPr>
          <w:p w14:paraId="0AB8B37E" w14:textId="4094BA27" w:rsidR="00942750" w:rsidRPr="004D22C2" w:rsidRDefault="00942750" w:rsidP="00365211">
            <w:pPr>
              <w:pStyle w:val="Tabletext"/>
              <w:rPr>
                <w:b/>
                <w:bCs/>
                <w:snapToGrid w:val="0"/>
              </w:rPr>
            </w:pPr>
            <w:r w:rsidRPr="004D22C2">
              <w:rPr>
                <w:b/>
                <w:bCs/>
                <w:snapToGrid w:val="0"/>
              </w:rPr>
              <w:t>P</w:t>
            </w:r>
            <w:r w:rsidR="00AD1934" w:rsidRPr="004D22C2">
              <w:rPr>
                <w:b/>
                <w:bCs/>
                <w:snapToGrid w:val="0"/>
              </w:rPr>
              <w:t>rimary staging</w:t>
            </w:r>
            <w:r w:rsidR="004D22C2" w:rsidRPr="004D22C2">
              <w:rPr>
                <w:b/>
                <w:bCs/>
                <w:snapToGrid w:val="0"/>
              </w:rPr>
              <w:t>, base case of -$2,945</w:t>
            </w:r>
          </w:p>
        </w:tc>
      </w:tr>
      <w:tr w:rsidR="00942750" w:rsidRPr="009340F2" w14:paraId="7AD5038E" w14:textId="77777777" w:rsidTr="0065682D">
        <w:tc>
          <w:tcPr>
            <w:tcW w:w="1569" w:type="pct"/>
          </w:tcPr>
          <w:p w14:paraId="7A3510C8" w14:textId="3D032E4B" w:rsidR="00942750" w:rsidRPr="009340F2" w:rsidRDefault="00942750" w:rsidP="00365211">
            <w:pPr>
              <w:pStyle w:val="Tabletext"/>
              <w:rPr>
                <w:snapToGrid w:val="0"/>
              </w:rPr>
            </w:pPr>
            <w:r w:rsidRPr="009340F2">
              <w:rPr>
                <w:snapToGrid w:val="0"/>
              </w:rPr>
              <w:t xml:space="preserve">Time </w:t>
            </w:r>
            <w:r w:rsidR="00896027" w:rsidRPr="009340F2">
              <w:rPr>
                <w:snapToGrid w:val="0"/>
              </w:rPr>
              <w:t>h</w:t>
            </w:r>
            <w:r w:rsidRPr="009340F2">
              <w:rPr>
                <w:snapToGrid w:val="0"/>
              </w:rPr>
              <w:t>orizon</w:t>
            </w:r>
          </w:p>
        </w:tc>
        <w:tc>
          <w:tcPr>
            <w:tcW w:w="1573" w:type="pct"/>
          </w:tcPr>
          <w:p w14:paraId="60D1B7C6" w14:textId="77777777" w:rsidR="00942750" w:rsidRPr="009340F2" w:rsidRDefault="00942750" w:rsidP="00365211">
            <w:pPr>
              <w:pStyle w:val="Tabletext"/>
              <w:rPr>
                <w:snapToGrid w:val="0"/>
              </w:rPr>
            </w:pPr>
            <w:r w:rsidRPr="009340F2">
              <w:rPr>
                <w:snapToGrid w:val="0"/>
              </w:rPr>
              <w:t>Increased from 10 years to 30 years</w:t>
            </w:r>
          </w:p>
        </w:tc>
        <w:tc>
          <w:tcPr>
            <w:tcW w:w="1858" w:type="pct"/>
          </w:tcPr>
          <w:p w14:paraId="2D463E69" w14:textId="7FA68F08" w:rsidR="00942750" w:rsidRPr="009340F2" w:rsidRDefault="00942750" w:rsidP="00365211">
            <w:pPr>
              <w:pStyle w:val="Tablecomment"/>
              <w:rPr>
                <w:i w:val="0"/>
                <w:snapToGrid w:val="0"/>
                <w:color w:val="auto"/>
                <w:lang w:eastAsia="en-US"/>
              </w:rPr>
            </w:pPr>
            <w:r w:rsidRPr="009340F2">
              <w:rPr>
                <w:i w:val="0"/>
                <w:snapToGrid w:val="0"/>
                <w:color w:val="auto"/>
                <w:lang w:eastAsia="en-US"/>
              </w:rPr>
              <w:t>Moderate: $489/QALY</w:t>
            </w:r>
          </w:p>
        </w:tc>
      </w:tr>
      <w:tr w:rsidR="00942750" w:rsidRPr="009340F2" w14:paraId="7C29B960" w14:textId="77777777" w:rsidTr="0065682D">
        <w:tc>
          <w:tcPr>
            <w:tcW w:w="5000" w:type="pct"/>
            <w:gridSpan w:val="3"/>
          </w:tcPr>
          <w:p w14:paraId="58F64E61" w14:textId="71A59AB8" w:rsidR="00942750" w:rsidRPr="004D22C2" w:rsidRDefault="00AD1934" w:rsidP="00365211">
            <w:pPr>
              <w:pStyle w:val="Tabletext"/>
              <w:rPr>
                <w:b/>
                <w:bCs/>
                <w:snapToGrid w:val="0"/>
              </w:rPr>
            </w:pPr>
            <w:r w:rsidRPr="004D22C2">
              <w:rPr>
                <w:b/>
                <w:bCs/>
                <w:snapToGrid w:val="0"/>
              </w:rPr>
              <w:t>Restaging</w:t>
            </w:r>
            <w:r w:rsidR="00942750" w:rsidRPr="004D22C2">
              <w:rPr>
                <w:b/>
                <w:bCs/>
                <w:snapToGrid w:val="0"/>
              </w:rPr>
              <w:t xml:space="preserve"> vs</w:t>
            </w:r>
            <w:r w:rsidR="00803103" w:rsidRPr="004D22C2">
              <w:rPr>
                <w:b/>
                <w:bCs/>
                <w:snapToGrid w:val="0"/>
              </w:rPr>
              <w:t>.</w:t>
            </w:r>
            <w:r w:rsidR="00942750" w:rsidRPr="004D22C2">
              <w:rPr>
                <w:b/>
                <w:bCs/>
                <w:snapToGrid w:val="0"/>
              </w:rPr>
              <w:t xml:space="preserve"> conventional imaging (PSA </w:t>
            </w:r>
            <w:r w:rsidR="005D77C0" w:rsidRPr="004D22C2">
              <w:rPr>
                <w:b/>
                <w:bCs/>
              </w:rPr>
              <w:sym w:font="Symbol" w:char="F0B3"/>
            </w:r>
            <w:r w:rsidR="00942750" w:rsidRPr="004D22C2">
              <w:rPr>
                <w:b/>
                <w:bCs/>
                <w:snapToGrid w:val="0"/>
              </w:rPr>
              <w:t>1.0</w:t>
            </w:r>
            <w:r w:rsidR="008947B2" w:rsidRPr="004D22C2">
              <w:rPr>
                <w:b/>
                <w:bCs/>
                <w:snapToGrid w:val="0"/>
              </w:rPr>
              <w:t> </w:t>
            </w:r>
            <w:r w:rsidR="00942750" w:rsidRPr="004D22C2">
              <w:rPr>
                <w:b/>
                <w:bCs/>
                <w:snapToGrid w:val="0"/>
              </w:rPr>
              <w:t>ng/ml)</w:t>
            </w:r>
            <w:r w:rsidR="004D22C2" w:rsidRPr="004D22C2">
              <w:rPr>
                <w:b/>
                <w:bCs/>
                <w:snapToGrid w:val="0"/>
              </w:rPr>
              <w:t>, base case of $4,574</w:t>
            </w:r>
          </w:p>
        </w:tc>
      </w:tr>
      <w:tr w:rsidR="00942750" w:rsidRPr="009340F2" w14:paraId="4B6BA548" w14:textId="77777777" w:rsidTr="0065682D">
        <w:tc>
          <w:tcPr>
            <w:tcW w:w="1569" w:type="pct"/>
          </w:tcPr>
          <w:p w14:paraId="67B9856B" w14:textId="77777777" w:rsidR="00942750" w:rsidRPr="009340F2" w:rsidRDefault="00942750" w:rsidP="00365211">
            <w:pPr>
              <w:pStyle w:val="Tabletext"/>
              <w:rPr>
                <w:snapToGrid w:val="0"/>
              </w:rPr>
            </w:pPr>
            <w:r w:rsidRPr="009340F2">
              <w:rPr>
                <w:snapToGrid w:val="0"/>
              </w:rPr>
              <w:t>Cost of PSMA PET/CT same as FDG PET/CT</w:t>
            </w:r>
          </w:p>
        </w:tc>
        <w:tc>
          <w:tcPr>
            <w:tcW w:w="1573" w:type="pct"/>
          </w:tcPr>
          <w:p w14:paraId="5340494A" w14:textId="77777777" w:rsidR="00942750" w:rsidRPr="009340F2" w:rsidRDefault="00942750" w:rsidP="00365211">
            <w:pPr>
              <w:pStyle w:val="Tabletext"/>
              <w:rPr>
                <w:snapToGrid w:val="0"/>
              </w:rPr>
            </w:pPr>
            <w:r w:rsidRPr="009340F2">
              <w:rPr>
                <w:snapToGrid w:val="0"/>
              </w:rPr>
              <w:t>Decreased from $1,400 to $1,053</w:t>
            </w:r>
          </w:p>
        </w:tc>
        <w:tc>
          <w:tcPr>
            <w:tcW w:w="1858" w:type="pct"/>
          </w:tcPr>
          <w:p w14:paraId="6448798B" w14:textId="030CB5DF" w:rsidR="00942750" w:rsidRPr="009340F2" w:rsidRDefault="00942750" w:rsidP="00365211">
            <w:pPr>
              <w:pStyle w:val="Tabletext"/>
              <w:rPr>
                <w:snapToGrid w:val="0"/>
              </w:rPr>
            </w:pPr>
            <w:r w:rsidRPr="009340F2">
              <w:rPr>
                <w:snapToGrid w:val="0"/>
              </w:rPr>
              <w:t>Moderate</w:t>
            </w:r>
            <w:r w:rsidR="004D22C2">
              <w:rPr>
                <w:snapToGrid w:val="0"/>
              </w:rPr>
              <w:t>:</w:t>
            </w:r>
            <w:r w:rsidRPr="009340F2">
              <w:rPr>
                <w:snapToGrid w:val="0"/>
              </w:rPr>
              <w:t xml:space="preserve"> $1,091/QALY</w:t>
            </w:r>
          </w:p>
        </w:tc>
      </w:tr>
      <w:tr w:rsidR="00942750" w:rsidRPr="009340F2" w14:paraId="5405015F" w14:textId="77777777" w:rsidTr="0065682D">
        <w:tc>
          <w:tcPr>
            <w:tcW w:w="1569" w:type="pct"/>
          </w:tcPr>
          <w:p w14:paraId="7BB0A88C" w14:textId="77777777" w:rsidR="00942750" w:rsidRPr="009340F2" w:rsidRDefault="00942750" w:rsidP="00365211">
            <w:pPr>
              <w:pStyle w:val="Tabletext"/>
              <w:rPr>
                <w:snapToGrid w:val="0"/>
              </w:rPr>
            </w:pPr>
            <w:r w:rsidRPr="009340F2">
              <w:rPr>
                <w:snapToGrid w:val="0"/>
              </w:rPr>
              <w:t>Specificity of PSMA PET/CT</w:t>
            </w:r>
          </w:p>
        </w:tc>
        <w:tc>
          <w:tcPr>
            <w:tcW w:w="1573" w:type="pct"/>
          </w:tcPr>
          <w:p w14:paraId="433F0A8E" w14:textId="4E170265" w:rsidR="00942750" w:rsidRPr="009340F2" w:rsidRDefault="00942750" w:rsidP="00365211">
            <w:pPr>
              <w:pStyle w:val="Tabletext"/>
              <w:rPr>
                <w:snapToGrid w:val="0"/>
              </w:rPr>
            </w:pPr>
            <w:r w:rsidRPr="009340F2">
              <w:rPr>
                <w:snapToGrid w:val="0"/>
              </w:rPr>
              <w:t>Decreased from 0.992 to 0.897</w:t>
            </w:r>
          </w:p>
        </w:tc>
        <w:tc>
          <w:tcPr>
            <w:tcW w:w="1858" w:type="pct"/>
          </w:tcPr>
          <w:p w14:paraId="6484C1A0" w14:textId="19A9D526" w:rsidR="00942750" w:rsidRPr="009340F2" w:rsidRDefault="00942750" w:rsidP="00365211">
            <w:pPr>
              <w:pStyle w:val="Tabletext"/>
              <w:rPr>
                <w:snapToGrid w:val="0"/>
              </w:rPr>
            </w:pPr>
            <w:r w:rsidRPr="009340F2">
              <w:rPr>
                <w:snapToGrid w:val="0"/>
              </w:rPr>
              <w:t>Moderate: $7,918/QALY</w:t>
            </w:r>
          </w:p>
        </w:tc>
      </w:tr>
      <w:tr w:rsidR="00942750" w:rsidRPr="009340F2" w14:paraId="6521AFDC" w14:textId="77777777" w:rsidTr="0065682D">
        <w:tc>
          <w:tcPr>
            <w:tcW w:w="5000" w:type="pct"/>
            <w:gridSpan w:val="3"/>
          </w:tcPr>
          <w:p w14:paraId="5F128914" w14:textId="4F526844" w:rsidR="00942750" w:rsidRPr="004D22C2" w:rsidRDefault="00AD1934" w:rsidP="00365211">
            <w:pPr>
              <w:pStyle w:val="Tabletext"/>
              <w:rPr>
                <w:b/>
                <w:bCs/>
                <w:snapToGrid w:val="0"/>
              </w:rPr>
            </w:pPr>
            <w:r w:rsidRPr="004D22C2">
              <w:rPr>
                <w:b/>
                <w:bCs/>
                <w:snapToGrid w:val="0"/>
              </w:rPr>
              <w:t>Restaging</w:t>
            </w:r>
            <w:r w:rsidR="00942750" w:rsidRPr="004D22C2">
              <w:rPr>
                <w:b/>
                <w:bCs/>
                <w:snapToGrid w:val="0"/>
              </w:rPr>
              <w:t xml:space="preserve"> vs</w:t>
            </w:r>
            <w:r w:rsidR="00803103" w:rsidRPr="004D22C2">
              <w:rPr>
                <w:b/>
                <w:bCs/>
                <w:snapToGrid w:val="0"/>
              </w:rPr>
              <w:t>.</w:t>
            </w:r>
            <w:r w:rsidR="00942750" w:rsidRPr="004D22C2">
              <w:rPr>
                <w:b/>
                <w:bCs/>
                <w:snapToGrid w:val="0"/>
              </w:rPr>
              <w:t xml:space="preserve"> no imaging (PSA &lt;1.0</w:t>
            </w:r>
            <w:r w:rsidR="008947B2" w:rsidRPr="004D22C2">
              <w:rPr>
                <w:b/>
                <w:bCs/>
                <w:snapToGrid w:val="0"/>
              </w:rPr>
              <w:t> </w:t>
            </w:r>
            <w:r w:rsidR="00942750" w:rsidRPr="004D22C2">
              <w:rPr>
                <w:b/>
                <w:bCs/>
                <w:snapToGrid w:val="0"/>
              </w:rPr>
              <w:t>ng/ml)</w:t>
            </w:r>
            <w:r w:rsidR="004D22C2" w:rsidRPr="004D22C2">
              <w:rPr>
                <w:b/>
                <w:bCs/>
                <w:snapToGrid w:val="0"/>
              </w:rPr>
              <w:t>, base case of $20,414</w:t>
            </w:r>
          </w:p>
        </w:tc>
      </w:tr>
      <w:tr w:rsidR="00942750" w:rsidRPr="009340F2" w14:paraId="059D18D5" w14:textId="77777777" w:rsidTr="0065682D">
        <w:tc>
          <w:tcPr>
            <w:tcW w:w="1569" w:type="pct"/>
          </w:tcPr>
          <w:p w14:paraId="586484D4" w14:textId="77777777" w:rsidR="00942750" w:rsidRPr="009340F2" w:rsidRDefault="00942750" w:rsidP="00365211">
            <w:pPr>
              <w:pStyle w:val="Tabletext"/>
              <w:rPr>
                <w:snapToGrid w:val="0"/>
              </w:rPr>
            </w:pPr>
            <w:r w:rsidRPr="009340F2">
              <w:rPr>
                <w:snapToGrid w:val="0"/>
              </w:rPr>
              <w:t>Cost of PSMA PET/CT</w:t>
            </w:r>
          </w:p>
        </w:tc>
        <w:tc>
          <w:tcPr>
            <w:tcW w:w="1573" w:type="pct"/>
          </w:tcPr>
          <w:p w14:paraId="2348A72A" w14:textId="77777777" w:rsidR="00942750" w:rsidRPr="009340F2" w:rsidRDefault="00942750" w:rsidP="00365211">
            <w:pPr>
              <w:pStyle w:val="Tabletext"/>
              <w:rPr>
                <w:snapToGrid w:val="0"/>
              </w:rPr>
            </w:pPr>
            <w:r w:rsidRPr="009340F2">
              <w:rPr>
                <w:snapToGrid w:val="0"/>
              </w:rPr>
              <w:t>Decreased from $1,400 to $1,053</w:t>
            </w:r>
          </w:p>
        </w:tc>
        <w:tc>
          <w:tcPr>
            <w:tcW w:w="1858" w:type="pct"/>
          </w:tcPr>
          <w:p w14:paraId="332AA232" w14:textId="0088FA80" w:rsidR="00942750" w:rsidRPr="009340F2" w:rsidRDefault="00942750" w:rsidP="00365211">
            <w:pPr>
              <w:pStyle w:val="Tabletext"/>
              <w:rPr>
                <w:snapToGrid w:val="0"/>
              </w:rPr>
            </w:pPr>
            <w:r w:rsidRPr="009340F2">
              <w:rPr>
                <w:snapToGrid w:val="0"/>
              </w:rPr>
              <w:t>Moderate</w:t>
            </w:r>
            <w:r w:rsidR="004D22C2">
              <w:rPr>
                <w:snapToGrid w:val="0"/>
              </w:rPr>
              <w:t>:</w:t>
            </w:r>
            <w:r w:rsidRPr="009340F2">
              <w:rPr>
                <w:snapToGrid w:val="0"/>
              </w:rPr>
              <w:t xml:space="preserve"> $17,570/QALY</w:t>
            </w:r>
          </w:p>
        </w:tc>
      </w:tr>
      <w:tr w:rsidR="00942750" w:rsidRPr="009340F2" w14:paraId="26589542" w14:textId="77777777" w:rsidTr="0065682D">
        <w:tc>
          <w:tcPr>
            <w:tcW w:w="1569" w:type="pct"/>
          </w:tcPr>
          <w:p w14:paraId="76CE4D7C" w14:textId="3198CDAC" w:rsidR="00942750" w:rsidRPr="009340F2" w:rsidRDefault="00942750" w:rsidP="00365211">
            <w:pPr>
              <w:pStyle w:val="Tabletext"/>
              <w:rPr>
                <w:snapToGrid w:val="0"/>
              </w:rPr>
            </w:pPr>
            <w:r w:rsidRPr="009340F2">
              <w:rPr>
                <w:snapToGrid w:val="0"/>
              </w:rPr>
              <w:t xml:space="preserve">Time </w:t>
            </w:r>
            <w:r w:rsidR="004D22C2" w:rsidRPr="009340F2">
              <w:rPr>
                <w:snapToGrid w:val="0"/>
              </w:rPr>
              <w:t>h</w:t>
            </w:r>
            <w:r w:rsidRPr="009340F2">
              <w:rPr>
                <w:snapToGrid w:val="0"/>
              </w:rPr>
              <w:t>orizon</w:t>
            </w:r>
          </w:p>
        </w:tc>
        <w:tc>
          <w:tcPr>
            <w:tcW w:w="1573" w:type="pct"/>
          </w:tcPr>
          <w:p w14:paraId="637F9165" w14:textId="77777777" w:rsidR="00942750" w:rsidRPr="009340F2" w:rsidRDefault="00942750" w:rsidP="00365211">
            <w:pPr>
              <w:pStyle w:val="Tabletext"/>
              <w:rPr>
                <w:snapToGrid w:val="0"/>
              </w:rPr>
            </w:pPr>
            <w:r w:rsidRPr="009340F2">
              <w:rPr>
                <w:snapToGrid w:val="0"/>
              </w:rPr>
              <w:t>Decreased from 10 years to 5 years</w:t>
            </w:r>
          </w:p>
        </w:tc>
        <w:tc>
          <w:tcPr>
            <w:tcW w:w="1858" w:type="pct"/>
          </w:tcPr>
          <w:p w14:paraId="1A50BC68" w14:textId="2776CDF9" w:rsidR="00942750" w:rsidRPr="009340F2" w:rsidRDefault="00942750" w:rsidP="00365211">
            <w:pPr>
              <w:pStyle w:val="Tabletext"/>
              <w:rPr>
                <w:snapToGrid w:val="0"/>
              </w:rPr>
            </w:pPr>
            <w:r w:rsidRPr="009340F2">
              <w:rPr>
                <w:snapToGrid w:val="0"/>
              </w:rPr>
              <w:t>High: $33,643/QALY</w:t>
            </w:r>
          </w:p>
        </w:tc>
      </w:tr>
      <w:tr w:rsidR="00942750" w:rsidRPr="009340F2" w14:paraId="1FD69B1C" w14:textId="77777777" w:rsidTr="0065682D">
        <w:tc>
          <w:tcPr>
            <w:tcW w:w="1569" w:type="pct"/>
          </w:tcPr>
          <w:p w14:paraId="2F62D6A6" w14:textId="4C02DC6A" w:rsidR="00942750" w:rsidRPr="009340F2" w:rsidRDefault="00942750" w:rsidP="00365211">
            <w:pPr>
              <w:pStyle w:val="Tablecomment"/>
              <w:rPr>
                <w:i w:val="0"/>
                <w:snapToGrid w:val="0"/>
                <w:color w:val="auto"/>
                <w:lang w:eastAsia="en-US"/>
              </w:rPr>
            </w:pPr>
            <w:r w:rsidRPr="009340F2">
              <w:rPr>
                <w:i w:val="0"/>
                <w:snapToGrid w:val="0"/>
                <w:color w:val="auto"/>
              </w:rPr>
              <w:t xml:space="preserve">Percentage DM at baseline (additional analysis for </w:t>
            </w:r>
            <w:r w:rsidR="006F02E2" w:rsidRPr="009340F2">
              <w:rPr>
                <w:i w:val="0"/>
                <w:snapToGrid w:val="0"/>
                <w:color w:val="auto"/>
              </w:rPr>
              <w:t>C</w:t>
            </w:r>
            <w:r w:rsidRPr="009340F2">
              <w:rPr>
                <w:i w:val="0"/>
                <w:snapToGrid w:val="0"/>
                <w:color w:val="auto"/>
              </w:rPr>
              <w:t>ommentary)</w:t>
            </w:r>
          </w:p>
        </w:tc>
        <w:tc>
          <w:tcPr>
            <w:tcW w:w="1573" w:type="pct"/>
          </w:tcPr>
          <w:p w14:paraId="7DD177B1" w14:textId="77777777" w:rsidR="00942750" w:rsidRPr="009340F2" w:rsidRDefault="00942750" w:rsidP="00365211">
            <w:pPr>
              <w:pStyle w:val="Tablecomment"/>
              <w:rPr>
                <w:i w:val="0"/>
                <w:snapToGrid w:val="0"/>
                <w:color w:val="auto"/>
                <w:lang w:eastAsia="en-US"/>
              </w:rPr>
            </w:pPr>
            <w:r w:rsidRPr="009340F2">
              <w:rPr>
                <w:i w:val="0"/>
                <w:snapToGrid w:val="0"/>
                <w:color w:val="auto"/>
              </w:rPr>
              <w:t>Increased from 0.195 to 0.466</w:t>
            </w:r>
          </w:p>
        </w:tc>
        <w:tc>
          <w:tcPr>
            <w:tcW w:w="1858" w:type="pct"/>
          </w:tcPr>
          <w:p w14:paraId="0BF3B796" w14:textId="13C8980F" w:rsidR="00942750" w:rsidRPr="009340F2" w:rsidRDefault="00942750" w:rsidP="00365211">
            <w:pPr>
              <w:pStyle w:val="Tablecomment"/>
              <w:rPr>
                <w:i w:val="0"/>
                <w:snapToGrid w:val="0"/>
                <w:color w:val="auto"/>
                <w:lang w:eastAsia="en-US"/>
              </w:rPr>
            </w:pPr>
            <w:r w:rsidRPr="009340F2">
              <w:rPr>
                <w:i w:val="0"/>
                <w:color w:val="auto"/>
              </w:rPr>
              <w:t>High</w:t>
            </w:r>
            <w:r w:rsidR="00896027" w:rsidRPr="009340F2">
              <w:rPr>
                <w:i w:val="0"/>
                <w:color w:val="auto"/>
              </w:rPr>
              <w:t xml:space="preserve">: </w:t>
            </w:r>
            <w:r w:rsidRPr="009340F2">
              <w:rPr>
                <w:i w:val="0"/>
                <w:color w:val="auto"/>
                <w:lang w:eastAsia="en-US"/>
              </w:rPr>
              <w:t>$11,775/QALY</w:t>
            </w:r>
          </w:p>
        </w:tc>
      </w:tr>
      <w:tr w:rsidR="00942750" w:rsidRPr="009340F2" w14:paraId="79D628E7" w14:textId="77777777" w:rsidTr="0065682D">
        <w:tc>
          <w:tcPr>
            <w:tcW w:w="1569" w:type="pct"/>
          </w:tcPr>
          <w:p w14:paraId="07093BB2" w14:textId="5D1D973B" w:rsidR="00942750" w:rsidRPr="009340F2" w:rsidRDefault="00942750" w:rsidP="00365211">
            <w:pPr>
              <w:pStyle w:val="Tablecomment"/>
              <w:rPr>
                <w:i w:val="0"/>
                <w:snapToGrid w:val="0"/>
                <w:color w:val="auto"/>
              </w:rPr>
            </w:pPr>
            <w:r w:rsidRPr="009340F2">
              <w:rPr>
                <w:i w:val="0"/>
                <w:snapToGrid w:val="0"/>
                <w:color w:val="auto"/>
              </w:rPr>
              <w:t xml:space="preserve">Percentage local disease at baseline (additional analysis for </w:t>
            </w:r>
            <w:r w:rsidR="006F02E2" w:rsidRPr="009340F2">
              <w:rPr>
                <w:i w:val="0"/>
                <w:snapToGrid w:val="0"/>
                <w:color w:val="auto"/>
              </w:rPr>
              <w:t>C</w:t>
            </w:r>
            <w:r w:rsidRPr="009340F2">
              <w:rPr>
                <w:i w:val="0"/>
                <w:snapToGrid w:val="0"/>
                <w:color w:val="auto"/>
              </w:rPr>
              <w:t>ommentary)</w:t>
            </w:r>
          </w:p>
        </w:tc>
        <w:tc>
          <w:tcPr>
            <w:tcW w:w="1573" w:type="pct"/>
          </w:tcPr>
          <w:p w14:paraId="0843C9D3" w14:textId="77777777" w:rsidR="00942750" w:rsidRPr="009340F2" w:rsidRDefault="00942750" w:rsidP="00365211">
            <w:pPr>
              <w:pStyle w:val="Tablecomment"/>
              <w:rPr>
                <w:i w:val="0"/>
                <w:snapToGrid w:val="0"/>
                <w:color w:val="auto"/>
                <w:lang w:eastAsia="en-US"/>
              </w:rPr>
            </w:pPr>
            <w:r w:rsidRPr="009340F2">
              <w:rPr>
                <w:i w:val="0"/>
                <w:snapToGrid w:val="0"/>
                <w:color w:val="auto"/>
              </w:rPr>
              <w:t>Decreased from 0.638 to 0.185</w:t>
            </w:r>
          </w:p>
        </w:tc>
        <w:tc>
          <w:tcPr>
            <w:tcW w:w="1858" w:type="pct"/>
          </w:tcPr>
          <w:p w14:paraId="0D5465E8" w14:textId="117E3FAF" w:rsidR="00942750" w:rsidRPr="009340F2" w:rsidRDefault="00942750" w:rsidP="00365211">
            <w:pPr>
              <w:pStyle w:val="Tablecomment"/>
              <w:rPr>
                <w:i w:val="0"/>
                <w:snapToGrid w:val="0"/>
                <w:color w:val="auto"/>
                <w:lang w:eastAsia="en-US"/>
              </w:rPr>
            </w:pPr>
            <w:r w:rsidRPr="009340F2">
              <w:rPr>
                <w:i w:val="0"/>
                <w:color w:val="auto"/>
              </w:rPr>
              <w:t>High</w:t>
            </w:r>
            <w:r w:rsidR="00896027" w:rsidRPr="009340F2">
              <w:rPr>
                <w:i w:val="0"/>
                <w:color w:val="auto"/>
              </w:rPr>
              <w:t xml:space="preserve">: </w:t>
            </w:r>
            <w:r w:rsidRPr="009340F2">
              <w:rPr>
                <w:i w:val="0"/>
                <w:color w:val="auto"/>
              </w:rPr>
              <w:t>$12,299</w:t>
            </w:r>
            <w:r w:rsidR="00896027" w:rsidRPr="009340F2">
              <w:rPr>
                <w:i w:val="0"/>
                <w:color w:val="auto"/>
              </w:rPr>
              <w:t>/QALY</w:t>
            </w:r>
          </w:p>
        </w:tc>
      </w:tr>
    </w:tbl>
    <w:p w14:paraId="27EC2BE4" w14:textId="29E6FCDA" w:rsidR="00942750" w:rsidRDefault="00942750" w:rsidP="006F02E2">
      <w:pPr>
        <w:pStyle w:val="Tablenotes"/>
      </w:pPr>
      <w:r w:rsidRPr="00AC7B08">
        <w:rPr>
          <w:b/>
        </w:rPr>
        <w:t>Abbreviations:</w:t>
      </w:r>
      <w:r w:rsidRPr="00AC7B08">
        <w:t xml:space="preserve"> CT = computed to</w:t>
      </w:r>
      <w:r>
        <w:t>m</w:t>
      </w:r>
      <w:r w:rsidRPr="00AC7B08">
        <w:t xml:space="preserve">ography; </w:t>
      </w:r>
      <w:r w:rsidR="00896027">
        <w:t xml:space="preserve">DM = distant metastases; </w:t>
      </w:r>
      <w:r w:rsidRPr="00AC7B08">
        <w:t xml:space="preserve">PET = positron emission tomography; </w:t>
      </w:r>
      <w:r>
        <w:t xml:space="preserve">PSA = prostate specific antigen; </w:t>
      </w:r>
      <w:r w:rsidRPr="00AC7B08">
        <w:t>PSMA = prostate</w:t>
      </w:r>
      <w:r>
        <w:t>-</w:t>
      </w:r>
      <w:r w:rsidRPr="00AC7B08">
        <w:t>specific membrane antigen; QALY = quality</w:t>
      </w:r>
      <w:r>
        <w:t>-</w:t>
      </w:r>
      <w:r w:rsidRPr="00AC7B08">
        <w:t>adjusted life year</w:t>
      </w:r>
      <w:r>
        <w:t>.</w:t>
      </w:r>
    </w:p>
    <w:p w14:paraId="421B66C5" w14:textId="22E0E1CC" w:rsidR="00942750" w:rsidRPr="006271C5" w:rsidRDefault="00942750" w:rsidP="006271C5">
      <w:pPr>
        <w:pStyle w:val="Tablenotes"/>
      </w:pPr>
      <w:r>
        <w:rPr>
          <w:b/>
          <w:bCs/>
        </w:rPr>
        <w:t xml:space="preserve">Source: </w:t>
      </w:r>
      <w:r>
        <w:t>Table 17, p27 of the Commentary</w:t>
      </w:r>
    </w:p>
    <w:p w14:paraId="6F590057" w14:textId="6C3CE992" w:rsidR="00E16C06" w:rsidRPr="006271C5" w:rsidRDefault="00065623" w:rsidP="00E16C06">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Financial/budgetary impacts</w:t>
      </w:r>
    </w:p>
    <w:p w14:paraId="1457FB4D" w14:textId="48F313D7" w:rsidR="00867637" w:rsidRDefault="00E16C06" w:rsidP="006F02E2">
      <w:pPr>
        <w:pStyle w:val="BodyText"/>
        <w:spacing w:after="0"/>
      </w:pPr>
      <w:r w:rsidRPr="00831547">
        <w:t xml:space="preserve">The </w:t>
      </w:r>
      <w:r>
        <w:t>ADAR</w:t>
      </w:r>
      <w:r w:rsidRPr="00831547">
        <w:t xml:space="preserve"> used a market share and epidemiological approach to estimate the financial implications of the introduction of PSMA PET/CT in </w:t>
      </w:r>
      <w:r>
        <w:t xml:space="preserve">the staging of </w:t>
      </w:r>
      <w:r w:rsidRPr="00831547">
        <w:t>prostate cancer for</w:t>
      </w:r>
      <w:r>
        <w:t xml:space="preserve"> the</w:t>
      </w:r>
      <w:r w:rsidRPr="00831547">
        <w:t xml:space="preserve"> </w:t>
      </w:r>
      <w:r>
        <w:t>two proposed p</w:t>
      </w:r>
      <w:r w:rsidRPr="00831547">
        <w:t>opulations</w:t>
      </w:r>
      <w:r>
        <w:t>.</w:t>
      </w:r>
      <w:r w:rsidR="009E510C">
        <w:t xml:space="preserve"> </w:t>
      </w:r>
      <w:r w:rsidRPr="00AF0D77">
        <w:t xml:space="preserve">For </w:t>
      </w:r>
      <w:r w:rsidR="003E585F">
        <w:t>primary staging</w:t>
      </w:r>
      <w:r w:rsidRPr="00AF0D77">
        <w:t xml:space="preserve">, this approach </w:t>
      </w:r>
      <w:r w:rsidR="006B2CE8">
        <w:t>wa</w:t>
      </w:r>
      <w:r w:rsidRPr="00AF0D77">
        <w:t xml:space="preserve">s based on the projected number of new cases of prostate cancer and </w:t>
      </w:r>
      <w:r>
        <w:t>then estimating the proportion of intermediate- to high-risk prostate cancer patients.</w:t>
      </w:r>
      <w:r w:rsidRPr="00AF0D77">
        <w:t xml:space="preserve"> For </w:t>
      </w:r>
      <w:r w:rsidR="003E585F">
        <w:t>restaging</w:t>
      </w:r>
      <w:r w:rsidRPr="00AF0D77">
        <w:t xml:space="preserve">, the </w:t>
      </w:r>
      <w:r>
        <w:t>5</w:t>
      </w:r>
      <w:r w:rsidRPr="00AF0D77">
        <w:t>-year prevalence of prostate cancer was used</w:t>
      </w:r>
      <w:r>
        <w:t>,</w:t>
      </w:r>
      <w:r w:rsidRPr="00AF0D77">
        <w:t xml:space="preserve"> and relevant data and assumptions applied to identify the number of patients eligible each </w:t>
      </w:r>
      <w:r w:rsidRPr="007C1B91">
        <w:t>year</w:t>
      </w:r>
      <w:r>
        <w:t xml:space="preserve">. </w:t>
      </w:r>
      <w:r w:rsidRPr="00B03DC6">
        <w:t xml:space="preserve">The 10-year rate of BCR in </w:t>
      </w:r>
      <w:hyperlink w:anchor="_ENREF_74" w:tooltip="Jones, 2011 #1" w:history="1">
        <w:r>
          <w:fldChar w:fldCharType="begin"/>
        </w:r>
        <w:r>
          <w:instrText xml:space="preserve"> ADDIN EN.CITE &lt;EndNote&gt;&lt;Cite AuthorYear="1"&gt;&lt;Author&gt;Jones&lt;/Author&gt;&lt;Year&gt;2011&lt;/Year&gt;&lt;RecNum&gt;4&lt;/RecNum&gt;&lt;DisplayText&gt;Jones et al. (2011)&lt;/DisplayText&gt;&lt;record&gt;&lt;rec-number&gt;4&lt;/rec-number&gt;&lt;foreign-keys&gt;&lt;key app="EN" db-id="v5vzprzt59z9aaeraawvatr2avfxsvzdw22d" timestamp="1612784371"&gt;4&lt;/key&gt;&lt;/foreign-keys&gt;&lt;ref-type name="Journal Article"&gt;17&lt;/ref-type&gt;&lt;contributors&gt;&lt;authors&gt;&lt;author&gt;Jones, Christopher U.&lt;/author&gt;&lt;author&gt;Hunt, Daniel&lt;/author&gt;&lt;author&gt;McGowan, David G.&lt;/author&gt;&lt;author&gt;Amin, Mahul B.&lt;/author&gt;&lt;author&gt;Chetner, Michael P.&lt;/author&gt;&lt;author&gt;Bruner, Deborah W.&lt;/author&gt;&lt;author&gt;Leibenhaut, Mark H.&lt;/author&gt;&lt;author&gt;Husain, Siraj M.&lt;/author&gt;&lt;author&gt;Rotman, Marvin&lt;/author&gt;&lt;author&gt;Souhami, Luis&lt;/author&gt;&lt;author&gt;Sandler, Howard M.&lt;/author&gt;&lt;author&gt;Shipley, William U.&lt;/author&gt;&lt;/authors&gt;&lt;/contributors&gt;&lt;titles&gt;&lt;title&gt;Radiotherapy and Short-Term Androgen Deprivation for Localized Prostate Cancer&lt;/title&gt;&lt;secondary-title&gt;New England Journal of Medicine&lt;/secondary-title&gt;&lt;/titles&gt;&lt;pages&gt;107-118&lt;/pages&gt;&lt;volume&gt;365&lt;/volume&gt;&lt;number&gt;2&lt;/number&gt;&lt;dates&gt;&lt;year&gt;2011&lt;/year&gt;&lt;/dates&gt;&lt;publisher&gt;Massachusetts Medical Society&lt;/publisher&gt;&lt;isbn&gt;0028-4793&lt;/isbn&gt;&lt;urls&gt;&lt;related-urls&gt;&lt;url&gt;https://dx.doi.org/10.1056/nejmoa1012348&lt;/url&gt;&lt;/related-urls&gt;&lt;pdf-urls&gt;&lt;url&gt;file://C:\Users\AiyaTaylor\Downloads\kopernio\Jones-2011-Radiotherapy-and-short-term-androge.pdf&lt;/url&gt;&lt;/pdf-urls&gt;&lt;/urls&gt;&lt;electronic-resource-num&gt;10.1056/nejmoa1012348&lt;/electronic-resource-num&gt;&lt;/record&gt;&lt;/Cite&gt;&lt;/EndNote&gt;</w:instrText>
        </w:r>
        <w:r>
          <w:fldChar w:fldCharType="separate"/>
        </w:r>
        <w:r>
          <w:rPr>
            <w:noProof/>
          </w:rPr>
          <w:t>Jones et al. (2011</w:t>
        </w:r>
        <w:r w:rsidR="00867637">
          <w:rPr>
            <w:rStyle w:val="FootnoteReference"/>
            <w:noProof/>
          </w:rPr>
          <w:footnoteReference w:id="20"/>
        </w:r>
        <w:r>
          <w:rPr>
            <w:noProof/>
          </w:rPr>
          <w:t>)</w:t>
        </w:r>
        <w:r>
          <w:fldChar w:fldCharType="end"/>
        </w:r>
      </w:hyperlink>
      <w:r>
        <w:t xml:space="preserve"> was u</w:t>
      </w:r>
      <w:r w:rsidRPr="00B03DC6">
        <w:t>sed to estimate the annual rate and probability of patients who have a recurrence in a given year.</w:t>
      </w:r>
      <w:r w:rsidR="006F02E2">
        <w:t xml:space="preserve"> </w:t>
      </w:r>
      <w:r>
        <w:t>Consistent with the economic evaluation, the proportion of patients with PSA </w:t>
      </w:r>
      <w:r w:rsidR="005D77C0">
        <w:sym w:font="Symbol" w:char="F0B3"/>
      </w:r>
      <w:r w:rsidRPr="00ED1B88">
        <w:t>1.0</w:t>
      </w:r>
      <w:r w:rsidR="008947B2">
        <w:t> </w:t>
      </w:r>
      <w:r w:rsidRPr="00ED1B88">
        <w:t xml:space="preserve">ng/ml </w:t>
      </w:r>
      <w:r>
        <w:t xml:space="preserve">and who undergo CVI was estimated from </w:t>
      </w:r>
      <w:proofErr w:type="spellStart"/>
      <w:r w:rsidR="009E510C">
        <w:t>Fendler</w:t>
      </w:r>
      <w:proofErr w:type="spellEnd"/>
      <w:r w:rsidR="009E510C">
        <w:t xml:space="preserve"> et al. (</w:t>
      </w:r>
      <w:r>
        <w:t>2019</w:t>
      </w:r>
      <w:r w:rsidR="009E510C">
        <w:t>)</w:t>
      </w:r>
      <w:r w:rsidRPr="00E16C06">
        <w:t>.</w:t>
      </w:r>
      <w:r w:rsidR="00867637" w:rsidRPr="00867637">
        <w:t xml:space="preserve"> </w:t>
      </w:r>
      <w:r w:rsidR="00867637">
        <w:t xml:space="preserve">It was assumed that all patients who receive CVI in current clinical practice will receive PSMA PET/CT if listed and approximately one-quarter of patients who currently receive no imaging will receive PSMA PET/CT if listed. The repeat test rates were also applied to identify the number of patients eligible each year. </w:t>
      </w:r>
      <w:r w:rsidR="00867637" w:rsidRPr="00814A60">
        <w:t>Net costs were calculated based on the absolute reduction in the use of conventional imaging.</w:t>
      </w:r>
    </w:p>
    <w:p w14:paraId="667014C2" w14:textId="74D9443E" w:rsidR="007D45E4" w:rsidRPr="007D45E4" w:rsidRDefault="00E16C06" w:rsidP="007D45E4">
      <w:pPr>
        <w:tabs>
          <w:tab w:val="left" w:pos="720"/>
          <w:tab w:val="left" w:pos="1140"/>
        </w:tabs>
        <w:spacing w:before="240"/>
      </w:pPr>
      <w:r>
        <w:t>F</w:t>
      </w:r>
      <w:r w:rsidRPr="006E7093">
        <w:t xml:space="preserve">inancial implications to the MBS </w:t>
      </w:r>
      <w:r>
        <w:t xml:space="preserve">that would result from </w:t>
      </w:r>
      <w:r w:rsidRPr="006E7093">
        <w:t>listing PSMA PET/CT are summarised in</w:t>
      </w:r>
      <w:r>
        <w:t xml:space="preserve"> Table 1</w:t>
      </w:r>
      <w:r w:rsidR="00467542">
        <w:t>7</w:t>
      </w:r>
      <w:r w:rsidR="008947B2">
        <w:t>.</w:t>
      </w:r>
      <w:bookmarkStart w:id="52" w:name="_Ref68701648"/>
      <w:bookmarkStart w:id="53" w:name="_Toc71729658"/>
      <w:r w:rsidR="007D45E4">
        <w:br w:type="page"/>
      </w:r>
    </w:p>
    <w:p w14:paraId="428AAC10" w14:textId="4BCF2FF8" w:rsidR="00867637" w:rsidRDefault="00867637" w:rsidP="00867637">
      <w:pPr>
        <w:pStyle w:val="Caption"/>
      </w:pPr>
      <w:r>
        <w:t>Table</w:t>
      </w:r>
      <w:bookmarkEnd w:id="52"/>
      <w:r w:rsidR="008947B2">
        <w:t xml:space="preserve"> 1</w:t>
      </w:r>
      <w:r w:rsidR="00467542">
        <w:t>7</w:t>
      </w:r>
      <w:r>
        <w:tab/>
        <w:t>Total costs to the MBS associated with listing PSMA PET/CT for prostate cancer</w:t>
      </w:r>
      <w:bookmarkEnd w:id="53"/>
      <w:r w:rsidR="008D571A">
        <w:t xml:space="preserve"> </w:t>
      </w:r>
      <w:r w:rsidR="008D571A" w:rsidRPr="006F02E2">
        <w:rPr>
          <w:i/>
        </w:rPr>
        <w:t>(ESC values add</w:t>
      </w:r>
      <w:r w:rsidR="006F02E2">
        <w:rPr>
          <w:i/>
        </w:rPr>
        <w:t>ed</w:t>
      </w:r>
      <w:r w:rsidR="008D571A" w:rsidRPr="006F02E2">
        <w:rPr>
          <w:i/>
        </w:rPr>
        <w:t xml:space="preserve"> in)</w:t>
      </w:r>
    </w:p>
    <w:tbl>
      <w:tblPr>
        <w:tblStyle w:val="TableGrid1"/>
        <w:tblW w:w="0" w:type="auto"/>
        <w:tblLayout w:type="fixed"/>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1996"/>
        <w:gridCol w:w="1403"/>
        <w:gridCol w:w="1109"/>
        <w:gridCol w:w="294"/>
        <w:gridCol w:w="1405"/>
        <w:gridCol w:w="555"/>
        <w:gridCol w:w="848"/>
        <w:gridCol w:w="1406"/>
      </w:tblGrid>
      <w:tr w:rsidR="00867637" w:rsidRPr="006E7093" w14:paraId="3D52E2A5" w14:textId="77777777" w:rsidTr="00AE148C">
        <w:trPr>
          <w:cnfStyle w:val="100000000000" w:firstRow="1" w:lastRow="0" w:firstColumn="0" w:lastColumn="0" w:oddVBand="0" w:evenVBand="0" w:oddHBand="0" w:evenHBand="0" w:firstRowFirstColumn="0" w:firstRowLastColumn="0" w:lastRowFirstColumn="0" w:lastRowLastColumn="0"/>
          <w:trHeight w:val="300"/>
          <w:tblHeader/>
        </w:trPr>
        <w:tc>
          <w:tcPr>
            <w:tcW w:w="1996" w:type="dxa"/>
            <w:tcBorders>
              <w:bottom w:val="single" w:sz="4" w:space="0" w:color="auto"/>
            </w:tcBorders>
            <w:shd w:val="clear" w:color="auto" w:fill="auto"/>
            <w:vAlign w:val="center"/>
          </w:tcPr>
          <w:p w14:paraId="5CF7C6D0" w14:textId="77777777" w:rsidR="00867637" w:rsidRPr="006E7093" w:rsidRDefault="00867637" w:rsidP="00365211">
            <w:pPr>
              <w:tabs>
                <w:tab w:val="left" w:pos="851"/>
              </w:tabs>
              <w:spacing w:after="40"/>
              <w:ind w:left="851" w:hanging="851"/>
              <w:rPr>
                <w:rFonts w:ascii="Arial Narrow" w:hAnsi="Arial Narrow"/>
                <w:b/>
              </w:rPr>
            </w:pPr>
            <w:r w:rsidRPr="006E7093">
              <w:rPr>
                <w:rFonts w:ascii="Arial Narrow" w:hAnsi="Arial Narrow"/>
                <w:b/>
                <w:color w:val="FFFFFF" w:themeColor="background1"/>
              </w:rPr>
              <w:t>-</w:t>
            </w:r>
          </w:p>
        </w:tc>
        <w:tc>
          <w:tcPr>
            <w:tcW w:w="1403" w:type="dxa"/>
            <w:tcBorders>
              <w:bottom w:val="single" w:sz="4" w:space="0" w:color="auto"/>
            </w:tcBorders>
          </w:tcPr>
          <w:p w14:paraId="28931412" w14:textId="77777777" w:rsidR="00867637" w:rsidRPr="006E7093" w:rsidRDefault="00867637" w:rsidP="006F02E2">
            <w:pPr>
              <w:widowControl w:val="0"/>
              <w:tabs>
                <w:tab w:val="left" w:pos="851"/>
              </w:tabs>
              <w:spacing w:after="40"/>
              <w:jc w:val="center"/>
              <w:rPr>
                <w:rFonts w:ascii="Arial Narrow" w:hAnsi="Arial Narrow"/>
                <w:b/>
                <w:bCs/>
              </w:rPr>
            </w:pPr>
            <w:r w:rsidRPr="006E7093">
              <w:rPr>
                <w:rFonts w:ascii="Arial Narrow" w:hAnsi="Arial Narrow"/>
                <w:b/>
                <w:bCs/>
              </w:rPr>
              <w:t>2021</w:t>
            </w:r>
          </w:p>
        </w:tc>
        <w:tc>
          <w:tcPr>
            <w:tcW w:w="1403" w:type="dxa"/>
            <w:gridSpan w:val="2"/>
            <w:tcBorders>
              <w:bottom w:val="single" w:sz="4" w:space="0" w:color="auto"/>
            </w:tcBorders>
            <w:shd w:val="clear" w:color="auto" w:fill="auto"/>
          </w:tcPr>
          <w:p w14:paraId="2D75CFB5" w14:textId="77777777" w:rsidR="00867637" w:rsidRPr="006E7093" w:rsidRDefault="00867637" w:rsidP="006F02E2">
            <w:pPr>
              <w:widowControl w:val="0"/>
              <w:tabs>
                <w:tab w:val="left" w:pos="851"/>
              </w:tabs>
              <w:spacing w:after="40"/>
              <w:jc w:val="center"/>
              <w:rPr>
                <w:rFonts w:ascii="Arial Narrow" w:hAnsi="Arial Narrow"/>
                <w:b/>
                <w:bCs/>
              </w:rPr>
            </w:pPr>
            <w:r w:rsidRPr="006E7093">
              <w:rPr>
                <w:rFonts w:ascii="Arial Narrow" w:hAnsi="Arial Narrow"/>
                <w:b/>
                <w:bCs/>
              </w:rPr>
              <w:t>2022</w:t>
            </w:r>
          </w:p>
        </w:tc>
        <w:tc>
          <w:tcPr>
            <w:tcW w:w="1405" w:type="dxa"/>
            <w:tcBorders>
              <w:bottom w:val="single" w:sz="4" w:space="0" w:color="auto"/>
            </w:tcBorders>
            <w:shd w:val="clear" w:color="auto" w:fill="auto"/>
          </w:tcPr>
          <w:p w14:paraId="1BAE0C14" w14:textId="77777777" w:rsidR="00867637" w:rsidRPr="006E7093" w:rsidRDefault="00867637" w:rsidP="006F02E2">
            <w:pPr>
              <w:widowControl w:val="0"/>
              <w:tabs>
                <w:tab w:val="left" w:pos="851"/>
              </w:tabs>
              <w:spacing w:after="40"/>
              <w:jc w:val="center"/>
              <w:rPr>
                <w:rFonts w:ascii="Arial Narrow" w:hAnsi="Arial Narrow"/>
                <w:b/>
                <w:bCs/>
              </w:rPr>
            </w:pPr>
            <w:r w:rsidRPr="006E7093">
              <w:rPr>
                <w:rFonts w:ascii="Arial Narrow" w:hAnsi="Arial Narrow"/>
                <w:b/>
                <w:bCs/>
              </w:rPr>
              <w:t>2023</w:t>
            </w:r>
          </w:p>
        </w:tc>
        <w:tc>
          <w:tcPr>
            <w:tcW w:w="1403" w:type="dxa"/>
            <w:gridSpan w:val="2"/>
            <w:tcBorders>
              <w:bottom w:val="single" w:sz="4" w:space="0" w:color="auto"/>
            </w:tcBorders>
            <w:shd w:val="clear" w:color="auto" w:fill="auto"/>
          </w:tcPr>
          <w:p w14:paraId="7F120D04" w14:textId="77777777" w:rsidR="00867637" w:rsidRPr="006E7093" w:rsidRDefault="00867637" w:rsidP="006F02E2">
            <w:pPr>
              <w:widowControl w:val="0"/>
              <w:tabs>
                <w:tab w:val="left" w:pos="851"/>
              </w:tabs>
              <w:spacing w:after="40"/>
              <w:jc w:val="center"/>
              <w:rPr>
                <w:rFonts w:ascii="Arial Narrow" w:hAnsi="Arial Narrow"/>
                <w:b/>
                <w:bCs/>
              </w:rPr>
            </w:pPr>
            <w:r w:rsidRPr="006E7093">
              <w:rPr>
                <w:rFonts w:ascii="Arial Narrow" w:hAnsi="Arial Narrow"/>
                <w:b/>
                <w:bCs/>
              </w:rPr>
              <w:t>2024</w:t>
            </w:r>
          </w:p>
        </w:tc>
        <w:tc>
          <w:tcPr>
            <w:tcW w:w="1406" w:type="dxa"/>
            <w:tcBorders>
              <w:bottom w:val="single" w:sz="4" w:space="0" w:color="auto"/>
            </w:tcBorders>
            <w:shd w:val="clear" w:color="auto" w:fill="auto"/>
          </w:tcPr>
          <w:p w14:paraId="728A43AB" w14:textId="77777777" w:rsidR="00867637" w:rsidRPr="006E7093" w:rsidRDefault="00867637" w:rsidP="006F02E2">
            <w:pPr>
              <w:widowControl w:val="0"/>
              <w:tabs>
                <w:tab w:val="left" w:pos="851"/>
              </w:tabs>
              <w:spacing w:after="40"/>
              <w:jc w:val="center"/>
              <w:rPr>
                <w:rFonts w:ascii="Arial Narrow" w:hAnsi="Arial Narrow"/>
                <w:b/>
                <w:bCs/>
              </w:rPr>
            </w:pPr>
            <w:r w:rsidRPr="006E7093">
              <w:rPr>
                <w:rFonts w:ascii="Arial Narrow" w:hAnsi="Arial Narrow"/>
                <w:b/>
                <w:bCs/>
              </w:rPr>
              <w:t>2025</w:t>
            </w:r>
          </w:p>
        </w:tc>
      </w:tr>
      <w:tr w:rsidR="00867637" w:rsidRPr="006E7093" w14:paraId="4C56BCE5" w14:textId="77777777" w:rsidTr="00AE148C">
        <w:trPr>
          <w:trHeight w:val="300"/>
        </w:trPr>
        <w:tc>
          <w:tcPr>
            <w:tcW w:w="4508" w:type="dxa"/>
            <w:gridSpan w:val="3"/>
            <w:tcBorders>
              <w:top w:val="single" w:sz="4" w:space="0" w:color="auto"/>
              <w:left w:val="single" w:sz="4" w:space="0" w:color="auto"/>
              <w:bottom w:val="single" w:sz="4" w:space="0" w:color="auto"/>
              <w:right w:val="nil"/>
            </w:tcBorders>
            <w:shd w:val="clear" w:color="auto" w:fill="F2F2F2" w:themeFill="background1" w:themeFillShade="F2"/>
          </w:tcPr>
          <w:p w14:paraId="2FCDA098" w14:textId="77777777" w:rsidR="00867637" w:rsidRPr="006E7093" w:rsidRDefault="00867637" w:rsidP="00365211">
            <w:pPr>
              <w:widowControl w:val="0"/>
              <w:tabs>
                <w:tab w:val="left" w:pos="851"/>
              </w:tabs>
              <w:spacing w:after="40"/>
            </w:pPr>
            <w:r w:rsidRPr="006E7093">
              <w:t>Cost of PSMA PET/CT services</w:t>
            </w:r>
          </w:p>
        </w:tc>
        <w:tc>
          <w:tcPr>
            <w:tcW w:w="2254" w:type="dxa"/>
            <w:gridSpan w:val="3"/>
            <w:tcBorders>
              <w:top w:val="single" w:sz="4" w:space="0" w:color="auto"/>
              <w:left w:val="nil"/>
              <w:bottom w:val="single" w:sz="4" w:space="0" w:color="auto"/>
              <w:right w:val="nil"/>
            </w:tcBorders>
            <w:shd w:val="clear" w:color="auto" w:fill="F2F2F2" w:themeFill="background1" w:themeFillShade="F2"/>
          </w:tcPr>
          <w:p w14:paraId="7E96BA16" w14:textId="77777777" w:rsidR="00867637" w:rsidRPr="006E7093" w:rsidRDefault="00867637" w:rsidP="00365211">
            <w:pPr>
              <w:widowControl w:val="0"/>
              <w:tabs>
                <w:tab w:val="left" w:pos="851"/>
              </w:tabs>
              <w:spacing w:after="40"/>
            </w:pPr>
          </w:p>
        </w:tc>
        <w:tc>
          <w:tcPr>
            <w:tcW w:w="2254"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776DDA25" w14:textId="77777777" w:rsidR="00867637" w:rsidRPr="006E7093" w:rsidRDefault="00867637" w:rsidP="00365211">
            <w:pPr>
              <w:widowControl w:val="0"/>
              <w:tabs>
                <w:tab w:val="left" w:pos="851"/>
              </w:tabs>
              <w:spacing w:after="40"/>
            </w:pPr>
          </w:p>
        </w:tc>
      </w:tr>
      <w:tr w:rsidR="00867637" w:rsidRPr="006E7093" w14:paraId="3AB6ED37" w14:textId="77777777" w:rsidTr="00AE148C">
        <w:trPr>
          <w:trHeight w:val="300"/>
        </w:trPr>
        <w:tc>
          <w:tcPr>
            <w:tcW w:w="4802" w:type="dxa"/>
            <w:gridSpan w:val="4"/>
            <w:tcBorders>
              <w:top w:val="single" w:sz="4" w:space="0" w:color="auto"/>
              <w:left w:val="single" w:sz="4" w:space="0" w:color="auto"/>
              <w:bottom w:val="single" w:sz="4" w:space="0" w:color="auto"/>
              <w:right w:val="nil"/>
            </w:tcBorders>
            <w:shd w:val="clear" w:color="auto" w:fill="auto"/>
          </w:tcPr>
          <w:p w14:paraId="369975FB" w14:textId="77777777" w:rsidR="00867637" w:rsidRPr="006E7093" w:rsidRDefault="00867637" w:rsidP="00365211">
            <w:pPr>
              <w:spacing w:after="40"/>
              <w:rPr>
                <w:lang w:eastAsia="en-US"/>
              </w:rPr>
            </w:pPr>
            <w:r w:rsidRPr="006E7093">
              <w:rPr>
                <w:lang w:eastAsia="en-US"/>
              </w:rPr>
              <w:t>Total number of services</w:t>
            </w:r>
          </w:p>
        </w:tc>
        <w:tc>
          <w:tcPr>
            <w:tcW w:w="1405" w:type="dxa"/>
            <w:tcBorders>
              <w:top w:val="single" w:sz="4" w:space="0" w:color="auto"/>
              <w:left w:val="nil"/>
              <w:bottom w:val="single" w:sz="4" w:space="0" w:color="auto"/>
              <w:right w:val="nil"/>
            </w:tcBorders>
            <w:shd w:val="clear" w:color="auto" w:fill="auto"/>
            <w:vAlign w:val="bottom"/>
          </w:tcPr>
          <w:p w14:paraId="38500164" w14:textId="77777777" w:rsidR="00867637" w:rsidRPr="006E7093" w:rsidRDefault="00867637" w:rsidP="00365211">
            <w:pPr>
              <w:spacing w:after="40"/>
              <w:rPr>
                <w:lang w:eastAsia="en-US"/>
              </w:rPr>
            </w:pPr>
          </w:p>
        </w:tc>
        <w:tc>
          <w:tcPr>
            <w:tcW w:w="1403" w:type="dxa"/>
            <w:gridSpan w:val="2"/>
            <w:tcBorders>
              <w:top w:val="single" w:sz="4" w:space="0" w:color="auto"/>
              <w:left w:val="nil"/>
              <w:bottom w:val="single" w:sz="4" w:space="0" w:color="auto"/>
              <w:right w:val="nil"/>
            </w:tcBorders>
            <w:shd w:val="clear" w:color="auto" w:fill="auto"/>
            <w:vAlign w:val="bottom"/>
          </w:tcPr>
          <w:p w14:paraId="70521FAF" w14:textId="77777777" w:rsidR="00867637" w:rsidRPr="006E7093" w:rsidRDefault="00867637" w:rsidP="00365211">
            <w:pPr>
              <w:spacing w:after="40"/>
              <w:rPr>
                <w:lang w:eastAsia="en-US"/>
              </w:rPr>
            </w:pPr>
          </w:p>
        </w:tc>
        <w:tc>
          <w:tcPr>
            <w:tcW w:w="1406" w:type="dxa"/>
            <w:tcBorders>
              <w:top w:val="single" w:sz="4" w:space="0" w:color="auto"/>
              <w:left w:val="nil"/>
              <w:bottom w:val="single" w:sz="4" w:space="0" w:color="auto"/>
              <w:right w:val="single" w:sz="4" w:space="0" w:color="auto"/>
            </w:tcBorders>
            <w:shd w:val="clear" w:color="auto" w:fill="auto"/>
            <w:vAlign w:val="bottom"/>
          </w:tcPr>
          <w:p w14:paraId="19966BEC" w14:textId="77777777" w:rsidR="00867637" w:rsidRPr="006E7093" w:rsidRDefault="00867637" w:rsidP="00365211">
            <w:pPr>
              <w:spacing w:after="40"/>
              <w:rPr>
                <w:lang w:eastAsia="en-US"/>
              </w:rPr>
            </w:pPr>
          </w:p>
        </w:tc>
      </w:tr>
      <w:tr w:rsidR="00867637" w:rsidRPr="006E7093" w14:paraId="259F86EA" w14:textId="77777777" w:rsidTr="00AE148C">
        <w:trPr>
          <w:trHeight w:val="300"/>
        </w:trPr>
        <w:tc>
          <w:tcPr>
            <w:tcW w:w="1996" w:type="dxa"/>
            <w:tcBorders>
              <w:top w:val="single" w:sz="4" w:space="0" w:color="auto"/>
              <w:right w:val="single" w:sz="4" w:space="0" w:color="auto"/>
            </w:tcBorders>
            <w:shd w:val="clear" w:color="auto" w:fill="auto"/>
          </w:tcPr>
          <w:p w14:paraId="16B71E77" w14:textId="6ED248BE" w:rsidR="00867637" w:rsidRPr="006E7093" w:rsidRDefault="00867637" w:rsidP="00365211">
            <w:pPr>
              <w:spacing w:after="40"/>
              <w:rPr>
                <w:lang w:eastAsia="en-US"/>
              </w:rPr>
            </w:pPr>
            <w:r w:rsidRPr="006E7093">
              <w:rPr>
                <w:lang w:eastAsia="en-US"/>
              </w:rPr>
              <w:t>P</w:t>
            </w:r>
            <w:r w:rsidR="003E585F">
              <w:rPr>
                <w:lang w:eastAsia="en-US"/>
              </w:rPr>
              <w:t>rimary staging</w:t>
            </w:r>
          </w:p>
        </w:tc>
        <w:tc>
          <w:tcPr>
            <w:tcW w:w="1403" w:type="dxa"/>
            <w:tcBorders>
              <w:top w:val="single" w:sz="4" w:space="0" w:color="auto"/>
              <w:left w:val="single" w:sz="4" w:space="0" w:color="auto"/>
              <w:right w:val="single" w:sz="4" w:space="0" w:color="auto"/>
            </w:tcBorders>
          </w:tcPr>
          <w:p w14:paraId="0A1879A6" w14:textId="794D1AD2" w:rsidR="00867637" w:rsidRPr="006E7093" w:rsidRDefault="00867637" w:rsidP="006F02E2">
            <w:pPr>
              <w:spacing w:after="40"/>
              <w:jc w:val="center"/>
            </w:pPr>
            <w:r w:rsidRPr="006E7093">
              <w:t>14,141</w:t>
            </w:r>
          </w:p>
        </w:tc>
        <w:tc>
          <w:tcPr>
            <w:tcW w:w="1403" w:type="dxa"/>
            <w:gridSpan w:val="2"/>
            <w:tcBorders>
              <w:top w:val="single" w:sz="4" w:space="0" w:color="auto"/>
              <w:left w:val="single" w:sz="4" w:space="0" w:color="auto"/>
              <w:right w:val="single" w:sz="4" w:space="0" w:color="auto"/>
            </w:tcBorders>
            <w:shd w:val="clear" w:color="auto" w:fill="auto"/>
          </w:tcPr>
          <w:p w14:paraId="67FF948B" w14:textId="1E0AF4D5" w:rsidR="00867637" w:rsidRPr="006E7093" w:rsidRDefault="00867637" w:rsidP="006F02E2">
            <w:pPr>
              <w:spacing w:after="40"/>
              <w:jc w:val="center"/>
            </w:pPr>
            <w:r w:rsidRPr="006E7093">
              <w:t>14,368</w:t>
            </w:r>
          </w:p>
        </w:tc>
        <w:tc>
          <w:tcPr>
            <w:tcW w:w="1405" w:type="dxa"/>
            <w:tcBorders>
              <w:top w:val="single" w:sz="4" w:space="0" w:color="auto"/>
              <w:left w:val="single" w:sz="4" w:space="0" w:color="auto"/>
              <w:right w:val="single" w:sz="4" w:space="0" w:color="auto"/>
            </w:tcBorders>
            <w:shd w:val="clear" w:color="auto" w:fill="auto"/>
          </w:tcPr>
          <w:p w14:paraId="52F27E06" w14:textId="255F63AD" w:rsidR="00867637" w:rsidRPr="006E7093" w:rsidRDefault="00867637" w:rsidP="006F02E2">
            <w:pPr>
              <w:spacing w:after="40"/>
              <w:jc w:val="center"/>
            </w:pPr>
            <w:r w:rsidRPr="006E7093">
              <w:t>14,592</w:t>
            </w:r>
          </w:p>
        </w:tc>
        <w:tc>
          <w:tcPr>
            <w:tcW w:w="1403" w:type="dxa"/>
            <w:gridSpan w:val="2"/>
            <w:tcBorders>
              <w:top w:val="single" w:sz="4" w:space="0" w:color="auto"/>
              <w:left w:val="single" w:sz="4" w:space="0" w:color="auto"/>
              <w:right w:val="single" w:sz="4" w:space="0" w:color="auto"/>
            </w:tcBorders>
            <w:shd w:val="clear" w:color="auto" w:fill="auto"/>
          </w:tcPr>
          <w:p w14:paraId="3BD98ABD" w14:textId="577FA496" w:rsidR="00867637" w:rsidRPr="006E7093" w:rsidRDefault="00867637" w:rsidP="006F02E2">
            <w:pPr>
              <w:spacing w:after="40"/>
              <w:jc w:val="center"/>
            </w:pPr>
            <w:r w:rsidRPr="006E7093">
              <w:t>14,813</w:t>
            </w:r>
          </w:p>
        </w:tc>
        <w:tc>
          <w:tcPr>
            <w:tcW w:w="1406" w:type="dxa"/>
            <w:tcBorders>
              <w:top w:val="single" w:sz="4" w:space="0" w:color="auto"/>
              <w:left w:val="single" w:sz="4" w:space="0" w:color="auto"/>
              <w:right w:val="single" w:sz="4" w:space="0" w:color="auto"/>
            </w:tcBorders>
            <w:shd w:val="clear" w:color="auto" w:fill="auto"/>
          </w:tcPr>
          <w:p w14:paraId="23AC5758" w14:textId="56D9E5EF" w:rsidR="00867637" w:rsidRPr="006E7093" w:rsidRDefault="00867637" w:rsidP="006F02E2">
            <w:pPr>
              <w:spacing w:after="40"/>
              <w:jc w:val="center"/>
            </w:pPr>
            <w:r w:rsidRPr="006E7093">
              <w:t>15,031</w:t>
            </w:r>
          </w:p>
        </w:tc>
      </w:tr>
      <w:tr w:rsidR="00867637" w:rsidRPr="006E7093" w14:paraId="5237BDCE" w14:textId="77777777" w:rsidTr="00AE148C">
        <w:trPr>
          <w:trHeight w:val="70"/>
        </w:trPr>
        <w:tc>
          <w:tcPr>
            <w:tcW w:w="1996" w:type="dxa"/>
            <w:tcBorders>
              <w:right w:val="single" w:sz="4" w:space="0" w:color="auto"/>
            </w:tcBorders>
            <w:shd w:val="clear" w:color="auto" w:fill="auto"/>
          </w:tcPr>
          <w:p w14:paraId="74077E78" w14:textId="403F81FF" w:rsidR="00867637" w:rsidRPr="006E7093" w:rsidRDefault="003E585F" w:rsidP="00365211">
            <w:pPr>
              <w:spacing w:after="40"/>
              <w:rPr>
                <w:lang w:eastAsia="en-US"/>
              </w:rPr>
            </w:pPr>
            <w:r>
              <w:rPr>
                <w:lang w:eastAsia="en-US"/>
              </w:rPr>
              <w:t>Restaging</w:t>
            </w:r>
          </w:p>
        </w:tc>
        <w:tc>
          <w:tcPr>
            <w:tcW w:w="1403" w:type="dxa"/>
            <w:tcBorders>
              <w:left w:val="single" w:sz="4" w:space="0" w:color="auto"/>
              <w:right w:val="single" w:sz="4" w:space="0" w:color="auto"/>
            </w:tcBorders>
          </w:tcPr>
          <w:p w14:paraId="5E8BBC06" w14:textId="0056DAB2" w:rsidR="00867637" w:rsidRPr="006E7093" w:rsidRDefault="00867637" w:rsidP="006F02E2">
            <w:pPr>
              <w:spacing w:after="40"/>
              <w:jc w:val="center"/>
            </w:pPr>
            <w:r w:rsidRPr="006E7093">
              <w:t>4,478</w:t>
            </w:r>
          </w:p>
        </w:tc>
        <w:tc>
          <w:tcPr>
            <w:tcW w:w="1403" w:type="dxa"/>
            <w:gridSpan w:val="2"/>
            <w:tcBorders>
              <w:left w:val="single" w:sz="4" w:space="0" w:color="auto"/>
              <w:right w:val="single" w:sz="4" w:space="0" w:color="auto"/>
            </w:tcBorders>
            <w:shd w:val="clear" w:color="auto" w:fill="auto"/>
          </w:tcPr>
          <w:p w14:paraId="31B92AE4" w14:textId="1F107C1D" w:rsidR="00867637" w:rsidRPr="006E7093" w:rsidRDefault="00867637" w:rsidP="006F02E2">
            <w:pPr>
              <w:spacing w:after="40"/>
              <w:jc w:val="center"/>
            </w:pPr>
            <w:r w:rsidRPr="006E7093">
              <w:t>4,528</w:t>
            </w:r>
          </w:p>
        </w:tc>
        <w:tc>
          <w:tcPr>
            <w:tcW w:w="1405" w:type="dxa"/>
            <w:tcBorders>
              <w:left w:val="single" w:sz="4" w:space="0" w:color="auto"/>
              <w:right w:val="single" w:sz="4" w:space="0" w:color="auto"/>
            </w:tcBorders>
            <w:shd w:val="clear" w:color="auto" w:fill="auto"/>
          </w:tcPr>
          <w:p w14:paraId="27AF3835" w14:textId="567626C6" w:rsidR="00867637" w:rsidRPr="006E7093" w:rsidRDefault="00867637" w:rsidP="006F02E2">
            <w:pPr>
              <w:spacing w:after="40"/>
              <w:jc w:val="center"/>
            </w:pPr>
            <w:r w:rsidRPr="006E7093">
              <w:t>4,786</w:t>
            </w:r>
          </w:p>
        </w:tc>
        <w:tc>
          <w:tcPr>
            <w:tcW w:w="1403" w:type="dxa"/>
            <w:gridSpan w:val="2"/>
            <w:tcBorders>
              <w:left w:val="single" w:sz="4" w:space="0" w:color="auto"/>
              <w:right w:val="single" w:sz="4" w:space="0" w:color="auto"/>
            </w:tcBorders>
            <w:shd w:val="clear" w:color="auto" w:fill="auto"/>
          </w:tcPr>
          <w:p w14:paraId="080C18C2" w14:textId="3FDC01DC" w:rsidR="00867637" w:rsidRPr="006E7093" w:rsidRDefault="00867637" w:rsidP="006F02E2">
            <w:pPr>
              <w:spacing w:after="40"/>
              <w:jc w:val="center"/>
            </w:pPr>
            <w:r w:rsidRPr="006E7093">
              <w:t>5,032</w:t>
            </w:r>
          </w:p>
        </w:tc>
        <w:tc>
          <w:tcPr>
            <w:tcW w:w="1406" w:type="dxa"/>
            <w:tcBorders>
              <w:left w:val="single" w:sz="4" w:space="0" w:color="auto"/>
              <w:right w:val="single" w:sz="4" w:space="0" w:color="auto"/>
            </w:tcBorders>
            <w:shd w:val="clear" w:color="auto" w:fill="auto"/>
          </w:tcPr>
          <w:p w14:paraId="531E733D" w14:textId="174900C6" w:rsidR="00867637" w:rsidRPr="006E7093" w:rsidRDefault="00867637" w:rsidP="006F02E2">
            <w:pPr>
              <w:spacing w:after="40"/>
              <w:jc w:val="center"/>
            </w:pPr>
            <w:r w:rsidRPr="006E7093">
              <w:t>5,274</w:t>
            </w:r>
          </w:p>
        </w:tc>
      </w:tr>
      <w:tr w:rsidR="00867637" w:rsidRPr="006E7093" w14:paraId="286D7DCA" w14:textId="77777777" w:rsidTr="00AE148C">
        <w:trPr>
          <w:trHeight w:val="300"/>
        </w:trPr>
        <w:tc>
          <w:tcPr>
            <w:tcW w:w="1996" w:type="dxa"/>
            <w:tcBorders>
              <w:right w:val="single" w:sz="4" w:space="0" w:color="auto"/>
            </w:tcBorders>
            <w:shd w:val="clear" w:color="auto" w:fill="auto"/>
          </w:tcPr>
          <w:p w14:paraId="3F796F16" w14:textId="24690A35" w:rsidR="00867637" w:rsidRPr="006E7093" w:rsidRDefault="00867637" w:rsidP="00365211">
            <w:pPr>
              <w:spacing w:after="40"/>
              <w:rPr>
                <w:b/>
                <w:bCs/>
                <w:lang w:eastAsia="en-US"/>
              </w:rPr>
            </w:pPr>
            <w:r w:rsidRPr="006E7093">
              <w:rPr>
                <w:b/>
                <w:bCs/>
                <w:lang w:eastAsia="en-US"/>
              </w:rPr>
              <w:t>Total</w:t>
            </w:r>
          </w:p>
        </w:tc>
        <w:tc>
          <w:tcPr>
            <w:tcW w:w="1403" w:type="dxa"/>
            <w:tcBorders>
              <w:left w:val="single" w:sz="4" w:space="0" w:color="auto"/>
              <w:right w:val="single" w:sz="4" w:space="0" w:color="auto"/>
            </w:tcBorders>
          </w:tcPr>
          <w:p w14:paraId="30A7845F" w14:textId="66AF6732" w:rsidR="00867637" w:rsidRPr="006E7093" w:rsidRDefault="00867637" w:rsidP="006F02E2">
            <w:pPr>
              <w:spacing w:after="40"/>
              <w:jc w:val="center"/>
              <w:rPr>
                <w:b/>
                <w:bCs/>
              </w:rPr>
            </w:pPr>
            <w:r w:rsidRPr="006E7093">
              <w:rPr>
                <w:b/>
                <w:bCs/>
              </w:rPr>
              <w:t>18,619</w:t>
            </w:r>
          </w:p>
        </w:tc>
        <w:tc>
          <w:tcPr>
            <w:tcW w:w="1403" w:type="dxa"/>
            <w:gridSpan w:val="2"/>
            <w:tcBorders>
              <w:left w:val="single" w:sz="4" w:space="0" w:color="auto"/>
              <w:right w:val="single" w:sz="4" w:space="0" w:color="auto"/>
            </w:tcBorders>
            <w:shd w:val="clear" w:color="auto" w:fill="auto"/>
          </w:tcPr>
          <w:p w14:paraId="258E0123" w14:textId="7216DD00" w:rsidR="00867637" w:rsidRPr="006E7093" w:rsidRDefault="00867637" w:rsidP="006F02E2">
            <w:pPr>
              <w:spacing w:after="40"/>
              <w:jc w:val="center"/>
              <w:rPr>
                <w:b/>
                <w:bCs/>
              </w:rPr>
            </w:pPr>
            <w:r w:rsidRPr="006E7093">
              <w:rPr>
                <w:b/>
                <w:bCs/>
              </w:rPr>
              <w:t>18,896</w:t>
            </w:r>
          </w:p>
        </w:tc>
        <w:tc>
          <w:tcPr>
            <w:tcW w:w="1405" w:type="dxa"/>
            <w:tcBorders>
              <w:left w:val="single" w:sz="4" w:space="0" w:color="auto"/>
              <w:right w:val="single" w:sz="4" w:space="0" w:color="auto"/>
            </w:tcBorders>
            <w:shd w:val="clear" w:color="auto" w:fill="auto"/>
          </w:tcPr>
          <w:p w14:paraId="53CE6046" w14:textId="72294228" w:rsidR="00867637" w:rsidRPr="006E7093" w:rsidRDefault="00867637" w:rsidP="006F02E2">
            <w:pPr>
              <w:spacing w:after="40"/>
              <w:jc w:val="center"/>
              <w:rPr>
                <w:b/>
                <w:bCs/>
              </w:rPr>
            </w:pPr>
            <w:r w:rsidRPr="006E7093">
              <w:rPr>
                <w:b/>
                <w:bCs/>
              </w:rPr>
              <w:t>19,378</w:t>
            </w:r>
          </w:p>
        </w:tc>
        <w:tc>
          <w:tcPr>
            <w:tcW w:w="1403" w:type="dxa"/>
            <w:gridSpan w:val="2"/>
            <w:tcBorders>
              <w:left w:val="single" w:sz="4" w:space="0" w:color="auto"/>
              <w:right w:val="single" w:sz="4" w:space="0" w:color="auto"/>
            </w:tcBorders>
            <w:shd w:val="clear" w:color="auto" w:fill="auto"/>
          </w:tcPr>
          <w:p w14:paraId="2F503EFD" w14:textId="173E68EE" w:rsidR="00867637" w:rsidRPr="006E7093" w:rsidRDefault="00867637" w:rsidP="006F02E2">
            <w:pPr>
              <w:spacing w:after="40"/>
              <w:jc w:val="center"/>
              <w:rPr>
                <w:b/>
                <w:bCs/>
              </w:rPr>
            </w:pPr>
            <w:r w:rsidRPr="006E7093">
              <w:rPr>
                <w:b/>
                <w:bCs/>
              </w:rPr>
              <w:t>19,845</w:t>
            </w:r>
          </w:p>
        </w:tc>
        <w:tc>
          <w:tcPr>
            <w:tcW w:w="1406" w:type="dxa"/>
            <w:tcBorders>
              <w:left w:val="single" w:sz="4" w:space="0" w:color="auto"/>
              <w:right w:val="single" w:sz="4" w:space="0" w:color="auto"/>
            </w:tcBorders>
            <w:shd w:val="clear" w:color="auto" w:fill="auto"/>
          </w:tcPr>
          <w:p w14:paraId="348D366B" w14:textId="1380A390" w:rsidR="00867637" w:rsidRPr="006E7093" w:rsidRDefault="00867637" w:rsidP="006F02E2">
            <w:pPr>
              <w:spacing w:after="40"/>
              <w:jc w:val="center"/>
              <w:rPr>
                <w:b/>
                <w:bCs/>
              </w:rPr>
            </w:pPr>
            <w:r w:rsidRPr="006E7093">
              <w:rPr>
                <w:b/>
                <w:bCs/>
              </w:rPr>
              <w:t>20,305</w:t>
            </w:r>
          </w:p>
        </w:tc>
      </w:tr>
      <w:tr w:rsidR="00867637" w:rsidRPr="006E7093" w14:paraId="07408E57" w14:textId="77777777" w:rsidTr="00AE148C">
        <w:trPr>
          <w:trHeight w:val="300"/>
        </w:trPr>
        <w:tc>
          <w:tcPr>
            <w:tcW w:w="1996" w:type="dxa"/>
            <w:tcBorders>
              <w:right w:val="nil"/>
            </w:tcBorders>
            <w:shd w:val="clear" w:color="auto" w:fill="auto"/>
          </w:tcPr>
          <w:p w14:paraId="0B7F7CD6" w14:textId="77777777" w:rsidR="00867637" w:rsidRPr="006E7093" w:rsidRDefault="00867637" w:rsidP="00365211">
            <w:pPr>
              <w:spacing w:after="40"/>
              <w:rPr>
                <w:lang w:eastAsia="en-US"/>
              </w:rPr>
            </w:pPr>
            <w:r w:rsidRPr="006E7093">
              <w:rPr>
                <w:lang w:eastAsia="en-US"/>
              </w:rPr>
              <w:t>Cost to MBS</w:t>
            </w:r>
          </w:p>
        </w:tc>
        <w:tc>
          <w:tcPr>
            <w:tcW w:w="1403" w:type="dxa"/>
            <w:tcBorders>
              <w:left w:val="nil"/>
              <w:right w:val="nil"/>
            </w:tcBorders>
          </w:tcPr>
          <w:p w14:paraId="34E4D80A" w14:textId="77777777" w:rsidR="00867637" w:rsidRPr="006E7093" w:rsidRDefault="00867637" w:rsidP="00365211">
            <w:pPr>
              <w:spacing w:after="40"/>
            </w:pPr>
          </w:p>
        </w:tc>
        <w:tc>
          <w:tcPr>
            <w:tcW w:w="1403" w:type="dxa"/>
            <w:gridSpan w:val="2"/>
            <w:tcBorders>
              <w:left w:val="nil"/>
              <w:right w:val="nil"/>
            </w:tcBorders>
            <w:shd w:val="clear" w:color="auto" w:fill="auto"/>
          </w:tcPr>
          <w:p w14:paraId="4A40B73F" w14:textId="77777777" w:rsidR="00867637" w:rsidRPr="006E7093" w:rsidRDefault="00867637" w:rsidP="00365211">
            <w:pPr>
              <w:spacing w:after="40"/>
            </w:pPr>
          </w:p>
        </w:tc>
        <w:tc>
          <w:tcPr>
            <w:tcW w:w="1405" w:type="dxa"/>
            <w:tcBorders>
              <w:left w:val="nil"/>
              <w:right w:val="nil"/>
            </w:tcBorders>
            <w:shd w:val="clear" w:color="auto" w:fill="auto"/>
          </w:tcPr>
          <w:p w14:paraId="2FC2CDE5" w14:textId="77777777" w:rsidR="00867637" w:rsidRPr="006E7093" w:rsidRDefault="00867637" w:rsidP="00365211">
            <w:pPr>
              <w:spacing w:after="40"/>
            </w:pPr>
          </w:p>
        </w:tc>
        <w:tc>
          <w:tcPr>
            <w:tcW w:w="1403" w:type="dxa"/>
            <w:gridSpan w:val="2"/>
            <w:tcBorders>
              <w:left w:val="nil"/>
              <w:right w:val="nil"/>
            </w:tcBorders>
            <w:shd w:val="clear" w:color="auto" w:fill="auto"/>
          </w:tcPr>
          <w:p w14:paraId="5F619425" w14:textId="77777777" w:rsidR="00867637" w:rsidRPr="006E7093" w:rsidRDefault="00867637" w:rsidP="00365211">
            <w:pPr>
              <w:spacing w:after="40"/>
            </w:pPr>
          </w:p>
        </w:tc>
        <w:tc>
          <w:tcPr>
            <w:tcW w:w="1406" w:type="dxa"/>
            <w:tcBorders>
              <w:left w:val="nil"/>
              <w:right w:val="single" w:sz="4" w:space="0" w:color="auto"/>
            </w:tcBorders>
            <w:shd w:val="clear" w:color="auto" w:fill="auto"/>
          </w:tcPr>
          <w:p w14:paraId="3D7D33FF" w14:textId="77777777" w:rsidR="00867637" w:rsidRPr="006E7093" w:rsidRDefault="00867637" w:rsidP="00365211">
            <w:pPr>
              <w:spacing w:after="40"/>
            </w:pPr>
          </w:p>
        </w:tc>
      </w:tr>
      <w:tr w:rsidR="00867637" w:rsidRPr="006E7093" w14:paraId="50CC21A1" w14:textId="77777777" w:rsidTr="00AE148C">
        <w:trPr>
          <w:trHeight w:val="300"/>
        </w:trPr>
        <w:tc>
          <w:tcPr>
            <w:tcW w:w="1996" w:type="dxa"/>
            <w:shd w:val="clear" w:color="auto" w:fill="auto"/>
          </w:tcPr>
          <w:p w14:paraId="52A144C5" w14:textId="7B5865B5" w:rsidR="00867637" w:rsidRPr="006E7093" w:rsidRDefault="00867637" w:rsidP="00365211">
            <w:pPr>
              <w:spacing w:after="40"/>
              <w:rPr>
                <w:lang w:eastAsia="en-US"/>
              </w:rPr>
            </w:pPr>
            <w:r w:rsidRPr="006E7093">
              <w:rPr>
                <w:lang w:eastAsia="en-US"/>
              </w:rPr>
              <w:t>P</w:t>
            </w:r>
            <w:r w:rsidR="003E585F">
              <w:rPr>
                <w:lang w:eastAsia="en-US"/>
              </w:rPr>
              <w:t>rimary staging</w:t>
            </w:r>
          </w:p>
        </w:tc>
        <w:tc>
          <w:tcPr>
            <w:tcW w:w="1403" w:type="dxa"/>
          </w:tcPr>
          <w:p w14:paraId="0FD81701" w14:textId="77777777" w:rsidR="00867637" w:rsidRPr="006E7093" w:rsidRDefault="00867637" w:rsidP="006F02E2">
            <w:pPr>
              <w:spacing w:after="40"/>
              <w:jc w:val="center"/>
            </w:pPr>
            <w:r w:rsidRPr="006E7093">
              <w:t>$16,828,210</w:t>
            </w:r>
          </w:p>
        </w:tc>
        <w:tc>
          <w:tcPr>
            <w:tcW w:w="1403" w:type="dxa"/>
            <w:gridSpan w:val="2"/>
            <w:shd w:val="clear" w:color="auto" w:fill="auto"/>
          </w:tcPr>
          <w:p w14:paraId="6FF7483E" w14:textId="77777777" w:rsidR="00867637" w:rsidRPr="006E7093" w:rsidRDefault="00867637" w:rsidP="006F02E2">
            <w:pPr>
              <w:spacing w:after="40"/>
              <w:jc w:val="center"/>
            </w:pPr>
            <w:r w:rsidRPr="006E7093">
              <w:t>$17,098,374</w:t>
            </w:r>
          </w:p>
        </w:tc>
        <w:tc>
          <w:tcPr>
            <w:tcW w:w="1405" w:type="dxa"/>
            <w:shd w:val="clear" w:color="auto" w:fill="auto"/>
          </w:tcPr>
          <w:p w14:paraId="7C9B6C47" w14:textId="77777777" w:rsidR="00867637" w:rsidRPr="006E7093" w:rsidRDefault="00867637" w:rsidP="006F02E2">
            <w:pPr>
              <w:spacing w:after="40"/>
              <w:jc w:val="center"/>
            </w:pPr>
            <w:r w:rsidRPr="006E7093">
              <w:t>$17,364,914</w:t>
            </w:r>
          </w:p>
        </w:tc>
        <w:tc>
          <w:tcPr>
            <w:tcW w:w="1403" w:type="dxa"/>
            <w:gridSpan w:val="2"/>
            <w:shd w:val="clear" w:color="auto" w:fill="auto"/>
          </w:tcPr>
          <w:p w14:paraId="7195E670" w14:textId="77777777" w:rsidR="00867637" w:rsidRPr="006E7093" w:rsidRDefault="00867637" w:rsidP="006F02E2">
            <w:pPr>
              <w:spacing w:after="40"/>
              <w:jc w:val="center"/>
            </w:pPr>
            <w:r w:rsidRPr="006E7093">
              <w:t>$17,628,051</w:t>
            </w:r>
          </w:p>
        </w:tc>
        <w:tc>
          <w:tcPr>
            <w:tcW w:w="1406" w:type="dxa"/>
            <w:shd w:val="clear" w:color="auto" w:fill="auto"/>
          </w:tcPr>
          <w:p w14:paraId="1EB64044" w14:textId="77777777" w:rsidR="00867637" w:rsidRPr="006E7093" w:rsidRDefault="00867637" w:rsidP="006F02E2">
            <w:pPr>
              <w:spacing w:after="40"/>
              <w:jc w:val="center"/>
            </w:pPr>
            <w:r w:rsidRPr="006E7093">
              <w:t>$17,886,826</w:t>
            </w:r>
          </w:p>
        </w:tc>
      </w:tr>
      <w:tr w:rsidR="00867637" w:rsidRPr="006E7093" w14:paraId="650AC9AF" w14:textId="77777777" w:rsidTr="00AE148C">
        <w:trPr>
          <w:trHeight w:val="315"/>
        </w:trPr>
        <w:tc>
          <w:tcPr>
            <w:tcW w:w="1996" w:type="dxa"/>
            <w:tcBorders>
              <w:bottom w:val="single" w:sz="4" w:space="0" w:color="auto"/>
            </w:tcBorders>
            <w:shd w:val="clear" w:color="auto" w:fill="auto"/>
          </w:tcPr>
          <w:p w14:paraId="42330EC8" w14:textId="34CC7661" w:rsidR="00867637" w:rsidRPr="006E7093" w:rsidRDefault="003E585F" w:rsidP="00365211">
            <w:pPr>
              <w:spacing w:after="40"/>
              <w:rPr>
                <w:lang w:eastAsia="en-US"/>
              </w:rPr>
            </w:pPr>
            <w:r>
              <w:rPr>
                <w:lang w:eastAsia="en-US"/>
              </w:rPr>
              <w:t>Restaging</w:t>
            </w:r>
          </w:p>
        </w:tc>
        <w:tc>
          <w:tcPr>
            <w:tcW w:w="1403" w:type="dxa"/>
            <w:tcBorders>
              <w:bottom w:val="single" w:sz="4" w:space="0" w:color="auto"/>
            </w:tcBorders>
          </w:tcPr>
          <w:p w14:paraId="3BCADAB6" w14:textId="77777777" w:rsidR="00867637" w:rsidRPr="006E7093" w:rsidRDefault="00867637" w:rsidP="006F02E2">
            <w:pPr>
              <w:spacing w:after="40"/>
              <w:jc w:val="center"/>
            </w:pPr>
            <w:r w:rsidRPr="006E7093">
              <w:t>$5,328,938</w:t>
            </w:r>
          </w:p>
        </w:tc>
        <w:tc>
          <w:tcPr>
            <w:tcW w:w="1403" w:type="dxa"/>
            <w:gridSpan w:val="2"/>
            <w:tcBorders>
              <w:bottom w:val="single" w:sz="4" w:space="0" w:color="auto"/>
            </w:tcBorders>
            <w:shd w:val="clear" w:color="auto" w:fill="auto"/>
          </w:tcPr>
          <w:p w14:paraId="7035399A" w14:textId="77777777" w:rsidR="00867637" w:rsidRPr="006E7093" w:rsidRDefault="00867637" w:rsidP="006F02E2">
            <w:pPr>
              <w:spacing w:after="40"/>
              <w:jc w:val="center"/>
            </w:pPr>
            <w:r w:rsidRPr="006E7093">
              <w:t>$5,388,159</w:t>
            </w:r>
          </w:p>
        </w:tc>
        <w:tc>
          <w:tcPr>
            <w:tcW w:w="1405" w:type="dxa"/>
            <w:tcBorders>
              <w:bottom w:val="single" w:sz="4" w:space="0" w:color="auto"/>
            </w:tcBorders>
            <w:shd w:val="clear" w:color="auto" w:fill="auto"/>
          </w:tcPr>
          <w:p w14:paraId="44EFBFB5" w14:textId="77777777" w:rsidR="00867637" w:rsidRPr="006E7093" w:rsidRDefault="00867637" w:rsidP="006F02E2">
            <w:pPr>
              <w:spacing w:after="40"/>
              <w:jc w:val="center"/>
            </w:pPr>
            <w:r w:rsidRPr="006E7093">
              <w:t>$5,695,834</w:t>
            </w:r>
          </w:p>
        </w:tc>
        <w:tc>
          <w:tcPr>
            <w:tcW w:w="1403" w:type="dxa"/>
            <w:gridSpan w:val="2"/>
            <w:tcBorders>
              <w:bottom w:val="single" w:sz="4" w:space="0" w:color="auto"/>
            </w:tcBorders>
            <w:shd w:val="clear" w:color="auto" w:fill="auto"/>
          </w:tcPr>
          <w:p w14:paraId="3C9A58D9" w14:textId="77777777" w:rsidR="00867637" w:rsidRPr="006E7093" w:rsidRDefault="00867637" w:rsidP="006F02E2">
            <w:pPr>
              <w:spacing w:after="40"/>
              <w:jc w:val="center"/>
            </w:pPr>
            <w:r w:rsidRPr="006E7093">
              <w:t>$5,987,781</w:t>
            </w:r>
          </w:p>
        </w:tc>
        <w:tc>
          <w:tcPr>
            <w:tcW w:w="1406" w:type="dxa"/>
            <w:tcBorders>
              <w:bottom w:val="single" w:sz="4" w:space="0" w:color="auto"/>
            </w:tcBorders>
            <w:shd w:val="clear" w:color="auto" w:fill="auto"/>
          </w:tcPr>
          <w:p w14:paraId="084F4B5C" w14:textId="77777777" w:rsidR="00867637" w:rsidRPr="006E7093" w:rsidRDefault="00867637" w:rsidP="006F02E2">
            <w:pPr>
              <w:spacing w:after="40"/>
              <w:jc w:val="center"/>
            </w:pPr>
            <w:r w:rsidRPr="006E7093">
              <w:t>$6,276,157</w:t>
            </w:r>
          </w:p>
        </w:tc>
      </w:tr>
      <w:tr w:rsidR="00867637" w:rsidRPr="006E7093" w14:paraId="3011DB33" w14:textId="77777777" w:rsidTr="00AE148C">
        <w:trPr>
          <w:trHeight w:val="315"/>
        </w:trPr>
        <w:tc>
          <w:tcPr>
            <w:tcW w:w="1996" w:type="dxa"/>
            <w:tcBorders>
              <w:bottom w:val="single" w:sz="4" w:space="0" w:color="auto"/>
            </w:tcBorders>
            <w:shd w:val="clear" w:color="auto" w:fill="auto"/>
          </w:tcPr>
          <w:p w14:paraId="69E8206E" w14:textId="2C6471A8" w:rsidR="00867637" w:rsidRPr="006E7093" w:rsidRDefault="00867637" w:rsidP="00365211">
            <w:pPr>
              <w:spacing w:after="40"/>
              <w:rPr>
                <w:b/>
                <w:bCs/>
                <w:lang w:eastAsia="en-US"/>
              </w:rPr>
            </w:pPr>
            <w:r w:rsidRPr="006E7093">
              <w:rPr>
                <w:b/>
                <w:bCs/>
                <w:lang w:eastAsia="en-US"/>
              </w:rPr>
              <w:t>Total</w:t>
            </w:r>
          </w:p>
        </w:tc>
        <w:tc>
          <w:tcPr>
            <w:tcW w:w="1403" w:type="dxa"/>
            <w:tcBorders>
              <w:bottom w:val="single" w:sz="4" w:space="0" w:color="auto"/>
            </w:tcBorders>
            <w:vAlign w:val="center"/>
          </w:tcPr>
          <w:p w14:paraId="0930FE58" w14:textId="77777777" w:rsidR="00867637" w:rsidRPr="006E7093" w:rsidRDefault="00867637" w:rsidP="006F02E2">
            <w:pPr>
              <w:spacing w:after="40"/>
              <w:jc w:val="center"/>
              <w:rPr>
                <w:b/>
                <w:bCs/>
              </w:rPr>
            </w:pPr>
            <w:r w:rsidRPr="006E7093">
              <w:rPr>
                <w:rFonts w:cs="Calibri"/>
                <w:b/>
                <w:bCs/>
                <w:color w:val="000000"/>
              </w:rPr>
              <w:t>$22,157,148</w:t>
            </w:r>
          </w:p>
        </w:tc>
        <w:tc>
          <w:tcPr>
            <w:tcW w:w="1403" w:type="dxa"/>
            <w:gridSpan w:val="2"/>
            <w:tcBorders>
              <w:bottom w:val="single" w:sz="4" w:space="0" w:color="auto"/>
            </w:tcBorders>
            <w:shd w:val="clear" w:color="auto" w:fill="auto"/>
            <w:vAlign w:val="center"/>
          </w:tcPr>
          <w:p w14:paraId="379A3C67" w14:textId="77777777" w:rsidR="00867637" w:rsidRPr="006E7093" w:rsidRDefault="00867637" w:rsidP="006F02E2">
            <w:pPr>
              <w:spacing w:after="40"/>
              <w:jc w:val="center"/>
              <w:rPr>
                <w:b/>
                <w:bCs/>
              </w:rPr>
            </w:pPr>
            <w:r w:rsidRPr="006E7093">
              <w:rPr>
                <w:rFonts w:cs="Calibri"/>
                <w:b/>
                <w:bCs/>
                <w:color w:val="000000"/>
              </w:rPr>
              <w:t>$22,486,533</w:t>
            </w:r>
          </w:p>
        </w:tc>
        <w:tc>
          <w:tcPr>
            <w:tcW w:w="1405" w:type="dxa"/>
            <w:tcBorders>
              <w:bottom w:val="single" w:sz="4" w:space="0" w:color="auto"/>
            </w:tcBorders>
            <w:shd w:val="clear" w:color="auto" w:fill="auto"/>
            <w:vAlign w:val="center"/>
          </w:tcPr>
          <w:p w14:paraId="330C0B5E" w14:textId="77777777" w:rsidR="00867637" w:rsidRPr="006E7093" w:rsidRDefault="00867637" w:rsidP="006F02E2">
            <w:pPr>
              <w:spacing w:after="40"/>
              <w:jc w:val="center"/>
              <w:rPr>
                <w:b/>
                <w:bCs/>
              </w:rPr>
            </w:pPr>
            <w:r w:rsidRPr="006E7093">
              <w:rPr>
                <w:rFonts w:cs="Calibri"/>
                <w:b/>
                <w:bCs/>
                <w:color w:val="000000"/>
              </w:rPr>
              <w:t>$23,060,748</w:t>
            </w:r>
          </w:p>
        </w:tc>
        <w:tc>
          <w:tcPr>
            <w:tcW w:w="1403" w:type="dxa"/>
            <w:gridSpan w:val="2"/>
            <w:tcBorders>
              <w:bottom w:val="single" w:sz="4" w:space="0" w:color="auto"/>
            </w:tcBorders>
            <w:shd w:val="clear" w:color="auto" w:fill="auto"/>
            <w:vAlign w:val="center"/>
          </w:tcPr>
          <w:p w14:paraId="701CE7B8" w14:textId="77777777" w:rsidR="00867637" w:rsidRPr="006E7093" w:rsidRDefault="00867637" w:rsidP="006F02E2">
            <w:pPr>
              <w:spacing w:after="40"/>
              <w:jc w:val="center"/>
              <w:rPr>
                <w:b/>
                <w:bCs/>
              </w:rPr>
            </w:pPr>
            <w:r w:rsidRPr="006E7093">
              <w:rPr>
                <w:rFonts w:cs="Calibri"/>
                <w:b/>
                <w:bCs/>
                <w:color w:val="000000"/>
              </w:rPr>
              <w:t>$23,615,832</w:t>
            </w:r>
          </w:p>
        </w:tc>
        <w:tc>
          <w:tcPr>
            <w:tcW w:w="1406" w:type="dxa"/>
            <w:tcBorders>
              <w:bottom w:val="single" w:sz="4" w:space="0" w:color="auto"/>
            </w:tcBorders>
            <w:shd w:val="clear" w:color="auto" w:fill="auto"/>
            <w:vAlign w:val="center"/>
          </w:tcPr>
          <w:p w14:paraId="1FF25E21" w14:textId="77777777" w:rsidR="00867637" w:rsidRPr="006E7093" w:rsidRDefault="00867637" w:rsidP="006F02E2">
            <w:pPr>
              <w:spacing w:after="40"/>
              <w:jc w:val="center"/>
              <w:rPr>
                <w:b/>
                <w:bCs/>
              </w:rPr>
            </w:pPr>
            <w:r w:rsidRPr="006E7093">
              <w:rPr>
                <w:rFonts w:cs="Calibri"/>
                <w:b/>
                <w:bCs/>
                <w:color w:val="000000"/>
              </w:rPr>
              <w:t>$24,162,983</w:t>
            </w:r>
          </w:p>
        </w:tc>
      </w:tr>
      <w:tr w:rsidR="00396355" w:rsidRPr="006E7093" w14:paraId="6849FB2E" w14:textId="77777777" w:rsidTr="00AE148C">
        <w:trPr>
          <w:trHeight w:val="315"/>
        </w:trPr>
        <w:tc>
          <w:tcPr>
            <w:tcW w:w="1996" w:type="dxa"/>
            <w:tcBorders>
              <w:bottom w:val="single" w:sz="4" w:space="0" w:color="auto"/>
            </w:tcBorders>
            <w:shd w:val="clear" w:color="auto" w:fill="auto"/>
          </w:tcPr>
          <w:p w14:paraId="7D05E1F9" w14:textId="77777777" w:rsidR="00396355" w:rsidRDefault="00396355" w:rsidP="00396355">
            <w:pPr>
              <w:spacing w:after="40"/>
              <w:rPr>
                <w:b/>
                <w:bCs/>
                <w:i/>
                <w:lang w:eastAsia="en-US"/>
              </w:rPr>
            </w:pPr>
            <w:r w:rsidRPr="006F02E2">
              <w:rPr>
                <w:b/>
                <w:bCs/>
                <w:i/>
                <w:lang w:eastAsia="en-US"/>
              </w:rPr>
              <w:t>ESC values</w:t>
            </w:r>
          </w:p>
          <w:p w14:paraId="71DA2A1C" w14:textId="561F63EE" w:rsidR="00396355" w:rsidRPr="006F02E2" w:rsidRDefault="00396355" w:rsidP="00396355">
            <w:pPr>
              <w:spacing w:after="40"/>
              <w:rPr>
                <w:b/>
                <w:bCs/>
                <w:i/>
                <w:lang w:eastAsia="en-US"/>
              </w:rPr>
            </w:pPr>
            <w:r>
              <w:rPr>
                <w:b/>
                <w:bCs/>
                <w:i/>
                <w:lang w:eastAsia="en-US"/>
              </w:rPr>
              <w:t>GPG adjustment</w:t>
            </w:r>
          </w:p>
        </w:tc>
        <w:tc>
          <w:tcPr>
            <w:tcW w:w="1403" w:type="dxa"/>
            <w:tcBorders>
              <w:bottom w:val="single" w:sz="4" w:space="0" w:color="auto"/>
            </w:tcBorders>
            <w:vAlign w:val="center"/>
          </w:tcPr>
          <w:p w14:paraId="598E6982" w14:textId="5600B6AC" w:rsidR="00396355" w:rsidRPr="00C61F6F" w:rsidRDefault="00396355" w:rsidP="00C61F6F">
            <w:pPr>
              <w:spacing w:after="40"/>
              <w:jc w:val="center"/>
              <w:rPr>
                <w:rFonts w:cs="Arial"/>
                <w:b/>
                <w:bCs/>
                <w:i/>
                <w:color w:val="000000"/>
              </w:rPr>
            </w:pPr>
            <w:r w:rsidRPr="00AE148C">
              <w:rPr>
                <w:rFonts w:cs="Arial"/>
                <w:b/>
                <w:i/>
                <w:color w:val="000000"/>
              </w:rPr>
              <w:t>$24,490,165</w:t>
            </w:r>
          </w:p>
        </w:tc>
        <w:tc>
          <w:tcPr>
            <w:tcW w:w="1403" w:type="dxa"/>
            <w:gridSpan w:val="2"/>
            <w:tcBorders>
              <w:bottom w:val="single" w:sz="4" w:space="0" w:color="auto"/>
            </w:tcBorders>
            <w:shd w:val="clear" w:color="auto" w:fill="auto"/>
            <w:vAlign w:val="center"/>
          </w:tcPr>
          <w:p w14:paraId="47728B73" w14:textId="0AAEA940" w:rsidR="00396355" w:rsidRPr="00C61F6F" w:rsidRDefault="00396355" w:rsidP="00C61F6F">
            <w:pPr>
              <w:spacing w:after="40"/>
              <w:jc w:val="center"/>
              <w:rPr>
                <w:rFonts w:cs="Arial"/>
                <w:b/>
                <w:bCs/>
                <w:i/>
                <w:color w:val="000000"/>
              </w:rPr>
            </w:pPr>
            <w:r w:rsidRPr="00AE148C">
              <w:rPr>
                <w:rFonts w:cs="Arial"/>
                <w:b/>
                <w:i/>
                <w:color w:val="000000"/>
              </w:rPr>
              <w:t>$24,854,233</w:t>
            </w:r>
          </w:p>
        </w:tc>
        <w:tc>
          <w:tcPr>
            <w:tcW w:w="1405" w:type="dxa"/>
            <w:tcBorders>
              <w:bottom w:val="single" w:sz="4" w:space="0" w:color="auto"/>
            </w:tcBorders>
            <w:shd w:val="clear" w:color="auto" w:fill="auto"/>
            <w:vAlign w:val="center"/>
          </w:tcPr>
          <w:p w14:paraId="105C91D9" w14:textId="2F2238DD" w:rsidR="00396355" w:rsidRPr="00C61F6F" w:rsidRDefault="00396355" w:rsidP="00C61F6F">
            <w:pPr>
              <w:spacing w:after="40"/>
              <w:jc w:val="center"/>
              <w:rPr>
                <w:rFonts w:cs="Arial"/>
                <w:b/>
                <w:bCs/>
                <w:i/>
                <w:color w:val="000000"/>
              </w:rPr>
            </w:pPr>
            <w:r w:rsidRPr="00AE148C">
              <w:rPr>
                <w:rFonts w:cs="Arial"/>
                <w:b/>
                <w:i/>
                <w:color w:val="000000"/>
              </w:rPr>
              <w:t>$25,488,908</w:t>
            </w:r>
          </w:p>
        </w:tc>
        <w:tc>
          <w:tcPr>
            <w:tcW w:w="1403" w:type="dxa"/>
            <w:gridSpan w:val="2"/>
            <w:tcBorders>
              <w:bottom w:val="single" w:sz="4" w:space="0" w:color="auto"/>
            </w:tcBorders>
            <w:shd w:val="clear" w:color="auto" w:fill="auto"/>
            <w:vAlign w:val="center"/>
          </w:tcPr>
          <w:p w14:paraId="4A53E7DB" w14:textId="581E8C13" w:rsidR="00396355" w:rsidRPr="00C61F6F" w:rsidRDefault="00396355" w:rsidP="00C61F6F">
            <w:pPr>
              <w:spacing w:after="40"/>
              <w:jc w:val="center"/>
              <w:rPr>
                <w:rFonts w:cs="Arial"/>
                <w:b/>
                <w:bCs/>
                <w:i/>
                <w:color w:val="000000"/>
              </w:rPr>
            </w:pPr>
            <w:r w:rsidRPr="00AE148C">
              <w:rPr>
                <w:rFonts w:cs="Arial"/>
                <w:b/>
                <w:i/>
                <w:color w:val="000000"/>
              </w:rPr>
              <w:t>$26,102,441</w:t>
            </w:r>
          </w:p>
        </w:tc>
        <w:tc>
          <w:tcPr>
            <w:tcW w:w="1406" w:type="dxa"/>
            <w:tcBorders>
              <w:bottom w:val="single" w:sz="4" w:space="0" w:color="auto"/>
            </w:tcBorders>
            <w:shd w:val="clear" w:color="auto" w:fill="auto"/>
            <w:vAlign w:val="center"/>
          </w:tcPr>
          <w:p w14:paraId="0FF294FA" w14:textId="78D13BF7" w:rsidR="00396355" w:rsidRPr="00C61F6F" w:rsidRDefault="00396355" w:rsidP="00C61F6F">
            <w:pPr>
              <w:spacing w:after="40"/>
              <w:jc w:val="center"/>
              <w:rPr>
                <w:rFonts w:cs="Arial"/>
                <w:b/>
                <w:bCs/>
                <w:i/>
                <w:color w:val="000000"/>
              </w:rPr>
            </w:pPr>
            <w:r w:rsidRPr="00AE148C">
              <w:rPr>
                <w:rFonts w:cs="Arial"/>
                <w:b/>
                <w:i/>
                <w:color w:val="000000"/>
              </w:rPr>
              <w:t>$26,707,203</w:t>
            </w:r>
          </w:p>
        </w:tc>
      </w:tr>
      <w:tr w:rsidR="00867637" w:rsidRPr="006E7093" w14:paraId="4D900559" w14:textId="77777777" w:rsidTr="00AE148C">
        <w:trPr>
          <w:trHeight w:val="315"/>
        </w:trPr>
        <w:tc>
          <w:tcPr>
            <w:tcW w:w="9016" w:type="dxa"/>
            <w:gridSpan w:val="8"/>
            <w:tcBorders>
              <w:bottom w:val="single" w:sz="4" w:space="0" w:color="auto"/>
            </w:tcBorders>
            <w:shd w:val="clear" w:color="auto" w:fill="F2F2F2" w:themeFill="background1" w:themeFillShade="F2"/>
          </w:tcPr>
          <w:p w14:paraId="38130ABF" w14:textId="77777777" w:rsidR="00867637" w:rsidRPr="006E7093" w:rsidRDefault="00867637" w:rsidP="00365211">
            <w:pPr>
              <w:spacing w:after="40"/>
              <w:rPr>
                <w:lang w:eastAsia="en-US"/>
              </w:rPr>
            </w:pPr>
            <w:r w:rsidRPr="006E7093">
              <w:rPr>
                <w:lang w:eastAsia="en-US"/>
              </w:rPr>
              <w:t>Savings to the MBS from avoided conventional imaging services</w:t>
            </w:r>
          </w:p>
        </w:tc>
      </w:tr>
      <w:tr w:rsidR="00867637" w:rsidRPr="006E7093" w14:paraId="4E7BA3CF" w14:textId="77777777" w:rsidTr="00AE148C">
        <w:trPr>
          <w:trHeight w:val="300"/>
        </w:trPr>
        <w:tc>
          <w:tcPr>
            <w:tcW w:w="3399" w:type="dxa"/>
            <w:gridSpan w:val="2"/>
            <w:tcBorders>
              <w:right w:val="nil"/>
            </w:tcBorders>
            <w:shd w:val="clear" w:color="auto" w:fill="auto"/>
          </w:tcPr>
          <w:p w14:paraId="2929F782" w14:textId="77777777" w:rsidR="00867637" w:rsidRPr="006E7093" w:rsidRDefault="00867637" w:rsidP="00365211">
            <w:pPr>
              <w:spacing w:after="40"/>
              <w:rPr>
                <w:lang w:eastAsia="en-US"/>
              </w:rPr>
            </w:pPr>
            <w:r w:rsidRPr="006E7093">
              <w:rPr>
                <w:lang w:eastAsia="en-US"/>
              </w:rPr>
              <w:t>Number of services</w:t>
            </w:r>
          </w:p>
        </w:tc>
        <w:tc>
          <w:tcPr>
            <w:tcW w:w="1403" w:type="dxa"/>
            <w:gridSpan w:val="2"/>
            <w:tcBorders>
              <w:left w:val="nil"/>
              <w:right w:val="nil"/>
            </w:tcBorders>
            <w:shd w:val="clear" w:color="auto" w:fill="auto"/>
          </w:tcPr>
          <w:p w14:paraId="4A08F757" w14:textId="77777777" w:rsidR="00867637" w:rsidRPr="006E7093" w:rsidRDefault="00867637" w:rsidP="00365211">
            <w:pPr>
              <w:spacing w:after="40"/>
              <w:rPr>
                <w:lang w:eastAsia="en-US"/>
              </w:rPr>
            </w:pPr>
          </w:p>
        </w:tc>
        <w:tc>
          <w:tcPr>
            <w:tcW w:w="1405" w:type="dxa"/>
            <w:tcBorders>
              <w:left w:val="nil"/>
              <w:right w:val="nil"/>
            </w:tcBorders>
            <w:shd w:val="clear" w:color="auto" w:fill="auto"/>
          </w:tcPr>
          <w:p w14:paraId="55059886" w14:textId="77777777" w:rsidR="00867637" w:rsidRPr="006E7093" w:rsidRDefault="00867637" w:rsidP="00365211">
            <w:pPr>
              <w:spacing w:after="40"/>
              <w:rPr>
                <w:lang w:eastAsia="en-US"/>
              </w:rPr>
            </w:pPr>
          </w:p>
        </w:tc>
        <w:tc>
          <w:tcPr>
            <w:tcW w:w="1403" w:type="dxa"/>
            <w:gridSpan w:val="2"/>
            <w:tcBorders>
              <w:left w:val="nil"/>
              <w:right w:val="nil"/>
            </w:tcBorders>
            <w:shd w:val="clear" w:color="auto" w:fill="auto"/>
          </w:tcPr>
          <w:p w14:paraId="52B9374D" w14:textId="77777777" w:rsidR="00867637" w:rsidRPr="006E7093" w:rsidRDefault="00867637" w:rsidP="00365211">
            <w:pPr>
              <w:spacing w:after="40"/>
              <w:rPr>
                <w:lang w:eastAsia="en-US"/>
              </w:rPr>
            </w:pPr>
          </w:p>
        </w:tc>
        <w:tc>
          <w:tcPr>
            <w:tcW w:w="1406" w:type="dxa"/>
            <w:tcBorders>
              <w:left w:val="nil"/>
            </w:tcBorders>
            <w:shd w:val="clear" w:color="auto" w:fill="auto"/>
          </w:tcPr>
          <w:p w14:paraId="268B7105" w14:textId="77777777" w:rsidR="00867637" w:rsidRPr="006E7093" w:rsidRDefault="00867637" w:rsidP="00365211">
            <w:pPr>
              <w:spacing w:after="40"/>
              <w:rPr>
                <w:lang w:eastAsia="en-US"/>
              </w:rPr>
            </w:pPr>
          </w:p>
        </w:tc>
      </w:tr>
      <w:tr w:rsidR="00867637" w:rsidRPr="006E7093" w14:paraId="141C2DC2" w14:textId="77777777" w:rsidTr="00AE148C">
        <w:trPr>
          <w:trHeight w:val="80"/>
        </w:trPr>
        <w:tc>
          <w:tcPr>
            <w:tcW w:w="1996" w:type="dxa"/>
            <w:shd w:val="clear" w:color="auto" w:fill="auto"/>
          </w:tcPr>
          <w:p w14:paraId="7848119D" w14:textId="3D5A75C9" w:rsidR="00867637" w:rsidRPr="006E7093" w:rsidRDefault="00867637" w:rsidP="00365211">
            <w:pPr>
              <w:spacing w:after="40"/>
              <w:rPr>
                <w:lang w:eastAsia="en-US"/>
              </w:rPr>
            </w:pPr>
            <w:r w:rsidRPr="006E7093">
              <w:rPr>
                <w:lang w:eastAsia="en-US"/>
              </w:rPr>
              <w:t>P</w:t>
            </w:r>
            <w:r w:rsidR="003E585F">
              <w:rPr>
                <w:lang w:eastAsia="en-US"/>
              </w:rPr>
              <w:t>rimary staging</w:t>
            </w:r>
          </w:p>
        </w:tc>
        <w:tc>
          <w:tcPr>
            <w:tcW w:w="1403" w:type="dxa"/>
          </w:tcPr>
          <w:p w14:paraId="7FD8B6EE" w14:textId="490F8083" w:rsidR="00867637" w:rsidRPr="006E7093" w:rsidRDefault="00867637" w:rsidP="006F02E2">
            <w:pPr>
              <w:spacing w:after="40"/>
              <w:jc w:val="center"/>
            </w:pPr>
            <w:r w:rsidRPr="006E7093">
              <w:t>16,256</w:t>
            </w:r>
          </w:p>
        </w:tc>
        <w:tc>
          <w:tcPr>
            <w:tcW w:w="1403" w:type="dxa"/>
            <w:gridSpan w:val="2"/>
            <w:shd w:val="clear" w:color="auto" w:fill="auto"/>
          </w:tcPr>
          <w:p w14:paraId="37EED541" w14:textId="72C1FA14" w:rsidR="00867637" w:rsidRPr="006E7093" w:rsidRDefault="00867637" w:rsidP="006F02E2">
            <w:pPr>
              <w:spacing w:after="40"/>
              <w:jc w:val="center"/>
            </w:pPr>
            <w:r w:rsidRPr="006E7093">
              <w:t>16,517</w:t>
            </w:r>
          </w:p>
        </w:tc>
        <w:tc>
          <w:tcPr>
            <w:tcW w:w="1405" w:type="dxa"/>
            <w:shd w:val="clear" w:color="auto" w:fill="auto"/>
          </w:tcPr>
          <w:p w14:paraId="6077DDC7" w14:textId="16A3BEF7" w:rsidR="00867637" w:rsidRPr="006E7093" w:rsidRDefault="00867637" w:rsidP="006F02E2">
            <w:pPr>
              <w:spacing w:after="40"/>
              <w:jc w:val="center"/>
            </w:pPr>
            <w:r w:rsidRPr="006E7093">
              <w:t>16,774</w:t>
            </w:r>
          </w:p>
        </w:tc>
        <w:tc>
          <w:tcPr>
            <w:tcW w:w="1403" w:type="dxa"/>
            <w:gridSpan w:val="2"/>
            <w:shd w:val="clear" w:color="auto" w:fill="auto"/>
          </w:tcPr>
          <w:p w14:paraId="7183F9DA" w14:textId="22E1BA36" w:rsidR="00867637" w:rsidRPr="006E7093" w:rsidRDefault="00867637" w:rsidP="006F02E2">
            <w:pPr>
              <w:spacing w:after="40"/>
              <w:jc w:val="center"/>
            </w:pPr>
            <w:r w:rsidRPr="006E7093">
              <w:t>17,029</w:t>
            </w:r>
          </w:p>
        </w:tc>
        <w:tc>
          <w:tcPr>
            <w:tcW w:w="1406" w:type="dxa"/>
            <w:shd w:val="clear" w:color="auto" w:fill="auto"/>
          </w:tcPr>
          <w:p w14:paraId="6F1502E0" w14:textId="48B17119" w:rsidR="00867637" w:rsidRPr="006E7093" w:rsidRDefault="00867637" w:rsidP="006F02E2">
            <w:pPr>
              <w:spacing w:after="40"/>
              <w:jc w:val="center"/>
            </w:pPr>
            <w:r w:rsidRPr="006E7093">
              <w:t>17,279</w:t>
            </w:r>
          </w:p>
        </w:tc>
      </w:tr>
      <w:tr w:rsidR="00867637" w:rsidRPr="006E7093" w14:paraId="024AF54F" w14:textId="77777777" w:rsidTr="00AE148C">
        <w:trPr>
          <w:trHeight w:val="70"/>
        </w:trPr>
        <w:tc>
          <w:tcPr>
            <w:tcW w:w="1996" w:type="dxa"/>
            <w:tcBorders>
              <w:bottom w:val="single" w:sz="4" w:space="0" w:color="auto"/>
            </w:tcBorders>
            <w:shd w:val="clear" w:color="auto" w:fill="auto"/>
          </w:tcPr>
          <w:p w14:paraId="181431FD" w14:textId="69CD31C0" w:rsidR="00867637" w:rsidRPr="006E7093" w:rsidRDefault="003E585F" w:rsidP="00365211">
            <w:pPr>
              <w:spacing w:after="40"/>
              <w:rPr>
                <w:lang w:eastAsia="en-US"/>
              </w:rPr>
            </w:pPr>
            <w:r>
              <w:rPr>
                <w:lang w:eastAsia="en-US"/>
              </w:rPr>
              <w:t>Restaging</w:t>
            </w:r>
          </w:p>
        </w:tc>
        <w:tc>
          <w:tcPr>
            <w:tcW w:w="1403" w:type="dxa"/>
            <w:tcBorders>
              <w:bottom w:val="single" w:sz="4" w:space="0" w:color="auto"/>
            </w:tcBorders>
          </w:tcPr>
          <w:p w14:paraId="59CE6776" w14:textId="4B29CD86" w:rsidR="00867637" w:rsidRPr="006E7093" w:rsidRDefault="00867637" w:rsidP="006F02E2">
            <w:pPr>
              <w:spacing w:after="40"/>
              <w:jc w:val="center"/>
            </w:pPr>
            <w:r w:rsidRPr="006E7093">
              <w:t>3,289</w:t>
            </w:r>
          </w:p>
        </w:tc>
        <w:tc>
          <w:tcPr>
            <w:tcW w:w="1403" w:type="dxa"/>
            <w:gridSpan w:val="2"/>
            <w:tcBorders>
              <w:bottom w:val="single" w:sz="4" w:space="0" w:color="auto"/>
            </w:tcBorders>
            <w:shd w:val="clear" w:color="auto" w:fill="auto"/>
          </w:tcPr>
          <w:p w14:paraId="5E640EAE" w14:textId="2E5696D1" w:rsidR="00867637" w:rsidRPr="006E7093" w:rsidRDefault="00867637" w:rsidP="006F02E2">
            <w:pPr>
              <w:spacing w:after="40"/>
              <w:jc w:val="center"/>
            </w:pPr>
            <w:r w:rsidRPr="006E7093">
              <w:t>3,540</w:t>
            </w:r>
          </w:p>
        </w:tc>
        <w:tc>
          <w:tcPr>
            <w:tcW w:w="1405" w:type="dxa"/>
            <w:tcBorders>
              <w:bottom w:val="single" w:sz="4" w:space="0" w:color="auto"/>
            </w:tcBorders>
            <w:shd w:val="clear" w:color="auto" w:fill="auto"/>
          </w:tcPr>
          <w:p w14:paraId="3F9409DE" w14:textId="3CE508D4" w:rsidR="00867637" w:rsidRPr="006E7093" w:rsidRDefault="00867637" w:rsidP="006F02E2">
            <w:pPr>
              <w:spacing w:after="40"/>
              <w:jc w:val="center"/>
            </w:pPr>
            <w:r w:rsidRPr="006E7093">
              <w:t>3,900</w:t>
            </w:r>
          </w:p>
        </w:tc>
        <w:tc>
          <w:tcPr>
            <w:tcW w:w="1403" w:type="dxa"/>
            <w:gridSpan w:val="2"/>
            <w:tcBorders>
              <w:bottom w:val="single" w:sz="4" w:space="0" w:color="auto"/>
            </w:tcBorders>
            <w:shd w:val="clear" w:color="auto" w:fill="auto"/>
          </w:tcPr>
          <w:p w14:paraId="2D4B6FA1" w14:textId="7A5E3C89" w:rsidR="00867637" w:rsidRPr="006E7093" w:rsidRDefault="00867637" w:rsidP="006F02E2">
            <w:pPr>
              <w:spacing w:after="40"/>
              <w:jc w:val="center"/>
            </w:pPr>
            <w:r w:rsidRPr="006E7093">
              <w:t>4,235</w:t>
            </w:r>
          </w:p>
        </w:tc>
        <w:tc>
          <w:tcPr>
            <w:tcW w:w="1406" w:type="dxa"/>
            <w:tcBorders>
              <w:bottom w:val="single" w:sz="4" w:space="0" w:color="auto"/>
            </w:tcBorders>
            <w:shd w:val="clear" w:color="auto" w:fill="auto"/>
          </w:tcPr>
          <w:p w14:paraId="42062F22" w14:textId="598E1665" w:rsidR="00867637" w:rsidRPr="006E7093" w:rsidRDefault="00867637" w:rsidP="006F02E2">
            <w:pPr>
              <w:spacing w:after="40"/>
              <w:jc w:val="center"/>
            </w:pPr>
            <w:r w:rsidRPr="006E7093">
              <w:t>4,550</w:t>
            </w:r>
          </w:p>
        </w:tc>
      </w:tr>
      <w:tr w:rsidR="00867637" w:rsidRPr="006E7093" w14:paraId="6C18CC02" w14:textId="77777777" w:rsidTr="00AE148C">
        <w:trPr>
          <w:trHeight w:val="315"/>
        </w:trPr>
        <w:tc>
          <w:tcPr>
            <w:tcW w:w="1996" w:type="dxa"/>
            <w:tcBorders>
              <w:bottom w:val="single" w:sz="4" w:space="0" w:color="auto"/>
            </w:tcBorders>
            <w:shd w:val="clear" w:color="auto" w:fill="auto"/>
          </w:tcPr>
          <w:p w14:paraId="10B195E5" w14:textId="17089564" w:rsidR="00867637" w:rsidRPr="006E7093" w:rsidRDefault="00867637" w:rsidP="00365211">
            <w:pPr>
              <w:spacing w:after="40"/>
              <w:rPr>
                <w:b/>
                <w:bCs/>
                <w:lang w:eastAsia="en-US"/>
              </w:rPr>
            </w:pPr>
            <w:r w:rsidRPr="006E7093">
              <w:rPr>
                <w:b/>
                <w:bCs/>
                <w:lang w:eastAsia="en-US"/>
              </w:rPr>
              <w:t>Total</w:t>
            </w:r>
          </w:p>
        </w:tc>
        <w:tc>
          <w:tcPr>
            <w:tcW w:w="1403" w:type="dxa"/>
            <w:tcBorders>
              <w:bottom w:val="single" w:sz="4" w:space="0" w:color="auto"/>
            </w:tcBorders>
          </w:tcPr>
          <w:p w14:paraId="07D01C88" w14:textId="3D3BDCAC" w:rsidR="00867637" w:rsidRPr="006E7093" w:rsidRDefault="00867637" w:rsidP="006F02E2">
            <w:pPr>
              <w:spacing w:after="40"/>
              <w:jc w:val="center"/>
              <w:rPr>
                <w:b/>
                <w:bCs/>
              </w:rPr>
            </w:pPr>
            <w:r w:rsidRPr="006E7093">
              <w:rPr>
                <w:b/>
                <w:bCs/>
              </w:rPr>
              <w:t>19,545</w:t>
            </w:r>
          </w:p>
        </w:tc>
        <w:tc>
          <w:tcPr>
            <w:tcW w:w="1403" w:type="dxa"/>
            <w:gridSpan w:val="2"/>
            <w:tcBorders>
              <w:bottom w:val="single" w:sz="4" w:space="0" w:color="auto"/>
            </w:tcBorders>
            <w:shd w:val="clear" w:color="auto" w:fill="auto"/>
          </w:tcPr>
          <w:p w14:paraId="55E34993" w14:textId="1D55BD70" w:rsidR="00867637" w:rsidRPr="006E7093" w:rsidRDefault="00867637" w:rsidP="006F02E2">
            <w:pPr>
              <w:spacing w:after="40"/>
              <w:jc w:val="center"/>
              <w:rPr>
                <w:b/>
                <w:bCs/>
              </w:rPr>
            </w:pPr>
            <w:r w:rsidRPr="006E7093">
              <w:rPr>
                <w:b/>
                <w:bCs/>
              </w:rPr>
              <w:t>20,057</w:t>
            </w:r>
          </w:p>
        </w:tc>
        <w:tc>
          <w:tcPr>
            <w:tcW w:w="1405" w:type="dxa"/>
            <w:tcBorders>
              <w:bottom w:val="single" w:sz="4" w:space="0" w:color="auto"/>
            </w:tcBorders>
            <w:shd w:val="clear" w:color="auto" w:fill="auto"/>
          </w:tcPr>
          <w:p w14:paraId="0B8A60C6" w14:textId="30DFC1D5" w:rsidR="00867637" w:rsidRPr="006E7093" w:rsidRDefault="00867637" w:rsidP="006F02E2">
            <w:pPr>
              <w:spacing w:after="40"/>
              <w:jc w:val="center"/>
              <w:rPr>
                <w:b/>
                <w:bCs/>
              </w:rPr>
            </w:pPr>
            <w:r w:rsidRPr="006E7093">
              <w:rPr>
                <w:b/>
                <w:bCs/>
              </w:rPr>
              <w:t>20,674</w:t>
            </w:r>
          </w:p>
        </w:tc>
        <w:tc>
          <w:tcPr>
            <w:tcW w:w="1403" w:type="dxa"/>
            <w:gridSpan w:val="2"/>
            <w:tcBorders>
              <w:bottom w:val="single" w:sz="4" w:space="0" w:color="auto"/>
            </w:tcBorders>
            <w:shd w:val="clear" w:color="auto" w:fill="auto"/>
          </w:tcPr>
          <w:p w14:paraId="56AF53A3" w14:textId="2C137A70" w:rsidR="00867637" w:rsidRPr="006E7093" w:rsidRDefault="00867637" w:rsidP="006F02E2">
            <w:pPr>
              <w:spacing w:after="40"/>
              <w:jc w:val="center"/>
              <w:rPr>
                <w:b/>
                <w:bCs/>
              </w:rPr>
            </w:pPr>
            <w:r w:rsidRPr="006E7093">
              <w:rPr>
                <w:b/>
                <w:bCs/>
              </w:rPr>
              <w:t>21,264</w:t>
            </w:r>
          </w:p>
        </w:tc>
        <w:tc>
          <w:tcPr>
            <w:tcW w:w="1406" w:type="dxa"/>
            <w:tcBorders>
              <w:bottom w:val="single" w:sz="4" w:space="0" w:color="auto"/>
            </w:tcBorders>
            <w:shd w:val="clear" w:color="auto" w:fill="auto"/>
          </w:tcPr>
          <w:p w14:paraId="1F28678A" w14:textId="58D5A42F" w:rsidR="00867637" w:rsidRPr="006E7093" w:rsidRDefault="00867637" w:rsidP="006F02E2">
            <w:pPr>
              <w:spacing w:after="40"/>
              <w:jc w:val="center"/>
              <w:rPr>
                <w:b/>
                <w:bCs/>
              </w:rPr>
            </w:pPr>
            <w:r w:rsidRPr="006E7093">
              <w:rPr>
                <w:b/>
                <w:bCs/>
              </w:rPr>
              <w:t>21,829</w:t>
            </w:r>
          </w:p>
        </w:tc>
      </w:tr>
      <w:tr w:rsidR="00867637" w:rsidRPr="006E7093" w14:paraId="616C38A1" w14:textId="77777777" w:rsidTr="00AE148C">
        <w:trPr>
          <w:trHeight w:val="315"/>
        </w:trPr>
        <w:tc>
          <w:tcPr>
            <w:tcW w:w="1996" w:type="dxa"/>
            <w:tcBorders>
              <w:right w:val="nil"/>
            </w:tcBorders>
            <w:shd w:val="clear" w:color="auto" w:fill="auto"/>
          </w:tcPr>
          <w:p w14:paraId="0E574F62" w14:textId="77777777" w:rsidR="00867637" w:rsidRPr="006E7093" w:rsidRDefault="00867637" w:rsidP="00365211">
            <w:pPr>
              <w:spacing w:after="40"/>
              <w:rPr>
                <w:lang w:eastAsia="en-US"/>
              </w:rPr>
            </w:pPr>
            <w:r w:rsidRPr="006E7093">
              <w:rPr>
                <w:lang w:eastAsia="en-US"/>
              </w:rPr>
              <w:t>Cost to MBS</w:t>
            </w:r>
          </w:p>
        </w:tc>
        <w:tc>
          <w:tcPr>
            <w:tcW w:w="1403" w:type="dxa"/>
            <w:tcBorders>
              <w:left w:val="nil"/>
              <w:right w:val="nil"/>
            </w:tcBorders>
          </w:tcPr>
          <w:p w14:paraId="468D1062" w14:textId="77777777" w:rsidR="00867637" w:rsidRPr="006E7093" w:rsidRDefault="00867637" w:rsidP="00365211">
            <w:pPr>
              <w:spacing w:after="40"/>
            </w:pPr>
          </w:p>
        </w:tc>
        <w:tc>
          <w:tcPr>
            <w:tcW w:w="1403" w:type="dxa"/>
            <w:gridSpan w:val="2"/>
            <w:tcBorders>
              <w:left w:val="nil"/>
              <w:right w:val="nil"/>
            </w:tcBorders>
            <w:shd w:val="clear" w:color="auto" w:fill="auto"/>
          </w:tcPr>
          <w:p w14:paraId="2CBA58C5" w14:textId="77777777" w:rsidR="00867637" w:rsidRPr="006E7093" w:rsidRDefault="00867637" w:rsidP="00365211">
            <w:pPr>
              <w:spacing w:after="40"/>
            </w:pPr>
          </w:p>
        </w:tc>
        <w:tc>
          <w:tcPr>
            <w:tcW w:w="1405" w:type="dxa"/>
            <w:tcBorders>
              <w:left w:val="nil"/>
              <w:right w:val="nil"/>
            </w:tcBorders>
            <w:shd w:val="clear" w:color="auto" w:fill="auto"/>
          </w:tcPr>
          <w:p w14:paraId="03EC36E4" w14:textId="77777777" w:rsidR="00867637" w:rsidRPr="006E7093" w:rsidRDefault="00867637" w:rsidP="00365211">
            <w:pPr>
              <w:spacing w:after="40"/>
            </w:pPr>
          </w:p>
        </w:tc>
        <w:tc>
          <w:tcPr>
            <w:tcW w:w="1403" w:type="dxa"/>
            <w:gridSpan w:val="2"/>
            <w:tcBorders>
              <w:left w:val="nil"/>
              <w:right w:val="nil"/>
            </w:tcBorders>
            <w:shd w:val="clear" w:color="auto" w:fill="auto"/>
          </w:tcPr>
          <w:p w14:paraId="18027A95" w14:textId="77777777" w:rsidR="00867637" w:rsidRPr="006E7093" w:rsidRDefault="00867637" w:rsidP="00365211">
            <w:pPr>
              <w:spacing w:after="40"/>
            </w:pPr>
          </w:p>
        </w:tc>
        <w:tc>
          <w:tcPr>
            <w:tcW w:w="1406" w:type="dxa"/>
            <w:tcBorders>
              <w:left w:val="nil"/>
            </w:tcBorders>
            <w:shd w:val="clear" w:color="auto" w:fill="auto"/>
          </w:tcPr>
          <w:p w14:paraId="322570FC" w14:textId="77777777" w:rsidR="00867637" w:rsidRPr="006E7093" w:rsidRDefault="00867637" w:rsidP="00365211">
            <w:pPr>
              <w:spacing w:after="40"/>
            </w:pPr>
          </w:p>
        </w:tc>
      </w:tr>
      <w:tr w:rsidR="00867637" w:rsidRPr="006E7093" w14:paraId="183DF7D4" w14:textId="77777777" w:rsidTr="00AE148C">
        <w:trPr>
          <w:trHeight w:val="315"/>
        </w:trPr>
        <w:tc>
          <w:tcPr>
            <w:tcW w:w="1996" w:type="dxa"/>
            <w:shd w:val="clear" w:color="auto" w:fill="auto"/>
          </w:tcPr>
          <w:p w14:paraId="0FC56477" w14:textId="3BBE1B28" w:rsidR="00867637" w:rsidRPr="006E7093" w:rsidRDefault="00867637" w:rsidP="00365211">
            <w:pPr>
              <w:spacing w:after="40"/>
              <w:rPr>
                <w:lang w:eastAsia="en-US"/>
              </w:rPr>
            </w:pPr>
            <w:r w:rsidRPr="006E7093">
              <w:rPr>
                <w:lang w:eastAsia="en-US"/>
              </w:rPr>
              <w:t>P</w:t>
            </w:r>
            <w:r w:rsidR="003E585F">
              <w:rPr>
                <w:lang w:eastAsia="en-US"/>
              </w:rPr>
              <w:t>rimary staging</w:t>
            </w:r>
          </w:p>
        </w:tc>
        <w:tc>
          <w:tcPr>
            <w:tcW w:w="1403" w:type="dxa"/>
          </w:tcPr>
          <w:p w14:paraId="22ABD2E5" w14:textId="77777777" w:rsidR="00867637" w:rsidRPr="006E7093" w:rsidRDefault="00867637" w:rsidP="006F02E2">
            <w:pPr>
              <w:spacing w:after="40"/>
              <w:jc w:val="center"/>
            </w:pPr>
            <w:r w:rsidRPr="006E7093">
              <w:t>$16,414,565</w:t>
            </w:r>
          </w:p>
        </w:tc>
        <w:tc>
          <w:tcPr>
            <w:tcW w:w="1403" w:type="dxa"/>
            <w:gridSpan w:val="2"/>
            <w:shd w:val="clear" w:color="auto" w:fill="auto"/>
          </w:tcPr>
          <w:p w14:paraId="34C64E5E" w14:textId="77777777" w:rsidR="00867637" w:rsidRPr="006E7093" w:rsidRDefault="00867637" w:rsidP="006F02E2">
            <w:pPr>
              <w:spacing w:after="40"/>
              <w:jc w:val="center"/>
            </w:pPr>
            <w:r w:rsidRPr="006E7093">
              <w:t>$16,678,089</w:t>
            </w:r>
          </w:p>
        </w:tc>
        <w:tc>
          <w:tcPr>
            <w:tcW w:w="1405" w:type="dxa"/>
            <w:shd w:val="clear" w:color="auto" w:fill="auto"/>
          </w:tcPr>
          <w:p w14:paraId="36B94850" w14:textId="77777777" w:rsidR="00867637" w:rsidRPr="006E7093" w:rsidRDefault="00867637" w:rsidP="006F02E2">
            <w:pPr>
              <w:spacing w:after="40"/>
              <w:jc w:val="center"/>
            </w:pPr>
            <w:r w:rsidRPr="006E7093">
              <w:t>$16,938,076</w:t>
            </w:r>
          </w:p>
        </w:tc>
        <w:tc>
          <w:tcPr>
            <w:tcW w:w="1403" w:type="dxa"/>
            <w:gridSpan w:val="2"/>
            <w:shd w:val="clear" w:color="auto" w:fill="auto"/>
          </w:tcPr>
          <w:p w14:paraId="7D17E892" w14:textId="77777777" w:rsidR="00867637" w:rsidRPr="006E7093" w:rsidRDefault="00867637" w:rsidP="006F02E2">
            <w:pPr>
              <w:spacing w:after="40"/>
              <w:jc w:val="center"/>
            </w:pPr>
            <w:r w:rsidRPr="006E7093">
              <w:t>$17,194,746</w:t>
            </w:r>
          </w:p>
        </w:tc>
        <w:tc>
          <w:tcPr>
            <w:tcW w:w="1406" w:type="dxa"/>
            <w:shd w:val="clear" w:color="auto" w:fill="auto"/>
          </w:tcPr>
          <w:p w14:paraId="19421C22" w14:textId="77777777" w:rsidR="00867637" w:rsidRPr="006E7093" w:rsidRDefault="00867637" w:rsidP="006F02E2">
            <w:pPr>
              <w:spacing w:after="40"/>
              <w:jc w:val="center"/>
            </w:pPr>
            <w:r w:rsidRPr="006E7093">
              <w:t>$17,447,160</w:t>
            </w:r>
          </w:p>
        </w:tc>
      </w:tr>
      <w:tr w:rsidR="00867637" w:rsidRPr="006E7093" w14:paraId="42C657B0" w14:textId="77777777" w:rsidTr="00AE148C">
        <w:trPr>
          <w:trHeight w:val="315"/>
        </w:trPr>
        <w:tc>
          <w:tcPr>
            <w:tcW w:w="1996" w:type="dxa"/>
            <w:shd w:val="clear" w:color="auto" w:fill="auto"/>
          </w:tcPr>
          <w:p w14:paraId="1C5951B1" w14:textId="3E69CC21" w:rsidR="00867637" w:rsidRPr="006E7093" w:rsidRDefault="003E585F" w:rsidP="00365211">
            <w:pPr>
              <w:spacing w:after="40"/>
              <w:rPr>
                <w:lang w:eastAsia="en-US"/>
              </w:rPr>
            </w:pPr>
            <w:r>
              <w:rPr>
                <w:lang w:eastAsia="en-US"/>
              </w:rPr>
              <w:t>Restaging</w:t>
            </w:r>
          </w:p>
        </w:tc>
        <w:tc>
          <w:tcPr>
            <w:tcW w:w="1403" w:type="dxa"/>
          </w:tcPr>
          <w:p w14:paraId="299FA654" w14:textId="77777777" w:rsidR="00867637" w:rsidRPr="006E7093" w:rsidRDefault="00867637" w:rsidP="006F02E2">
            <w:pPr>
              <w:spacing w:after="40"/>
              <w:jc w:val="center"/>
            </w:pPr>
            <w:r w:rsidRPr="006E7093">
              <w:t>$3,321,006</w:t>
            </w:r>
          </w:p>
        </w:tc>
        <w:tc>
          <w:tcPr>
            <w:tcW w:w="1403" w:type="dxa"/>
            <w:gridSpan w:val="2"/>
            <w:shd w:val="clear" w:color="auto" w:fill="auto"/>
          </w:tcPr>
          <w:p w14:paraId="6CBCB2BD" w14:textId="77777777" w:rsidR="00867637" w:rsidRPr="006E7093" w:rsidRDefault="00867637" w:rsidP="006F02E2">
            <w:pPr>
              <w:spacing w:after="40"/>
              <w:jc w:val="center"/>
            </w:pPr>
            <w:r w:rsidRPr="006E7093">
              <w:t>$3,574,720</w:t>
            </w:r>
          </w:p>
        </w:tc>
        <w:tc>
          <w:tcPr>
            <w:tcW w:w="1405" w:type="dxa"/>
            <w:shd w:val="clear" w:color="auto" w:fill="auto"/>
          </w:tcPr>
          <w:p w14:paraId="1E21EEC7" w14:textId="77777777" w:rsidR="00867637" w:rsidRPr="006E7093" w:rsidRDefault="00867637" w:rsidP="006F02E2">
            <w:pPr>
              <w:spacing w:after="40"/>
              <w:jc w:val="center"/>
            </w:pPr>
            <w:r w:rsidRPr="006E7093">
              <w:t>$3,938,270</w:t>
            </w:r>
          </w:p>
        </w:tc>
        <w:tc>
          <w:tcPr>
            <w:tcW w:w="1403" w:type="dxa"/>
            <w:gridSpan w:val="2"/>
            <w:shd w:val="clear" w:color="auto" w:fill="auto"/>
          </w:tcPr>
          <w:p w14:paraId="16D21459" w14:textId="77777777" w:rsidR="00867637" w:rsidRPr="006E7093" w:rsidRDefault="00867637" w:rsidP="006F02E2">
            <w:pPr>
              <w:spacing w:after="40"/>
              <w:jc w:val="center"/>
            </w:pPr>
            <w:r w:rsidRPr="006E7093">
              <w:t>$4,276,684</w:t>
            </w:r>
          </w:p>
        </w:tc>
        <w:tc>
          <w:tcPr>
            <w:tcW w:w="1406" w:type="dxa"/>
            <w:shd w:val="clear" w:color="auto" w:fill="auto"/>
          </w:tcPr>
          <w:p w14:paraId="14635BD3" w14:textId="77777777" w:rsidR="00867637" w:rsidRPr="006E7093" w:rsidRDefault="00867637" w:rsidP="006F02E2">
            <w:pPr>
              <w:spacing w:after="40"/>
              <w:jc w:val="center"/>
            </w:pPr>
            <w:r w:rsidRPr="006E7093">
              <w:t>$4,594,218</w:t>
            </w:r>
          </w:p>
        </w:tc>
      </w:tr>
      <w:tr w:rsidR="00867637" w:rsidRPr="006E7093" w14:paraId="73F837CD" w14:textId="77777777" w:rsidTr="00AE148C">
        <w:trPr>
          <w:trHeight w:val="315"/>
        </w:trPr>
        <w:tc>
          <w:tcPr>
            <w:tcW w:w="1996" w:type="dxa"/>
            <w:shd w:val="clear" w:color="auto" w:fill="auto"/>
          </w:tcPr>
          <w:p w14:paraId="4E1ED0F4" w14:textId="3F57E08A" w:rsidR="00867637" w:rsidRPr="006E7093" w:rsidRDefault="00867637" w:rsidP="00365211">
            <w:pPr>
              <w:spacing w:after="40"/>
              <w:rPr>
                <w:b/>
                <w:bCs/>
                <w:lang w:eastAsia="en-US"/>
              </w:rPr>
            </w:pPr>
            <w:r w:rsidRPr="006E7093">
              <w:rPr>
                <w:b/>
                <w:bCs/>
                <w:lang w:eastAsia="en-US"/>
              </w:rPr>
              <w:t>Total</w:t>
            </w:r>
          </w:p>
        </w:tc>
        <w:tc>
          <w:tcPr>
            <w:tcW w:w="1403" w:type="dxa"/>
            <w:vAlign w:val="center"/>
          </w:tcPr>
          <w:p w14:paraId="0F430E90" w14:textId="77777777" w:rsidR="00867637" w:rsidRPr="006E7093" w:rsidRDefault="00867637" w:rsidP="006F02E2">
            <w:pPr>
              <w:spacing w:after="40"/>
              <w:jc w:val="center"/>
              <w:rPr>
                <w:b/>
                <w:bCs/>
              </w:rPr>
            </w:pPr>
            <w:r w:rsidRPr="006E7093">
              <w:rPr>
                <w:rFonts w:cs="Calibri"/>
                <w:b/>
                <w:bCs/>
                <w:color w:val="000000"/>
              </w:rPr>
              <w:t>$19,735,571</w:t>
            </w:r>
          </w:p>
        </w:tc>
        <w:tc>
          <w:tcPr>
            <w:tcW w:w="1403" w:type="dxa"/>
            <w:gridSpan w:val="2"/>
            <w:shd w:val="clear" w:color="auto" w:fill="auto"/>
            <w:vAlign w:val="center"/>
          </w:tcPr>
          <w:p w14:paraId="1A926FB3" w14:textId="77777777" w:rsidR="00867637" w:rsidRPr="006E7093" w:rsidRDefault="00867637" w:rsidP="006F02E2">
            <w:pPr>
              <w:spacing w:after="40"/>
              <w:jc w:val="center"/>
              <w:rPr>
                <w:b/>
                <w:bCs/>
              </w:rPr>
            </w:pPr>
            <w:r w:rsidRPr="006E7093">
              <w:rPr>
                <w:rFonts w:cs="Calibri"/>
                <w:b/>
                <w:bCs/>
                <w:color w:val="000000"/>
              </w:rPr>
              <w:t>$20,252,809</w:t>
            </w:r>
          </w:p>
        </w:tc>
        <w:tc>
          <w:tcPr>
            <w:tcW w:w="1405" w:type="dxa"/>
            <w:shd w:val="clear" w:color="auto" w:fill="auto"/>
            <w:vAlign w:val="center"/>
          </w:tcPr>
          <w:p w14:paraId="7ED3E124" w14:textId="77777777" w:rsidR="00867637" w:rsidRPr="006E7093" w:rsidRDefault="00867637" w:rsidP="006F02E2">
            <w:pPr>
              <w:spacing w:after="40"/>
              <w:jc w:val="center"/>
              <w:rPr>
                <w:b/>
                <w:bCs/>
              </w:rPr>
            </w:pPr>
            <w:r w:rsidRPr="006E7093">
              <w:rPr>
                <w:rFonts w:cs="Calibri"/>
                <w:b/>
                <w:bCs/>
                <w:color w:val="000000"/>
              </w:rPr>
              <w:t>$20,876,346</w:t>
            </w:r>
          </w:p>
        </w:tc>
        <w:tc>
          <w:tcPr>
            <w:tcW w:w="1403" w:type="dxa"/>
            <w:gridSpan w:val="2"/>
            <w:shd w:val="clear" w:color="auto" w:fill="auto"/>
            <w:vAlign w:val="center"/>
          </w:tcPr>
          <w:p w14:paraId="21712E59" w14:textId="77777777" w:rsidR="00867637" w:rsidRPr="006E7093" w:rsidRDefault="00867637" w:rsidP="006F02E2">
            <w:pPr>
              <w:spacing w:after="40"/>
              <w:jc w:val="center"/>
              <w:rPr>
                <w:b/>
                <w:bCs/>
              </w:rPr>
            </w:pPr>
            <w:r w:rsidRPr="006E7093">
              <w:rPr>
                <w:rFonts w:cs="Calibri"/>
                <w:b/>
                <w:bCs/>
                <w:color w:val="000000"/>
              </w:rPr>
              <w:t>$21,471,430</w:t>
            </w:r>
          </w:p>
        </w:tc>
        <w:tc>
          <w:tcPr>
            <w:tcW w:w="1406" w:type="dxa"/>
            <w:shd w:val="clear" w:color="auto" w:fill="auto"/>
            <w:vAlign w:val="center"/>
          </w:tcPr>
          <w:p w14:paraId="0E0BC103" w14:textId="77777777" w:rsidR="00867637" w:rsidRPr="006E7093" w:rsidRDefault="00867637" w:rsidP="006F02E2">
            <w:pPr>
              <w:spacing w:after="40"/>
              <w:jc w:val="center"/>
              <w:rPr>
                <w:b/>
                <w:bCs/>
              </w:rPr>
            </w:pPr>
            <w:r w:rsidRPr="006E7093">
              <w:rPr>
                <w:rFonts w:cs="Calibri"/>
                <w:b/>
                <w:bCs/>
                <w:color w:val="000000"/>
              </w:rPr>
              <w:t>$22,041,378</w:t>
            </w:r>
          </w:p>
        </w:tc>
      </w:tr>
      <w:tr w:rsidR="00396355" w:rsidRPr="006E7093" w14:paraId="43D7AEE3" w14:textId="77777777" w:rsidTr="00AE148C">
        <w:trPr>
          <w:trHeight w:val="315"/>
        </w:trPr>
        <w:tc>
          <w:tcPr>
            <w:tcW w:w="1996" w:type="dxa"/>
            <w:shd w:val="clear" w:color="auto" w:fill="auto"/>
          </w:tcPr>
          <w:p w14:paraId="730B3023" w14:textId="77777777" w:rsidR="00396355" w:rsidRDefault="00396355" w:rsidP="00396355">
            <w:pPr>
              <w:spacing w:after="40"/>
              <w:rPr>
                <w:b/>
                <w:bCs/>
                <w:i/>
                <w:lang w:eastAsia="en-US"/>
              </w:rPr>
            </w:pPr>
            <w:r w:rsidRPr="006F02E2">
              <w:rPr>
                <w:b/>
                <w:bCs/>
                <w:i/>
                <w:lang w:eastAsia="en-US"/>
              </w:rPr>
              <w:t>ESC values</w:t>
            </w:r>
          </w:p>
          <w:p w14:paraId="1CDCC84F" w14:textId="0F42A10F" w:rsidR="00396355" w:rsidRPr="006E7093" w:rsidRDefault="00396355" w:rsidP="00396355">
            <w:pPr>
              <w:spacing w:after="40"/>
              <w:rPr>
                <w:b/>
                <w:bCs/>
                <w:lang w:eastAsia="en-US"/>
              </w:rPr>
            </w:pPr>
            <w:r>
              <w:rPr>
                <w:b/>
                <w:bCs/>
                <w:i/>
                <w:lang w:eastAsia="en-US"/>
              </w:rPr>
              <w:t>GPG adjustment</w:t>
            </w:r>
          </w:p>
        </w:tc>
        <w:tc>
          <w:tcPr>
            <w:tcW w:w="1403" w:type="dxa"/>
            <w:vAlign w:val="center"/>
          </w:tcPr>
          <w:p w14:paraId="5CFD51F1" w14:textId="13484B30" w:rsidR="00396355" w:rsidRPr="00AE148C" w:rsidRDefault="00396355" w:rsidP="00C61F6F">
            <w:pPr>
              <w:spacing w:after="40"/>
              <w:jc w:val="center"/>
              <w:rPr>
                <w:rFonts w:cs="Calibri"/>
                <w:b/>
                <w:bCs/>
                <w:i/>
                <w:color w:val="000000"/>
              </w:rPr>
            </w:pPr>
            <w:r w:rsidRPr="00AE148C">
              <w:rPr>
                <w:rFonts w:cs="Calibri"/>
                <w:b/>
                <w:i/>
                <w:color w:val="000000"/>
              </w:rPr>
              <w:t>$21,562,870</w:t>
            </w:r>
          </w:p>
        </w:tc>
        <w:tc>
          <w:tcPr>
            <w:tcW w:w="1403" w:type="dxa"/>
            <w:gridSpan w:val="2"/>
            <w:shd w:val="clear" w:color="auto" w:fill="auto"/>
            <w:vAlign w:val="center"/>
          </w:tcPr>
          <w:p w14:paraId="7D3D832F" w14:textId="5779348C" w:rsidR="00396355" w:rsidRPr="00AE148C" w:rsidRDefault="00396355" w:rsidP="00C61F6F">
            <w:pPr>
              <w:spacing w:after="40"/>
              <w:jc w:val="center"/>
              <w:rPr>
                <w:rFonts w:cs="Calibri"/>
                <w:b/>
                <w:bCs/>
                <w:i/>
                <w:color w:val="000000"/>
              </w:rPr>
            </w:pPr>
            <w:r w:rsidRPr="00AE148C">
              <w:rPr>
                <w:rFonts w:cs="Calibri"/>
                <w:b/>
                <w:i/>
                <w:color w:val="000000"/>
              </w:rPr>
              <w:t>$22,127,997</w:t>
            </w:r>
          </w:p>
        </w:tc>
        <w:tc>
          <w:tcPr>
            <w:tcW w:w="1405" w:type="dxa"/>
            <w:shd w:val="clear" w:color="auto" w:fill="auto"/>
            <w:vAlign w:val="center"/>
          </w:tcPr>
          <w:p w14:paraId="3BDE8CD9" w14:textId="5FE1BCF8" w:rsidR="00396355" w:rsidRPr="00AE148C" w:rsidRDefault="00396355" w:rsidP="00C61F6F">
            <w:pPr>
              <w:spacing w:after="40"/>
              <w:jc w:val="center"/>
              <w:rPr>
                <w:rFonts w:cs="Calibri"/>
                <w:b/>
                <w:bCs/>
                <w:i/>
                <w:color w:val="000000"/>
              </w:rPr>
            </w:pPr>
            <w:r w:rsidRPr="00AE148C">
              <w:rPr>
                <w:rFonts w:cs="Calibri"/>
                <w:b/>
                <w:i/>
                <w:color w:val="000000"/>
              </w:rPr>
              <w:t>$22,809,268</w:t>
            </w:r>
          </w:p>
        </w:tc>
        <w:tc>
          <w:tcPr>
            <w:tcW w:w="1403" w:type="dxa"/>
            <w:gridSpan w:val="2"/>
            <w:shd w:val="clear" w:color="auto" w:fill="auto"/>
            <w:vAlign w:val="center"/>
          </w:tcPr>
          <w:p w14:paraId="63CE3486" w14:textId="721B5553" w:rsidR="00396355" w:rsidRPr="00AE148C" w:rsidRDefault="00396355" w:rsidP="00C61F6F">
            <w:pPr>
              <w:spacing w:after="40"/>
              <w:jc w:val="center"/>
              <w:rPr>
                <w:rFonts w:cs="Calibri"/>
                <w:b/>
                <w:bCs/>
                <w:i/>
                <w:color w:val="000000"/>
              </w:rPr>
            </w:pPr>
            <w:r w:rsidRPr="00AE148C">
              <w:rPr>
                <w:rFonts w:cs="Calibri"/>
                <w:b/>
                <w:i/>
                <w:color w:val="000000"/>
              </w:rPr>
              <w:t>$23,459,449</w:t>
            </w:r>
          </w:p>
        </w:tc>
        <w:tc>
          <w:tcPr>
            <w:tcW w:w="1406" w:type="dxa"/>
            <w:shd w:val="clear" w:color="auto" w:fill="auto"/>
            <w:vAlign w:val="center"/>
          </w:tcPr>
          <w:p w14:paraId="78C1F4C2" w14:textId="1DA54C30" w:rsidR="00396355" w:rsidRPr="00AE148C" w:rsidRDefault="00396355" w:rsidP="00C61F6F">
            <w:pPr>
              <w:spacing w:after="40"/>
              <w:jc w:val="center"/>
              <w:rPr>
                <w:rFonts w:cs="Calibri"/>
                <w:b/>
                <w:bCs/>
                <w:i/>
                <w:color w:val="000000"/>
              </w:rPr>
            </w:pPr>
            <w:r w:rsidRPr="00AE148C">
              <w:rPr>
                <w:rFonts w:cs="Calibri"/>
                <w:b/>
                <w:i/>
                <w:color w:val="000000"/>
              </w:rPr>
              <w:t>$24,082,169</w:t>
            </w:r>
          </w:p>
        </w:tc>
      </w:tr>
      <w:tr w:rsidR="00867637" w:rsidRPr="006E7093" w14:paraId="4AA3B5F6" w14:textId="77777777" w:rsidTr="00AE148C">
        <w:trPr>
          <w:trHeight w:val="315"/>
        </w:trPr>
        <w:tc>
          <w:tcPr>
            <w:tcW w:w="9016" w:type="dxa"/>
            <w:gridSpan w:val="8"/>
            <w:shd w:val="clear" w:color="auto" w:fill="F2F2F2" w:themeFill="background1" w:themeFillShade="F2"/>
          </w:tcPr>
          <w:p w14:paraId="148197A8" w14:textId="77777777" w:rsidR="00867637" w:rsidRPr="006E7093" w:rsidRDefault="00867637" w:rsidP="00365211">
            <w:pPr>
              <w:spacing w:after="40"/>
              <w:rPr>
                <w:lang w:eastAsia="en-US"/>
              </w:rPr>
            </w:pPr>
            <w:r w:rsidRPr="006E7093">
              <w:rPr>
                <w:lang w:eastAsia="en-US"/>
              </w:rPr>
              <w:t>Net cost to the MBS (cost of PSMA PET/CT minus savings from conventional imaging services avoided)</w:t>
            </w:r>
          </w:p>
        </w:tc>
      </w:tr>
      <w:tr w:rsidR="00867637" w:rsidRPr="006E7093" w14:paraId="60B3B0C2" w14:textId="77777777" w:rsidTr="00AE148C">
        <w:trPr>
          <w:trHeight w:val="315"/>
        </w:trPr>
        <w:tc>
          <w:tcPr>
            <w:tcW w:w="1996" w:type="dxa"/>
            <w:shd w:val="clear" w:color="auto" w:fill="auto"/>
          </w:tcPr>
          <w:p w14:paraId="05888579" w14:textId="660D3536" w:rsidR="00867637" w:rsidRPr="006E7093" w:rsidRDefault="00867637" w:rsidP="00365211">
            <w:pPr>
              <w:spacing w:after="40"/>
              <w:rPr>
                <w:lang w:eastAsia="en-US"/>
              </w:rPr>
            </w:pPr>
            <w:r w:rsidRPr="006E7093">
              <w:rPr>
                <w:lang w:eastAsia="en-US"/>
              </w:rPr>
              <w:t>P</w:t>
            </w:r>
            <w:r w:rsidR="003E585F">
              <w:rPr>
                <w:lang w:eastAsia="en-US"/>
              </w:rPr>
              <w:t>rimary staging</w:t>
            </w:r>
          </w:p>
        </w:tc>
        <w:tc>
          <w:tcPr>
            <w:tcW w:w="1403" w:type="dxa"/>
          </w:tcPr>
          <w:p w14:paraId="61752409" w14:textId="77777777" w:rsidR="00867637" w:rsidRPr="006E7093" w:rsidRDefault="00867637" w:rsidP="006F02E2">
            <w:pPr>
              <w:spacing w:after="40"/>
              <w:jc w:val="center"/>
              <w:rPr>
                <w:lang w:eastAsia="en-US"/>
              </w:rPr>
            </w:pPr>
            <w:r w:rsidRPr="006E7093">
              <w:rPr>
                <w:lang w:eastAsia="en-US"/>
              </w:rPr>
              <w:t>$413,645</w:t>
            </w:r>
          </w:p>
        </w:tc>
        <w:tc>
          <w:tcPr>
            <w:tcW w:w="1403" w:type="dxa"/>
            <w:gridSpan w:val="2"/>
            <w:shd w:val="clear" w:color="auto" w:fill="auto"/>
          </w:tcPr>
          <w:p w14:paraId="65F44622" w14:textId="77777777" w:rsidR="00867637" w:rsidRPr="006E7093" w:rsidRDefault="00867637" w:rsidP="006F02E2">
            <w:pPr>
              <w:spacing w:after="40"/>
              <w:jc w:val="center"/>
              <w:rPr>
                <w:lang w:eastAsia="en-US"/>
              </w:rPr>
            </w:pPr>
            <w:r w:rsidRPr="006E7093">
              <w:rPr>
                <w:lang w:eastAsia="en-US"/>
              </w:rPr>
              <w:t>$420,286</w:t>
            </w:r>
          </w:p>
        </w:tc>
        <w:tc>
          <w:tcPr>
            <w:tcW w:w="1405" w:type="dxa"/>
            <w:shd w:val="clear" w:color="auto" w:fill="auto"/>
          </w:tcPr>
          <w:p w14:paraId="67337086" w14:textId="77777777" w:rsidR="00867637" w:rsidRPr="006E7093" w:rsidRDefault="00867637" w:rsidP="006F02E2">
            <w:pPr>
              <w:spacing w:after="40"/>
              <w:jc w:val="center"/>
              <w:rPr>
                <w:lang w:eastAsia="en-US"/>
              </w:rPr>
            </w:pPr>
            <w:r w:rsidRPr="006E7093">
              <w:rPr>
                <w:lang w:eastAsia="en-US"/>
              </w:rPr>
              <w:t>$426,837</w:t>
            </w:r>
          </w:p>
        </w:tc>
        <w:tc>
          <w:tcPr>
            <w:tcW w:w="1403" w:type="dxa"/>
            <w:gridSpan w:val="2"/>
            <w:shd w:val="clear" w:color="auto" w:fill="auto"/>
          </w:tcPr>
          <w:p w14:paraId="3B70AD48" w14:textId="77777777" w:rsidR="00867637" w:rsidRPr="006E7093" w:rsidRDefault="00867637" w:rsidP="006F02E2">
            <w:pPr>
              <w:spacing w:after="40"/>
              <w:jc w:val="center"/>
              <w:rPr>
                <w:lang w:eastAsia="en-US"/>
              </w:rPr>
            </w:pPr>
            <w:r w:rsidRPr="006E7093">
              <w:rPr>
                <w:lang w:eastAsia="en-US"/>
              </w:rPr>
              <w:t>$433,305</w:t>
            </w:r>
          </w:p>
        </w:tc>
        <w:tc>
          <w:tcPr>
            <w:tcW w:w="1406" w:type="dxa"/>
            <w:shd w:val="clear" w:color="auto" w:fill="auto"/>
          </w:tcPr>
          <w:p w14:paraId="6CB46C82" w14:textId="77777777" w:rsidR="00867637" w:rsidRPr="006E7093" w:rsidRDefault="00867637" w:rsidP="006F02E2">
            <w:pPr>
              <w:spacing w:after="40"/>
              <w:jc w:val="center"/>
              <w:rPr>
                <w:lang w:eastAsia="en-US"/>
              </w:rPr>
            </w:pPr>
            <w:r w:rsidRPr="006E7093">
              <w:rPr>
                <w:lang w:eastAsia="en-US"/>
              </w:rPr>
              <w:t>$439,666</w:t>
            </w:r>
          </w:p>
        </w:tc>
      </w:tr>
      <w:tr w:rsidR="00867637" w:rsidRPr="006E7093" w14:paraId="70FF8D94" w14:textId="77777777" w:rsidTr="00AE148C">
        <w:trPr>
          <w:trHeight w:val="315"/>
        </w:trPr>
        <w:tc>
          <w:tcPr>
            <w:tcW w:w="1996" w:type="dxa"/>
            <w:shd w:val="clear" w:color="auto" w:fill="auto"/>
          </w:tcPr>
          <w:p w14:paraId="6890F44A" w14:textId="6F374FBC" w:rsidR="00867637" w:rsidRPr="006E7093" w:rsidRDefault="003E585F" w:rsidP="00365211">
            <w:pPr>
              <w:spacing w:after="40"/>
              <w:rPr>
                <w:lang w:eastAsia="en-US"/>
              </w:rPr>
            </w:pPr>
            <w:r>
              <w:rPr>
                <w:lang w:eastAsia="en-US"/>
              </w:rPr>
              <w:t>Restaging</w:t>
            </w:r>
          </w:p>
        </w:tc>
        <w:tc>
          <w:tcPr>
            <w:tcW w:w="1403" w:type="dxa"/>
          </w:tcPr>
          <w:p w14:paraId="1BF8B7B7" w14:textId="77777777" w:rsidR="00867637" w:rsidRPr="006E7093" w:rsidRDefault="00867637" w:rsidP="006F02E2">
            <w:pPr>
              <w:spacing w:after="40"/>
              <w:jc w:val="center"/>
              <w:rPr>
                <w:lang w:eastAsia="en-US"/>
              </w:rPr>
            </w:pPr>
            <w:r w:rsidRPr="006E7093">
              <w:rPr>
                <w:lang w:eastAsia="en-US"/>
              </w:rPr>
              <w:t>$2,007,931</w:t>
            </w:r>
          </w:p>
        </w:tc>
        <w:tc>
          <w:tcPr>
            <w:tcW w:w="1403" w:type="dxa"/>
            <w:gridSpan w:val="2"/>
            <w:shd w:val="clear" w:color="auto" w:fill="auto"/>
          </w:tcPr>
          <w:p w14:paraId="2FACB27C" w14:textId="77777777" w:rsidR="00867637" w:rsidRPr="006E7093" w:rsidRDefault="00867637" w:rsidP="006F02E2">
            <w:pPr>
              <w:spacing w:after="40"/>
              <w:jc w:val="center"/>
              <w:rPr>
                <w:lang w:eastAsia="en-US"/>
              </w:rPr>
            </w:pPr>
            <w:r w:rsidRPr="006E7093">
              <w:rPr>
                <w:lang w:eastAsia="en-US"/>
              </w:rPr>
              <w:t>$1,813,439</w:t>
            </w:r>
          </w:p>
        </w:tc>
        <w:tc>
          <w:tcPr>
            <w:tcW w:w="1405" w:type="dxa"/>
            <w:shd w:val="clear" w:color="auto" w:fill="auto"/>
          </w:tcPr>
          <w:p w14:paraId="0F481212" w14:textId="77777777" w:rsidR="00867637" w:rsidRPr="006E7093" w:rsidRDefault="00867637" w:rsidP="006F02E2">
            <w:pPr>
              <w:spacing w:after="40"/>
              <w:jc w:val="center"/>
              <w:rPr>
                <w:lang w:eastAsia="en-US"/>
              </w:rPr>
            </w:pPr>
            <w:r w:rsidRPr="006E7093">
              <w:rPr>
                <w:lang w:eastAsia="en-US"/>
              </w:rPr>
              <w:t>$1,757,563</w:t>
            </w:r>
          </w:p>
        </w:tc>
        <w:tc>
          <w:tcPr>
            <w:tcW w:w="1403" w:type="dxa"/>
            <w:gridSpan w:val="2"/>
            <w:shd w:val="clear" w:color="auto" w:fill="auto"/>
          </w:tcPr>
          <w:p w14:paraId="5AE9F9E7" w14:textId="77777777" w:rsidR="00867637" w:rsidRPr="006E7093" w:rsidRDefault="00867637" w:rsidP="006F02E2">
            <w:pPr>
              <w:spacing w:after="40"/>
              <w:jc w:val="center"/>
              <w:rPr>
                <w:lang w:eastAsia="en-US"/>
              </w:rPr>
            </w:pPr>
            <w:r w:rsidRPr="006E7093">
              <w:rPr>
                <w:lang w:eastAsia="en-US"/>
              </w:rPr>
              <w:t>$1,711,097</w:t>
            </w:r>
          </w:p>
        </w:tc>
        <w:tc>
          <w:tcPr>
            <w:tcW w:w="1406" w:type="dxa"/>
            <w:shd w:val="clear" w:color="auto" w:fill="auto"/>
          </w:tcPr>
          <w:p w14:paraId="5D250A0D" w14:textId="77777777" w:rsidR="00867637" w:rsidRPr="006E7093" w:rsidRDefault="00867637" w:rsidP="006F02E2">
            <w:pPr>
              <w:spacing w:after="40"/>
              <w:jc w:val="center"/>
              <w:rPr>
                <w:lang w:eastAsia="en-US"/>
              </w:rPr>
            </w:pPr>
            <w:r w:rsidRPr="006E7093">
              <w:rPr>
                <w:lang w:eastAsia="en-US"/>
              </w:rPr>
              <w:t>$1,681,939</w:t>
            </w:r>
          </w:p>
        </w:tc>
      </w:tr>
      <w:tr w:rsidR="00867637" w:rsidRPr="006E7093" w14:paraId="2D5C5562" w14:textId="77777777" w:rsidTr="00AE148C">
        <w:trPr>
          <w:trHeight w:val="315"/>
        </w:trPr>
        <w:tc>
          <w:tcPr>
            <w:tcW w:w="1996" w:type="dxa"/>
            <w:shd w:val="clear" w:color="auto" w:fill="auto"/>
          </w:tcPr>
          <w:p w14:paraId="16E76672" w14:textId="294DE55A" w:rsidR="00867637" w:rsidRPr="006E7093" w:rsidRDefault="00867637" w:rsidP="00365211">
            <w:pPr>
              <w:keepNext/>
              <w:keepLines/>
              <w:spacing w:after="40"/>
              <w:rPr>
                <w:b/>
                <w:bCs/>
                <w:lang w:eastAsia="en-US"/>
              </w:rPr>
            </w:pPr>
            <w:r w:rsidRPr="006E7093">
              <w:rPr>
                <w:b/>
                <w:bCs/>
                <w:lang w:eastAsia="en-US"/>
              </w:rPr>
              <w:t>Total</w:t>
            </w:r>
          </w:p>
        </w:tc>
        <w:tc>
          <w:tcPr>
            <w:tcW w:w="1403" w:type="dxa"/>
          </w:tcPr>
          <w:p w14:paraId="4651EAAC" w14:textId="77777777" w:rsidR="00867637" w:rsidRPr="006E7093" w:rsidRDefault="00867637" w:rsidP="006F02E2">
            <w:pPr>
              <w:keepNext/>
              <w:keepLines/>
              <w:spacing w:after="40"/>
              <w:jc w:val="center"/>
              <w:rPr>
                <w:b/>
                <w:bCs/>
                <w:lang w:eastAsia="en-US"/>
              </w:rPr>
            </w:pPr>
            <w:r w:rsidRPr="006E7093">
              <w:rPr>
                <w:b/>
                <w:bCs/>
                <w:lang w:eastAsia="en-US"/>
              </w:rPr>
              <w:t>$2,421,576</w:t>
            </w:r>
          </w:p>
        </w:tc>
        <w:tc>
          <w:tcPr>
            <w:tcW w:w="1403" w:type="dxa"/>
            <w:gridSpan w:val="2"/>
            <w:shd w:val="clear" w:color="auto" w:fill="auto"/>
          </w:tcPr>
          <w:p w14:paraId="4FA4985B" w14:textId="77777777" w:rsidR="00867637" w:rsidRPr="006E7093" w:rsidRDefault="00867637" w:rsidP="006F02E2">
            <w:pPr>
              <w:keepNext/>
              <w:keepLines/>
              <w:spacing w:after="40"/>
              <w:jc w:val="center"/>
              <w:rPr>
                <w:b/>
                <w:bCs/>
                <w:lang w:eastAsia="en-US"/>
              </w:rPr>
            </w:pPr>
            <w:r w:rsidRPr="006E7093">
              <w:rPr>
                <w:b/>
                <w:bCs/>
                <w:lang w:eastAsia="en-US"/>
              </w:rPr>
              <w:t>$2,233,724</w:t>
            </w:r>
          </w:p>
        </w:tc>
        <w:tc>
          <w:tcPr>
            <w:tcW w:w="1405" w:type="dxa"/>
            <w:shd w:val="clear" w:color="auto" w:fill="auto"/>
          </w:tcPr>
          <w:p w14:paraId="7875CD05" w14:textId="77777777" w:rsidR="00867637" w:rsidRPr="006E7093" w:rsidRDefault="00867637" w:rsidP="006F02E2">
            <w:pPr>
              <w:keepNext/>
              <w:keepLines/>
              <w:spacing w:after="40"/>
              <w:jc w:val="center"/>
              <w:rPr>
                <w:b/>
                <w:bCs/>
                <w:lang w:eastAsia="en-US"/>
              </w:rPr>
            </w:pPr>
            <w:r w:rsidRPr="006E7093">
              <w:rPr>
                <w:b/>
                <w:bCs/>
                <w:lang w:eastAsia="en-US"/>
              </w:rPr>
              <w:t>$2,184,401</w:t>
            </w:r>
          </w:p>
        </w:tc>
        <w:tc>
          <w:tcPr>
            <w:tcW w:w="1403" w:type="dxa"/>
            <w:gridSpan w:val="2"/>
            <w:shd w:val="clear" w:color="auto" w:fill="auto"/>
          </w:tcPr>
          <w:p w14:paraId="5A474395" w14:textId="77777777" w:rsidR="00867637" w:rsidRPr="006E7093" w:rsidRDefault="00867637" w:rsidP="006F02E2">
            <w:pPr>
              <w:keepNext/>
              <w:keepLines/>
              <w:spacing w:after="40"/>
              <w:jc w:val="center"/>
              <w:rPr>
                <w:b/>
                <w:bCs/>
                <w:lang w:eastAsia="en-US"/>
              </w:rPr>
            </w:pPr>
            <w:r w:rsidRPr="006E7093">
              <w:rPr>
                <w:b/>
                <w:bCs/>
                <w:lang w:eastAsia="en-US"/>
              </w:rPr>
              <w:t>$2,144,403</w:t>
            </w:r>
          </w:p>
        </w:tc>
        <w:tc>
          <w:tcPr>
            <w:tcW w:w="1406" w:type="dxa"/>
            <w:shd w:val="clear" w:color="auto" w:fill="auto"/>
          </w:tcPr>
          <w:p w14:paraId="7AF89440" w14:textId="77777777" w:rsidR="00867637" w:rsidRPr="006E7093" w:rsidRDefault="00867637" w:rsidP="006F02E2">
            <w:pPr>
              <w:keepNext/>
              <w:keepLines/>
              <w:spacing w:after="40"/>
              <w:jc w:val="center"/>
              <w:rPr>
                <w:b/>
                <w:bCs/>
                <w:lang w:eastAsia="en-US"/>
              </w:rPr>
            </w:pPr>
            <w:r w:rsidRPr="006E7093">
              <w:rPr>
                <w:b/>
                <w:bCs/>
                <w:lang w:eastAsia="en-US"/>
              </w:rPr>
              <w:t>$2,121,605</w:t>
            </w:r>
          </w:p>
        </w:tc>
      </w:tr>
      <w:tr w:rsidR="00396355" w:rsidRPr="006E7093" w14:paraId="472366D9" w14:textId="77777777" w:rsidTr="00AE148C">
        <w:trPr>
          <w:trHeight w:val="315"/>
        </w:trPr>
        <w:tc>
          <w:tcPr>
            <w:tcW w:w="1996" w:type="dxa"/>
            <w:shd w:val="clear" w:color="auto" w:fill="auto"/>
          </w:tcPr>
          <w:p w14:paraId="13A20F53" w14:textId="77777777" w:rsidR="00396355" w:rsidRDefault="00396355" w:rsidP="00396355">
            <w:pPr>
              <w:spacing w:after="40"/>
              <w:rPr>
                <w:b/>
                <w:bCs/>
                <w:i/>
                <w:lang w:eastAsia="en-US"/>
              </w:rPr>
            </w:pPr>
            <w:r w:rsidRPr="007E3108">
              <w:rPr>
                <w:b/>
                <w:bCs/>
                <w:i/>
                <w:lang w:eastAsia="en-US"/>
              </w:rPr>
              <w:t>ESC values</w:t>
            </w:r>
          </w:p>
          <w:p w14:paraId="1EAE3552" w14:textId="7B6FA3C1" w:rsidR="00396355" w:rsidRPr="006E7093" w:rsidRDefault="00396355" w:rsidP="00396355">
            <w:pPr>
              <w:keepNext/>
              <w:keepLines/>
              <w:spacing w:after="40"/>
              <w:rPr>
                <w:b/>
                <w:bCs/>
                <w:lang w:eastAsia="en-US"/>
              </w:rPr>
            </w:pPr>
            <w:r>
              <w:rPr>
                <w:b/>
                <w:bCs/>
                <w:i/>
                <w:lang w:eastAsia="en-US"/>
              </w:rPr>
              <w:t>GPG adjustment</w:t>
            </w:r>
          </w:p>
        </w:tc>
        <w:tc>
          <w:tcPr>
            <w:tcW w:w="1403" w:type="dxa"/>
            <w:vAlign w:val="center"/>
          </w:tcPr>
          <w:p w14:paraId="1C4043F6" w14:textId="243FF8D9" w:rsidR="00396355" w:rsidRPr="00C61F6F" w:rsidRDefault="00396355" w:rsidP="00C61F6F">
            <w:pPr>
              <w:keepNext/>
              <w:keepLines/>
              <w:spacing w:after="40"/>
              <w:jc w:val="center"/>
              <w:rPr>
                <w:b/>
                <w:bCs/>
                <w:i/>
                <w:lang w:eastAsia="en-US"/>
              </w:rPr>
            </w:pPr>
            <w:r w:rsidRPr="00AE148C">
              <w:rPr>
                <w:rFonts w:cs="Calibri"/>
                <w:b/>
                <w:bCs/>
                <w:i/>
                <w:color w:val="000000"/>
              </w:rPr>
              <w:t>$2,927,295</w:t>
            </w:r>
          </w:p>
        </w:tc>
        <w:tc>
          <w:tcPr>
            <w:tcW w:w="1403" w:type="dxa"/>
            <w:gridSpan w:val="2"/>
            <w:shd w:val="clear" w:color="auto" w:fill="auto"/>
            <w:vAlign w:val="center"/>
          </w:tcPr>
          <w:p w14:paraId="687BFE8B" w14:textId="6D29EA33" w:rsidR="00396355" w:rsidRPr="00C61F6F" w:rsidRDefault="00396355" w:rsidP="00C61F6F">
            <w:pPr>
              <w:keepNext/>
              <w:keepLines/>
              <w:spacing w:after="40"/>
              <w:jc w:val="center"/>
              <w:rPr>
                <w:b/>
                <w:bCs/>
                <w:i/>
                <w:lang w:eastAsia="en-US"/>
              </w:rPr>
            </w:pPr>
            <w:r w:rsidRPr="00AE148C">
              <w:rPr>
                <w:rFonts w:cs="Calibri"/>
                <w:b/>
                <w:bCs/>
                <w:i/>
                <w:color w:val="000000"/>
              </w:rPr>
              <w:t>$2,726,235</w:t>
            </w:r>
          </w:p>
        </w:tc>
        <w:tc>
          <w:tcPr>
            <w:tcW w:w="1405" w:type="dxa"/>
            <w:shd w:val="clear" w:color="auto" w:fill="auto"/>
            <w:vAlign w:val="center"/>
          </w:tcPr>
          <w:p w14:paraId="77E113F4" w14:textId="3D975DAE" w:rsidR="00396355" w:rsidRPr="00C61F6F" w:rsidRDefault="00396355" w:rsidP="00C61F6F">
            <w:pPr>
              <w:keepNext/>
              <w:keepLines/>
              <w:spacing w:after="40"/>
              <w:jc w:val="center"/>
              <w:rPr>
                <w:b/>
                <w:bCs/>
                <w:i/>
                <w:lang w:eastAsia="en-US"/>
              </w:rPr>
            </w:pPr>
            <w:r w:rsidRPr="00AE148C">
              <w:rPr>
                <w:rFonts w:cs="Calibri"/>
                <w:b/>
                <w:bCs/>
                <w:i/>
                <w:color w:val="000000"/>
              </w:rPr>
              <w:t>$2,679,640</w:t>
            </w:r>
          </w:p>
        </w:tc>
        <w:tc>
          <w:tcPr>
            <w:tcW w:w="1403" w:type="dxa"/>
            <w:gridSpan w:val="2"/>
            <w:shd w:val="clear" w:color="auto" w:fill="auto"/>
            <w:vAlign w:val="center"/>
          </w:tcPr>
          <w:p w14:paraId="10C76257" w14:textId="3F2F5365" w:rsidR="00396355" w:rsidRPr="00C61F6F" w:rsidRDefault="00396355" w:rsidP="00C61F6F">
            <w:pPr>
              <w:keepNext/>
              <w:keepLines/>
              <w:spacing w:after="40"/>
              <w:jc w:val="center"/>
              <w:rPr>
                <w:b/>
                <w:bCs/>
                <w:i/>
                <w:lang w:eastAsia="en-US"/>
              </w:rPr>
            </w:pPr>
            <w:r w:rsidRPr="00AE148C">
              <w:rPr>
                <w:rFonts w:cs="Calibri"/>
                <w:b/>
                <w:bCs/>
                <w:i/>
                <w:color w:val="000000"/>
              </w:rPr>
              <w:t>$2,642,991</w:t>
            </w:r>
          </w:p>
        </w:tc>
        <w:tc>
          <w:tcPr>
            <w:tcW w:w="1406" w:type="dxa"/>
            <w:shd w:val="clear" w:color="auto" w:fill="auto"/>
            <w:vAlign w:val="center"/>
          </w:tcPr>
          <w:p w14:paraId="4C147042" w14:textId="1271091F" w:rsidR="00396355" w:rsidRPr="00C61F6F" w:rsidRDefault="00396355" w:rsidP="00C61F6F">
            <w:pPr>
              <w:keepNext/>
              <w:keepLines/>
              <w:spacing w:after="40"/>
              <w:jc w:val="center"/>
              <w:rPr>
                <w:b/>
                <w:bCs/>
                <w:i/>
                <w:lang w:eastAsia="en-US"/>
              </w:rPr>
            </w:pPr>
            <w:r w:rsidRPr="00AE148C">
              <w:rPr>
                <w:rFonts w:cs="Calibri"/>
                <w:b/>
                <w:bCs/>
                <w:i/>
                <w:color w:val="000000"/>
              </w:rPr>
              <w:t>$2,625,034</w:t>
            </w:r>
          </w:p>
        </w:tc>
      </w:tr>
    </w:tbl>
    <w:p w14:paraId="4A446D70" w14:textId="3B0B20E3" w:rsidR="00867637" w:rsidRPr="006E7093" w:rsidRDefault="00867637" w:rsidP="006F02E2">
      <w:pPr>
        <w:pStyle w:val="Tablenotes"/>
      </w:pPr>
      <w:r w:rsidRPr="007A5FC3">
        <w:rPr>
          <w:b/>
        </w:rPr>
        <w:t>Abbreviations:</w:t>
      </w:r>
      <w:r w:rsidRPr="006E7093">
        <w:t xml:space="preserve"> CT = compute</w:t>
      </w:r>
      <w:r>
        <w:t>d</w:t>
      </w:r>
      <w:r w:rsidRPr="006E7093">
        <w:t xml:space="preserve"> tomography; </w:t>
      </w:r>
      <w:r w:rsidR="008D571A">
        <w:t xml:space="preserve">GPG = Greatest Permissible Gap; </w:t>
      </w:r>
      <w:r w:rsidRPr="006E7093">
        <w:t>MBS = Medicare Benefits Schedule; PET = positron emission tomography; PSMA = prostate-specific membrane antigen</w:t>
      </w:r>
    </w:p>
    <w:p w14:paraId="15D51FFC" w14:textId="2C38B11C" w:rsidR="007D45E4" w:rsidRDefault="00867637" w:rsidP="007D45E4">
      <w:pPr>
        <w:pStyle w:val="Tablenotes"/>
      </w:pPr>
      <w:r w:rsidRPr="00FA420A">
        <w:rPr>
          <w:b/>
          <w:bCs/>
        </w:rPr>
        <w:t>Source:</w:t>
      </w:r>
      <w:r>
        <w:t xml:space="preserve"> MSAC ADAR 1632 Table E11, p. 279. </w:t>
      </w:r>
      <w:r w:rsidRPr="00FA420A">
        <w:rPr>
          <w:b/>
          <w:bCs/>
        </w:rPr>
        <w:t>Original Source:</w:t>
      </w:r>
      <w:r w:rsidRPr="00814A60">
        <w:t xml:space="preserve"> </w:t>
      </w:r>
      <w:r>
        <w:t>Attachment E1_Financial estimates</w:t>
      </w:r>
      <w:r w:rsidRPr="00814A60">
        <w:t xml:space="preserve">, worksheets ‘MBS </w:t>
      </w:r>
      <w:proofErr w:type="gramStart"/>
      <w:r w:rsidRPr="00814A60">
        <w:t>costs</w:t>
      </w:r>
      <w:r>
        <w:t>’</w:t>
      </w:r>
      <w:proofErr w:type="gramEnd"/>
      <w:r>
        <w:t>.</w:t>
      </w:r>
      <w:r w:rsidR="007D45E4">
        <w:br w:type="page"/>
      </w:r>
    </w:p>
    <w:p w14:paraId="094D53A7" w14:textId="77777777" w:rsidR="006271C5" w:rsidRPr="006271C5" w:rsidRDefault="006271C5" w:rsidP="006271C5">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Key issues from ESC to MSAC</w:t>
      </w:r>
    </w:p>
    <w:tbl>
      <w:tblPr>
        <w:tblStyle w:val="TableGrid"/>
        <w:tblpPr w:leftFromText="180" w:rightFromText="180" w:vertAnchor="text" w:tblpY="1"/>
        <w:tblOverlap w:val="never"/>
        <w:tblW w:w="0" w:type="auto"/>
        <w:tblLook w:val="04A0" w:firstRow="1" w:lastRow="0" w:firstColumn="1" w:lastColumn="0" w:noHBand="0" w:noVBand="1"/>
        <w:tblCaption w:val="Key issues from ESC to MSAC"/>
        <w:tblDescription w:val="Summary of ESC key issues to MSAC"/>
      </w:tblPr>
      <w:tblGrid>
        <w:gridCol w:w="2830"/>
        <w:gridCol w:w="6186"/>
      </w:tblGrid>
      <w:tr w:rsidR="006271C5" w:rsidRPr="00C01E2F" w14:paraId="7AA7B32A" w14:textId="77777777" w:rsidTr="00A336CE">
        <w:trPr>
          <w:tblHeader/>
        </w:trPr>
        <w:tc>
          <w:tcPr>
            <w:tcW w:w="2830" w:type="dxa"/>
          </w:tcPr>
          <w:p w14:paraId="768ED561" w14:textId="77777777" w:rsidR="006271C5" w:rsidRPr="00C01E2F" w:rsidRDefault="006271C5" w:rsidP="00A336CE">
            <w:pPr>
              <w:pStyle w:val="TableHeading"/>
              <w:rPr>
                <w:rFonts w:ascii="Times New Roman" w:hAnsi="Times New Roman" w:cs="Times New Roman"/>
                <w:sz w:val="22"/>
                <w:szCs w:val="22"/>
              </w:rPr>
            </w:pPr>
            <w:r w:rsidRPr="00C01E2F">
              <w:rPr>
                <w:rFonts w:ascii="Times New Roman" w:hAnsi="Times New Roman" w:cs="Times New Roman"/>
                <w:sz w:val="22"/>
                <w:szCs w:val="22"/>
              </w:rPr>
              <w:t>ESC key issue</w:t>
            </w:r>
          </w:p>
        </w:tc>
        <w:tc>
          <w:tcPr>
            <w:tcW w:w="6186" w:type="dxa"/>
          </w:tcPr>
          <w:p w14:paraId="609CCE6A" w14:textId="77777777" w:rsidR="006271C5" w:rsidRPr="00C01E2F" w:rsidRDefault="006271C5" w:rsidP="00A336CE">
            <w:pPr>
              <w:pStyle w:val="TableHeading"/>
              <w:rPr>
                <w:rFonts w:ascii="Times New Roman" w:hAnsi="Times New Roman" w:cs="Times New Roman"/>
                <w:sz w:val="22"/>
                <w:szCs w:val="22"/>
              </w:rPr>
            </w:pPr>
            <w:r w:rsidRPr="00C01E2F">
              <w:rPr>
                <w:rFonts w:ascii="Times New Roman" w:hAnsi="Times New Roman" w:cs="Times New Roman"/>
                <w:sz w:val="22"/>
                <w:szCs w:val="22"/>
              </w:rPr>
              <w:t>ESC advice to MSAC</w:t>
            </w:r>
          </w:p>
        </w:tc>
      </w:tr>
      <w:tr w:rsidR="006271C5" w:rsidRPr="00C01E2F" w14:paraId="15B4D827" w14:textId="77777777" w:rsidTr="00A336CE">
        <w:tc>
          <w:tcPr>
            <w:tcW w:w="2830" w:type="dxa"/>
          </w:tcPr>
          <w:p w14:paraId="0E91395D" w14:textId="77777777" w:rsidR="006271C5" w:rsidRPr="00C01E2F" w:rsidRDefault="006271C5" w:rsidP="00A336CE">
            <w:pPr>
              <w:pStyle w:val="TableText1"/>
              <w:rPr>
                <w:rFonts w:ascii="Times New Roman" w:hAnsi="Times New Roman"/>
                <w:sz w:val="22"/>
                <w:szCs w:val="22"/>
              </w:rPr>
            </w:pPr>
            <w:r w:rsidRPr="00C01E2F">
              <w:rPr>
                <w:rFonts w:ascii="Times New Roman" w:hAnsi="Times New Roman"/>
                <w:sz w:val="22"/>
                <w:szCs w:val="22"/>
              </w:rPr>
              <w:t xml:space="preserve">Clinical effectiveness- more certain for the </w:t>
            </w:r>
            <w:r>
              <w:rPr>
                <w:rFonts w:ascii="Times New Roman" w:hAnsi="Times New Roman"/>
                <w:sz w:val="22"/>
                <w:szCs w:val="22"/>
              </w:rPr>
              <w:t>primary</w:t>
            </w:r>
            <w:r w:rsidRPr="00C01E2F">
              <w:rPr>
                <w:rFonts w:ascii="Times New Roman" w:hAnsi="Times New Roman"/>
                <w:sz w:val="22"/>
                <w:szCs w:val="22"/>
              </w:rPr>
              <w:t xml:space="preserve"> staging population than the restaging population</w:t>
            </w:r>
          </w:p>
        </w:tc>
        <w:tc>
          <w:tcPr>
            <w:tcW w:w="6186" w:type="dxa"/>
          </w:tcPr>
          <w:p w14:paraId="745255DC" w14:textId="77777777" w:rsidR="006271C5" w:rsidRPr="00C01E2F" w:rsidRDefault="006271C5" w:rsidP="00A336CE">
            <w:pPr>
              <w:pStyle w:val="TableText1"/>
              <w:rPr>
                <w:rFonts w:ascii="Times New Roman" w:hAnsi="Times New Roman"/>
                <w:sz w:val="22"/>
                <w:szCs w:val="22"/>
              </w:rPr>
            </w:pPr>
            <w:r w:rsidRPr="00C01E2F">
              <w:rPr>
                <w:rFonts w:ascii="Times New Roman" w:hAnsi="Times New Roman"/>
                <w:sz w:val="22"/>
                <w:szCs w:val="22"/>
              </w:rPr>
              <w:t xml:space="preserve">There is evidence of clinical utility from improved sensitivity in both populations, although the evidence is more robust for the </w:t>
            </w:r>
            <w:r>
              <w:rPr>
                <w:rFonts w:ascii="Times New Roman" w:hAnsi="Times New Roman"/>
                <w:sz w:val="22"/>
                <w:szCs w:val="22"/>
              </w:rPr>
              <w:t>primary</w:t>
            </w:r>
            <w:r w:rsidRPr="00C01E2F">
              <w:rPr>
                <w:rFonts w:ascii="Times New Roman" w:hAnsi="Times New Roman"/>
                <w:sz w:val="22"/>
                <w:szCs w:val="22"/>
              </w:rPr>
              <w:t xml:space="preserve"> staging population than the restaging population. There is limited evidence on therapeutic effectiveness in both populations, but it may be reasonable to infer likely clinical benefit from metastasis directed therapy or avoiding futile locoregional ablative therapy (</w:t>
            </w:r>
            <w:r>
              <w:rPr>
                <w:rFonts w:ascii="Times New Roman" w:hAnsi="Times New Roman"/>
                <w:sz w:val="22"/>
                <w:szCs w:val="22"/>
              </w:rPr>
              <w:t>primary</w:t>
            </w:r>
            <w:r w:rsidRPr="00C01E2F">
              <w:rPr>
                <w:rFonts w:ascii="Times New Roman" w:hAnsi="Times New Roman"/>
                <w:sz w:val="22"/>
                <w:szCs w:val="22"/>
              </w:rPr>
              <w:t xml:space="preserve"> staging) and better targeting of salvage radiotherapy to positive sites (restaging).</w:t>
            </w:r>
          </w:p>
        </w:tc>
      </w:tr>
      <w:tr w:rsidR="006271C5" w:rsidRPr="00C01E2F" w14:paraId="33633A5F" w14:textId="77777777" w:rsidTr="00A336CE">
        <w:tc>
          <w:tcPr>
            <w:tcW w:w="2830" w:type="dxa"/>
          </w:tcPr>
          <w:p w14:paraId="55D51420" w14:textId="77777777" w:rsidR="006271C5" w:rsidRPr="00C01E2F" w:rsidDel="003C708C" w:rsidRDefault="006271C5" w:rsidP="00A336CE">
            <w:pPr>
              <w:pStyle w:val="TableText1"/>
              <w:rPr>
                <w:rFonts w:ascii="Times New Roman" w:hAnsi="Times New Roman"/>
                <w:sz w:val="22"/>
                <w:szCs w:val="22"/>
              </w:rPr>
            </w:pPr>
            <w:r w:rsidRPr="00C01E2F">
              <w:rPr>
                <w:rFonts w:ascii="Times New Roman" w:hAnsi="Times New Roman"/>
                <w:sz w:val="22"/>
                <w:szCs w:val="22"/>
              </w:rPr>
              <w:t>Safety</w:t>
            </w:r>
          </w:p>
        </w:tc>
        <w:tc>
          <w:tcPr>
            <w:tcW w:w="6186" w:type="dxa"/>
          </w:tcPr>
          <w:p w14:paraId="6A720629" w14:textId="77777777" w:rsidR="006271C5" w:rsidRPr="00C01E2F" w:rsidDel="003C708C" w:rsidRDefault="006271C5" w:rsidP="00A336CE">
            <w:pPr>
              <w:pStyle w:val="TableText1"/>
              <w:rPr>
                <w:rFonts w:ascii="Times New Roman" w:hAnsi="Times New Roman"/>
                <w:sz w:val="22"/>
                <w:szCs w:val="22"/>
              </w:rPr>
            </w:pPr>
            <w:r w:rsidRPr="00C01E2F">
              <w:rPr>
                <w:rFonts w:ascii="Times New Roman" w:hAnsi="Times New Roman"/>
                <w:sz w:val="22"/>
                <w:szCs w:val="22"/>
              </w:rPr>
              <w:t>At least non-inferior to the accepted comparators.</w:t>
            </w:r>
          </w:p>
        </w:tc>
      </w:tr>
      <w:tr w:rsidR="006271C5" w:rsidRPr="00C01E2F" w14:paraId="5945002D" w14:textId="77777777" w:rsidTr="00A336CE">
        <w:tc>
          <w:tcPr>
            <w:tcW w:w="2830" w:type="dxa"/>
          </w:tcPr>
          <w:p w14:paraId="00C32270" w14:textId="512D2049" w:rsidR="006271C5" w:rsidRPr="00C01E2F" w:rsidRDefault="006271C5" w:rsidP="00A336CE">
            <w:pPr>
              <w:pStyle w:val="TableText1"/>
              <w:rPr>
                <w:rFonts w:ascii="Times New Roman" w:hAnsi="Times New Roman"/>
                <w:sz w:val="22"/>
                <w:szCs w:val="22"/>
              </w:rPr>
            </w:pPr>
            <w:r w:rsidRPr="00C01E2F">
              <w:rPr>
                <w:rFonts w:ascii="Times New Roman" w:hAnsi="Times New Roman"/>
                <w:sz w:val="22"/>
                <w:szCs w:val="22"/>
              </w:rPr>
              <w:t>Equivalence between radio</w:t>
            </w:r>
            <w:r w:rsidR="00CD41BB" w:rsidRPr="00CD41BB">
              <w:rPr>
                <w:rFonts w:ascii="Times New Roman" w:hAnsi="Times New Roman"/>
                <w:sz w:val="22"/>
                <w:szCs w:val="22"/>
              </w:rPr>
              <w:t xml:space="preserve">pharmaceutical </w:t>
            </w:r>
            <w:r w:rsidRPr="00C01E2F">
              <w:rPr>
                <w:rFonts w:ascii="Times New Roman" w:hAnsi="Times New Roman"/>
                <w:sz w:val="22"/>
                <w:szCs w:val="22"/>
              </w:rPr>
              <w:t>tracers</w:t>
            </w:r>
          </w:p>
        </w:tc>
        <w:tc>
          <w:tcPr>
            <w:tcW w:w="6186" w:type="dxa"/>
          </w:tcPr>
          <w:p w14:paraId="590CC095" w14:textId="0110AF7D" w:rsidR="006271C5" w:rsidRPr="00C01E2F" w:rsidRDefault="006271C5" w:rsidP="00A336CE">
            <w:pPr>
              <w:pStyle w:val="TableText1"/>
              <w:rPr>
                <w:rFonts w:ascii="Times New Roman" w:hAnsi="Times New Roman"/>
                <w:sz w:val="22"/>
                <w:szCs w:val="22"/>
              </w:rPr>
            </w:pPr>
            <w:r w:rsidRPr="00C01E2F">
              <w:rPr>
                <w:rFonts w:ascii="Times New Roman" w:hAnsi="Times New Roman"/>
                <w:sz w:val="22"/>
                <w:szCs w:val="22"/>
              </w:rPr>
              <w:t xml:space="preserve">The evidence of equivalence </w:t>
            </w:r>
            <w:r w:rsidR="00CD41BB">
              <w:rPr>
                <w:rFonts w:ascii="Times New Roman" w:hAnsi="Times New Roman"/>
                <w:sz w:val="22"/>
                <w:szCs w:val="22"/>
              </w:rPr>
              <w:t>across</w:t>
            </w:r>
            <w:r w:rsidRPr="00C01E2F">
              <w:rPr>
                <w:rFonts w:ascii="Times New Roman" w:hAnsi="Times New Roman"/>
                <w:sz w:val="22"/>
                <w:szCs w:val="22"/>
              </w:rPr>
              <w:t xml:space="preserve"> different radio</w:t>
            </w:r>
            <w:r w:rsidR="00CD41BB" w:rsidRPr="00CD41BB">
              <w:rPr>
                <w:rFonts w:ascii="Times New Roman" w:hAnsi="Times New Roman"/>
                <w:sz w:val="22"/>
                <w:szCs w:val="22"/>
              </w:rPr>
              <w:t xml:space="preserve">pharmaceutical </w:t>
            </w:r>
            <w:r w:rsidRPr="00C01E2F">
              <w:rPr>
                <w:rFonts w:ascii="Times New Roman" w:hAnsi="Times New Roman"/>
                <w:sz w:val="22"/>
                <w:szCs w:val="22"/>
              </w:rPr>
              <w:t>tracers is uncertain, but a non-specific radio</w:t>
            </w:r>
            <w:r w:rsidR="00CD41BB" w:rsidRPr="00CD41BB">
              <w:rPr>
                <w:rFonts w:ascii="Times New Roman" w:hAnsi="Times New Roman"/>
                <w:sz w:val="22"/>
                <w:szCs w:val="22"/>
              </w:rPr>
              <w:t xml:space="preserve">pharmaceutical </w:t>
            </w:r>
            <w:r w:rsidRPr="00C01E2F">
              <w:rPr>
                <w:rFonts w:ascii="Times New Roman" w:hAnsi="Times New Roman"/>
                <w:sz w:val="22"/>
                <w:szCs w:val="22"/>
              </w:rPr>
              <w:t>tracer in the item de</w:t>
            </w:r>
            <w:r>
              <w:rPr>
                <w:rFonts w:ascii="Times New Roman" w:hAnsi="Times New Roman"/>
                <w:sz w:val="22"/>
                <w:szCs w:val="22"/>
              </w:rPr>
              <w:t>scriptor is probably justified.</w:t>
            </w:r>
          </w:p>
        </w:tc>
      </w:tr>
      <w:tr w:rsidR="006271C5" w:rsidRPr="00C01E2F" w14:paraId="3B5D0BFD" w14:textId="77777777" w:rsidTr="00A336CE">
        <w:tc>
          <w:tcPr>
            <w:tcW w:w="2830" w:type="dxa"/>
          </w:tcPr>
          <w:p w14:paraId="4724A0CE" w14:textId="77777777" w:rsidR="006271C5" w:rsidRPr="00C01E2F" w:rsidDel="00BD428D" w:rsidRDefault="006271C5" w:rsidP="00A336CE">
            <w:pPr>
              <w:pStyle w:val="TableText1"/>
              <w:rPr>
                <w:rFonts w:ascii="Times New Roman" w:hAnsi="Times New Roman"/>
                <w:sz w:val="22"/>
                <w:szCs w:val="22"/>
              </w:rPr>
            </w:pPr>
            <w:r w:rsidRPr="00C01E2F">
              <w:rPr>
                <w:rFonts w:ascii="Times New Roman" w:hAnsi="Times New Roman"/>
                <w:sz w:val="22"/>
                <w:szCs w:val="22"/>
              </w:rPr>
              <w:t>Item descriptors and fee</w:t>
            </w:r>
          </w:p>
        </w:tc>
        <w:tc>
          <w:tcPr>
            <w:tcW w:w="6186" w:type="dxa"/>
          </w:tcPr>
          <w:p w14:paraId="6339CC3C" w14:textId="77777777" w:rsidR="006271C5" w:rsidRPr="00C01E2F" w:rsidRDefault="006271C5" w:rsidP="00A336CE">
            <w:pPr>
              <w:pStyle w:val="TableText1"/>
              <w:rPr>
                <w:rFonts w:ascii="Times New Roman" w:hAnsi="Times New Roman"/>
                <w:sz w:val="22"/>
                <w:szCs w:val="22"/>
              </w:rPr>
            </w:pPr>
            <w:r w:rsidRPr="00C01E2F">
              <w:rPr>
                <w:rFonts w:ascii="Times New Roman" w:hAnsi="Times New Roman"/>
                <w:sz w:val="22"/>
                <w:szCs w:val="22"/>
              </w:rPr>
              <w:t>ESC noted the Department’s suggestions to remove CT from the item descriptor, reduce the fee by $100, allow co-claiming with MBS item 61505 (CT alongside PET with a fee of $100), and specify that PSMA PET is a whole-body scan.</w:t>
            </w:r>
            <w:r w:rsidRPr="00C01E2F">
              <w:rPr>
                <w:sz w:val="22"/>
                <w:szCs w:val="22"/>
              </w:rPr>
              <w:t xml:space="preserve"> </w:t>
            </w:r>
            <w:r w:rsidRPr="00C01E2F">
              <w:rPr>
                <w:rFonts w:ascii="Times New Roman" w:hAnsi="Times New Roman"/>
                <w:sz w:val="22"/>
                <w:szCs w:val="22"/>
              </w:rPr>
              <w:t>However, ESC queried whether all PET items include a CT component, and requested that the Department provide advice on this matter before changing the item descriptors.</w:t>
            </w:r>
          </w:p>
        </w:tc>
      </w:tr>
      <w:tr w:rsidR="006271C5" w:rsidRPr="00C01E2F" w14:paraId="409027D5" w14:textId="77777777" w:rsidTr="00A336CE">
        <w:tc>
          <w:tcPr>
            <w:tcW w:w="2830" w:type="dxa"/>
          </w:tcPr>
          <w:p w14:paraId="7BA1BBDA" w14:textId="77777777" w:rsidR="006271C5" w:rsidRPr="00C01E2F" w:rsidRDefault="006271C5" w:rsidP="00A336CE">
            <w:pPr>
              <w:pStyle w:val="TableText1"/>
              <w:rPr>
                <w:rFonts w:ascii="Times New Roman" w:hAnsi="Times New Roman"/>
                <w:sz w:val="22"/>
                <w:szCs w:val="22"/>
              </w:rPr>
            </w:pPr>
            <w:r w:rsidRPr="00C01E2F">
              <w:rPr>
                <w:rFonts w:ascii="Times New Roman" w:hAnsi="Times New Roman"/>
                <w:sz w:val="22"/>
                <w:szCs w:val="22"/>
              </w:rPr>
              <w:t>Limited evidence for patients with intermediate-risk disease (</w:t>
            </w:r>
            <w:r>
              <w:rPr>
                <w:rFonts w:ascii="Times New Roman" w:hAnsi="Times New Roman"/>
                <w:sz w:val="22"/>
                <w:szCs w:val="22"/>
              </w:rPr>
              <w:t>primary</w:t>
            </w:r>
            <w:r w:rsidRPr="00C01E2F">
              <w:rPr>
                <w:rFonts w:ascii="Times New Roman" w:hAnsi="Times New Roman"/>
                <w:sz w:val="22"/>
                <w:szCs w:val="22"/>
              </w:rPr>
              <w:t xml:space="preserve"> staging population)</w:t>
            </w:r>
          </w:p>
        </w:tc>
        <w:tc>
          <w:tcPr>
            <w:tcW w:w="6186" w:type="dxa"/>
          </w:tcPr>
          <w:p w14:paraId="06B09D53" w14:textId="77777777" w:rsidR="006271C5" w:rsidRPr="00C01E2F" w:rsidRDefault="006271C5" w:rsidP="00A336CE">
            <w:pPr>
              <w:pStyle w:val="TableText1"/>
              <w:rPr>
                <w:rFonts w:ascii="Times New Roman" w:hAnsi="Times New Roman"/>
                <w:sz w:val="22"/>
                <w:szCs w:val="22"/>
              </w:rPr>
            </w:pPr>
            <w:r w:rsidRPr="00C01E2F">
              <w:rPr>
                <w:rFonts w:ascii="Times New Roman" w:hAnsi="Times New Roman"/>
                <w:sz w:val="22"/>
                <w:szCs w:val="22"/>
              </w:rPr>
              <w:t xml:space="preserve">The population in the </w:t>
            </w:r>
            <w:proofErr w:type="spellStart"/>
            <w:r w:rsidRPr="00C01E2F">
              <w:rPr>
                <w:rFonts w:ascii="Times New Roman" w:hAnsi="Times New Roman"/>
                <w:sz w:val="22"/>
                <w:szCs w:val="22"/>
              </w:rPr>
              <w:t>proPSMA</w:t>
            </w:r>
            <w:proofErr w:type="spellEnd"/>
            <w:r w:rsidRPr="00C01E2F">
              <w:rPr>
                <w:rFonts w:ascii="Times New Roman" w:hAnsi="Times New Roman"/>
                <w:sz w:val="22"/>
                <w:szCs w:val="22"/>
              </w:rPr>
              <w:t xml:space="preserve"> trial was narrower than the proposed MBS population, which also affects the interpretation of the economic evaluation. </w:t>
            </w:r>
            <w:proofErr w:type="gramStart"/>
            <w:r w:rsidRPr="00C01E2F">
              <w:rPr>
                <w:rFonts w:ascii="Times New Roman" w:hAnsi="Times New Roman"/>
                <w:sz w:val="22"/>
                <w:szCs w:val="22"/>
              </w:rPr>
              <w:t>In particular, ESC</w:t>
            </w:r>
            <w:proofErr w:type="gramEnd"/>
            <w:r w:rsidRPr="00C01E2F">
              <w:rPr>
                <w:rFonts w:ascii="Times New Roman" w:hAnsi="Times New Roman"/>
                <w:sz w:val="22"/>
                <w:szCs w:val="22"/>
              </w:rPr>
              <w:t xml:space="preserve"> queried whether there was any reason to believe that the extent of clinical effectiveness would be different in intermediate-risk patients (included in the MBS population) compared with high-risk patients (predominant population in the </w:t>
            </w:r>
            <w:proofErr w:type="spellStart"/>
            <w:r w:rsidRPr="00C01E2F">
              <w:rPr>
                <w:rFonts w:ascii="Times New Roman" w:hAnsi="Times New Roman"/>
                <w:sz w:val="22"/>
                <w:szCs w:val="22"/>
              </w:rPr>
              <w:t>proPSMA</w:t>
            </w:r>
            <w:proofErr w:type="spellEnd"/>
            <w:r w:rsidRPr="00C01E2F">
              <w:rPr>
                <w:rFonts w:ascii="Times New Roman" w:hAnsi="Times New Roman"/>
                <w:sz w:val="22"/>
                <w:szCs w:val="22"/>
              </w:rPr>
              <w:t xml:space="preserve"> trial). </w:t>
            </w:r>
            <w:bookmarkStart w:id="54" w:name="_Hlk76297006"/>
            <w:r w:rsidRPr="00C01E2F">
              <w:rPr>
                <w:rFonts w:ascii="Times New Roman" w:hAnsi="Times New Roman"/>
                <w:sz w:val="22"/>
                <w:szCs w:val="22"/>
              </w:rPr>
              <w:t xml:space="preserve">ESC considered that this issue </w:t>
            </w:r>
            <w:bookmarkStart w:id="55" w:name="_Hlk76295065"/>
            <w:r w:rsidRPr="00C01E2F">
              <w:rPr>
                <w:rFonts w:ascii="Times New Roman" w:hAnsi="Times New Roman"/>
                <w:sz w:val="22"/>
                <w:szCs w:val="22"/>
              </w:rPr>
              <w:t xml:space="preserve">would benefit from further </w:t>
            </w:r>
            <w:r>
              <w:rPr>
                <w:rFonts w:ascii="Times New Roman" w:hAnsi="Times New Roman"/>
                <w:sz w:val="22"/>
                <w:szCs w:val="22"/>
              </w:rPr>
              <w:t xml:space="preserve">sensitivity analysis in the economic </w:t>
            </w:r>
            <w:r w:rsidRPr="00C01E2F">
              <w:rPr>
                <w:rFonts w:ascii="Times New Roman" w:hAnsi="Times New Roman"/>
                <w:sz w:val="22"/>
                <w:szCs w:val="22"/>
              </w:rPr>
              <w:t>evaluation.</w:t>
            </w:r>
            <w:bookmarkEnd w:id="54"/>
            <w:bookmarkEnd w:id="55"/>
          </w:p>
        </w:tc>
      </w:tr>
      <w:tr w:rsidR="006271C5" w:rsidRPr="00C01E2F" w14:paraId="3D7AD5D8" w14:textId="77777777" w:rsidTr="00A336CE">
        <w:tc>
          <w:tcPr>
            <w:tcW w:w="2830" w:type="dxa"/>
          </w:tcPr>
          <w:p w14:paraId="7554F66F" w14:textId="77777777" w:rsidR="006271C5" w:rsidRPr="00C01E2F" w:rsidRDefault="006271C5" w:rsidP="00A336CE">
            <w:pPr>
              <w:pStyle w:val="TableText1"/>
              <w:rPr>
                <w:rFonts w:ascii="Times New Roman" w:hAnsi="Times New Roman"/>
                <w:sz w:val="22"/>
                <w:szCs w:val="22"/>
              </w:rPr>
            </w:pPr>
            <w:r w:rsidRPr="00C01E2F">
              <w:rPr>
                <w:rFonts w:ascii="Times New Roman" w:hAnsi="Times New Roman"/>
                <w:sz w:val="22"/>
                <w:szCs w:val="22"/>
              </w:rPr>
              <w:t xml:space="preserve">Model inputs more uncertain for </w:t>
            </w:r>
            <w:r>
              <w:rPr>
                <w:rFonts w:ascii="Times New Roman" w:hAnsi="Times New Roman"/>
                <w:sz w:val="22"/>
                <w:szCs w:val="22"/>
              </w:rPr>
              <w:t xml:space="preserve">the </w:t>
            </w:r>
            <w:r w:rsidRPr="00C01E2F">
              <w:rPr>
                <w:rFonts w:ascii="Times New Roman" w:hAnsi="Times New Roman"/>
                <w:sz w:val="22"/>
                <w:szCs w:val="22"/>
              </w:rPr>
              <w:t>restaging population</w:t>
            </w:r>
          </w:p>
        </w:tc>
        <w:tc>
          <w:tcPr>
            <w:tcW w:w="6186" w:type="dxa"/>
          </w:tcPr>
          <w:p w14:paraId="577EFB48" w14:textId="77777777" w:rsidR="006271C5" w:rsidRPr="00C01E2F" w:rsidRDefault="006271C5" w:rsidP="00A336CE">
            <w:pPr>
              <w:pStyle w:val="TableText1"/>
              <w:rPr>
                <w:rFonts w:ascii="Times New Roman" w:hAnsi="Times New Roman"/>
                <w:sz w:val="22"/>
                <w:szCs w:val="22"/>
              </w:rPr>
            </w:pPr>
            <w:r w:rsidRPr="00C01E2F">
              <w:rPr>
                <w:rFonts w:ascii="Times New Roman" w:hAnsi="Times New Roman"/>
                <w:sz w:val="22"/>
                <w:szCs w:val="22"/>
              </w:rPr>
              <w:t>The clinical data informing the economic models for the restaging population are less robust and come from several sources. However, the data reflect Australian and international clinical guidelines use of PSMA PET in this population. ICERs remain below $34,000 per QALY gained in this population.</w:t>
            </w:r>
          </w:p>
        </w:tc>
      </w:tr>
      <w:tr w:rsidR="006271C5" w:rsidRPr="00C01E2F" w14:paraId="0FD05905" w14:textId="77777777" w:rsidTr="00A336CE">
        <w:tc>
          <w:tcPr>
            <w:tcW w:w="2830" w:type="dxa"/>
          </w:tcPr>
          <w:p w14:paraId="2C6A8D65" w14:textId="77777777" w:rsidR="006271C5" w:rsidRPr="00C01E2F" w:rsidRDefault="006271C5" w:rsidP="00A336CE">
            <w:pPr>
              <w:pStyle w:val="TableText1"/>
              <w:rPr>
                <w:rFonts w:ascii="Times New Roman" w:hAnsi="Times New Roman"/>
                <w:sz w:val="22"/>
                <w:szCs w:val="22"/>
              </w:rPr>
            </w:pPr>
            <w:r w:rsidRPr="00C01E2F">
              <w:rPr>
                <w:rFonts w:ascii="Times New Roman" w:hAnsi="Times New Roman"/>
                <w:sz w:val="22"/>
                <w:szCs w:val="22"/>
              </w:rPr>
              <w:t xml:space="preserve">Utility values decrements (i.e. </w:t>
            </w:r>
            <w:proofErr w:type="spellStart"/>
            <w:r w:rsidRPr="00C01E2F">
              <w:rPr>
                <w:rFonts w:ascii="Times New Roman" w:hAnsi="Times New Roman"/>
                <w:sz w:val="22"/>
                <w:szCs w:val="22"/>
              </w:rPr>
              <w:t>disutilities</w:t>
            </w:r>
            <w:proofErr w:type="spellEnd"/>
            <w:r w:rsidRPr="00C01E2F">
              <w:rPr>
                <w:rFonts w:ascii="Times New Roman" w:hAnsi="Times New Roman"/>
                <w:sz w:val="22"/>
                <w:szCs w:val="22"/>
              </w:rPr>
              <w:t>) associated with treatment</w:t>
            </w:r>
          </w:p>
        </w:tc>
        <w:tc>
          <w:tcPr>
            <w:tcW w:w="6186" w:type="dxa"/>
          </w:tcPr>
          <w:p w14:paraId="0EBF31F0" w14:textId="77777777" w:rsidR="006271C5" w:rsidRPr="00C01E2F" w:rsidRDefault="006271C5" w:rsidP="00A336CE">
            <w:pPr>
              <w:pStyle w:val="TableText1"/>
              <w:rPr>
                <w:rFonts w:ascii="Times New Roman" w:hAnsi="Times New Roman"/>
                <w:sz w:val="22"/>
                <w:szCs w:val="22"/>
              </w:rPr>
            </w:pPr>
            <w:r w:rsidRPr="00C01E2F">
              <w:rPr>
                <w:rFonts w:ascii="Times New Roman" w:hAnsi="Times New Roman"/>
                <w:sz w:val="22"/>
                <w:szCs w:val="22"/>
              </w:rPr>
              <w:t>ESC noted several potential issues with the assumptions regarding the derivation of the utility values in the model</w:t>
            </w:r>
            <w:r>
              <w:rPr>
                <w:rFonts w:ascii="Times New Roman" w:hAnsi="Times New Roman"/>
                <w:sz w:val="22"/>
                <w:szCs w:val="22"/>
              </w:rPr>
              <w:t>s</w:t>
            </w:r>
            <w:r w:rsidRPr="00C01E2F">
              <w:rPr>
                <w:rFonts w:ascii="Times New Roman" w:hAnsi="Times New Roman"/>
                <w:sz w:val="22"/>
                <w:szCs w:val="22"/>
              </w:rPr>
              <w:t>:</w:t>
            </w:r>
          </w:p>
          <w:p w14:paraId="57EB7A49" w14:textId="77777777" w:rsidR="006271C5" w:rsidRPr="00C01E2F" w:rsidRDefault="006271C5" w:rsidP="00A336CE">
            <w:pPr>
              <w:pStyle w:val="TableText1"/>
              <w:numPr>
                <w:ilvl w:val="0"/>
                <w:numId w:val="26"/>
              </w:numPr>
              <w:ind w:left="113" w:hanging="113"/>
              <w:rPr>
                <w:rFonts w:ascii="Times New Roman" w:hAnsi="Times New Roman"/>
                <w:sz w:val="22"/>
                <w:szCs w:val="22"/>
              </w:rPr>
            </w:pPr>
            <w:proofErr w:type="spellStart"/>
            <w:r w:rsidRPr="00C01E2F">
              <w:rPr>
                <w:rFonts w:ascii="Times New Roman" w:hAnsi="Times New Roman"/>
                <w:sz w:val="22"/>
                <w:szCs w:val="22"/>
              </w:rPr>
              <w:t>disutilities</w:t>
            </w:r>
            <w:proofErr w:type="spellEnd"/>
            <w:r w:rsidRPr="00C01E2F">
              <w:rPr>
                <w:rFonts w:ascii="Times New Roman" w:hAnsi="Times New Roman"/>
                <w:sz w:val="22"/>
                <w:szCs w:val="22"/>
              </w:rPr>
              <w:t xml:space="preserve"> associated with treatments may last longer than 1 year</w:t>
            </w:r>
          </w:p>
          <w:p w14:paraId="7FBF21E6" w14:textId="77777777" w:rsidR="006271C5" w:rsidRPr="00C01E2F" w:rsidRDefault="006271C5" w:rsidP="00A336CE">
            <w:pPr>
              <w:pStyle w:val="TableText1"/>
              <w:numPr>
                <w:ilvl w:val="0"/>
                <w:numId w:val="26"/>
              </w:numPr>
              <w:ind w:left="113" w:hanging="113"/>
              <w:rPr>
                <w:rFonts w:ascii="Times New Roman" w:hAnsi="Times New Roman"/>
                <w:sz w:val="22"/>
                <w:szCs w:val="22"/>
              </w:rPr>
            </w:pPr>
            <w:proofErr w:type="spellStart"/>
            <w:r w:rsidRPr="00C01E2F">
              <w:rPr>
                <w:rFonts w:ascii="Times New Roman" w:hAnsi="Times New Roman"/>
                <w:sz w:val="22"/>
                <w:szCs w:val="22"/>
              </w:rPr>
              <w:t>disutilities</w:t>
            </w:r>
            <w:proofErr w:type="spellEnd"/>
            <w:r w:rsidRPr="00C01E2F">
              <w:rPr>
                <w:rFonts w:ascii="Times New Roman" w:hAnsi="Times New Roman"/>
                <w:sz w:val="22"/>
                <w:szCs w:val="22"/>
              </w:rPr>
              <w:t xml:space="preserve"> associated with false positive and false negative </w:t>
            </w:r>
            <w:r>
              <w:rPr>
                <w:rFonts w:ascii="Times New Roman" w:hAnsi="Times New Roman"/>
                <w:sz w:val="22"/>
                <w:szCs w:val="22"/>
              </w:rPr>
              <w:t>scans</w:t>
            </w:r>
            <w:r w:rsidRPr="00C01E2F">
              <w:rPr>
                <w:rFonts w:ascii="Times New Roman" w:hAnsi="Times New Roman"/>
                <w:sz w:val="22"/>
                <w:szCs w:val="22"/>
              </w:rPr>
              <w:t xml:space="preserve"> seem counterintuitive.</w:t>
            </w:r>
          </w:p>
          <w:p w14:paraId="62847D86" w14:textId="77777777" w:rsidR="006271C5" w:rsidRPr="00C01E2F" w:rsidRDefault="006271C5" w:rsidP="00A336CE">
            <w:pPr>
              <w:pStyle w:val="TableText1"/>
              <w:rPr>
                <w:rFonts w:ascii="Times New Roman" w:hAnsi="Times New Roman"/>
                <w:sz w:val="22"/>
                <w:szCs w:val="22"/>
              </w:rPr>
            </w:pPr>
            <w:r w:rsidRPr="00C01E2F">
              <w:rPr>
                <w:rFonts w:ascii="Times New Roman" w:hAnsi="Times New Roman"/>
                <w:sz w:val="22"/>
                <w:szCs w:val="22"/>
              </w:rPr>
              <w:t xml:space="preserve">ESC considered that these issues would benefit from further </w:t>
            </w:r>
            <w:r>
              <w:rPr>
                <w:rFonts w:ascii="Times New Roman" w:hAnsi="Times New Roman"/>
                <w:sz w:val="22"/>
                <w:szCs w:val="22"/>
              </w:rPr>
              <w:t xml:space="preserve">sensitivity analysis in the economic </w:t>
            </w:r>
            <w:r w:rsidRPr="00C01E2F">
              <w:rPr>
                <w:rFonts w:ascii="Times New Roman" w:hAnsi="Times New Roman"/>
                <w:sz w:val="22"/>
                <w:szCs w:val="22"/>
              </w:rPr>
              <w:t>evaluation</w:t>
            </w:r>
            <w:r>
              <w:rPr>
                <w:rFonts w:ascii="Times New Roman" w:hAnsi="Times New Roman"/>
                <w:sz w:val="22"/>
                <w:szCs w:val="22"/>
              </w:rPr>
              <w:t>s</w:t>
            </w:r>
            <w:r w:rsidRPr="00C01E2F">
              <w:rPr>
                <w:rFonts w:ascii="Times New Roman" w:hAnsi="Times New Roman"/>
                <w:sz w:val="22"/>
                <w:szCs w:val="22"/>
              </w:rPr>
              <w:t>.</w:t>
            </w:r>
          </w:p>
        </w:tc>
      </w:tr>
      <w:tr w:rsidR="006271C5" w:rsidRPr="00C01E2F" w14:paraId="0A341D42" w14:textId="77777777" w:rsidTr="00A336CE">
        <w:tc>
          <w:tcPr>
            <w:tcW w:w="2830" w:type="dxa"/>
          </w:tcPr>
          <w:p w14:paraId="46F3D867" w14:textId="77777777" w:rsidR="006271C5" w:rsidRPr="00C01E2F" w:rsidRDefault="006271C5" w:rsidP="00A336CE">
            <w:pPr>
              <w:pStyle w:val="TableText1"/>
              <w:rPr>
                <w:sz w:val="22"/>
                <w:szCs w:val="22"/>
              </w:rPr>
            </w:pPr>
            <w:r w:rsidRPr="00C01E2F">
              <w:rPr>
                <w:rFonts w:ascii="Times New Roman" w:hAnsi="Times New Roman"/>
                <w:sz w:val="22"/>
                <w:szCs w:val="22"/>
              </w:rPr>
              <w:t>Intellectual property issues</w:t>
            </w:r>
          </w:p>
        </w:tc>
        <w:tc>
          <w:tcPr>
            <w:tcW w:w="6186" w:type="dxa"/>
          </w:tcPr>
          <w:p w14:paraId="13C1BB1E" w14:textId="33CBC88D" w:rsidR="006271C5" w:rsidRPr="00C01E2F" w:rsidRDefault="006271C5" w:rsidP="00A336CE">
            <w:pPr>
              <w:pStyle w:val="TableText1"/>
              <w:rPr>
                <w:sz w:val="22"/>
                <w:szCs w:val="22"/>
              </w:rPr>
            </w:pPr>
            <w:r w:rsidRPr="00C01E2F">
              <w:rPr>
                <w:rFonts w:ascii="Times New Roman" w:hAnsi="Times New Roman"/>
                <w:sz w:val="22"/>
                <w:szCs w:val="22"/>
              </w:rPr>
              <w:t>Information about ownership of intellectual property relating to radio</w:t>
            </w:r>
            <w:r w:rsidR="00CD41BB" w:rsidRPr="00CD41BB">
              <w:rPr>
                <w:rFonts w:ascii="Times New Roman" w:hAnsi="Times New Roman"/>
                <w:sz w:val="22"/>
                <w:szCs w:val="22"/>
              </w:rPr>
              <w:t xml:space="preserve">pharmaceutical </w:t>
            </w:r>
            <w:r w:rsidRPr="00C01E2F">
              <w:rPr>
                <w:rFonts w:ascii="Times New Roman" w:hAnsi="Times New Roman"/>
                <w:sz w:val="22"/>
                <w:szCs w:val="22"/>
              </w:rPr>
              <w:t>tracers was requested by PASC but not included in the ADAR. ESC noted that MSAC has previously made recommendations in relation to proprietary technology, but that more information should be sought to clarify any issues.</w:t>
            </w:r>
          </w:p>
        </w:tc>
      </w:tr>
    </w:tbl>
    <w:p w14:paraId="6AE5E143" w14:textId="77777777" w:rsidR="006271C5" w:rsidRDefault="006271C5" w:rsidP="007D45E4">
      <w:pPr>
        <w:tabs>
          <w:tab w:val="left" w:pos="2265"/>
          <w:tab w:val="left" w:pos="3420"/>
          <w:tab w:val="left" w:pos="4320"/>
        </w:tabs>
        <w:spacing w:before="480"/>
        <w:rPr>
          <w:b/>
        </w:rPr>
      </w:pPr>
      <w:r>
        <w:rPr>
          <w:b/>
        </w:rPr>
        <w:t>ESC discussion</w:t>
      </w:r>
    </w:p>
    <w:p w14:paraId="0FFFA754" w14:textId="77777777" w:rsidR="006271C5" w:rsidRDefault="006271C5" w:rsidP="006271C5">
      <w:r>
        <w:t>ESC noted that the purpose of this application was for Medicare Benefits Schedule (MBS) listing of p</w:t>
      </w:r>
      <w:r w:rsidRPr="00B538F6">
        <w:t>rostate</w:t>
      </w:r>
      <w:r>
        <w:t>-</w:t>
      </w:r>
      <w:r w:rsidRPr="00B538F6">
        <w:t xml:space="preserve">specific </w:t>
      </w:r>
      <w:r w:rsidRPr="0089268F">
        <w:t>membrane</w:t>
      </w:r>
      <w:r w:rsidRPr="00B538F6">
        <w:t xml:space="preserve"> antigen (PSMA) positron emission tomography (PET)/computed tomography (CT) imaging</w:t>
      </w:r>
      <w:r>
        <w:t xml:space="preserve"> for informing treatment of patients with prostate cancer.</w:t>
      </w:r>
    </w:p>
    <w:p w14:paraId="196BDAE6" w14:textId="77777777" w:rsidR="006271C5" w:rsidRDefault="006271C5" w:rsidP="007D45E4">
      <w:pPr>
        <w:spacing w:before="240"/>
      </w:pPr>
      <w:r>
        <w:t>ESC noted the input from targeted consultation, which was largely in support of PSMA PET/CT. ESC also noted that this feedback included the perspective from an individual consumer highlighting that PSMA PET/CT makes a substantial difference to patients; however, out-of-pocket costs are a barrier for many patients.</w:t>
      </w:r>
    </w:p>
    <w:p w14:paraId="3971B3B7" w14:textId="77777777" w:rsidR="006271C5" w:rsidRDefault="006271C5" w:rsidP="007D45E4">
      <w:pPr>
        <w:pStyle w:val="NormalBeforeBullet"/>
        <w:spacing w:before="240"/>
      </w:pPr>
      <w:r>
        <w:t>ESC noted the two populations in the application, as defined in the ratified PICO confirmation:</w:t>
      </w:r>
    </w:p>
    <w:p w14:paraId="5A083A49" w14:textId="77777777" w:rsidR="006271C5" w:rsidRDefault="006271C5" w:rsidP="006271C5">
      <w:pPr>
        <w:pStyle w:val="Bullet"/>
      </w:pPr>
      <w:r>
        <w:t xml:space="preserve">Population 1 – </w:t>
      </w:r>
      <w:r w:rsidRPr="008016F9">
        <w:t>PSMA PET/CT for the initial (N- and M-) staging of int</w:t>
      </w:r>
      <w:r>
        <w:t>ermediate</w:t>
      </w:r>
      <w:r w:rsidRPr="008016F9">
        <w:t xml:space="preserve"> to high-risk prostate adenocarcinoma, for previously untreated patients considered suitable for locoregional therapy with curative intent</w:t>
      </w:r>
    </w:p>
    <w:p w14:paraId="08B0F550" w14:textId="77777777" w:rsidR="006271C5" w:rsidRDefault="006271C5" w:rsidP="006271C5">
      <w:pPr>
        <w:pStyle w:val="BulletLast"/>
      </w:pPr>
      <w:r>
        <w:t xml:space="preserve">Population 2 – </w:t>
      </w:r>
      <w:r w:rsidRPr="008016F9">
        <w:t>PSMA PET/CT for restaging recurrent prostate adenocarcinoma, for patients considered suitable for locoregional therapy to delay systemic therapy</w:t>
      </w:r>
      <w:r>
        <w:t>.</w:t>
      </w:r>
    </w:p>
    <w:p w14:paraId="07BFBC08" w14:textId="77777777" w:rsidR="006271C5" w:rsidRDefault="006271C5" w:rsidP="006271C5">
      <w:pPr>
        <w:pStyle w:val="NormalBeforeBullet"/>
      </w:pPr>
      <w:r>
        <w:t>However, ESC noted that the populations described in the proposed MBS item descriptors and throughout the applicant-developed assessment report (ADAR) differed from the PICO confirmation:</w:t>
      </w:r>
    </w:p>
    <w:p w14:paraId="619D3AB3" w14:textId="77777777" w:rsidR="006271C5" w:rsidRDefault="006271C5" w:rsidP="006271C5">
      <w:pPr>
        <w:pStyle w:val="Bullet"/>
      </w:pPr>
      <w:r>
        <w:t>Population 1 – reason for intervention changed from “for the initial (N- and M-) staging” to “performed for primary staging”; in the item descriptor, “PSMA PET study” changed to “PSMA PET/CT study” (see Table 1)</w:t>
      </w:r>
    </w:p>
    <w:p w14:paraId="67E1BCEB" w14:textId="77777777" w:rsidR="006271C5" w:rsidRDefault="006271C5" w:rsidP="006271C5">
      <w:pPr>
        <w:pStyle w:val="BulletLast"/>
      </w:pPr>
      <w:r>
        <w:t>Population 2 – reason for intervention changed from “to delay systemic therapy” to “to determine appropriate therapeutic pathways and timing of treatment initiation”; in the item descriptor, “PSMA PET study” changed to ‘PSMA PET/CT study, and text added (as recommended by a clinical expert) to define that the population includes patients with a prostate-specific antigen (PSA) increase of 2 ng/mL above the nadir after external beam radiotherapy, or failure of PSA to fall to undetectable levels or rising PSA after radical prostatectomy (RP) (see Table 2).</w:t>
      </w:r>
    </w:p>
    <w:p w14:paraId="5A195FAE" w14:textId="77777777" w:rsidR="006271C5" w:rsidRDefault="006271C5" w:rsidP="006271C5">
      <w:r w:rsidRPr="00F82D95">
        <w:t xml:space="preserve">ESC also noted the pre-ESC response opposed the suggestion in the Commentary to include a minimum PSA threshold to signify biochemical recurrence (BCR) after radical prostatectomy (RP) in the item descriptor for </w:t>
      </w:r>
      <w:r>
        <w:t xml:space="preserve">the restaging </w:t>
      </w:r>
      <w:r w:rsidRPr="00F82D95">
        <w:t xml:space="preserve">population </w:t>
      </w:r>
      <w:r>
        <w:t xml:space="preserve">because </w:t>
      </w:r>
      <w:r w:rsidRPr="00F82D95">
        <w:t xml:space="preserve">any rise </w:t>
      </w:r>
      <w:r>
        <w:t xml:space="preserve">in PSA </w:t>
      </w:r>
      <w:r w:rsidRPr="00F82D95">
        <w:t>is indicative of tumour recurrence.</w:t>
      </w:r>
    </w:p>
    <w:p w14:paraId="31D69459" w14:textId="0152EB72" w:rsidR="006271C5" w:rsidRDefault="006271C5" w:rsidP="007D45E4">
      <w:pPr>
        <w:spacing w:before="240"/>
      </w:pPr>
      <w:r>
        <w:t>ESC noted the justifications for these changes provided in the ADAR</w:t>
      </w:r>
      <w:r w:rsidRPr="00F82D95">
        <w:t xml:space="preserve"> </w:t>
      </w:r>
      <w:r>
        <w:t xml:space="preserve">and pre-ESC </w:t>
      </w:r>
      <w:proofErr w:type="gramStart"/>
      <w:r>
        <w:t>response, and</w:t>
      </w:r>
      <w:proofErr w:type="gramEnd"/>
      <w:r>
        <w:t xml:space="preserve"> considered that these changes may be reasonable. For the item descriptors, ESC noted advice from the Department that “CT” could be removed from the descriptor to be consistent with all other PET items and the fee reduced by $100, and allow co-claiming with item 61505 where CT is performed. However, ESC queried whether all PET items include a CT component, and requested that the Department provide advice on this matter before changing the item descriptors. ESC considered that it was reasonable to also specify that PSMA PET is a whole-body scan. ESC also identified potential inconsistencies in language between similar applications (e.g. “primary staging” in this application vs. “initial staging” in </w:t>
      </w:r>
      <w:hyperlink r:id="rId19" w:history="1">
        <w:r w:rsidRPr="00782F43">
          <w:rPr>
            <w:rStyle w:val="Hyperlink"/>
          </w:rPr>
          <w:t>Application 1562</w:t>
        </w:r>
      </w:hyperlink>
      <w:r>
        <w:t xml:space="preserve">), and with existing </w:t>
      </w:r>
      <w:r w:rsidRPr="00514FD3">
        <w:t>MBS items for FDG PET (61620 and 61640</w:t>
      </w:r>
      <w:r>
        <w:t>).</w:t>
      </w:r>
    </w:p>
    <w:p w14:paraId="1005E4F7" w14:textId="5F7404C8" w:rsidR="006271C5" w:rsidRDefault="006271C5" w:rsidP="006271C5">
      <w:r>
        <w:t xml:space="preserve">ESC confirmed the proposed clinical management algorithms, where </w:t>
      </w:r>
      <w:r w:rsidR="005C50D8">
        <w:t xml:space="preserve">PSMA </w:t>
      </w:r>
      <w:r>
        <w:t xml:space="preserve">PET/CT would replace CT and/or whole-body bone scan (WBBS) and </w:t>
      </w:r>
      <w:r w:rsidRPr="00837171">
        <w:t xml:space="preserve">single photon emission computed tomography </w:t>
      </w:r>
      <w:r>
        <w:t>(SPECT)/CT (referred to as conventional imaging [CVI]).</w:t>
      </w:r>
    </w:p>
    <w:p w14:paraId="66C3C79D" w14:textId="77777777" w:rsidR="006271C5" w:rsidRDefault="006271C5" w:rsidP="007D45E4">
      <w:pPr>
        <w:spacing w:before="240"/>
      </w:pPr>
      <w:r>
        <w:t>ESC noted that an alternative comparator of no imaging was considered for a subset of restaging patients with PSA levels less than 1.0 ng/</w:t>
      </w:r>
      <w:proofErr w:type="spellStart"/>
      <w:r>
        <w:t>mL.</w:t>
      </w:r>
      <w:proofErr w:type="spellEnd"/>
      <w:r>
        <w:t xml:space="preserve"> ESC noted this additional comparator was included in the ADAR’s economic evaluation and financial impact. ESC raised no concerns with this alternative comparator.</w:t>
      </w:r>
    </w:p>
    <w:p w14:paraId="146392B7" w14:textId="25C64079" w:rsidR="006271C5" w:rsidRDefault="006271C5" w:rsidP="007D45E4">
      <w:pPr>
        <w:spacing w:before="240"/>
      </w:pPr>
      <w:r>
        <w:t>ESC noted the clinical evidence presented in the ADAR. For primary staging, this included a recent Australian randomised controlled trial (RCT)</w:t>
      </w:r>
      <w:r w:rsidRPr="00E82ECF">
        <w:t xml:space="preserve"> </w:t>
      </w:r>
      <w:r>
        <w:t>(</w:t>
      </w:r>
      <w:proofErr w:type="spellStart"/>
      <w:r w:rsidRPr="00E82ECF">
        <w:t>proPSMA</w:t>
      </w:r>
      <w:proofErr w:type="spellEnd"/>
      <w:r w:rsidRPr="00E82ECF">
        <w:t xml:space="preserve"> trial</w:t>
      </w:r>
      <w:r>
        <w:t xml:space="preserve">; </w:t>
      </w:r>
      <w:proofErr w:type="spellStart"/>
      <w:r>
        <w:t>Hofman</w:t>
      </w:r>
      <w:proofErr w:type="spellEnd"/>
      <w:r>
        <w:t xml:space="preserve"> et al. 2020), as well as non-comparative studies to demonstrate equivalence across different radio</w:t>
      </w:r>
      <w:r w:rsidR="00CD41BB">
        <w:t xml:space="preserve">pharmaceutical </w:t>
      </w:r>
      <w:r>
        <w:t>tracers to support a generic MBS item descriptor. For restaging, there were no comparative studies of diagnostic accuracy, so the ADAR presented single-arm studies of PSMA PET/CT only.</w:t>
      </w:r>
    </w:p>
    <w:p w14:paraId="64334130" w14:textId="77777777" w:rsidR="006271C5" w:rsidRDefault="006271C5" w:rsidP="007D45E4">
      <w:pPr>
        <w:spacing w:before="240"/>
      </w:pPr>
      <w:r>
        <w:t>For comparative safety, ESC noted that radiation exposure was the only safety outcome compared between the intervention and the comparator; other test adverse events were not compared. ESC noted that no serious safety concerns were identified, suggesting that PSMA PET/CT is at least non-inferior to CVI.</w:t>
      </w:r>
    </w:p>
    <w:p w14:paraId="6D703B22" w14:textId="77777777" w:rsidR="006271C5" w:rsidRDefault="006271C5" w:rsidP="007D45E4">
      <w:pPr>
        <w:spacing w:before="240"/>
      </w:pPr>
      <w:r>
        <w:t>For comparative diagnostic accuracy in primary staging, ESC noted that s</w:t>
      </w:r>
      <w:r w:rsidRPr="00B348E5">
        <w:t xml:space="preserve">ensitivity </w:t>
      </w:r>
      <w:r>
        <w:t>wa</w:t>
      </w:r>
      <w:r w:rsidRPr="00B348E5">
        <w:t xml:space="preserve">s statistically higher for PSMA PET/CT compared </w:t>
      </w:r>
      <w:r>
        <w:t>with</w:t>
      </w:r>
      <w:r w:rsidRPr="00B348E5">
        <w:t xml:space="preserve"> </w:t>
      </w:r>
      <w:r>
        <w:t>CVI</w:t>
      </w:r>
      <w:r w:rsidRPr="00B348E5">
        <w:t xml:space="preserve">. This </w:t>
      </w:r>
      <w:r>
        <w:t>was also</w:t>
      </w:r>
      <w:r w:rsidRPr="00B348E5">
        <w:t xml:space="preserve"> clinically significant</w:t>
      </w:r>
      <w:r>
        <w:t>,</w:t>
      </w:r>
      <w:r w:rsidRPr="00B348E5">
        <w:t xml:space="preserve"> as local radical therapy cannot </w:t>
      </w:r>
      <w:r>
        <w:t xml:space="preserve">achieve a </w:t>
      </w:r>
      <w:r w:rsidRPr="00B348E5">
        <w:t xml:space="preserve">cure </w:t>
      </w:r>
      <w:r>
        <w:t xml:space="preserve">state </w:t>
      </w:r>
      <w:r w:rsidRPr="00B348E5">
        <w:t>if distant metastas</w:t>
      </w:r>
      <w:r>
        <w:t>e</w:t>
      </w:r>
      <w:r w:rsidRPr="00B348E5">
        <w:t>s</w:t>
      </w:r>
      <w:r>
        <w:t xml:space="preserve"> are</w:t>
      </w:r>
      <w:r w:rsidRPr="00B348E5">
        <w:t xml:space="preserve"> present – if undetected</w:t>
      </w:r>
      <w:r>
        <w:t>,</w:t>
      </w:r>
      <w:r w:rsidRPr="00B348E5">
        <w:t xml:space="preserve"> patients </w:t>
      </w:r>
      <w:r>
        <w:t xml:space="preserve">with metastases may be exposed to treatment-related adverse effects without therapeutic benefit. However, ESC also noted that </w:t>
      </w:r>
      <w:r w:rsidRPr="00837171">
        <w:t>the proposed MBS population includes all patients with intermediate- to high-risk newly diagnosed prostate cancer</w:t>
      </w:r>
      <w:r>
        <w:t>,</w:t>
      </w:r>
      <w:r w:rsidRPr="00837171">
        <w:t xml:space="preserve"> whereas the </w:t>
      </w:r>
      <w:proofErr w:type="spellStart"/>
      <w:r>
        <w:t>proPSMA</w:t>
      </w:r>
      <w:proofErr w:type="spellEnd"/>
      <w:r>
        <w:t xml:space="preserve"> trial</w:t>
      </w:r>
      <w:r w:rsidRPr="00837171">
        <w:t xml:space="preserve"> </w:t>
      </w:r>
      <w:r>
        <w:t>wa</w:t>
      </w:r>
      <w:r w:rsidRPr="00837171">
        <w:t>s limited to patients with high-risk or International Society of Urological Pathology (ISUP) grade group 3 (unfavourable intermediate-risk feature) disease. Estimated sensitivity may</w:t>
      </w:r>
      <w:r>
        <w:t xml:space="preserve"> therefore</w:t>
      </w:r>
      <w:r w:rsidRPr="00837171">
        <w:t xml:space="preserve"> be lower in patients with intermediate-risk features in</w:t>
      </w:r>
      <w:r>
        <w:t xml:space="preserve"> the</w:t>
      </w:r>
      <w:r w:rsidRPr="00837171">
        <w:t xml:space="preserve"> proposed MBS population who have lower</w:t>
      </w:r>
      <w:r>
        <w:t>-</w:t>
      </w:r>
      <w:r w:rsidRPr="00837171">
        <w:t xml:space="preserve">grade disease than those in the </w:t>
      </w:r>
      <w:proofErr w:type="spellStart"/>
      <w:r>
        <w:t>proPSMA</w:t>
      </w:r>
      <w:proofErr w:type="spellEnd"/>
      <w:r>
        <w:t xml:space="preserve"> trial. ESC therefore considered that there was uncertainty about test performance (and clinical utility) in intermediate risk cancers, and that this </w:t>
      </w:r>
      <w:r w:rsidRPr="00160DA4">
        <w:t>would benefit from further sensitivity analysis in the economic evaluation</w:t>
      </w:r>
      <w:r>
        <w:t>.</w:t>
      </w:r>
    </w:p>
    <w:p w14:paraId="6E42A0B6" w14:textId="0A2AC39A" w:rsidR="006271C5" w:rsidRDefault="006271C5" w:rsidP="007D45E4">
      <w:pPr>
        <w:spacing w:before="240"/>
      </w:pPr>
      <w:r>
        <w:t xml:space="preserve">For the restaging population, the meta-analysis of single-arm studies showed that PSMA PET/CT had high sensitivity and specificity for BCR, but there was no quantitative comparison with CVI. ESC noted that an Australian trial (IMPPORT; </w:t>
      </w:r>
      <w:proofErr w:type="spellStart"/>
      <w:r>
        <w:t>Koschel</w:t>
      </w:r>
      <w:proofErr w:type="spellEnd"/>
      <w:r>
        <w:t xml:space="preserve"> et al., 2021) had been published since the ADAR literature search. This study, cited in the pre-ESC response</w:t>
      </w:r>
      <w:r w:rsidR="009340F2">
        <w:t>,</w:t>
      </w:r>
      <w:r>
        <w:t xml:space="preserve"> was in </w:t>
      </w:r>
      <w:r w:rsidRPr="002A557C">
        <w:t xml:space="preserve">97 men with evidence of </w:t>
      </w:r>
      <w:r>
        <w:t>BCR</w:t>
      </w:r>
      <w:r w:rsidRPr="002A557C">
        <w:t xml:space="preserve"> after </w:t>
      </w:r>
      <w:r>
        <w:t>RP</w:t>
      </w:r>
      <w:r w:rsidRPr="002A557C">
        <w:t xml:space="preserve"> being considered for salvage radiotherapy and with PSA between 0.2</w:t>
      </w:r>
      <w:r>
        <w:t> </w:t>
      </w:r>
      <w:r w:rsidRPr="002A557C">
        <w:t>ng/m</w:t>
      </w:r>
      <w:r>
        <w:t>L and</w:t>
      </w:r>
      <w:r w:rsidRPr="002A557C">
        <w:t xml:space="preserve"> 2.0</w:t>
      </w:r>
      <w:r>
        <w:t> </w:t>
      </w:r>
      <w:r w:rsidRPr="002A557C">
        <w:t>ng/</w:t>
      </w:r>
      <w:proofErr w:type="spellStart"/>
      <w:r w:rsidRPr="002A557C">
        <w:t>m</w:t>
      </w:r>
      <w:r>
        <w:t>L.</w:t>
      </w:r>
      <w:proofErr w:type="spellEnd"/>
      <w:r>
        <w:t xml:space="preserve"> The study</w:t>
      </w:r>
      <w:r w:rsidRPr="002A557C">
        <w:t xml:space="preserve"> found </w:t>
      </w:r>
      <w:r w:rsidR="005C50D8">
        <w:t xml:space="preserve">PSMA </w:t>
      </w:r>
      <w:r w:rsidRPr="002A557C">
        <w:t xml:space="preserve">PET/CT scans were positive in 46.4% of men (n = 45) </w:t>
      </w:r>
      <w:r>
        <w:t>compared with</w:t>
      </w:r>
      <w:r w:rsidRPr="002A557C">
        <w:t xml:space="preserve"> diagnostic CT positive in 15.5% of men (n = 15). Both scans were performed during a single session, removing the risk of confounding due to time passing between scans.</w:t>
      </w:r>
      <w:r>
        <w:t xml:space="preserve"> ESC requested that this study undergo formal assessment, including risk of bias. ESC also requested that retrospective studies (</w:t>
      </w:r>
      <w:proofErr w:type="spellStart"/>
      <w:r>
        <w:t>Eiber</w:t>
      </w:r>
      <w:proofErr w:type="spellEnd"/>
      <w:r>
        <w:t xml:space="preserve"> et al., 2015; Rauscher et al., 2016) claimed by the applicant to further validate the superiority of PSMA PET/CT compared with CVI in the pre-ESC response should also undergo formal assessment, including risk of bias.</w:t>
      </w:r>
    </w:p>
    <w:p w14:paraId="3DDFB9E7" w14:textId="059AA8CE" w:rsidR="006271C5" w:rsidRDefault="006271C5" w:rsidP="007D45E4">
      <w:pPr>
        <w:spacing w:before="240"/>
      </w:pPr>
      <w:r>
        <w:t>Overall, ESC considered that the evidence for superior diagnostic accuracy and clinical utility was more certain for primary staging than for restaging.</w:t>
      </w:r>
    </w:p>
    <w:p w14:paraId="4AEBB7FF" w14:textId="77777777" w:rsidR="006271C5" w:rsidRDefault="006271C5" w:rsidP="006271C5">
      <w:r>
        <w:t>ESC noted the l</w:t>
      </w:r>
      <w:r w:rsidRPr="002A557C">
        <w:t>imited evidence on</w:t>
      </w:r>
      <w:r>
        <w:t xml:space="preserve"> the</w:t>
      </w:r>
      <w:r w:rsidRPr="002A557C">
        <w:t xml:space="preserve"> therapeutic effectiveness</w:t>
      </w:r>
      <w:r>
        <w:t xml:space="preserve"> of PSMA PET/CT </w:t>
      </w:r>
      <w:r>
        <w:rPr>
          <w:sz w:val="22"/>
          <w:szCs w:val="22"/>
        </w:rPr>
        <w:t>in both populations</w:t>
      </w:r>
      <w:r w:rsidRPr="002A557C">
        <w:t xml:space="preserve">, but </w:t>
      </w:r>
      <w:r>
        <w:t>considered that it may be</w:t>
      </w:r>
      <w:r w:rsidRPr="002A557C">
        <w:t xml:space="preserve"> reasonable to infer</w:t>
      </w:r>
      <w:r>
        <w:t xml:space="preserve"> a</w:t>
      </w:r>
      <w:r w:rsidRPr="002A557C">
        <w:t xml:space="preserve"> likely clinical benefit from metastasis</w:t>
      </w:r>
      <w:r>
        <w:t>-</w:t>
      </w:r>
      <w:r w:rsidRPr="002A557C">
        <w:t>directed therapy or avoiding futile locoregional ablative therapy (</w:t>
      </w:r>
      <w:r>
        <w:t>primary staging</w:t>
      </w:r>
      <w:r w:rsidRPr="002A557C">
        <w:t>)</w:t>
      </w:r>
      <w:r>
        <w:t>,</w:t>
      </w:r>
      <w:r w:rsidRPr="002A557C">
        <w:t xml:space="preserve"> and better targeting of salvage radiotherapy to positive sites (</w:t>
      </w:r>
      <w:r>
        <w:t>restaging</w:t>
      </w:r>
      <w:r w:rsidRPr="002A557C">
        <w:t>).</w:t>
      </w:r>
    </w:p>
    <w:p w14:paraId="736A76CA" w14:textId="2DC119CD" w:rsidR="006271C5" w:rsidRDefault="006271C5" w:rsidP="007D45E4">
      <w:pPr>
        <w:spacing w:before="240"/>
      </w:pPr>
      <w:r>
        <w:t>ESC noted that concordance studies for both populations had small sample sizes or lacked a reference standard, making it difficult to draw conclusions on comparative analytical performance across PSMA radio</w:t>
      </w:r>
      <w:r w:rsidR="00CD41BB">
        <w:t xml:space="preserve">pharmaceutical </w:t>
      </w:r>
      <w:r>
        <w:t xml:space="preserve">tracers. In its pre-ESC response, the applicant supported a generic MBS item descriptor for PSMA PET/CT, noting this should be only applicable to all small-molecule glutamate urea-based molecular inhibitors of the PSMA enzymatic site. The applicant </w:t>
      </w:r>
      <w:r w:rsidRPr="00BC6FEF">
        <w:t>acknowledge</w:t>
      </w:r>
      <w:r>
        <w:t>d the</w:t>
      </w:r>
      <w:r w:rsidRPr="00BC6FEF">
        <w:t xml:space="preserve"> </w:t>
      </w:r>
      <w:r>
        <w:t xml:space="preserve">European Association of Urology (EAU) </w:t>
      </w:r>
      <w:r w:rsidRPr="000211E2">
        <w:t xml:space="preserve">guidelines statement that at present there are no conclusive data for comparisons across </w:t>
      </w:r>
      <w:r>
        <w:t xml:space="preserve">PSMA </w:t>
      </w:r>
      <w:r w:rsidRPr="000211E2">
        <w:t>radio</w:t>
      </w:r>
      <w:r w:rsidR="00CD41BB">
        <w:t xml:space="preserve">pharmaceutical </w:t>
      </w:r>
      <w:r w:rsidRPr="000211E2">
        <w:t>tr</w:t>
      </w:r>
      <w:r>
        <w:t>acers. However, the applicant highlighted</w:t>
      </w:r>
      <w:r w:rsidRPr="00BC6FEF">
        <w:t xml:space="preserve"> </w:t>
      </w:r>
      <w:r>
        <w:t>that: a generic item was also supported by multiple Australian stakeholder organisations (Ratified PICO, pp31-32), PSMA tracers are generally superior to CVI, clinicians should have the flexibility to choose from a range of available radio</w:t>
      </w:r>
      <w:r w:rsidR="00CD41BB">
        <w:t xml:space="preserve">pharmaceutical </w:t>
      </w:r>
      <w:r>
        <w:t>tracers, and it may ensure equitable patient access. ESC considered that these were relevant matters for MSAC to consider regarding a generic MBS item for PSMA PET/CT in the absence of conclusive comparative analytical evidence.</w:t>
      </w:r>
    </w:p>
    <w:p w14:paraId="28BC9895" w14:textId="72D125FA" w:rsidR="006271C5" w:rsidRDefault="006271C5" w:rsidP="007D45E4">
      <w:pPr>
        <w:spacing w:before="240"/>
      </w:pPr>
      <w:r>
        <w:t>ESC noted that issues relating to ownership of intellectual property for radio</w:t>
      </w:r>
      <w:r w:rsidR="00CD41BB">
        <w:t xml:space="preserve">pharmaceutical </w:t>
      </w:r>
      <w:r>
        <w:t>tracers were not discussed in the ADAR, although this had been requested by PASC.</w:t>
      </w:r>
    </w:p>
    <w:p w14:paraId="4CB3F224" w14:textId="77777777" w:rsidR="006271C5" w:rsidRDefault="006271C5" w:rsidP="007D45E4">
      <w:pPr>
        <w:spacing w:before="240"/>
      </w:pPr>
      <w:r>
        <w:t>ESC reviewed the ADAR’s cost-utility analyses presented for both populations and noted some key translation issues:</w:t>
      </w:r>
    </w:p>
    <w:p w14:paraId="2E5D2A31" w14:textId="77777777" w:rsidR="006271C5" w:rsidRDefault="006271C5" w:rsidP="006271C5">
      <w:pPr>
        <w:pStyle w:val="ListParagraph"/>
        <w:numPr>
          <w:ilvl w:val="0"/>
          <w:numId w:val="27"/>
        </w:numPr>
      </w:pPr>
      <w:r>
        <w:t>For primary staging, the trial population was narrower than the proposed MBS population, leading to uncertainty if the results of the economic model are applicable to patients at intermediate risk</w:t>
      </w:r>
    </w:p>
    <w:p w14:paraId="47286ED8" w14:textId="77777777" w:rsidR="006271C5" w:rsidRDefault="006271C5" w:rsidP="006271C5">
      <w:pPr>
        <w:pStyle w:val="ListParagraph"/>
        <w:numPr>
          <w:ilvl w:val="0"/>
          <w:numId w:val="27"/>
        </w:numPr>
      </w:pPr>
      <w:r>
        <w:t xml:space="preserve">For re-staging, the lack of comparative studies and numerous data sources used in the economic model resulted in </w:t>
      </w:r>
      <w:proofErr w:type="gramStart"/>
      <w:r>
        <w:t>a number of</w:t>
      </w:r>
      <w:proofErr w:type="gramEnd"/>
      <w:r>
        <w:t xml:space="preserve"> assumptions in the model which introduced uncertainty in interpreting the model results.</w:t>
      </w:r>
    </w:p>
    <w:p w14:paraId="7BB8F3A2" w14:textId="77777777" w:rsidR="006271C5" w:rsidRDefault="006271C5" w:rsidP="007D45E4">
      <w:pPr>
        <w:spacing w:before="240"/>
      </w:pPr>
      <w:r>
        <w:t xml:space="preserve">ESC noted the Commentary identified </w:t>
      </w:r>
      <w:proofErr w:type="gramStart"/>
      <w:r>
        <w:t>a number of</w:t>
      </w:r>
      <w:proofErr w:type="gramEnd"/>
      <w:r>
        <w:t xml:space="preserve"> modelling uncertainties. ESC noted the pre-ESC response largely addressed these issues; the applicant identified the correct source (Prostate Cancer Outcomes registry 2018 annual report) used to estimate model probabilities for patients undergoing RP or radiotherapy at model entry; clarified the method used to estimate the proportion of patients with local, nodal and distant metastases; and clarified the method used to estimate the total cost of a scan (which included repeat imaging for PSMA PET/CT and CVI).</w:t>
      </w:r>
    </w:p>
    <w:p w14:paraId="04EC0396" w14:textId="13B2DBC0" w:rsidR="006271C5" w:rsidRDefault="006271C5" w:rsidP="007D45E4">
      <w:pPr>
        <w:spacing w:before="240" w:after="240"/>
      </w:pPr>
      <w:r>
        <w:t xml:space="preserve">However, </w:t>
      </w:r>
      <w:r w:rsidRPr="003F7912">
        <w:t>ESC noted several potential issues with the assumptions regarding derivation of utility values in the model</w:t>
      </w:r>
      <w:r>
        <w:t xml:space="preserve">. Specifically, ESC queried the logic of the utility values assigned to false positives and false negatives in the model over time. False positive and false negative patients were assigned the utility related to their condition, not the condition they were incorrectly diagnosed as, which seemed counterintuitive. For example, patients who were false negative for pelvic nodal disease in the first cycle were assigned a utility value of 0.369, which was lower than the true positive utility of 0.400; this then increased to 0.670 after 1 year (to their correct diagnosis). </w:t>
      </w:r>
      <w:r w:rsidRPr="00144FBE">
        <w:t>ESC considered that th</w:t>
      </w:r>
      <w:r w:rsidR="00066693">
        <w:t>is</w:t>
      </w:r>
      <w:r w:rsidRPr="00144FBE">
        <w:t xml:space="preserve"> issue would benefit from further sensitivity analysis in the economic evaluation.</w:t>
      </w:r>
    </w:p>
    <w:p w14:paraId="6D524F02" w14:textId="77777777" w:rsidR="006271C5" w:rsidRDefault="006271C5" w:rsidP="006271C5">
      <w:r>
        <w:t xml:space="preserve">ESC noted the incremental cost-effectiveness ratios (ICERs) presented in the base case model, where PSMA PET/CT was dominant for primary staging and weighted at $9,168 per QALY gained for restaging ($4,574 for patients with PSA </w:t>
      </w:r>
      <w:r>
        <w:sym w:font="Symbol" w:char="F0B3"/>
      </w:r>
      <w:r>
        <w:t>1.0 ng/mL, and $20,414 for patients with PSA &lt;1.0 ng/mL). Presented sensitivity analyses showed that the model for primary staging is robust, with PSMA PET/CT remaining dominant in all scenarios except where the time horizon was extended to 30 years. For restaging, the ICERs remained below $34,000 per QALY gained.</w:t>
      </w:r>
    </w:p>
    <w:p w14:paraId="40EE194C" w14:textId="1BB93C7A" w:rsidR="006271C5" w:rsidRDefault="006271C5" w:rsidP="007D45E4">
      <w:pPr>
        <w:spacing w:before="240"/>
      </w:pPr>
      <w:r>
        <w:t>ESC noted the Department’s advice that the ADAR did not include adjustments for the Greatest Permissible Gap. ESC noted including this adjustment resulted in small variations in the net costs to the MBS (see Table 17).</w:t>
      </w:r>
    </w:p>
    <w:p w14:paraId="63CE13EA" w14:textId="77777777" w:rsidR="006271C5" w:rsidRPr="006271C5" w:rsidRDefault="006271C5" w:rsidP="006271C5">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Other significant factors</w:t>
      </w:r>
    </w:p>
    <w:p w14:paraId="08708BF3" w14:textId="6B5FDDC2" w:rsidR="006271C5" w:rsidRPr="006271C5" w:rsidRDefault="006271C5" w:rsidP="006271C5">
      <w:pPr>
        <w:rPr>
          <w:iCs/>
          <w:szCs w:val="24"/>
        </w:rPr>
      </w:pPr>
      <w:r w:rsidRPr="006271C5">
        <w:rPr>
          <w:iCs/>
          <w:szCs w:val="24"/>
        </w:rPr>
        <w:t>The Commentary stated that the two item descriptors listed above differ slightly from those in the PICO Confirmation (p. 28). In the PICO Confirmation, for both Population 1 and 2 MBS item descriptors, the intervention is described as “Prostate specific membrane antigen (PSMA) PET study” whilst in the ADAR, the intervention is referred to as “Prostate-specific membrane (PSMA) positron emission tomography (PET)/computerised tomography (CT) study”. The ADAR did not discuss these differences. In the PICO Confirmation, PASC stated that the proposed item descriptors did not align with other MBS items for PET which specify ‘PET’ only whilst the proposed descriptors specify ‘PET/CT’. PASC advised that alignment with other PET items should be considered further; however, the applicant noted that all the current MBS descriptors follow from the 2000 PET review process before PET/CT was available. The applicant further stated that the accuracy of PET alone has not been estimated</w:t>
      </w:r>
      <w:r>
        <w:rPr>
          <w:iCs/>
          <w:szCs w:val="24"/>
        </w:rPr>
        <w:t xml:space="preserve"> </w:t>
      </w:r>
      <w:r w:rsidRPr="006271C5">
        <w:rPr>
          <w:iCs/>
          <w:szCs w:val="24"/>
        </w:rPr>
        <w:t>but claimed that the rate of false positives (FPs) would be higher with PET alone.</w:t>
      </w:r>
    </w:p>
    <w:p w14:paraId="4A3E744D" w14:textId="77777777" w:rsidR="006271C5" w:rsidRPr="006271C5" w:rsidRDefault="006271C5" w:rsidP="006271C5">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Applicant comments on MSAC’s Public Summary Document</w:t>
      </w:r>
    </w:p>
    <w:p w14:paraId="59007F6B" w14:textId="7C64E227" w:rsidR="006271C5" w:rsidRPr="004F0B88" w:rsidRDefault="004F0B88" w:rsidP="004F0B88">
      <w:pPr>
        <w:shd w:val="clear" w:color="auto" w:fill="FFFFFF"/>
        <w:spacing w:before="100" w:beforeAutospacing="1" w:after="100" w:afterAutospacing="1" w:line="230" w:lineRule="atLeast"/>
      </w:pPr>
      <w:r w:rsidRPr="00DC7BA7">
        <w:t>We thank you for the opportunity to comment and welcome the positive response to our application and advise we have no suggested changes or edits to the information within the PSD.  The co-applicant</w:t>
      </w:r>
      <w:r>
        <w:t>s</w:t>
      </w:r>
      <w:r w:rsidRPr="00DC7BA7">
        <w:t xml:space="preserve"> hope the Minister accepts MSAC’s positive recommendation. Medicare funding for PSMA PET/CT scanning will benefit many patients who are currently struggling with the out of pocket expenses to obtain what has become standard of care management of their prostate cancer.</w:t>
      </w:r>
    </w:p>
    <w:p w14:paraId="032516B9" w14:textId="77777777" w:rsidR="006271C5" w:rsidRPr="006271C5" w:rsidRDefault="006271C5" w:rsidP="006271C5">
      <w:pPr>
        <w:pStyle w:val="Heading1"/>
        <w:numPr>
          <w:ilvl w:val="0"/>
          <w:numId w:val="13"/>
        </w:numPr>
        <w:spacing w:before="240" w:after="240"/>
        <w:ind w:hanging="720"/>
        <w:rPr>
          <w:rFonts w:ascii="Arial" w:eastAsia="Times New Roman" w:hAnsi="Arial" w:cs="Times New Roman"/>
        </w:rPr>
      </w:pPr>
      <w:r w:rsidRPr="006271C5">
        <w:rPr>
          <w:rFonts w:ascii="Arial" w:eastAsia="Times New Roman" w:hAnsi="Arial" w:cs="Times New Roman"/>
        </w:rPr>
        <w:t>Further information on MSAC</w:t>
      </w:r>
    </w:p>
    <w:p w14:paraId="35A468D1" w14:textId="2BA5270F" w:rsidR="006271C5" w:rsidRPr="005D77C0" w:rsidRDefault="006271C5" w:rsidP="006271C5">
      <w:pPr>
        <w:spacing w:after="240"/>
        <w:rPr>
          <w:szCs w:val="24"/>
        </w:rPr>
      </w:pPr>
      <w:r w:rsidRPr="00F715D1">
        <w:rPr>
          <w:szCs w:val="24"/>
        </w:rPr>
        <w:t xml:space="preserve">MSAC Terms of Reference and other information are available on the MSAC Website: </w:t>
      </w:r>
      <w:r>
        <w:rPr>
          <w:szCs w:val="24"/>
        </w:rPr>
        <w:br/>
      </w:r>
      <w:hyperlink r:id="rId20" w:tooltip="Link to Medical Services Advisory Committee website" w:history="1">
        <w:r w:rsidRPr="00F715D1">
          <w:rPr>
            <w:rStyle w:val="Hyperlink"/>
            <w:szCs w:val="24"/>
          </w:rPr>
          <w:t>visit the MSAC website</w:t>
        </w:r>
      </w:hyperlink>
    </w:p>
    <w:sectPr w:rsidR="006271C5" w:rsidRPr="005D77C0" w:rsidSect="00342FAC">
      <w:footerReference w:type="default" r:id="rId2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32CDA" w14:textId="77777777" w:rsidR="00957D70" w:rsidRDefault="00957D70" w:rsidP="00065623">
      <w:r>
        <w:separator/>
      </w:r>
    </w:p>
  </w:endnote>
  <w:endnote w:type="continuationSeparator" w:id="0">
    <w:p w14:paraId="7D45A13B" w14:textId="77777777" w:rsidR="00957D70" w:rsidRDefault="00957D7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773568"/>
      <w:docPartObj>
        <w:docPartGallery w:val="Page Numbers (Bottom of Page)"/>
        <w:docPartUnique/>
      </w:docPartObj>
    </w:sdtPr>
    <w:sdtEndPr>
      <w:rPr>
        <w:noProof/>
      </w:rPr>
    </w:sdtEndPr>
    <w:sdtContent>
      <w:p w14:paraId="57D6A905" w14:textId="4330A2CA" w:rsidR="003E0C21" w:rsidRDefault="003E0C21">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611F0B18" w14:textId="77777777" w:rsidR="003E0C21" w:rsidRDefault="003E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B3F9D" w14:textId="77777777" w:rsidR="00957D70" w:rsidRDefault="00957D70" w:rsidP="00065623">
      <w:r>
        <w:separator/>
      </w:r>
    </w:p>
  </w:footnote>
  <w:footnote w:type="continuationSeparator" w:id="0">
    <w:p w14:paraId="15D8F026" w14:textId="77777777" w:rsidR="00957D70" w:rsidRDefault="00957D70" w:rsidP="00065623">
      <w:r>
        <w:continuationSeparator/>
      </w:r>
    </w:p>
  </w:footnote>
  <w:footnote w:id="1">
    <w:p w14:paraId="22B574AF" w14:textId="5D1B0C7C" w:rsidR="003E0C21" w:rsidRDefault="003E0C21">
      <w:pPr>
        <w:pStyle w:val="FootnoteText"/>
      </w:pPr>
      <w:r>
        <w:rPr>
          <w:rStyle w:val="FootnoteReference"/>
        </w:rPr>
        <w:footnoteRef/>
      </w:r>
      <w:r>
        <w:t xml:space="preserve"> Weighted by the proportions who received CVI or no imaging in the comparator arm.</w:t>
      </w:r>
    </w:p>
  </w:footnote>
  <w:footnote w:id="2">
    <w:p w14:paraId="7FE30A98" w14:textId="77777777" w:rsidR="003E0C21" w:rsidRDefault="003E0C21" w:rsidP="006C499C">
      <w:pPr>
        <w:pStyle w:val="FootnoteText"/>
      </w:pPr>
      <w:r>
        <w:rPr>
          <w:rStyle w:val="FootnoteReference"/>
        </w:rPr>
        <w:footnoteRef/>
      </w:r>
      <w:r>
        <w:t xml:space="preserve"> Supporting documentation provided with the original Application</w:t>
      </w:r>
    </w:p>
  </w:footnote>
  <w:footnote w:id="3">
    <w:p w14:paraId="1FEE06FC" w14:textId="77777777" w:rsidR="003E0C21" w:rsidRDefault="003E0C21" w:rsidP="006271C5">
      <w:pPr>
        <w:pStyle w:val="FootnoteText"/>
      </w:pPr>
      <w:r>
        <w:rPr>
          <w:rStyle w:val="FootnoteReference"/>
        </w:rPr>
        <w:footnoteRef/>
      </w:r>
      <w:r>
        <w:t xml:space="preserve"> At least one of the following risk factors (IRFs) in the absence of any high-risk features: PSA of 10-20 ng/ml, or Gleason score of 7 or ISUP grade group 2 or 3, or Stage T2b or T2c †</w:t>
      </w:r>
    </w:p>
  </w:footnote>
  <w:footnote w:id="4">
    <w:p w14:paraId="098EAE2B" w14:textId="77777777" w:rsidR="003E0C21" w:rsidRDefault="003E0C21" w:rsidP="006271C5">
      <w:pPr>
        <w:pStyle w:val="FootnoteText"/>
      </w:pPr>
      <w:r>
        <w:rPr>
          <w:rStyle w:val="FootnoteReference"/>
        </w:rPr>
        <w:footnoteRef/>
      </w:r>
      <w:r>
        <w:t xml:space="preserve"> At least one of the following risk factors: PSA &gt;</w:t>
      </w:r>
      <w:r w:rsidRPr="00A81E86">
        <w:t>20</w:t>
      </w:r>
      <w:r>
        <w:t> </w:t>
      </w:r>
      <w:r w:rsidRPr="00A81E86">
        <w:t>ng</w:t>
      </w:r>
      <w:r>
        <w:t xml:space="preserve">/ml, or Gleason score &gt;7 or ISUP grade group 4 or 5, or Stage T2c or </w:t>
      </w:r>
      <w:r>
        <w:sym w:font="Symbol" w:char="F0B3"/>
      </w:r>
      <w:r>
        <w:t>T3 †</w:t>
      </w:r>
    </w:p>
  </w:footnote>
  <w:footnote w:id="5">
    <w:p w14:paraId="3B09E7BD" w14:textId="0841B540" w:rsidR="003E0C21" w:rsidRDefault="003E0C21">
      <w:pPr>
        <w:pStyle w:val="FootnoteText"/>
      </w:pPr>
      <w:r>
        <w:rPr>
          <w:rStyle w:val="FootnoteReference"/>
        </w:rPr>
        <w:footnoteRef/>
      </w:r>
      <w:r>
        <w:t xml:space="preserve"> </w:t>
      </w:r>
      <w:r w:rsidRPr="009766C9">
        <w:t>Hofman, M. S., Lawrentschuk, N., Francis, R. J., et al. 2020. Prostate-specific membrane antigen PET-CT in patients with high-risk prostate cancer before curative-intent surgery or radiotherapy (proPSMA): a prospective, randomised, multicentre study. Lancet, 395, 1208-1216.</w:t>
      </w:r>
    </w:p>
  </w:footnote>
  <w:footnote w:id="6">
    <w:p w14:paraId="7F6AE122" w14:textId="35DEDC6D" w:rsidR="003E0C21" w:rsidRDefault="003E0C21">
      <w:pPr>
        <w:pStyle w:val="FootnoteText"/>
      </w:pPr>
      <w:r>
        <w:rPr>
          <w:rStyle w:val="FootnoteReference"/>
        </w:rPr>
        <w:footnoteRef/>
      </w:r>
      <w:r>
        <w:t xml:space="preserve"> </w:t>
      </w:r>
      <w:r w:rsidRPr="003B2D05">
        <w:t>Mottet, N., Cornford, P., van den Bergh, R. C. N., Briers, E., De Santis, M., Gillessen, S., Grummet, J., Henry, A. M., van der Kwast, T. H., Lam, T. B., Mason, M. D., O'Hanlon, S., Opera-Lager, D. E., Ploussard, G., van der Poel, H. G., Rouvière, O., Schoots, I. G., Tilki, D. &amp; Wiegel, T. 2021. EAU - EANM - ESTRO - ESUR - ISUP - SIOG Guidelines on Prostate Cancer. Available: https://uroweb.org/wp-content/uploads/EAU-EANM-ESTRO_ESUR_ISUP_SIOG-Guidelines-on-Prostate-Cancer-2021.pdf.</w:t>
      </w:r>
    </w:p>
  </w:footnote>
  <w:footnote w:id="7">
    <w:p w14:paraId="53BE44CF" w14:textId="31D1262E" w:rsidR="003E0C21" w:rsidRDefault="003E0C21">
      <w:pPr>
        <w:pStyle w:val="FootnoteText"/>
      </w:pPr>
      <w:r>
        <w:rPr>
          <w:rStyle w:val="FootnoteReference"/>
        </w:rPr>
        <w:footnoteRef/>
      </w:r>
      <w:r>
        <w:t xml:space="preserve"> </w:t>
      </w:r>
      <w:r w:rsidRPr="003B2D05">
        <w:t>Emmett, L., Metser, U., Bauman, G., Hicks, R. J., Weickhardt, A., Davis, I. D., Punwani, S., Pond, G., Chua, S., Ho, B., Johnston, E., Pouliot, F. &amp; Scott, A. M. 2019. Prospective, Multisite, International Comparison of (18)F-Fluoromethylcholine PET/CT, Multiparametric MRI, and (68)Ga-HBED-CC PSMA-11 PET/CT in Men with High-Risk Features and Biochemical Failure After Radical Prostatectomy: Clinical Performance and Patient Outcomes. J Nucl Med, 60, 794-800.</w:t>
      </w:r>
    </w:p>
  </w:footnote>
  <w:footnote w:id="8">
    <w:p w14:paraId="7B0FBEEF" w14:textId="5EEF7276" w:rsidR="003E0C21" w:rsidRDefault="003E0C21">
      <w:pPr>
        <w:pStyle w:val="FootnoteText"/>
      </w:pPr>
      <w:r>
        <w:rPr>
          <w:rStyle w:val="FootnoteReference"/>
        </w:rPr>
        <w:footnoteRef/>
      </w:r>
      <w:r>
        <w:t xml:space="preserve"> </w:t>
      </w:r>
      <w:r w:rsidRPr="001902BF">
        <w:t>Lindenberg, L., Mena, E., Turkbey, B., Shih, J. H., Reese, S. E., Harmon, S. A., Lim, I., Lin, F., Ton, A., McKinney, Y. L., Eclarinal, P., Citrin, D. E., Dahut, W., Madan, R., Wood, B. J., Krishnasamy, V., Chang, R., Levy, E., Pinto, P., Eary, J. F. &amp; Choyke, P. L. 2020. Evaluating Biochemically Recurrent Prostate Cancer: Histologic Validation of (18)F-DCFPyL PET/CT with Comparison to Multiparametric MRI. Radiology, 296, 564-572.</w:t>
      </w:r>
    </w:p>
  </w:footnote>
  <w:footnote w:id="9">
    <w:p w14:paraId="5B167A5E" w14:textId="5BC64678" w:rsidR="003E0C21" w:rsidRDefault="003E0C21">
      <w:pPr>
        <w:pStyle w:val="FootnoteText"/>
      </w:pPr>
      <w:r>
        <w:rPr>
          <w:rStyle w:val="FootnoteReference"/>
        </w:rPr>
        <w:footnoteRef/>
      </w:r>
      <w:r>
        <w:t xml:space="preserve"> </w:t>
      </w:r>
      <w:r w:rsidRPr="001902BF">
        <w:t>Perera, M., Papa, N., Roberts, M., Williams, M., Udovicich, C., Vela, I., Christidis, D., Bolton, D., Hofman, M. S., Lawrentschuk, N. &amp; Murphy, D. G. 2020. Gallium-68 Prostate-specific Membrane Antigen Positron Emission Tomography in Advanced Prostate Cancer-Updated Diagnostic Utility, Sensitivity, Specificity, and Distribution of Prostate-specific Membrane Antigen-avid Lesions: A Systematic Review and Meta-analysis. Eur Urol, 77, 403-417.</w:t>
      </w:r>
    </w:p>
  </w:footnote>
  <w:footnote w:id="10">
    <w:p w14:paraId="54BFB1C9" w14:textId="4DD0BDCC" w:rsidR="003E0C21" w:rsidRDefault="003E0C21">
      <w:pPr>
        <w:pStyle w:val="FootnoteText"/>
      </w:pPr>
      <w:r>
        <w:rPr>
          <w:rStyle w:val="FootnoteReference"/>
        </w:rPr>
        <w:footnoteRef/>
      </w:r>
      <w:r>
        <w:t xml:space="preserve"> </w:t>
      </w:r>
      <w:r w:rsidRPr="001902BF">
        <w:t>Koschel, S., Taubman, K., Sutherland, T., Yap, K., Chao, M., Guerrieri, M., Benson, A., Starmans, M., Byrne, G., Ong, G., Macleod, C., Foo, M., Wong, L. M., Gyomber, D. &amp; Ng, M. 2021. Patterns of disease detection using [(18)F]DCFPyL PET/CT imaging in patients with detectable PSA post prostatectomy being considered for salvage radiotherapy: a prospective trial. Eur J Nucl Med Mol Imaging.</w:t>
      </w:r>
    </w:p>
  </w:footnote>
  <w:footnote w:id="11">
    <w:p w14:paraId="1A9BAA84" w14:textId="7A346336" w:rsidR="003E0C21" w:rsidRDefault="003E0C21">
      <w:pPr>
        <w:pStyle w:val="FootnoteText"/>
      </w:pPr>
      <w:r>
        <w:rPr>
          <w:rStyle w:val="FootnoteReference"/>
        </w:rPr>
        <w:footnoteRef/>
      </w:r>
      <w:r>
        <w:t xml:space="preserve"> </w:t>
      </w:r>
      <w:r w:rsidRPr="00E00D71">
        <w:t>Dietlein, F., Kobe, C., Neubauer, S., Schmidt, M., Stockter, S., Fischer, T., Schomacker, K., Heidenreich, A., Zlatopolskiy, B. D., Neumaier, B., Drzezga, A. &amp; Dietlein, M. 2017. PSA-Stratified Performance of (18)F- and (68)Ga-PSMA PET in Patients with Biochemical Recurrence of Prostate Cancer. J Nucl Med, 58, 947-952.</w:t>
      </w:r>
    </w:p>
  </w:footnote>
  <w:footnote w:id="12">
    <w:p w14:paraId="0D3C7DE0" w14:textId="498E5173" w:rsidR="003E0C21" w:rsidRDefault="003E0C21">
      <w:pPr>
        <w:pStyle w:val="FootnoteText"/>
      </w:pPr>
      <w:r>
        <w:rPr>
          <w:rStyle w:val="FootnoteReference"/>
        </w:rPr>
        <w:footnoteRef/>
      </w:r>
      <w:r>
        <w:t xml:space="preserve"> </w:t>
      </w:r>
      <w:r w:rsidRPr="00297006">
        <w:t>Kuten, J., Fahoum, I., Savin, Z., Shamni, O., Gitstein, G., Hershkovitz, D., Mabjeesh, N. J., Yossepowitch, O., Mishani, E. &amp; Even-Sapir, E. 2020. Head-to-Head Comparison of (68)Ga-PSMA-11 with (18)F-PSMA-1007 PET/CT in Staging Prostate Cancer Using Histopathology and Immunohistochemical Analysis as a Reference Standard. J Nucl Med, 61, 527-532.</w:t>
      </w:r>
    </w:p>
  </w:footnote>
  <w:footnote w:id="13">
    <w:p w14:paraId="70F0D268" w14:textId="05E00DAC" w:rsidR="003E0C21" w:rsidRDefault="003E0C21">
      <w:pPr>
        <w:pStyle w:val="FootnoteText"/>
      </w:pPr>
      <w:r>
        <w:rPr>
          <w:rStyle w:val="FootnoteReference"/>
        </w:rPr>
        <w:footnoteRef/>
      </w:r>
      <w:r>
        <w:t xml:space="preserve"> </w:t>
      </w:r>
      <w:r w:rsidRPr="00297006">
        <w:t>Anttinen, M., Ettala, O., Malaspina, S., et al. 2020. A Prospective Comparison of &lt;sup&gt;18&lt;/sup&gt;F-prostate-specific Membrane Antigen-1007 Positron Emission Tomography Computed Tomography, Whole-body 1.5 T Magnetic Resonance Imaging with Diffusion-weighted Imaging, and Single-photon Emission Computed Tomography/Computed Tomography with Traditional Imaging in Primary Distant Metastasis Staging of Prostate Cancer (PROSTAGE). European Urology Oncology, 13, 13.</w:t>
      </w:r>
    </w:p>
  </w:footnote>
  <w:footnote w:id="14">
    <w:p w14:paraId="7A146F3E" w14:textId="6806F159" w:rsidR="003E0C21" w:rsidRDefault="003E0C21">
      <w:pPr>
        <w:pStyle w:val="FootnoteText"/>
      </w:pPr>
      <w:r>
        <w:rPr>
          <w:rStyle w:val="FootnoteReference"/>
        </w:rPr>
        <w:footnoteRef/>
      </w:r>
      <w:r>
        <w:t xml:space="preserve"> </w:t>
      </w:r>
      <w:r w:rsidRPr="00FD66DB">
        <w:t>Hamed, M. A. G., Basha, M. A. A., Ahmed, H., et al. 2019. &lt;sup&gt;68&lt;/sup&gt;Ga-PSMA PET/CT in Patients with Rising Prostatic-Specific Antigen After Definitive Treatment of Prostate Cancer: Detection Efficacy and Diagnostic accuracy. Academic Radiology, 26, 450-460.</w:t>
      </w:r>
    </w:p>
  </w:footnote>
  <w:footnote w:id="15">
    <w:p w14:paraId="1B9CCA55" w14:textId="3EF681C9" w:rsidR="003E0C21" w:rsidRDefault="003E0C21">
      <w:pPr>
        <w:pStyle w:val="FootnoteText"/>
      </w:pPr>
      <w:r>
        <w:rPr>
          <w:rStyle w:val="FootnoteReference"/>
        </w:rPr>
        <w:footnoteRef/>
      </w:r>
      <w:r>
        <w:t xml:space="preserve"> </w:t>
      </w:r>
      <w:r w:rsidRPr="00322029">
        <w:t>Roach, P. J., Francis, R., Emmett, L., et al. 2018. The impact of&lt;sup&gt;68&lt;/sup&gt;Ga-PSMA PET/CT on management intent in prostate cancer: Results of an australian prospective multicenter study. Journal of Nuclear Medicine, 59, 82-88.</w:t>
      </w:r>
    </w:p>
  </w:footnote>
  <w:footnote w:id="16">
    <w:p w14:paraId="3410D562" w14:textId="21545D4C" w:rsidR="003E0C21" w:rsidRDefault="003E0C21">
      <w:pPr>
        <w:pStyle w:val="FootnoteText"/>
      </w:pPr>
      <w:r>
        <w:rPr>
          <w:rStyle w:val="FootnoteReference"/>
        </w:rPr>
        <w:footnoteRef/>
      </w:r>
      <w:r>
        <w:t xml:space="preserve"> </w:t>
      </w:r>
      <w:r w:rsidRPr="00322029">
        <w:t>Fendler, W. P., Calais, J., Eiber, M., et al. 2019. Assessment of &lt;sup&gt;68&lt;/sup&gt;Ga-PSMA-11 PET Accuracy in Localizing Recurrent Prostate Cancer: A Prospective Single-Arm Clinical Trial. JAMA Oncology, 5, 856-863.</w:t>
      </w:r>
    </w:p>
  </w:footnote>
  <w:footnote w:id="17">
    <w:p w14:paraId="0C60E84A" w14:textId="562925B9" w:rsidR="003E0C21" w:rsidRDefault="003E0C21">
      <w:pPr>
        <w:pStyle w:val="FootnoteText"/>
      </w:pPr>
      <w:r>
        <w:rPr>
          <w:rStyle w:val="FootnoteReference"/>
        </w:rPr>
        <w:footnoteRef/>
      </w:r>
      <w:r>
        <w:t xml:space="preserve"> </w:t>
      </w:r>
      <w:r w:rsidRPr="00322029">
        <w:t>Zacho, H. D., Nielsen, J. B., Afshar-Oromieh, A., Haberkorn, U., deSouza, N., De Paepe, K., Dettmann, K., Langkilde, N. C., Haarmark, C., Fisker, R. V., Arp, D. T., Carl, J., Jensen, J. B. &amp; Petersen, L. J. 2018. Prospective comparison of (68)Ga-PSMA PET/CT, (18)F-sodium fluoride PET/CT and diffusion weighted-MRI at for the detection of bone metastases in biochemically recurrent prostate cancer. Eur J Nucl Med Mol Imaging, 45, 1884-1897.</w:t>
      </w:r>
    </w:p>
  </w:footnote>
  <w:footnote w:id="18">
    <w:p w14:paraId="6F375CD1" w14:textId="3434B0DE" w:rsidR="003E0C21" w:rsidRDefault="003E0C21">
      <w:pPr>
        <w:pStyle w:val="FootnoteText"/>
      </w:pPr>
      <w:r>
        <w:rPr>
          <w:rStyle w:val="FootnoteReference"/>
        </w:rPr>
        <w:footnoteRef/>
      </w:r>
      <w:r>
        <w:t xml:space="preserve"> </w:t>
      </w:r>
      <w:r w:rsidRPr="00F34E3A">
        <w:t>Emmett, L., Tang, R., Nandurkar, R., et al. 2020. 3-Year Freedom from Progression After 68Ga-PSMA PET/CT–Triaged Management in Men with Biochemical Recurrence After Radical Prostatectomy: Results of a Prospective Multicenter Trial. Journal of Nuclear Medicine, 61, 866-872.</w:t>
      </w:r>
    </w:p>
  </w:footnote>
  <w:footnote w:id="19">
    <w:p w14:paraId="7D759067" w14:textId="3B87672D" w:rsidR="003E0C21" w:rsidRDefault="003E0C21">
      <w:pPr>
        <w:pStyle w:val="FootnoteText"/>
      </w:pPr>
      <w:r>
        <w:rPr>
          <w:rStyle w:val="FootnoteReference"/>
        </w:rPr>
        <w:footnoteRef/>
      </w:r>
      <w:r>
        <w:t xml:space="preserve"> </w:t>
      </w:r>
      <w:r w:rsidRPr="00F34E3A">
        <w:t>Phillips, R., Shi, W. Y., Deek, M., et al. 2020. Outcomes of Observation vs Stereotactic Ablative Radiation for Oligometastatic Prostate Cancer: The ORIOLE Phase 2 Randomized Clinical Trial. JAMA Oncology, 6, 650-659.</w:t>
      </w:r>
    </w:p>
  </w:footnote>
  <w:footnote w:id="20">
    <w:p w14:paraId="148085A3" w14:textId="61C891A4" w:rsidR="003E0C21" w:rsidRDefault="003E0C21">
      <w:pPr>
        <w:pStyle w:val="FootnoteText"/>
      </w:pPr>
      <w:r>
        <w:rPr>
          <w:rStyle w:val="FootnoteReference"/>
        </w:rPr>
        <w:footnoteRef/>
      </w:r>
      <w:r>
        <w:t xml:space="preserve"> </w:t>
      </w:r>
      <w:r w:rsidRPr="00867637">
        <w:t>Jones, C. U., Hunt, D., McGowan, D. G., et al. 2011. Radiotherapy and Short-Term Androgen Deprivation for Localized Prostate Cancer. New England Journal of Medicine, 365, 107-118.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21F1"/>
    <w:multiLevelType w:val="hybridMultilevel"/>
    <w:tmpl w:val="BC628F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8F4B52"/>
    <w:multiLevelType w:val="hybridMultilevel"/>
    <w:tmpl w:val="E72884D6"/>
    <w:lvl w:ilvl="0" w:tplc="CD66499A">
      <w:numFmt w:val="bullet"/>
      <w:lvlText w:val=""/>
      <w:lvlJc w:val="left"/>
      <w:pPr>
        <w:ind w:left="720" w:hanging="360"/>
      </w:pPr>
      <w:rPr>
        <w:rFonts w:ascii="Symbol" w:eastAsia="DengXi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F900E0"/>
    <w:multiLevelType w:val="hybridMultilevel"/>
    <w:tmpl w:val="9CC6F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7E60A2"/>
    <w:multiLevelType w:val="hybridMultilevel"/>
    <w:tmpl w:val="4E7C5508"/>
    <w:lvl w:ilvl="0" w:tplc="CE54F874">
      <w:start w:val="1"/>
      <w:numFmt w:val="decimal"/>
      <w:pStyle w:val="ListNos0"/>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DE356C"/>
    <w:multiLevelType w:val="hybridMultilevel"/>
    <w:tmpl w:val="524CB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311FCD"/>
    <w:multiLevelType w:val="hybridMultilevel"/>
    <w:tmpl w:val="49C67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2"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5C052D"/>
    <w:multiLevelType w:val="hybridMultilevel"/>
    <w:tmpl w:val="7F2643BE"/>
    <w:lvl w:ilvl="0" w:tplc="CA42F744">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B5C3D83"/>
    <w:multiLevelType w:val="hybridMultilevel"/>
    <w:tmpl w:val="28B652F2"/>
    <w:lvl w:ilvl="0" w:tplc="AEFA5774">
      <w:start w:val="1"/>
      <w:numFmt w:val="bullet"/>
      <w:lvlText w:val=""/>
      <w:lvlJc w:val="left"/>
      <w:pPr>
        <w:ind w:left="720" w:hanging="360"/>
      </w:pPr>
      <w:rPr>
        <w:rFonts w:ascii="Symbol" w:hAnsi="Symbol" w:hint="default"/>
        <w:color w:val="auto"/>
        <w:u w:color="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610362"/>
    <w:multiLevelType w:val="hybridMultilevel"/>
    <w:tmpl w:val="F2543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9E6D9F"/>
    <w:multiLevelType w:val="hybridMultilevel"/>
    <w:tmpl w:val="95DEC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387448"/>
    <w:multiLevelType w:val="multilevel"/>
    <w:tmpl w:val="B22A93B6"/>
    <w:numStyleLink w:val="Heading1a"/>
  </w:abstractNum>
  <w:abstractNum w:abstractNumId="19"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BCD57F4"/>
    <w:multiLevelType w:val="hybridMultilevel"/>
    <w:tmpl w:val="0F62A5BA"/>
    <w:lvl w:ilvl="0" w:tplc="4740C44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B522D6"/>
    <w:multiLevelType w:val="hybridMultilevel"/>
    <w:tmpl w:val="602C0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0C0901"/>
    <w:multiLevelType w:val="hybridMultilevel"/>
    <w:tmpl w:val="339C464A"/>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6"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7" w15:restartNumberingAfterBreak="0">
    <w:nsid w:val="7EB35BBA"/>
    <w:multiLevelType w:val="hybridMultilevel"/>
    <w:tmpl w:val="9624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14"/>
  </w:num>
  <w:num w:numId="4">
    <w:abstractNumId w:val="28"/>
  </w:num>
  <w:num w:numId="5">
    <w:abstractNumId w:val="20"/>
  </w:num>
  <w:num w:numId="6">
    <w:abstractNumId w:val="19"/>
  </w:num>
  <w:num w:numId="7">
    <w:abstractNumId w:val="11"/>
  </w:num>
  <w:num w:numId="8">
    <w:abstractNumId w:val="6"/>
  </w:num>
  <w:num w:numId="9">
    <w:abstractNumId w:val="22"/>
  </w:num>
  <w:num w:numId="10">
    <w:abstractNumId w:val="26"/>
  </w:num>
  <w:num w:numId="11">
    <w:abstractNumId w:val="4"/>
  </w:num>
  <w:num w:numId="12">
    <w:abstractNumId w:val="18"/>
  </w:num>
  <w:num w:numId="13">
    <w:abstractNumId w:val="12"/>
  </w:num>
  <w:num w:numId="14">
    <w:abstractNumId w:val="29"/>
  </w:num>
  <w:num w:numId="15">
    <w:abstractNumId w:val="0"/>
  </w:num>
  <w:num w:numId="16">
    <w:abstractNumId w:val="5"/>
  </w:num>
  <w:num w:numId="17">
    <w:abstractNumId w:val="21"/>
  </w:num>
  <w:num w:numId="18">
    <w:abstractNumId w:val="16"/>
  </w:num>
  <w:num w:numId="19">
    <w:abstractNumId w:val="17"/>
  </w:num>
  <w:num w:numId="20">
    <w:abstractNumId w:val="7"/>
  </w:num>
  <w:num w:numId="21">
    <w:abstractNumId w:val="25"/>
  </w:num>
  <w:num w:numId="22">
    <w:abstractNumId w:val="9"/>
  </w:num>
  <w:num w:numId="23">
    <w:abstractNumId w:val="8"/>
  </w:num>
  <w:num w:numId="24">
    <w:abstractNumId w:val="13"/>
  </w:num>
  <w:num w:numId="25">
    <w:abstractNumId w:val="24"/>
  </w:num>
  <w:num w:numId="26">
    <w:abstractNumId w:val="27"/>
  </w:num>
  <w:num w:numId="27">
    <w:abstractNumId w:val="23"/>
  </w:num>
  <w:num w:numId="28">
    <w:abstractNumId w:val="3"/>
  </w:num>
  <w:num w:numId="29">
    <w:abstractNumId w:val="10"/>
  </w:num>
  <w:num w:numId="30">
    <w:abstractNumId w:val="24"/>
  </w:num>
  <w:num w:numId="3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fr-CH" w:vendorID="64" w:dllVersion="6" w:nlCheck="1" w:checkStyle="0"/>
  <w:activeWritingStyle w:appName="MSWord" w:lang="de-CH"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1884"/>
    <w:rsid w:val="000036AF"/>
    <w:rsid w:val="0000726F"/>
    <w:rsid w:val="00014731"/>
    <w:rsid w:val="0001645E"/>
    <w:rsid w:val="000171A6"/>
    <w:rsid w:val="00017FDD"/>
    <w:rsid w:val="00020D9F"/>
    <w:rsid w:val="000211E2"/>
    <w:rsid w:val="000213E9"/>
    <w:rsid w:val="00021DA2"/>
    <w:rsid w:val="000229A1"/>
    <w:rsid w:val="000244A8"/>
    <w:rsid w:val="000268A1"/>
    <w:rsid w:val="00046ED1"/>
    <w:rsid w:val="00054151"/>
    <w:rsid w:val="0006073C"/>
    <w:rsid w:val="000632EF"/>
    <w:rsid w:val="00065623"/>
    <w:rsid w:val="00066693"/>
    <w:rsid w:val="000827F0"/>
    <w:rsid w:val="0008671B"/>
    <w:rsid w:val="000867C7"/>
    <w:rsid w:val="0008767E"/>
    <w:rsid w:val="000A374F"/>
    <w:rsid w:val="000A63D3"/>
    <w:rsid w:val="000A738E"/>
    <w:rsid w:val="000C16FF"/>
    <w:rsid w:val="000C471E"/>
    <w:rsid w:val="000D4838"/>
    <w:rsid w:val="000E020B"/>
    <w:rsid w:val="000E158C"/>
    <w:rsid w:val="000E396B"/>
    <w:rsid w:val="000E3C10"/>
    <w:rsid w:val="000E6588"/>
    <w:rsid w:val="000F102B"/>
    <w:rsid w:val="000F21FE"/>
    <w:rsid w:val="00100A9D"/>
    <w:rsid w:val="00104710"/>
    <w:rsid w:val="00122E42"/>
    <w:rsid w:val="00123EE4"/>
    <w:rsid w:val="00126F45"/>
    <w:rsid w:val="0013032B"/>
    <w:rsid w:val="0013112F"/>
    <w:rsid w:val="00136257"/>
    <w:rsid w:val="00136969"/>
    <w:rsid w:val="00144FBE"/>
    <w:rsid w:val="0014545A"/>
    <w:rsid w:val="001538CF"/>
    <w:rsid w:val="00155BF4"/>
    <w:rsid w:val="00157C35"/>
    <w:rsid w:val="00157D30"/>
    <w:rsid w:val="00160DA4"/>
    <w:rsid w:val="00167C8A"/>
    <w:rsid w:val="00171759"/>
    <w:rsid w:val="001736C5"/>
    <w:rsid w:val="001741C4"/>
    <w:rsid w:val="00185526"/>
    <w:rsid w:val="001902BF"/>
    <w:rsid w:val="00191CF8"/>
    <w:rsid w:val="001921DF"/>
    <w:rsid w:val="00194D62"/>
    <w:rsid w:val="001951EC"/>
    <w:rsid w:val="001A669F"/>
    <w:rsid w:val="001B1DFA"/>
    <w:rsid w:val="001B5D27"/>
    <w:rsid w:val="001B7EB2"/>
    <w:rsid w:val="001C7004"/>
    <w:rsid w:val="001C75D8"/>
    <w:rsid w:val="001D24A5"/>
    <w:rsid w:val="001D2A85"/>
    <w:rsid w:val="001D47FB"/>
    <w:rsid w:val="001D4A5F"/>
    <w:rsid w:val="001E457C"/>
    <w:rsid w:val="001E577C"/>
    <w:rsid w:val="001F11FA"/>
    <w:rsid w:val="001F186E"/>
    <w:rsid w:val="001F3C4C"/>
    <w:rsid w:val="001F733F"/>
    <w:rsid w:val="00206760"/>
    <w:rsid w:val="0021159F"/>
    <w:rsid w:val="00215359"/>
    <w:rsid w:val="00220574"/>
    <w:rsid w:val="00224F31"/>
    <w:rsid w:val="0022638C"/>
    <w:rsid w:val="00236247"/>
    <w:rsid w:val="00236315"/>
    <w:rsid w:val="00242AD4"/>
    <w:rsid w:val="00252638"/>
    <w:rsid w:val="00253ED9"/>
    <w:rsid w:val="0026665D"/>
    <w:rsid w:val="00267F42"/>
    <w:rsid w:val="0027168E"/>
    <w:rsid w:val="00280998"/>
    <w:rsid w:val="00281744"/>
    <w:rsid w:val="00286676"/>
    <w:rsid w:val="00286BC8"/>
    <w:rsid w:val="0029348E"/>
    <w:rsid w:val="00297006"/>
    <w:rsid w:val="002A720D"/>
    <w:rsid w:val="002A7743"/>
    <w:rsid w:val="002B175A"/>
    <w:rsid w:val="002B34D5"/>
    <w:rsid w:val="002B632F"/>
    <w:rsid w:val="002C3896"/>
    <w:rsid w:val="002C57B2"/>
    <w:rsid w:val="002D0267"/>
    <w:rsid w:val="002D08AA"/>
    <w:rsid w:val="002D2973"/>
    <w:rsid w:val="002D43CE"/>
    <w:rsid w:val="002D57BB"/>
    <w:rsid w:val="002E4460"/>
    <w:rsid w:val="002F3D9D"/>
    <w:rsid w:val="002F492A"/>
    <w:rsid w:val="002F54B1"/>
    <w:rsid w:val="002F5FB7"/>
    <w:rsid w:val="002F693D"/>
    <w:rsid w:val="00301462"/>
    <w:rsid w:val="00303414"/>
    <w:rsid w:val="00322029"/>
    <w:rsid w:val="00323676"/>
    <w:rsid w:val="003253F5"/>
    <w:rsid w:val="00337945"/>
    <w:rsid w:val="0034047C"/>
    <w:rsid w:val="003411E5"/>
    <w:rsid w:val="00342FAC"/>
    <w:rsid w:val="00344582"/>
    <w:rsid w:val="00344956"/>
    <w:rsid w:val="003515D1"/>
    <w:rsid w:val="003548CC"/>
    <w:rsid w:val="0035535A"/>
    <w:rsid w:val="00355B86"/>
    <w:rsid w:val="00356DC1"/>
    <w:rsid w:val="0035718D"/>
    <w:rsid w:val="00361DD2"/>
    <w:rsid w:val="0036337B"/>
    <w:rsid w:val="00365211"/>
    <w:rsid w:val="003700A9"/>
    <w:rsid w:val="00371BC1"/>
    <w:rsid w:val="00377EE5"/>
    <w:rsid w:val="0038069B"/>
    <w:rsid w:val="003836FA"/>
    <w:rsid w:val="00386D67"/>
    <w:rsid w:val="00396355"/>
    <w:rsid w:val="003967F8"/>
    <w:rsid w:val="003A078D"/>
    <w:rsid w:val="003A326F"/>
    <w:rsid w:val="003A4F78"/>
    <w:rsid w:val="003B02B8"/>
    <w:rsid w:val="003B088B"/>
    <w:rsid w:val="003B0CA4"/>
    <w:rsid w:val="003B1B0E"/>
    <w:rsid w:val="003B2D05"/>
    <w:rsid w:val="003B5175"/>
    <w:rsid w:val="003C682F"/>
    <w:rsid w:val="003C708C"/>
    <w:rsid w:val="003D2991"/>
    <w:rsid w:val="003D4BFC"/>
    <w:rsid w:val="003D6A0F"/>
    <w:rsid w:val="003E0C21"/>
    <w:rsid w:val="003E1045"/>
    <w:rsid w:val="003E3728"/>
    <w:rsid w:val="003E44A3"/>
    <w:rsid w:val="003E585F"/>
    <w:rsid w:val="003E63C9"/>
    <w:rsid w:val="003E74D3"/>
    <w:rsid w:val="003F0834"/>
    <w:rsid w:val="003F30AD"/>
    <w:rsid w:val="003F5EE6"/>
    <w:rsid w:val="003F7912"/>
    <w:rsid w:val="004031F7"/>
    <w:rsid w:val="00406744"/>
    <w:rsid w:val="00410178"/>
    <w:rsid w:val="0042114B"/>
    <w:rsid w:val="00422C84"/>
    <w:rsid w:val="00433060"/>
    <w:rsid w:val="0043363E"/>
    <w:rsid w:val="00443F1D"/>
    <w:rsid w:val="00451310"/>
    <w:rsid w:val="00452DFC"/>
    <w:rsid w:val="00460DB6"/>
    <w:rsid w:val="0046745E"/>
    <w:rsid w:val="00467542"/>
    <w:rsid w:val="00471BF1"/>
    <w:rsid w:val="004851AB"/>
    <w:rsid w:val="00492E7D"/>
    <w:rsid w:val="00495285"/>
    <w:rsid w:val="004A4E41"/>
    <w:rsid w:val="004B01A4"/>
    <w:rsid w:val="004B2358"/>
    <w:rsid w:val="004B28F2"/>
    <w:rsid w:val="004B4E1B"/>
    <w:rsid w:val="004C0219"/>
    <w:rsid w:val="004C20CC"/>
    <w:rsid w:val="004C659B"/>
    <w:rsid w:val="004D1800"/>
    <w:rsid w:val="004D22C2"/>
    <w:rsid w:val="004E348D"/>
    <w:rsid w:val="004E432D"/>
    <w:rsid w:val="004E5C21"/>
    <w:rsid w:val="004F0B88"/>
    <w:rsid w:val="004F2209"/>
    <w:rsid w:val="004F4039"/>
    <w:rsid w:val="0050188B"/>
    <w:rsid w:val="00506F0F"/>
    <w:rsid w:val="00511EE0"/>
    <w:rsid w:val="00514BAF"/>
    <w:rsid w:val="00514FD3"/>
    <w:rsid w:val="00516ACE"/>
    <w:rsid w:val="00522528"/>
    <w:rsid w:val="00525CF5"/>
    <w:rsid w:val="005409CE"/>
    <w:rsid w:val="005420D3"/>
    <w:rsid w:val="00544BA0"/>
    <w:rsid w:val="00552DFF"/>
    <w:rsid w:val="0055353B"/>
    <w:rsid w:val="005621C0"/>
    <w:rsid w:val="00565224"/>
    <w:rsid w:val="00566DC3"/>
    <w:rsid w:val="00567131"/>
    <w:rsid w:val="0056736C"/>
    <w:rsid w:val="00573F22"/>
    <w:rsid w:val="00576ED3"/>
    <w:rsid w:val="00583D1B"/>
    <w:rsid w:val="005856E5"/>
    <w:rsid w:val="0058659C"/>
    <w:rsid w:val="00590817"/>
    <w:rsid w:val="00590A73"/>
    <w:rsid w:val="00590D0D"/>
    <w:rsid w:val="005922DB"/>
    <w:rsid w:val="005938FD"/>
    <w:rsid w:val="00594478"/>
    <w:rsid w:val="005A14E4"/>
    <w:rsid w:val="005B38FB"/>
    <w:rsid w:val="005B59F4"/>
    <w:rsid w:val="005C2DFC"/>
    <w:rsid w:val="005C50D8"/>
    <w:rsid w:val="005D0332"/>
    <w:rsid w:val="005D637D"/>
    <w:rsid w:val="005D77C0"/>
    <w:rsid w:val="005E0F99"/>
    <w:rsid w:val="005E3645"/>
    <w:rsid w:val="005E42A8"/>
    <w:rsid w:val="005E5A22"/>
    <w:rsid w:val="005F004E"/>
    <w:rsid w:val="00603860"/>
    <w:rsid w:val="00604A0E"/>
    <w:rsid w:val="0060714A"/>
    <w:rsid w:val="006074D3"/>
    <w:rsid w:val="00607D37"/>
    <w:rsid w:val="00611624"/>
    <w:rsid w:val="00611744"/>
    <w:rsid w:val="00611D6E"/>
    <w:rsid w:val="006125F8"/>
    <w:rsid w:val="00612A11"/>
    <w:rsid w:val="0061621F"/>
    <w:rsid w:val="00621EC6"/>
    <w:rsid w:val="006220FA"/>
    <w:rsid w:val="0062571E"/>
    <w:rsid w:val="006270B3"/>
    <w:rsid w:val="006271C5"/>
    <w:rsid w:val="0063740F"/>
    <w:rsid w:val="00640A46"/>
    <w:rsid w:val="00652E31"/>
    <w:rsid w:val="00654B74"/>
    <w:rsid w:val="0065529B"/>
    <w:rsid w:val="0065539E"/>
    <w:rsid w:val="0065682D"/>
    <w:rsid w:val="00665303"/>
    <w:rsid w:val="006729CC"/>
    <w:rsid w:val="00676A80"/>
    <w:rsid w:val="00676C49"/>
    <w:rsid w:val="00685001"/>
    <w:rsid w:val="0068509D"/>
    <w:rsid w:val="00692054"/>
    <w:rsid w:val="00693716"/>
    <w:rsid w:val="00695472"/>
    <w:rsid w:val="006A27C7"/>
    <w:rsid w:val="006B238C"/>
    <w:rsid w:val="006B241A"/>
    <w:rsid w:val="006B2CE8"/>
    <w:rsid w:val="006B49FD"/>
    <w:rsid w:val="006B5BE7"/>
    <w:rsid w:val="006B7F3E"/>
    <w:rsid w:val="006C1938"/>
    <w:rsid w:val="006C26E3"/>
    <w:rsid w:val="006C3324"/>
    <w:rsid w:val="006C499C"/>
    <w:rsid w:val="006C5230"/>
    <w:rsid w:val="006C5787"/>
    <w:rsid w:val="006C796C"/>
    <w:rsid w:val="006D55AF"/>
    <w:rsid w:val="006D6464"/>
    <w:rsid w:val="006D7D0C"/>
    <w:rsid w:val="006E2F06"/>
    <w:rsid w:val="006E52F2"/>
    <w:rsid w:val="006E7A8E"/>
    <w:rsid w:val="006F02E2"/>
    <w:rsid w:val="006F2A30"/>
    <w:rsid w:val="006F47F4"/>
    <w:rsid w:val="007016F9"/>
    <w:rsid w:val="00703892"/>
    <w:rsid w:val="00705ABE"/>
    <w:rsid w:val="00707FED"/>
    <w:rsid w:val="00713D11"/>
    <w:rsid w:val="0071498A"/>
    <w:rsid w:val="00722408"/>
    <w:rsid w:val="00722776"/>
    <w:rsid w:val="007229D6"/>
    <w:rsid w:val="00723375"/>
    <w:rsid w:val="00731492"/>
    <w:rsid w:val="00732C4E"/>
    <w:rsid w:val="00732CA9"/>
    <w:rsid w:val="00735E15"/>
    <w:rsid w:val="00736B3B"/>
    <w:rsid w:val="00741208"/>
    <w:rsid w:val="00744C5D"/>
    <w:rsid w:val="007554DA"/>
    <w:rsid w:val="00763AED"/>
    <w:rsid w:val="00765DB6"/>
    <w:rsid w:val="00766E36"/>
    <w:rsid w:val="007725FF"/>
    <w:rsid w:val="00775963"/>
    <w:rsid w:val="00776841"/>
    <w:rsid w:val="00782F43"/>
    <w:rsid w:val="007849B8"/>
    <w:rsid w:val="00794D30"/>
    <w:rsid w:val="007964EB"/>
    <w:rsid w:val="00797239"/>
    <w:rsid w:val="00797D8D"/>
    <w:rsid w:val="007A0F08"/>
    <w:rsid w:val="007A6BE5"/>
    <w:rsid w:val="007A7B08"/>
    <w:rsid w:val="007C2D6A"/>
    <w:rsid w:val="007C4959"/>
    <w:rsid w:val="007D45E4"/>
    <w:rsid w:val="007D6C35"/>
    <w:rsid w:val="007D7ECB"/>
    <w:rsid w:val="007E0EAF"/>
    <w:rsid w:val="007E7FF2"/>
    <w:rsid w:val="007F3A00"/>
    <w:rsid w:val="007F4E20"/>
    <w:rsid w:val="007F5142"/>
    <w:rsid w:val="007F5F20"/>
    <w:rsid w:val="00803103"/>
    <w:rsid w:val="00806A9C"/>
    <w:rsid w:val="00806F9E"/>
    <w:rsid w:val="00813898"/>
    <w:rsid w:val="008227C1"/>
    <w:rsid w:val="00823582"/>
    <w:rsid w:val="008273AE"/>
    <w:rsid w:val="00827C06"/>
    <w:rsid w:val="0083013B"/>
    <w:rsid w:val="0084645A"/>
    <w:rsid w:val="00850724"/>
    <w:rsid w:val="00854FCB"/>
    <w:rsid w:val="008607BA"/>
    <w:rsid w:val="0086104A"/>
    <w:rsid w:val="0086223C"/>
    <w:rsid w:val="00864640"/>
    <w:rsid w:val="00867637"/>
    <w:rsid w:val="008770B6"/>
    <w:rsid w:val="0087773F"/>
    <w:rsid w:val="0088197A"/>
    <w:rsid w:val="008943B4"/>
    <w:rsid w:val="008947B2"/>
    <w:rsid w:val="00896027"/>
    <w:rsid w:val="00896E79"/>
    <w:rsid w:val="008A0363"/>
    <w:rsid w:val="008A0D74"/>
    <w:rsid w:val="008A5C67"/>
    <w:rsid w:val="008A6C0C"/>
    <w:rsid w:val="008A7405"/>
    <w:rsid w:val="008B240F"/>
    <w:rsid w:val="008C6DE4"/>
    <w:rsid w:val="008D571A"/>
    <w:rsid w:val="008E2DF5"/>
    <w:rsid w:val="008E2E67"/>
    <w:rsid w:val="008F4257"/>
    <w:rsid w:val="00901821"/>
    <w:rsid w:val="0090614A"/>
    <w:rsid w:val="009110E5"/>
    <w:rsid w:val="00912AD8"/>
    <w:rsid w:val="00914D47"/>
    <w:rsid w:val="00915EAA"/>
    <w:rsid w:val="00920A83"/>
    <w:rsid w:val="009213CB"/>
    <w:rsid w:val="00930C66"/>
    <w:rsid w:val="00933B33"/>
    <w:rsid w:val="009340F2"/>
    <w:rsid w:val="009351F0"/>
    <w:rsid w:val="00940F74"/>
    <w:rsid w:val="009418C0"/>
    <w:rsid w:val="00942750"/>
    <w:rsid w:val="00943312"/>
    <w:rsid w:val="00945528"/>
    <w:rsid w:val="00950927"/>
    <w:rsid w:val="00950C0C"/>
    <w:rsid w:val="00957D70"/>
    <w:rsid w:val="009606B7"/>
    <w:rsid w:val="0096167A"/>
    <w:rsid w:val="00961AD6"/>
    <w:rsid w:val="00964755"/>
    <w:rsid w:val="0096653C"/>
    <w:rsid w:val="00970108"/>
    <w:rsid w:val="009766C9"/>
    <w:rsid w:val="009767AC"/>
    <w:rsid w:val="00976B13"/>
    <w:rsid w:val="00990BF9"/>
    <w:rsid w:val="00994E5C"/>
    <w:rsid w:val="009A702B"/>
    <w:rsid w:val="009B2DD5"/>
    <w:rsid w:val="009B2ECD"/>
    <w:rsid w:val="009B7E2B"/>
    <w:rsid w:val="009C34E7"/>
    <w:rsid w:val="009C5E6A"/>
    <w:rsid w:val="009D1BAC"/>
    <w:rsid w:val="009D23DE"/>
    <w:rsid w:val="009D54B6"/>
    <w:rsid w:val="009D64AB"/>
    <w:rsid w:val="009E2FFB"/>
    <w:rsid w:val="009E510C"/>
    <w:rsid w:val="009F36B6"/>
    <w:rsid w:val="00A009C9"/>
    <w:rsid w:val="00A021B7"/>
    <w:rsid w:val="00A03277"/>
    <w:rsid w:val="00A1386E"/>
    <w:rsid w:val="00A16E54"/>
    <w:rsid w:val="00A21488"/>
    <w:rsid w:val="00A27844"/>
    <w:rsid w:val="00A30752"/>
    <w:rsid w:val="00A30A85"/>
    <w:rsid w:val="00A317E6"/>
    <w:rsid w:val="00A336CE"/>
    <w:rsid w:val="00A35A4F"/>
    <w:rsid w:val="00A44C6E"/>
    <w:rsid w:val="00A52FEC"/>
    <w:rsid w:val="00A53010"/>
    <w:rsid w:val="00A81E86"/>
    <w:rsid w:val="00A82CB2"/>
    <w:rsid w:val="00A8603E"/>
    <w:rsid w:val="00A96916"/>
    <w:rsid w:val="00AA3E4B"/>
    <w:rsid w:val="00AA502F"/>
    <w:rsid w:val="00AA689B"/>
    <w:rsid w:val="00AB37FD"/>
    <w:rsid w:val="00AC03FD"/>
    <w:rsid w:val="00AC0916"/>
    <w:rsid w:val="00AD026F"/>
    <w:rsid w:val="00AD1674"/>
    <w:rsid w:val="00AD1934"/>
    <w:rsid w:val="00AE148C"/>
    <w:rsid w:val="00AE45BE"/>
    <w:rsid w:val="00AE4C2D"/>
    <w:rsid w:val="00AE76A3"/>
    <w:rsid w:val="00AF3341"/>
    <w:rsid w:val="00AF349B"/>
    <w:rsid w:val="00AF64E7"/>
    <w:rsid w:val="00AF72BF"/>
    <w:rsid w:val="00AF7ABE"/>
    <w:rsid w:val="00B01452"/>
    <w:rsid w:val="00B02E35"/>
    <w:rsid w:val="00B03576"/>
    <w:rsid w:val="00B0375C"/>
    <w:rsid w:val="00B0472C"/>
    <w:rsid w:val="00B05987"/>
    <w:rsid w:val="00B102D9"/>
    <w:rsid w:val="00B10D47"/>
    <w:rsid w:val="00B1779B"/>
    <w:rsid w:val="00B20AD1"/>
    <w:rsid w:val="00B30CC9"/>
    <w:rsid w:val="00B32648"/>
    <w:rsid w:val="00B33D7B"/>
    <w:rsid w:val="00B35549"/>
    <w:rsid w:val="00B360D5"/>
    <w:rsid w:val="00B37067"/>
    <w:rsid w:val="00B37582"/>
    <w:rsid w:val="00B40410"/>
    <w:rsid w:val="00B411FE"/>
    <w:rsid w:val="00B46BD2"/>
    <w:rsid w:val="00B46C7E"/>
    <w:rsid w:val="00B52FCF"/>
    <w:rsid w:val="00B54144"/>
    <w:rsid w:val="00B6033B"/>
    <w:rsid w:val="00B60902"/>
    <w:rsid w:val="00B61C0F"/>
    <w:rsid w:val="00B62FC9"/>
    <w:rsid w:val="00B63B18"/>
    <w:rsid w:val="00B7328E"/>
    <w:rsid w:val="00B81251"/>
    <w:rsid w:val="00B971FF"/>
    <w:rsid w:val="00BA1D7D"/>
    <w:rsid w:val="00BA24A5"/>
    <w:rsid w:val="00BA5A83"/>
    <w:rsid w:val="00BA6799"/>
    <w:rsid w:val="00BB18CD"/>
    <w:rsid w:val="00BB26AB"/>
    <w:rsid w:val="00BC04A2"/>
    <w:rsid w:val="00BC0C27"/>
    <w:rsid w:val="00BC44F4"/>
    <w:rsid w:val="00BC6BFF"/>
    <w:rsid w:val="00BD0554"/>
    <w:rsid w:val="00BD3EAB"/>
    <w:rsid w:val="00BD428D"/>
    <w:rsid w:val="00BD6C4E"/>
    <w:rsid w:val="00BE396E"/>
    <w:rsid w:val="00BE69AC"/>
    <w:rsid w:val="00BF0479"/>
    <w:rsid w:val="00BF0DFE"/>
    <w:rsid w:val="00BF3109"/>
    <w:rsid w:val="00BF4914"/>
    <w:rsid w:val="00C0013C"/>
    <w:rsid w:val="00C01E2F"/>
    <w:rsid w:val="00C046F4"/>
    <w:rsid w:val="00C05EDF"/>
    <w:rsid w:val="00C06FBE"/>
    <w:rsid w:val="00C12520"/>
    <w:rsid w:val="00C13B47"/>
    <w:rsid w:val="00C1782D"/>
    <w:rsid w:val="00C20B8A"/>
    <w:rsid w:val="00C20BEE"/>
    <w:rsid w:val="00C24E1E"/>
    <w:rsid w:val="00C304D1"/>
    <w:rsid w:val="00C34180"/>
    <w:rsid w:val="00C45D90"/>
    <w:rsid w:val="00C50B10"/>
    <w:rsid w:val="00C50F53"/>
    <w:rsid w:val="00C546FE"/>
    <w:rsid w:val="00C5507E"/>
    <w:rsid w:val="00C614AF"/>
    <w:rsid w:val="00C61F6F"/>
    <w:rsid w:val="00C65F37"/>
    <w:rsid w:val="00C67123"/>
    <w:rsid w:val="00C703C1"/>
    <w:rsid w:val="00C808E5"/>
    <w:rsid w:val="00C84EFB"/>
    <w:rsid w:val="00C90108"/>
    <w:rsid w:val="00C90EB4"/>
    <w:rsid w:val="00C92789"/>
    <w:rsid w:val="00C94B50"/>
    <w:rsid w:val="00C975ED"/>
    <w:rsid w:val="00CB1778"/>
    <w:rsid w:val="00CB3124"/>
    <w:rsid w:val="00CB7E7D"/>
    <w:rsid w:val="00CC038A"/>
    <w:rsid w:val="00CC23B0"/>
    <w:rsid w:val="00CD41BB"/>
    <w:rsid w:val="00CD5843"/>
    <w:rsid w:val="00CD712E"/>
    <w:rsid w:val="00CD7AAF"/>
    <w:rsid w:val="00CF07FD"/>
    <w:rsid w:val="00CF305A"/>
    <w:rsid w:val="00D0012A"/>
    <w:rsid w:val="00D01127"/>
    <w:rsid w:val="00D07959"/>
    <w:rsid w:val="00D10820"/>
    <w:rsid w:val="00D118AD"/>
    <w:rsid w:val="00D14D0B"/>
    <w:rsid w:val="00D15284"/>
    <w:rsid w:val="00D20E63"/>
    <w:rsid w:val="00D22C51"/>
    <w:rsid w:val="00D27B27"/>
    <w:rsid w:val="00D314D3"/>
    <w:rsid w:val="00D4755A"/>
    <w:rsid w:val="00D47A2C"/>
    <w:rsid w:val="00D550E2"/>
    <w:rsid w:val="00D55D87"/>
    <w:rsid w:val="00D55F83"/>
    <w:rsid w:val="00D701CC"/>
    <w:rsid w:val="00D70C50"/>
    <w:rsid w:val="00D769FB"/>
    <w:rsid w:val="00D93242"/>
    <w:rsid w:val="00D93418"/>
    <w:rsid w:val="00DA2F53"/>
    <w:rsid w:val="00DB1E71"/>
    <w:rsid w:val="00DB2D34"/>
    <w:rsid w:val="00DB4A4B"/>
    <w:rsid w:val="00DC0E3C"/>
    <w:rsid w:val="00DC3FFD"/>
    <w:rsid w:val="00DC6BB2"/>
    <w:rsid w:val="00DD0AF1"/>
    <w:rsid w:val="00DD311A"/>
    <w:rsid w:val="00DE1748"/>
    <w:rsid w:val="00DE4A83"/>
    <w:rsid w:val="00DE552A"/>
    <w:rsid w:val="00E00D71"/>
    <w:rsid w:val="00E02561"/>
    <w:rsid w:val="00E031DE"/>
    <w:rsid w:val="00E052E3"/>
    <w:rsid w:val="00E06462"/>
    <w:rsid w:val="00E16C06"/>
    <w:rsid w:val="00E16CCC"/>
    <w:rsid w:val="00E2221C"/>
    <w:rsid w:val="00E31F56"/>
    <w:rsid w:val="00E33233"/>
    <w:rsid w:val="00E345BD"/>
    <w:rsid w:val="00E35161"/>
    <w:rsid w:val="00E37D32"/>
    <w:rsid w:val="00E521B1"/>
    <w:rsid w:val="00E536A8"/>
    <w:rsid w:val="00E57B85"/>
    <w:rsid w:val="00E60BF1"/>
    <w:rsid w:val="00E62F27"/>
    <w:rsid w:val="00E67F59"/>
    <w:rsid w:val="00E713BF"/>
    <w:rsid w:val="00E73272"/>
    <w:rsid w:val="00E7422C"/>
    <w:rsid w:val="00E74504"/>
    <w:rsid w:val="00E7560F"/>
    <w:rsid w:val="00E82ECF"/>
    <w:rsid w:val="00E846B1"/>
    <w:rsid w:val="00E924FD"/>
    <w:rsid w:val="00E936DA"/>
    <w:rsid w:val="00E96BEF"/>
    <w:rsid w:val="00E97375"/>
    <w:rsid w:val="00EA3CBC"/>
    <w:rsid w:val="00EA5503"/>
    <w:rsid w:val="00EB574A"/>
    <w:rsid w:val="00EC618E"/>
    <w:rsid w:val="00ED1B88"/>
    <w:rsid w:val="00ED4E80"/>
    <w:rsid w:val="00EE2D09"/>
    <w:rsid w:val="00EE6EE6"/>
    <w:rsid w:val="00EF15F9"/>
    <w:rsid w:val="00EF3110"/>
    <w:rsid w:val="00F04F02"/>
    <w:rsid w:val="00F16E5D"/>
    <w:rsid w:val="00F2152F"/>
    <w:rsid w:val="00F2353D"/>
    <w:rsid w:val="00F326F1"/>
    <w:rsid w:val="00F34E3A"/>
    <w:rsid w:val="00F36094"/>
    <w:rsid w:val="00F51E0F"/>
    <w:rsid w:val="00F530A0"/>
    <w:rsid w:val="00F53283"/>
    <w:rsid w:val="00F53378"/>
    <w:rsid w:val="00F57EB7"/>
    <w:rsid w:val="00F60AAE"/>
    <w:rsid w:val="00F64B99"/>
    <w:rsid w:val="00F71DD3"/>
    <w:rsid w:val="00F7360A"/>
    <w:rsid w:val="00F7484F"/>
    <w:rsid w:val="00F8174C"/>
    <w:rsid w:val="00F82D95"/>
    <w:rsid w:val="00F94F47"/>
    <w:rsid w:val="00F952ED"/>
    <w:rsid w:val="00F972E7"/>
    <w:rsid w:val="00FA36DD"/>
    <w:rsid w:val="00FB3C9C"/>
    <w:rsid w:val="00FB7083"/>
    <w:rsid w:val="00FC13AA"/>
    <w:rsid w:val="00FC2897"/>
    <w:rsid w:val="00FC3AF7"/>
    <w:rsid w:val="00FC542B"/>
    <w:rsid w:val="00FD2F72"/>
    <w:rsid w:val="00FD3284"/>
    <w:rsid w:val="00FD5AFE"/>
    <w:rsid w:val="00FD5F1C"/>
    <w:rsid w:val="00FD60FF"/>
    <w:rsid w:val="00FD66DB"/>
    <w:rsid w:val="00FE0511"/>
    <w:rsid w:val="00FE1A4B"/>
    <w:rsid w:val="00FE5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6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pPr>
      <w:spacing w:after="0" w:line="240" w:lineRule="auto"/>
    </w:pPr>
    <w:rPr>
      <w:rFonts w:eastAsia="Times New Roman" w:cs="Times New Roman"/>
      <w:szCs w:val="20"/>
      <w:lang w:eastAsia="en-AU"/>
    </w:rPr>
  </w:style>
  <w:style w:type="paragraph" w:styleId="Heading1">
    <w:name w:val="heading 1"/>
    <w:basedOn w:val="Normal"/>
    <w:link w:val="Heading1Char"/>
    <w:uiPriority w:val="99"/>
    <w:qFormat/>
    <w:rsid w:val="00AF64E7"/>
    <w:pPr>
      <w:keepNext/>
      <w:keepLines/>
      <w:outlineLvl w:val="0"/>
    </w:pPr>
    <w:rPr>
      <w:rFonts w:eastAsiaTheme="majorEastAsia" w:cstheme="majorBidi"/>
      <w:b/>
      <w:bCs/>
      <w:szCs w:val="28"/>
    </w:rPr>
  </w:style>
  <w:style w:type="paragraph" w:styleId="Heading2">
    <w:name w:val="heading 2"/>
    <w:basedOn w:val="Normal"/>
    <w:link w:val="Heading2Char"/>
    <w:uiPriority w:val="9"/>
    <w:unhideWhenUsed/>
    <w:qFormat/>
    <w:rsid w:val="00451310"/>
    <w:pPr>
      <w:keepNext/>
      <w:keepLines/>
      <w:outlineLvl w:val="1"/>
    </w:pPr>
    <w:rPr>
      <w:rFonts w:eastAsiaTheme="majorEastAsia" w:cstheme="majorBidi"/>
      <w:bCs/>
      <w:i/>
      <w:szCs w:val="26"/>
    </w:rPr>
  </w:style>
  <w:style w:type="paragraph" w:styleId="Heading3">
    <w:name w:val="heading 3"/>
    <w:basedOn w:val="Normal"/>
    <w:next w:val="Normal"/>
    <w:link w:val="Heading3Char"/>
    <w:uiPriority w:val="9"/>
    <w:unhideWhenUsed/>
    <w:qFormat/>
    <w:rsid w:val="00301462"/>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7C2D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22C5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22C5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5623"/>
    <w:rPr>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vertAlign w:val="superscript"/>
    </w:rPr>
  </w:style>
  <w:style w:type="paragraph" w:styleId="ListParagraph">
    <w:name w:val="List Paragraph"/>
    <w:aliases w:val="Styl moj,Akapit z listą1,Akapit z listą11,Body Text Bullet Points,Numbered para,BulletPoints,List Paragraph1,Bullet point,List Paragraph11,Recommendation,Section heading,Footnote,ES Paragraph,PBAC ES Paragraph,PBAC normal points"/>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unhideWhenUsed/>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rsid w:val="00065623"/>
    <w:rPr>
      <w:rFonts w:ascii="Tahoma" w:eastAsia="Times New Roman" w:hAnsi="Tahoma" w:cs="Tahoma"/>
      <w:sz w:val="16"/>
      <w:szCs w:val="16"/>
      <w:lang w:eastAsia="en-AU"/>
    </w:rPr>
  </w:style>
  <w:style w:type="paragraph" w:styleId="Header">
    <w:name w:val="header"/>
    <w:basedOn w:val="Normal"/>
    <w:link w:val="HeaderChar"/>
    <w:uiPriority w:val="99"/>
    <w:unhideWhenUsed/>
    <w:rsid w:val="008227C1"/>
    <w:pPr>
      <w:tabs>
        <w:tab w:val="center" w:pos="4513"/>
        <w:tab w:val="right" w:pos="9026"/>
      </w:tabs>
    </w:pPr>
  </w:style>
  <w:style w:type="character" w:customStyle="1" w:styleId="HeaderChar">
    <w:name w:val="Header Char"/>
    <w:basedOn w:val="DefaultParagraphFont"/>
    <w:link w:val="Header"/>
    <w:uiPriority w:val="99"/>
    <w:rsid w:val="008227C1"/>
    <w:rPr>
      <w:rFonts w:eastAsia="Times New Roman" w:cs="Times New Roman"/>
      <w:szCs w:val="20"/>
      <w:lang w:eastAsia="en-AU"/>
    </w:rPr>
  </w:style>
  <w:style w:type="paragraph" w:styleId="Footer">
    <w:name w:val="footer"/>
    <w:basedOn w:val="Normal"/>
    <w:link w:val="FooterChar"/>
    <w:uiPriority w:val="99"/>
    <w:unhideWhenUsed/>
    <w:rsid w:val="008227C1"/>
    <w:pPr>
      <w:tabs>
        <w:tab w:val="center" w:pos="4513"/>
        <w:tab w:val="right" w:pos="9026"/>
      </w:tabs>
    </w:pPr>
  </w:style>
  <w:style w:type="character" w:customStyle="1" w:styleId="FooterChar">
    <w:name w:val="Footer Char"/>
    <w:basedOn w:val="DefaultParagraphFont"/>
    <w:link w:val="Footer"/>
    <w:uiPriority w:val="99"/>
    <w:rsid w:val="008227C1"/>
    <w:rPr>
      <w:rFonts w:eastAsia="Times New Roman" w:cs="Times New Roman"/>
      <w:szCs w:val="20"/>
      <w:lang w:eastAsia="en-AU"/>
    </w:rPr>
  </w:style>
  <w:style w:type="paragraph" w:customStyle="1" w:styleId="Table">
    <w:name w:val="Table"/>
    <w:basedOn w:val="Normal"/>
    <w:link w:val="TableChar"/>
    <w:qFormat/>
    <w:rsid w:val="00C20B8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20B8A"/>
    <w:rPr>
      <w:rFonts w:ascii="Candara" w:eastAsiaTheme="majorEastAsia" w:hAnsi="Candara" w:cstheme="majorBidi"/>
      <w:sz w:val="20"/>
      <w:lang w:bidi="en-US"/>
    </w:rPr>
  </w:style>
  <w:style w:type="paragraph" w:customStyle="1" w:styleId="TableCentre">
    <w:name w:val="Table Centre"/>
    <w:basedOn w:val="Table"/>
    <w:uiPriority w:val="99"/>
    <w:qFormat/>
    <w:rsid w:val="00C20B8A"/>
    <w:pPr>
      <w:jc w:val="center"/>
    </w:pPr>
  </w:style>
  <w:style w:type="table" w:styleId="TableGrid">
    <w:name w:val="Table Grid"/>
    <w:aliases w:val="HealthConsult"/>
    <w:basedOn w:val="TableNormal"/>
    <w:rsid w:val="00C20B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36969"/>
    <w:pPr>
      <w:spacing w:before="40" w:after="40"/>
    </w:pPr>
    <w:rPr>
      <w:rFonts w:ascii="Arial Narrow" w:hAnsi="Arial Narrow"/>
      <w:sz w:val="20"/>
      <w:szCs w:val="24"/>
      <w:lang w:eastAsia="en-US"/>
    </w:rPr>
  </w:style>
  <w:style w:type="paragraph" w:customStyle="1" w:styleId="Tabletextbold">
    <w:name w:val="Table text bold"/>
    <w:basedOn w:val="Normal"/>
    <w:link w:val="TabletextboldChar"/>
    <w:rsid w:val="00C20B8A"/>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136969"/>
    <w:rPr>
      <w:rFonts w:ascii="Arial Narrow" w:eastAsia="Times New Roman" w:hAnsi="Arial Narrow" w:cs="Times New Roman"/>
      <w:sz w:val="20"/>
      <w:szCs w:val="24"/>
    </w:rPr>
  </w:style>
  <w:style w:type="character" w:customStyle="1" w:styleId="TabletextboldChar">
    <w:name w:val="Table text bold Char"/>
    <w:basedOn w:val="DefaultParagraphFont"/>
    <w:link w:val="Tabletextbold"/>
    <w:rsid w:val="00C20B8A"/>
    <w:rPr>
      <w:rFonts w:ascii="Arial Narrow" w:eastAsia="Times New Roman" w:hAnsi="Arial Narrow" w:cs="Arial"/>
      <w:b/>
      <w:sz w:val="20"/>
      <w:szCs w:val="20"/>
    </w:rPr>
  </w:style>
  <w:style w:type="paragraph" w:customStyle="1" w:styleId="ESHeading2">
    <w:name w:val="ES Heading 2"/>
    <w:basedOn w:val="Heading2"/>
    <w:link w:val="ESHeading2Char"/>
    <w:rsid w:val="00C20B8A"/>
    <w:pPr>
      <w:keepLines w:val="0"/>
      <w:ind w:left="576" w:hanging="576"/>
      <w:jc w:val="both"/>
    </w:pPr>
    <w:rPr>
      <w:rFonts w:ascii="Garamond" w:eastAsia="Times New Roman" w:hAnsi="Garamond" w:cs="Times New Roman"/>
      <w:iCs/>
      <w:szCs w:val="28"/>
    </w:rPr>
  </w:style>
  <w:style w:type="character" w:customStyle="1" w:styleId="ESHeading2Char">
    <w:name w:val="ES Heading 2 Char"/>
    <w:basedOn w:val="Heading2Char"/>
    <w:link w:val="ESHeading2"/>
    <w:rsid w:val="00C20B8A"/>
    <w:rPr>
      <w:rFonts w:ascii="Garamond" w:eastAsia="Times New Roman" w:hAnsi="Garamond" w:cs="Times New Roman"/>
      <w:b w:val="0"/>
      <w:bCs/>
      <w:i/>
      <w:iCs/>
      <w:color w:val="4F81BD" w:themeColor="accent1"/>
      <w:sz w:val="26"/>
      <w:szCs w:val="28"/>
      <w:lang w:eastAsia="en-AU"/>
    </w:rPr>
  </w:style>
  <w:style w:type="table" w:customStyle="1" w:styleId="Submissiontemplate2">
    <w:name w:val="Submission template2"/>
    <w:basedOn w:val="TableNormal"/>
    <w:uiPriority w:val="99"/>
    <w:rsid w:val="00C20B8A"/>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451310"/>
    <w:rPr>
      <w:rFonts w:eastAsiaTheme="majorEastAsia" w:cstheme="majorBidi"/>
      <w:bCs/>
      <w:i/>
      <w:szCs w:val="26"/>
      <w:lang w:eastAsia="en-AU"/>
    </w:rPr>
  </w:style>
  <w:style w:type="character" w:styleId="Emphasis">
    <w:name w:val="Emphasis"/>
    <w:uiPriority w:val="20"/>
    <w:qFormat/>
    <w:rsid w:val="00C84EFB"/>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C84EFB"/>
    <w:pPr>
      <w:jc w:val="left"/>
    </w:pPr>
  </w:style>
  <w:style w:type="character" w:customStyle="1" w:styleId="TabletextboldleftChar">
    <w:name w:val="Table text bold left Char"/>
    <w:basedOn w:val="TabletextboldChar"/>
    <w:link w:val="Tabletextboldleft"/>
    <w:rsid w:val="00C84EFB"/>
    <w:rPr>
      <w:rFonts w:ascii="Arial Narrow" w:eastAsia="Times New Roman" w:hAnsi="Arial Narrow" w:cs="Arial"/>
      <w:b/>
      <w:sz w:val="20"/>
      <w:szCs w:val="20"/>
    </w:rPr>
  </w:style>
  <w:style w:type="table" w:customStyle="1" w:styleId="Submissiontemplate7">
    <w:name w:val="Submission template7"/>
    <w:basedOn w:val="TableNormal"/>
    <w:uiPriority w:val="99"/>
    <w:rsid w:val="00C84EFB"/>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E396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E396B"/>
    <w:rPr>
      <w:rFonts w:ascii="Arial Narrow" w:eastAsia="Times New Roman" w:hAnsi="Arial Narrow" w:cs="Arial"/>
      <w:sz w:val="20"/>
      <w:szCs w:val="20"/>
    </w:rPr>
  </w:style>
  <w:style w:type="paragraph" w:customStyle="1" w:styleId="Tabletextcentred">
    <w:name w:val="Table text centred"/>
    <w:basedOn w:val="Tabletext"/>
    <w:link w:val="TabletextcentredChar"/>
    <w:qFormat/>
    <w:rsid w:val="000E396B"/>
    <w:pPr>
      <w:jc w:val="center"/>
    </w:pPr>
  </w:style>
  <w:style w:type="character" w:customStyle="1" w:styleId="TabletextcentredChar">
    <w:name w:val="Table text centred Char"/>
    <w:basedOn w:val="TabletextChar"/>
    <w:link w:val="Tabletextcentred"/>
    <w:rsid w:val="000E396B"/>
    <w:rPr>
      <w:rFonts w:ascii="Arial Narrow" w:eastAsia="Times New Roman" w:hAnsi="Arial Narrow" w:cs="Times New Roman"/>
      <w:sz w:val="20"/>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99"/>
    <w:unhideWhenUsed/>
    <w:qFormat/>
    <w:rsid w:val="00C67123"/>
    <w:pPr>
      <w:keepNext/>
      <w:spacing w:after="40"/>
      <w:jc w:val="both"/>
      <w:outlineLvl w:val="4"/>
    </w:pPr>
    <w:rPr>
      <w:rFonts w:ascii="Arial Narrow" w:hAnsi="Arial Narrow" w:cs="Arial"/>
      <w:b/>
      <w:bCs/>
      <w:iCs/>
      <w:sz w:val="20"/>
      <w:lang w:eastAsia="en-US"/>
    </w:rPr>
  </w:style>
  <w:style w:type="character" w:customStyle="1" w:styleId="TableBold">
    <w:name w:val="Table Bold"/>
    <w:uiPriority w:val="4"/>
    <w:qFormat/>
    <w:rsid w:val="005856E5"/>
    <w:rPr>
      <w:rFonts w:ascii="Calibri" w:hAnsi="Calibri" w:hint="default"/>
      <w:b/>
      <w:bCs w:val="0"/>
      <w:sz w:val="20"/>
      <w:lang w:val="en-AU"/>
    </w:rPr>
  </w:style>
  <w:style w:type="table" w:customStyle="1" w:styleId="TableGrid12">
    <w:name w:val="Table Grid12"/>
    <w:basedOn w:val="TableNormal"/>
    <w:next w:val="TableGrid"/>
    <w:uiPriority w:val="59"/>
    <w:rsid w:val="005856E5"/>
    <w:pPr>
      <w:spacing w:after="0" w:line="240" w:lineRule="auto"/>
    </w:pPr>
    <w:rPr>
      <w:rFonts w:ascii="Candara" w:eastAsia="Times New Roman" w:hAnsi="Candara"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30341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303414"/>
    <w:rPr>
      <w:rFonts w:ascii="Arial" w:eastAsia="Times New Roman" w:hAnsi="Arial" w:cs="Arial"/>
      <w:color w:val="3366FF"/>
      <w:szCs w:val="24"/>
      <w:lang w:eastAsia="en-AU"/>
    </w:rPr>
  </w:style>
  <w:style w:type="paragraph" w:styleId="NoSpacing">
    <w:name w:val="No Spacing"/>
    <w:uiPriority w:val="1"/>
    <w:qFormat/>
    <w:rsid w:val="00303414"/>
    <w:pPr>
      <w:spacing w:after="0" w:line="240" w:lineRule="auto"/>
    </w:pPr>
    <w:rPr>
      <w:rFonts w:asciiTheme="minorHAnsi" w:hAnsiTheme="minorHAnsi"/>
      <w:sz w:val="22"/>
    </w:rPr>
  </w:style>
  <w:style w:type="paragraph" w:customStyle="1" w:styleId="NormalBulletList">
    <w:name w:val="Normal Bullet List"/>
    <w:basedOn w:val="Normal"/>
    <w:uiPriority w:val="3"/>
    <w:qFormat/>
    <w:rsid w:val="00950C0C"/>
    <w:pPr>
      <w:numPr>
        <w:numId w:val="7"/>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CD7AAF"/>
    <w:pPr>
      <w:widowControl w:val="0"/>
    </w:pPr>
    <w:rPr>
      <w:snapToGrid w:val="0"/>
      <w:sz w:val="20"/>
      <w:lang w:val="en-US" w:eastAsia="en-US"/>
    </w:rPr>
  </w:style>
  <w:style w:type="character" w:customStyle="1" w:styleId="EndnoteTextChar">
    <w:name w:val="Endnote Text Char"/>
    <w:basedOn w:val="DefaultParagraphFont"/>
    <w:link w:val="EndnoteText"/>
    <w:rsid w:val="00CD7AAF"/>
    <w:rPr>
      <w:rFonts w:eastAsia="Times New Roman" w:cs="Times New Roman"/>
      <w:snapToGrid w:val="0"/>
      <w:sz w:val="20"/>
      <w:szCs w:val="20"/>
      <w:lang w:val="en-US"/>
    </w:rPr>
  </w:style>
  <w:style w:type="character" w:styleId="EndnoteReference">
    <w:name w:val="endnote reference"/>
    <w:basedOn w:val="DefaultParagraphFont"/>
    <w:rsid w:val="00CD7AAF"/>
    <w:rPr>
      <w:vertAlign w:val="superscript"/>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C67123"/>
    <w:rPr>
      <w:rFonts w:ascii="Arial Narrow" w:eastAsia="Times New Roman" w:hAnsi="Arial Narrow" w:cs="Arial"/>
      <w:b/>
      <w:bCs/>
      <w:iCs/>
      <w:sz w:val="20"/>
      <w:szCs w:val="20"/>
    </w:rPr>
  </w:style>
  <w:style w:type="character" w:customStyle="1" w:styleId="SmallBold">
    <w:name w:val="Small Bold"/>
    <w:basedOn w:val="DefaultParagraphFont"/>
    <w:uiPriority w:val="4"/>
    <w:qFormat/>
    <w:rsid w:val="00FB7083"/>
    <w:rPr>
      <w:rFonts w:ascii="Candara" w:hAnsi="Candara"/>
      <w:b/>
      <w:sz w:val="20"/>
      <w:lang w:val="en-AU"/>
    </w:rPr>
  </w:style>
  <w:style w:type="table" w:customStyle="1" w:styleId="Submissiontemplate">
    <w:name w:val="Submission template"/>
    <w:basedOn w:val="TableNormal"/>
    <w:uiPriority w:val="99"/>
    <w:rsid w:val="00FB7083"/>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C90EB4"/>
    <w:rPr>
      <w:sz w:val="16"/>
      <w:szCs w:val="16"/>
    </w:rPr>
  </w:style>
  <w:style w:type="paragraph" w:styleId="CommentText">
    <w:name w:val="annotation text"/>
    <w:basedOn w:val="Normal"/>
    <w:link w:val="CommentTextChar"/>
    <w:uiPriority w:val="99"/>
    <w:unhideWhenUsed/>
    <w:rsid w:val="00C90EB4"/>
    <w:rPr>
      <w:sz w:val="20"/>
    </w:rPr>
  </w:style>
  <w:style w:type="character" w:customStyle="1" w:styleId="CommentTextChar">
    <w:name w:val="Comment Text Char"/>
    <w:basedOn w:val="DefaultParagraphFont"/>
    <w:link w:val="CommentText"/>
    <w:uiPriority w:val="99"/>
    <w:rsid w:val="00C90EB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90EB4"/>
    <w:rPr>
      <w:b/>
      <w:bCs/>
    </w:rPr>
  </w:style>
  <w:style w:type="character" w:customStyle="1" w:styleId="CommentSubjectChar">
    <w:name w:val="Comment Subject Char"/>
    <w:basedOn w:val="CommentTextChar"/>
    <w:link w:val="CommentSubject"/>
    <w:uiPriority w:val="99"/>
    <w:semiHidden/>
    <w:rsid w:val="00C90EB4"/>
    <w:rPr>
      <w:rFonts w:eastAsia="Times New Roman" w:cs="Times New Roman"/>
      <w:b/>
      <w:bCs/>
      <w:sz w:val="20"/>
      <w:szCs w:val="20"/>
      <w:lang w:eastAsia="en-AU"/>
    </w:rPr>
  </w:style>
  <w:style w:type="paragraph" w:customStyle="1" w:styleId="TableHeading">
    <w:name w:val="TableHeading"/>
    <w:basedOn w:val="Normal"/>
    <w:link w:val="TableHeadingChar"/>
    <w:qFormat/>
    <w:rsid w:val="00054151"/>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054151"/>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6F02E2"/>
    <w:pPr>
      <w:widowControl w:val="0"/>
      <w:spacing w:before="6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6F02E2"/>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9"/>
    <w:semiHidden/>
    <w:rsid w:val="007C2D6A"/>
    <w:rPr>
      <w:rFonts w:asciiTheme="majorHAnsi" w:eastAsiaTheme="majorEastAsia" w:hAnsiTheme="majorHAnsi" w:cstheme="majorBidi"/>
      <w:b/>
      <w:bCs/>
      <w:i/>
      <w:iCs/>
      <w:color w:val="4F81BD" w:themeColor="accent1"/>
      <w:szCs w:val="20"/>
      <w:lang w:eastAsia="en-AU"/>
    </w:rPr>
  </w:style>
  <w:style w:type="table" w:customStyle="1" w:styleId="TableGrid2">
    <w:name w:val="Table Grid2"/>
    <w:basedOn w:val="TableNormal"/>
    <w:next w:val="TableGrid"/>
    <w:rsid w:val="000E658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Heading1Char">
    <w:name w:val="Heading 1 Char"/>
    <w:basedOn w:val="DefaultParagraphFont"/>
    <w:link w:val="Heading1"/>
    <w:uiPriority w:val="99"/>
    <w:rsid w:val="00AF64E7"/>
    <w:rPr>
      <w:rFonts w:eastAsiaTheme="majorEastAsia" w:cstheme="majorBidi"/>
      <w:b/>
      <w:bCs/>
      <w:szCs w:val="28"/>
      <w:lang w:eastAsia="en-AU"/>
    </w:rPr>
  </w:style>
  <w:style w:type="character" w:customStyle="1" w:styleId="Heading3Char">
    <w:name w:val="Heading 3 Char"/>
    <w:basedOn w:val="DefaultParagraphFont"/>
    <w:link w:val="Heading3"/>
    <w:uiPriority w:val="9"/>
    <w:rsid w:val="00301462"/>
    <w:rPr>
      <w:rFonts w:eastAsiaTheme="majorEastAsia" w:cstheme="majorBidi"/>
      <w:szCs w:val="24"/>
      <w:u w:val="single"/>
      <w:lang w:eastAsia="en-AU"/>
    </w:rPr>
  </w:style>
  <w:style w:type="character" w:customStyle="1" w:styleId="ListParagraphChar">
    <w:name w:val="List Paragraph Char"/>
    <w:aliases w:val="Styl moj Char,Akapit z listą1 Char,Akapit z listą11 Char,Body Text Bullet Points Char,Numbered para Char,BulletPoints Char,List Paragraph1 Char,Bullet point Char,List Paragraph11 Char,Recommendation Char,Section heading Char"/>
    <w:link w:val="ListParagraph"/>
    <w:uiPriority w:val="34"/>
    <w:qFormat/>
    <w:rsid w:val="00F51E0F"/>
    <w:rPr>
      <w:rFonts w:eastAsia="Times New Roman" w:cs="Times New Roman"/>
      <w:szCs w:val="20"/>
      <w:lang w:eastAsia="en-AU"/>
    </w:rPr>
  </w:style>
  <w:style w:type="paragraph" w:customStyle="1" w:styleId="Tablenotes1">
    <w:name w:val="Tablenotes 1"/>
    <w:basedOn w:val="Normal"/>
    <w:link w:val="Tablenotes1Char"/>
    <w:qFormat/>
    <w:rsid w:val="00206760"/>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06760"/>
    <w:rPr>
      <w:rFonts w:ascii="Arial Narrow" w:eastAsia="Times New Roman" w:hAnsi="Arial Narrow" w:cs="Arial"/>
      <w:snapToGrid w:val="0"/>
      <w:sz w:val="18"/>
      <w:szCs w:val="20"/>
    </w:rPr>
  </w:style>
  <w:style w:type="numbering" w:customStyle="1" w:styleId="Heading1a">
    <w:name w:val="Heading 1a"/>
    <w:basedOn w:val="NoList"/>
    <w:uiPriority w:val="99"/>
    <w:rsid w:val="00B0472C"/>
    <w:pPr>
      <w:numPr>
        <w:numId w:val="11"/>
      </w:numPr>
    </w:pPr>
  </w:style>
  <w:style w:type="paragraph" w:customStyle="1" w:styleId="Tabletext-left">
    <w:name w:val="Table text - left"/>
    <w:basedOn w:val="Normal"/>
    <w:link w:val="Tabletext-leftChar"/>
    <w:rsid w:val="00CB1778"/>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CB1778"/>
    <w:rPr>
      <w:rFonts w:asciiTheme="minorHAnsi" w:eastAsia="Times New Roman" w:hAnsiTheme="minorHAnsi" w:cs="Arial"/>
      <w:sz w:val="20"/>
      <w:szCs w:val="20"/>
    </w:rPr>
  </w:style>
  <w:style w:type="table" w:customStyle="1" w:styleId="TableGrid9">
    <w:name w:val="Table Grid9"/>
    <w:basedOn w:val="TableNormal"/>
    <w:next w:val="TableGrid"/>
    <w:uiPriority w:val="39"/>
    <w:rsid w:val="0013696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link w:val="TableTextChar0"/>
    <w:qFormat/>
    <w:rsid w:val="006C499C"/>
    <w:pPr>
      <w:keepNext/>
      <w:spacing w:before="40" w:after="40"/>
      <w:jc w:val="both"/>
    </w:pPr>
    <w:rPr>
      <w:rFonts w:ascii="Arial Narrow" w:hAnsi="Arial Narrow" w:cs="Tahoma"/>
      <w:sz w:val="20"/>
      <w:szCs w:val="22"/>
      <w:lang w:eastAsia="en-US"/>
    </w:rPr>
  </w:style>
  <w:style w:type="character" w:customStyle="1" w:styleId="TableTextChar0">
    <w:name w:val="Table Text Char"/>
    <w:link w:val="TableText0"/>
    <w:rsid w:val="006C499C"/>
    <w:rPr>
      <w:rFonts w:ascii="Arial Narrow" w:eastAsia="Times New Roman" w:hAnsi="Arial Narrow" w:cs="Tahoma"/>
      <w:sz w:val="20"/>
    </w:rPr>
  </w:style>
  <w:style w:type="paragraph" w:customStyle="1" w:styleId="Tabletextright">
    <w:name w:val="Table text right"/>
    <w:basedOn w:val="Normal"/>
    <w:link w:val="TabletextrightChar"/>
    <w:qFormat/>
    <w:rsid w:val="006C499C"/>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6C499C"/>
    <w:rPr>
      <w:rFonts w:ascii="Arial Narrow" w:eastAsia="Times New Roman" w:hAnsi="Arial Narrow" w:cs="Arial"/>
      <w:sz w:val="20"/>
      <w:szCs w:val="20"/>
    </w:rPr>
  </w:style>
  <w:style w:type="paragraph" w:customStyle="1" w:styleId="Comment">
    <w:name w:val="Comment"/>
    <w:basedOn w:val="Normal"/>
    <w:link w:val="CommentChar"/>
    <w:qFormat/>
    <w:rsid w:val="00B32648"/>
    <w:pPr>
      <w:tabs>
        <w:tab w:val="num" w:pos="720"/>
      </w:tabs>
      <w:spacing w:after="240" w:line="312" w:lineRule="auto"/>
      <w:jc w:val="both"/>
    </w:pPr>
    <w:rPr>
      <w:rFonts w:ascii="Calibri" w:hAnsi="Calibri" w:cs="Tahoma"/>
      <w:i/>
      <w:iCs/>
      <w:sz w:val="22"/>
      <w:szCs w:val="22"/>
    </w:rPr>
  </w:style>
  <w:style w:type="character" w:customStyle="1" w:styleId="CommentChar">
    <w:name w:val="Comment Char"/>
    <w:basedOn w:val="DefaultParagraphFont"/>
    <w:link w:val="Comment"/>
    <w:rsid w:val="00B32648"/>
    <w:rPr>
      <w:rFonts w:ascii="Calibri" w:eastAsia="Times New Roman" w:hAnsi="Calibri" w:cs="Tahoma"/>
      <w:i/>
      <w:iCs/>
      <w:sz w:val="22"/>
      <w:lang w:eastAsia="en-AU"/>
    </w:rPr>
  </w:style>
  <w:style w:type="paragraph" w:customStyle="1" w:styleId="tableheading0">
    <w:name w:val="tableheading"/>
    <w:basedOn w:val="Normal"/>
    <w:link w:val="tableheadingChar0"/>
    <w:qFormat/>
    <w:rsid w:val="0096167A"/>
    <w:rPr>
      <w:b/>
      <w:szCs w:val="24"/>
    </w:rPr>
  </w:style>
  <w:style w:type="character" w:customStyle="1" w:styleId="tableheadingChar0">
    <w:name w:val="tableheading Char"/>
    <w:basedOn w:val="DefaultParagraphFont"/>
    <w:link w:val="tableheading0"/>
    <w:rsid w:val="0096167A"/>
    <w:rPr>
      <w:rFonts w:eastAsia="Times New Roman" w:cs="Times New Roman"/>
      <w:b/>
      <w:szCs w:val="24"/>
      <w:lang w:eastAsia="en-AU"/>
    </w:rPr>
  </w:style>
  <w:style w:type="paragraph" w:customStyle="1" w:styleId="ListNos0">
    <w:name w:val="ListNos+0"/>
    <w:basedOn w:val="BodyText"/>
    <w:uiPriority w:val="2"/>
    <w:qFormat/>
    <w:rsid w:val="00406744"/>
    <w:pPr>
      <w:numPr>
        <w:numId w:val="20"/>
      </w:numPr>
      <w:spacing w:after="0" w:line="276" w:lineRule="auto"/>
    </w:pPr>
    <w:rPr>
      <w:rFonts w:ascii="Calibri" w:eastAsia="Calibri" w:hAnsi="Calibri" w:cs="Calibri"/>
      <w:sz w:val="22"/>
      <w:lang w:eastAsia="en-US"/>
    </w:rPr>
  </w:style>
  <w:style w:type="paragraph" w:styleId="BodyText">
    <w:name w:val="Body Text"/>
    <w:basedOn w:val="Normal"/>
    <w:link w:val="BodyTextChar"/>
    <w:uiPriority w:val="99"/>
    <w:semiHidden/>
    <w:unhideWhenUsed/>
    <w:rsid w:val="00406744"/>
    <w:pPr>
      <w:spacing w:after="120"/>
    </w:pPr>
  </w:style>
  <w:style w:type="character" w:customStyle="1" w:styleId="BodyTextChar">
    <w:name w:val="Body Text Char"/>
    <w:basedOn w:val="DefaultParagraphFont"/>
    <w:link w:val="BodyText"/>
    <w:uiPriority w:val="99"/>
    <w:semiHidden/>
    <w:rsid w:val="00406744"/>
    <w:rPr>
      <w:rFonts w:eastAsia="Times New Roman" w:cs="Times New Roman"/>
      <w:szCs w:val="20"/>
      <w:lang w:eastAsia="en-AU"/>
    </w:rPr>
  </w:style>
  <w:style w:type="character" w:customStyle="1" w:styleId="Heading5Char">
    <w:name w:val="Heading 5 Char"/>
    <w:basedOn w:val="DefaultParagraphFont"/>
    <w:link w:val="Heading5"/>
    <w:uiPriority w:val="9"/>
    <w:semiHidden/>
    <w:rsid w:val="00D22C51"/>
    <w:rPr>
      <w:rFonts w:asciiTheme="majorHAnsi" w:eastAsiaTheme="majorEastAsia" w:hAnsiTheme="majorHAnsi" w:cstheme="majorBidi"/>
      <w:color w:val="365F91" w:themeColor="accent1" w:themeShade="BF"/>
      <w:szCs w:val="20"/>
      <w:lang w:eastAsia="en-AU"/>
    </w:rPr>
  </w:style>
  <w:style w:type="character" w:customStyle="1" w:styleId="Heading6Char">
    <w:name w:val="Heading 6 Char"/>
    <w:basedOn w:val="DefaultParagraphFont"/>
    <w:link w:val="Heading6"/>
    <w:uiPriority w:val="9"/>
    <w:semiHidden/>
    <w:rsid w:val="00D22C51"/>
    <w:rPr>
      <w:rFonts w:asciiTheme="majorHAnsi" w:eastAsiaTheme="majorEastAsia" w:hAnsiTheme="majorHAnsi" w:cstheme="majorBidi"/>
      <w:color w:val="243F60" w:themeColor="accent1" w:themeShade="7F"/>
      <w:szCs w:val="20"/>
      <w:lang w:eastAsia="en-AU"/>
    </w:rPr>
  </w:style>
  <w:style w:type="table" w:customStyle="1" w:styleId="TableGrid1">
    <w:name w:val="Table Grid1"/>
    <w:basedOn w:val="TableNormal"/>
    <w:next w:val="TableGrid"/>
    <w:rsid w:val="001B7EB2"/>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val="0"/>
        <w:sz w:val="20"/>
      </w:rPr>
    </w:tblStylePr>
  </w:style>
  <w:style w:type="paragraph" w:customStyle="1" w:styleId="Tablecomment">
    <w:name w:val="Table comment"/>
    <w:basedOn w:val="Tabletext"/>
    <w:link w:val="TablecommentChar"/>
    <w:qFormat/>
    <w:rsid w:val="001B7EB2"/>
    <w:pPr>
      <w:ind w:left="-6"/>
      <w:mirrorIndents/>
    </w:pPr>
    <w:rPr>
      <w:rFonts w:cs="Tahoma"/>
      <w:i/>
      <w:color w:val="C00000"/>
      <w:szCs w:val="20"/>
      <w:lang w:eastAsia="en-AU"/>
    </w:rPr>
  </w:style>
  <w:style w:type="character" w:customStyle="1" w:styleId="TablecommentChar">
    <w:name w:val="Table comment Char"/>
    <w:basedOn w:val="TabletextChar"/>
    <w:link w:val="Tablecomment"/>
    <w:rsid w:val="001B7EB2"/>
    <w:rPr>
      <w:rFonts w:ascii="Arial Narrow" w:eastAsia="Times New Roman" w:hAnsi="Arial Narrow" w:cs="Tahoma"/>
      <w:i/>
      <w:color w:val="C00000"/>
      <w:sz w:val="20"/>
      <w:szCs w:val="20"/>
      <w:lang w:eastAsia="en-AU"/>
    </w:rPr>
  </w:style>
  <w:style w:type="table" w:customStyle="1" w:styleId="TableGrid126">
    <w:name w:val="Table Grid126"/>
    <w:basedOn w:val="TableNormal"/>
    <w:next w:val="TableGrid"/>
    <w:rsid w:val="00AE45BE"/>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omic Sans MS" w:hAnsi="Comic Sans MS"/>
        <w:b w:val="0"/>
        <w:sz w:val="20"/>
      </w:rPr>
    </w:tblStylePr>
  </w:style>
  <w:style w:type="table" w:customStyle="1" w:styleId="TableGrid130">
    <w:name w:val="Table Grid130"/>
    <w:basedOn w:val="TableNormal"/>
    <w:next w:val="TableGrid"/>
    <w:rsid w:val="00F71DD3"/>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omic Sans MS" w:hAnsi="Comic Sans MS"/>
        <w:b w:val="0"/>
        <w:sz w:val="20"/>
      </w:rPr>
    </w:tblStylePr>
  </w:style>
  <w:style w:type="table" w:customStyle="1" w:styleId="TableGrid120">
    <w:name w:val="Table Grid120"/>
    <w:basedOn w:val="TableNormal"/>
    <w:next w:val="TableGrid"/>
    <w:rsid w:val="00F71DD3"/>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omic Sans MS" w:hAnsi="Comic Sans MS"/>
        <w:b w:val="0"/>
        <w:sz w:val="20"/>
      </w:rPr>
    </w:tblStylePr>
  </w:style>
  <w:style w:type="table" w:customStyle="1" w:styleId="TableGrid121">
    <w:name w:val="Table Grid121"/>
    <w:basedOn w:val="TableNormal"/>
    <w:next w:val="TableGrid"/>
    <w:rsid w:val="00F71DD3"/>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omic Sans MS" w:hAnsi="Comic Sans MS"/>
        <w:b w:val="0"/>
        <w:sz w:val="20"/>
      </w:rPr>
    </w:tblStylePr>
  </w:style>
  <w:style w:type="table" w:customStyle="1" w:styleId="TableGrid131">
    <w:name w:val="Table Grid131"/>
    <w:basedOn w:val="TableNormal"/>
    <w:next w:val="TableGrid"/>
    <w:rsid w:val="00F71DD3"/>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omic Sans MS" w:hAnsi="Comic Sans MS"/>
        <w:b w:val="0"/>
        <w:sz w:val="20"/>
      </w:rPr>
    </w:tblStylePr>
  </w:style>
  <w:style w:type="table" w:customStyle="1" w:styleId="TableGrid123">
    <w:name w:val="Table Grid123"/>
    <w:basedOn w:val="TableNormal"/>
    <w:next w:val="TableGrid"/>
    <w:rsid w:val="00F71DD3"/>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omic Sans MS" w:hAnsi="Comic Sans MS"/>
        <w:b w:val="0"/>
        <w:sz w:val="20"/>
      </w:rPr>
    </w:tblStylePr>
  </w:style>
  <w:style w:type="table" w:customStyle="1" w:styleId="TableGrid3">
    <w:name w:val="Table Grid3"/>
    <w:basedOn w:val="TableNormal"/>
    <w:next w:val="TableGrid"/>
    <w:uiPriority w:val="59"/>
    <w:rsid w:val="00A21488"/>
    <w:pPr>
      <w:spacing w:after="0" w:line="240" w:lineRule="auto"/>
    </w:pPr>
    <w:rPr>
      <w:rFonts w:eastAsia="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
    <w:basedOn w:val="Normal"/>
    <w:rsid w:val="00C304D1"/>
    <w:pPr>
      <w:keepNext/>
      <w:spacing w:before="60" w:after="60"/>
    </w:pPr>
    <w:rPr>
      <w:color w:val="000000"/>
      <w:sz w:val="21"/>
      <w:szCs w:val="21"/>
    </w:rPr>
  </w:style>
  <w:style w:type="paragraph" w:customStyle="1" w:styleId="BulletBeforeDash">
    <w:name w:val="BulletBeforeDash"/>
    <w:basedOn w:val="Normal"/>
    <w:rsid w:val="00C304D1"/>
    <w:pPr>
      <w:numPr>
        <w:numId w:val="25"/>
      </w:numPr>
      <w:ind w:left="720"/>
    </w:pPr>
    <w:rPr>
      <w:color w:val="000000"/>
    </w:rPr>
  </w:style>
  <w:style w:type="paragraph" w:customStyle="1" w:styleId="Bullet">
    <w:name w:val="Bullet"/>
    <w:basedOn w:val="BulletBeforeDash"/>
    <w:qFormat/>
    <w:rsid w:val="00C304D1"/>
    <w:pPr>
      <w:spacing w:after="120"/>
    </w:pPr>
  </w:style>
  <w:style w:type="paragraph" w:customStyle="1" w:styleId="BulletLast">
    <w:name w:val="BulletLast"/>
    <w:basedOn w:val="Bullet"/>
    <w:qFormat/>
    <w:rsid w:val="00C304D1"/>
    <w:pPr>
      <w:spacing w:after="240"/>
    </w:pPr>
  </w:style>
  <w:style w:type="paragraph" w:customStyle="1" w:styleId="NormalBeforeBullet">
    <w:name w:val="NormalBeforeBullet"/>
    <w:basedOn w:val="Normal"/>
    <w:qFormat/>
    <w:rsid w:val="00C304D1"/>
    <w:pPr>
      <w:keepNext/>
      <w:spacing w:after="120"/>
    </w:pPr>
    <w:rPr>
      <w:color w:val="000000"/>
    </w:rPr>
  </w:style>
  <w:style w:type="paragraph" w:styleId="Title">
    <w:name w:val="Title"/>
    <w:basedOn w:val="Normal"/>
    <w:next w:val="Normal"/>
    <w:link w:val="TitleChar"/>
    <w:qFormat/>
    <w:rsid w:val="006271C5"/>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6271C5"/>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6271C5"/>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6271C5"/>
    <w:rPr>
      <w:rFonts w:ascii="Arial" w:eastAsia="Times New Roman" w:hAnsi="Arial" w:cs="Arial"/>
      <w:b/>
      <w:bCs/>
      <w:i/>
      <w:color w:val="000080"/>
      <w:sz w:val="28"/>
      <w:szCs w:val="28"/>
      <w:lang w:eastAsia="en-AU"/>
    </w:rPr>
  </w:style>
  <w:style w:type="paragraph" w:customStyle="1" w:styleId="Default">
    <w:name w:val="Default"/>
    <w:rsid w:val="006271C5"/>
    <w:pPr>
      <w:autoSpaceDE w:val="0"/>
      <w:autoSpaceDN w:val="0"/>
      <w:adjustRightInd w:val="0"/>
      <w:spacing w:after="0" w:line="240" w:lineRule="auto"/>
    </w:pPr>
    <w:rPr>
      <w:rFonts w:eastAsia="Calibri" w:cs="Times New Roman"/>
      <w:color w:val="000000"/>
      <w:szCs w:val="24"/>
    </w:rPr>
  </w:style>
  <w:style w:type="paragraph" w:styleId="Revision">
    <w:name w:val="Revision"/>
    <w:hidden/>
    <w:uiPriority w:val="99"/>
    <w:semiHidden/>
    <w:rsid w:val="008770B6"/>
    <w:pPr>
      <w:spacing w:after="0" w:line="240" w:lineRule="auto"/>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0777">
      <w:bodyDiv w:val="1"/>
      <w:marLeft w:val="0"/>
      <w:marRight w:val="0"/>
      <w:marTop w:val="0"/>
      <w:marBottom w:val="0"/>
      <w:divBdr>
        <w:top w:val="none" w:sz="0" w:space="0" w:color="auto"/>
        <w:left w:val="none" w:sz="0" w:space="0" w:color="auto"/>
        <w:bottom w:val="none" w:sz="0" w:space="0" w:color="auto"/>
        <w:right w:val="none" w:sz="0" w:space="0" w:color="auto"/>
      </w:divBdr>
    </w:div>
    <w:div w:id="114062892">
      <w:bodyDiv w:val="1"/>
      <w:marLeft w:val="0"/>
      <w:marRight w:val="0"/>
      <w:marTop w:val="0"/>
      <w:marBottom w:val="0"/>
      <w:divBdr>
        <w:top w:val="none" w:sz="0" w:space="0" w:color="auto"/>
        <w:left w:val="none" w:sz="0" w:space="0" w:color="auto"/>
        <w:bottom w:val="none" w:sz="0" w:space="0" w:color="auto"/>
        <w:right w:val="none" w:sz="0" w:space="0" w:color="auto"/>
      </w:divBdr>
    </w:div>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2018075833">
          <w:marLeft w:val="288"/>
          <w:marRight w:val="0"/>
          <w:marTop w:val="115"/>
          <w:marBottom w:val="0"/>
          <w:divBdr>
            <w:top w:val="none" w:sz="0" w:space="0" w:color="auto"/>
            <w:left w:val="none" w:sz="0" w:space="0" w:color="auto"/>
            <w:bottom w:val="none" w:sz="0" w:space="0" w:color="auto"/>
            <w:right w:val="none" w:sz="0" w:space="0" w:color="auto"/>
          </w:divBdr>
        </w:div>
        <w:div w:id="1025593109">
          <w:marLeft w:val="288"/>
          <w:marRight w:val="0"/>
          <w:marTop w:val="115"/>
          <w:marBottom w:val="0"/>
          <w:divBdr>
            <w:top w:val="none" w:sz="0" w:space="0" w:color="auto"/>
            <w:left w:val="none" w:sz="0" w:space="0" w:color="auto"/>
            <w:bottom w:val="none" w:sz="0" w:space="0" w:color="auto"/>
            <w:right w:val="none" w:sz="0" w:space="0" w:color="auto"/>
          </w:divBdr>
        </w:div>
        <w:div w:id="849488156">
          <w:marLeft w:val="720"/>
          <w:marRight w:val="0"/>
          <w:marTop w:val="96"/>
          <w:marBottom w:val="0"/>
          <w:divBdr>
            <w:top w:val="none" w:sz="0" w:space="0" w:color="auto"/>
            <w:left w:val="none" w:sz="0" w:space="0" w:color="auto"/>
            <w:bottom w:val="none" w:sz="0" w:space="0" w:color="auto"/>
            <w:right w:val="none" w:sz="0" w:space="0" w:color="auto"/>
          </w:divBdr>
        </w:div>
        <w:div w:id="602231550">
          <w:marLeft w:val="720"/>
          <w:marRight w:val="0"/>
          <w:marTop w:val="96"/>
          <w:marBottom w:val="0"/>
          <w:divBdr>
            <w:top w:val="none" w:sz="0" w:space="0" w:color="auto"/>
            <w:left w:val="none" w:sz="0" w:space="0" w:color="auto"/>
            <w:bottom w:val="none" w:sz="0" w:space="0" w:color="auto"/>
            <w:right w:val="none" w:sz="0" w:space="0" w:color="auto"/>
          </w:divBdr>
        </w:div>
        <w:div w:id="1425762532">
          <w:marLeft w:val="720"/>
          <w:marRight w:val="0"/>
          <w:marTop w:val="96"/>
          <w:marBottom w:val="0"/>
          <w:divBdr>
            <w:top w:val="none" w:sz="0" w:space="0" w:color="auto"/>
            <w:left w:val="none" w:sz="0" w:space="0" w:color="auto"/>
            <w:bottom w:val="none" w:sz="0" w:space="0" w:color="auto"/>
            <w:right w:val="none" w:sz="0" w:space="0" w:color="auto"/>
          </w:divBdr>
        </w:div>
        <w:div w:id="2022856094">
          <w:marLeft w:val="720"/>
          <w:marRight w:val="0"/>
          <w:marTop w:val="96"/>
          <w:marBottom w:val="0"/>
          <w:divBdr>
            <w:top w:val="none" w:sz="0" w:space="0" w:color="auto"/>
            <w:left w:val="none" w:sz="0" w:space="0" w:color="auto"/>
            <w:bottom w:val="none" w:sz="0" w:space="0" w:color="auto"/>
            <w:right w:val="none" w:sz="0" w:space="0" w:color="auto"/>
          </w:divBdr>
        </w:div>
        <w:div w:id="1212351607">
          <w:marLeft w:val="720"/>
          <w:marRight w:val="0"/>
          <w:marTop w:val="96"/>
          <w:marBottom w:val="0"/>
          <w:divBdr>
            <w:top w:val="none" w:sz="0" w:space="0" w:color="auto"/>
            <w:left w:val="none" w:sz="0" w:space="0" w:color="auto"/>
            <w:bottom w:val="none" w:sz="0" w:space="0" w:color="auto"/>
            <w:right w:val="none" w:sz="0" w:space="0" w:color="auto"/>
          </w:divBdr>
        </w:div>
        <w:div w:id="1886022654">
          <w:marLeft w:val="288"/>
          <w:marRight w:val="0"/>
          <w:marTop w:val="115"/>
          <w:marBottom w:val="0"/>
          <w:divBdr>
            <w:top w:val="none" w:sz="0" w:space="0" w:color="auto"/>
            <w:left w:val="none" w:sz="0" w:space="0" w:color="auto"/>
            <w:bottom w:val="none" w:sz="0" w:space="0" w:color="auto"/>
            <w:right w:val="none" w:sz="0" w:space="0" w:color="auto"/>
          </w:divBdr>
        </w:div>
        <w:div w:id="767233440">
          <w:marLeft w:val="720"/>
          <w:marRight w:val="0"/>
          <w:marTop w:val="96"/>
          <w:marBottom w:val="0"/>
          <w:divBdr>
            <w:top w:val="none" w:sz="0" w:space="0" w:color="auto"/>
            <w:left w:val="none" w:sz="0" w:space="0" w:color="auto"/>
            <w:bottom w:val="none" w:sz="0" w:space="0" w:color="auto"/>
            <w:right w:val="none" w:sz="0" w:space="0" w:color="auto"/>
          </w:divBdr>
        </w:div>
        <w:div w:id="1368337606">
          <w:marLeft w:val="288"/>
          <w:marRight w:val="0"/>
          <w:marTop w:val="115"/>
          <w:marBottom w:val="0"/>
          <w:divBdr>
            <w:top w:val="none" w:sz="0" w:space="0" w:color="auto"/>
            <w:left w:val="none" w:sz="0" w:space="0" w:color="auto"/>
            <w:bottom w:val="none" w:sz="0" w:space="0" w:color="auto"/>
            <w:right w:val="none" w:sz="0" w:space="0" w:color="auto"/>
          </w:divBdr>
        </w:div>
        <w:div w:id="1661419370">
          <w:marLeft w:val="720"/>
          <w:marRight w:val="0"/>
          <w:marTop w:val="96"/>
          <w:marBottom w:val="0"/>
          <w:divBdr>
            <w:top w:val="none" w:sz="0" w:space="0" w:color="auto"/>
            <w:left w:val="none" w:sz="0" w:space="0" w:color="auto"/>
            <w:bottom w:val="none" w:sz="0" w:space="0" w:color="auto"/>
            <w:right w:val="none" w:sz="0" w:space="0" w:color="auto"/>
          </w:divBdr>
        </w:div>
        <w:div w:id="874275967">
          <w:marLeft w:val="720"/>
          <w:marRight w:val="0"/>
          <w:marTop w:val="96"/>
          <w:marBottom w:val="0"/>
          <w:divBdr>
            <w:top w:val="none" w:sz="0" w:space="0" w:color="auto"/>
            <w:left w:val="none" w:sz="0" w:space="0" w:color="auto"/>
            <w:bottom w:val="none" w:sz="0" w:space="0" w:color="auto"/>
            <w:right w:val="none" w:sz="0" w:space="0" w:color="auto"/>
          </w:divBdr>
        </w:div>
        <w:div w:id="629744127">
          <w:marLeft w:val="288"/>
          <w:marRight w:val="0"/>
          <w:marTop w:val="115"/>
          <w:marBottom w:val="0"/>
          <w:divBdr>
            <w:top w:val="none" w:sz="0" w:space="0" w:color="auto"/>
            <w:left w:val="none" w:sz="0" w:space="0" w:color="auto"/>
            <w:bottom w:val="none" w:sz="0" w:space="0" w:color="auto"/>
            <w:right w:val="none" w:sz="0" w:space="0" w:color="auto"/>
          </w:divBdr>
        </w:div>
        <w:div w:id="747309560">
          <w:marLeft w:val="720"/>
          <w:marRight w:val="0"/>
          <w:marTop w:val="96"/>
          <w:marBottom w:val="0"/>
          <w:divBdr>
            <w:top w:val="none" w:sz="0" w:space="0" w:color="auto"/>
            <w:left w:val="none" w:sz="0" w:space="0" w:color="auto"/>
            <w:bottom w:val="none" w:sz="0" w:space="0" w:color="auto"/>
            <w:right w:val="none" w:sz="0" w:space="0" w:color="auto"/>
          </w:divBdr>
        </w:div>
        <w:div w:id="1658532416">
          <w:marLeft w:val="720"/>
          <w:marRight w:val="0"/>
          <w:marTop w:val="96"/>
          <w:marBottom w:val="0"/>
          <w:divBdr>
            <w:top w:val="none" w:sz="0" w:space="0" w:color="auto"/>
            <w:left w:val="none" w:sz="0" w:space="0" w:color="auto"/>
            <w:bottom w:val="none" w:sz="0" w:space="0" w:color="auto"/>
            <w:right w:val="none" w:sz="0" w:space="0" w:color="auto"/>
          </w:divBdr>
        </w:div>
      </w:divsChild>
    </w:div>
    <w:div w:id="1380400009">
      <w:bodyDiv w:val="1"/>
      <w:marLeft w:val="0"/>
      <w:marRight w:val="0"/>
      <w:marTop w:val="0"/>
      <w:marBottom w:val="0"/>
      <w:divBdr>
        <w:top w:val="none" w:sz="0" w:space="0" w:color="auto"/>
        <w:left w:val="none" w:sz="0" w:space="0" w:color="auto"/>
        <w:bottom w:val="none" w:sz="0" w:space="0" w:color="auto"/>
        <w:right w:val="none" w:sz="0" w:space="0" w:color="auto"/>
      </w:divBdr>
    </w:div>
    <w:div w:id="1720200528">
      <w:bodyDiv w:val="1"/>
      <w:marLeft w:val="0"/>
      <w:marRight w:val="0"/>
      <w:marTop w:val="0"/>
      <w:marBottom w:val="0"/>
      <w:divBdr>
        <w:top w:val="none" w:sz="0" w:space="0" w:color="auto"/>
        <w:left w:val="none" w:sz="0" w:space="0" w:color="auto"/>
        <w:bottom w:val="none" w:sz="0" w:space="0" w:color="auto"/>
        <w:right w:val="none" w:sz="0" w:space="0" w:color="auto"/>
      </w:divBdr>
    </w:div>
    <w:div w:id="1870869571">
      <w:bodyDiv w:val="1"/>
      <w:marLeft w:val="0"/>
      <w:marRight w:val="0"/>
      <w:marTop w:val="0"/>
      <w:marBottom w:val="0"/>
      <w:divBdr>
        <w:top w:val="none" w:sz="0" w:space="0" w:color="auto"/>
        <w:left w:val="none" w:sz="0" w:space="0" w:color="auto"/>
        <w:bottom w:val="none" w:sz="0" w:space="0" w:color="auto"/>
        <w:right w:val="none" w:sz="0" w:space="0" w:color="auto"/>
      </w:divBdr>
    </w:div>
    <w:div w:id="2082940088">
      <w:bodyDiv w:val="1"/>
      <w:marLeft w:val="0"/>
      <w:marRight w:val="0"/>
      <w:marTop w:val="0"/>
      <w:marBottom w:val="0"/>
      <w:divBdr>
        <w:top w:val="none" w:sz="0" w:space="0" w:color="auto"/>
        <w:left w:val="none" w:sz="0" w:space="0" w:color="auto"/>
        <w:bottom w:val="none" w:sz="0" w:space="0" w:color="auto"/>
        <w:right w:val="none" w:sz="0" w:space="0" w:color="auto"/>
      </w:divBdr>
    </w:div>
    <w:div w:id="20862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Visio_Drawing12.vsdx"/><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Visio_Drawing11.vsdx"/><Relationship Id="rId20" Type="http://schemas.openxmlformats.org/officeDocument/2006/relationships/hyperlink" Target="http://www.msa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yperlink" Target="http://www.msac.gov.au/internet/msac/publishing.nsf/Content/B2B42D6E89D50ED8CA258570001ED449/$File/1632%20Ratified%20PICO.docx" TargetMode="External"/><Relationship Id="rId19" Type="http://schemas.openxmlformats.org/officeDocument/2006/relationships/hyperlink" Target="http://www.msac.gov.au/internet/msac/publishing.nsf/Content/1562-public"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package" Target="embeddings/Microsoft_Visio_Drawing1.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56E8-0DCC-4282-9243-8F39975A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12994</Words>
  <Characters>74068</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2021-09-28T02:11:00Z</dcterms:created>
  <dcterms:modified xsi:type="dcterms:W3CDTF">2021-10-20T01:46:00Z</dcterms:modified>
</cp:coreProperties>
</file>