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407B6" w14:textId="77777777" w:rsidR="00E44B80" w:rsidRPr="00F637B3" w:rsidRDefault="00E44B80" w:rsidP="00E44B80">
      <w:pPr>
        <w:jc w:val="center"/>
        <w:rPr>
          <w:b/>
          <w:szCs w:val="20"/>
        </w:rPr>
      </w:pPr>
      <w:r w:rsidRPr="00F637B3">
        <w:rPr>
          <w:b/>
          <w:noProof/>
          <w:szCs w:val="20"/>
          <w:lang w:eastAsia="en-AU"/>
        </w:rPr>
        <w:drawing>
          <wp:inline distT="0" distB="0" distL="0" distR="0" wp14:anchorId="36680C49" wp14:editId="50AC209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E888EC8" w14:textId="77777777" w:rsidR="008B2610" w:rsidRPr="006F20CF" w:rsidRDefault="008B2610" w:rsidP="00F971CC">
      <w:pPr>
        <w:pStyle w:val="Title"/>
        <w:spacing w:before="2600"/>
      </w:pPr>
      <w:r w:rsidRPr="001906CD">
        <w:t>Application Form</w:t>
      </w:r>
    </w:p>
    <w:p w14:paraId="57DA7B4D"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73B9217F"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2046EDE4"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5C20F4E8"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7760412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2B0129D"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77C6F9B5" w14:textId="77777777" w:rsidR="008B2610" w:rsidRPr="00154B00" w:rsidRDefault="009F5758" w:rsidP="003F7CB9">
      <w:pPr>
        <w:spacing w:before="0" w:after="0"/>
      </w:pPr>
      <w:r w:rsidRPr="00154B00">
        <w:t>Phone:  +61 2 6289 7550</w:t>
      </w:r>
    </w:p>
    <w:p w14:paraId="27668B71" w14:textId="77777777" w:rsidR="009F5758" w:rsidRPr="00154B00" w:rsidRDefault="009F5758" w:rsidP="003F7CB9">
      <w:pPr>
        <w:spacing w:before="0" w:after="0"/>
      </w:pPr>
      <w:r w:rsidRPr="00154B00">
        <w:t>Fax:  +61 2 6289 5540</w:t>
      </w:r>
    </w:p>
    <w:p w14:paraId="24003D1A"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3834DA20"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p>
    <w:p w14:paraId="5EA0C2A2"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5857A5DB"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358296B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6DDC508E"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83BC4">
        <w:t>Gilead Sciences</w:t>
      </w:r>
      <w:r w:rsidR="00E277E2">
        <w:t xml:space="preserve"> Pty Limited</w:t>
      </w:r>
    </w:p>
    <w:p w14:paraId="380B3745" w14:textId="77777777" w:rsidR="00E277E2" w:rsidRDefault="003C7607" w:rsidP="00C171FB">
      <w:pPr>
        <w:pBdr>
          <w:top w:val="single" w:sz="4" w:space="1" w:color="auto"/>
          <w:left w:val="single" w:sz="4" w:space="4" w:color="auto"/>
          <w:bottom w:val="single" w:sz="4" w:space="1" w:color="auto"/>
          <w:right w:val="single" w:sz="4" w:space="4" w:color="auto"/>
        </w:pBdr>
      </w:pPr>
      <w:r>
        <w:t>Redacted</w:t>
      </w:r>
    </w:p>
    <w:p w14:paraId="21542A4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3C7607">
        <w:t>Redacted</w:t>
      </w:r>
    </w:p>
    <w:p w14:paraId="34E5F7C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E277E2">
        <w:t>Gilead Sciences Pty Ltd</w:t>
      </w:r>
    </w:p>
    <w:p w14:paraId="06C872AD" w14:textId="77777777" w:rsidR="00C171FB" w:rsidRPr="00024D52" w:rsidRDefault="00C171FB" w:rsidP="00194C97">
      <w:pPr>
        <w:spacing w:before="360"/>
      </w:pPr>
      <w:r>
        <w:rPr>
          <w:b/>
        </w:rPr>
        <w:t xml:space="preserve">Primary contact name: </w:t>
      </w:r>
      <w:r w:rsidR="003C7607">
        <w:t>Redacted</w:t>
      </w:r>
    </w:p>
    <w:p w14:paraId="52E3FD23"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F72FA9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3C7607">
        <w:t>Redacted</w:t>
      </w:r>
    </w:p>
    <w:p w14:paraId="49042249" w14:textId="77777777"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3C7607">
        <w:t>Redacted</w:t>
      </w:r>
    </w:p>
    <w:p w14:paraId="3EA42389"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3C7607">
        <w:t>Redacted</w:t>
      </w:r>
    </w:p>
    <w:p w14:paraId="632A784F" w14:textId="77777777" w:rsidR="00C171FB" w:rsidRPr="008F5EC9" w:rsidRDefault="00C171FB" w:rsidP="00194C97">
      <w:pPr>
        <w:numPr>
          <w:ilvl w:val="0"/>
          <w:numId w:val="1"/>
        </w:numPr>
        <w:spacing w:before="360"/>
        <w:ind w:left="357" w:hanging="357"/>
      </w:pPr>
      <w:r>
        <w:rPr>
          <w:b/>
        </w:rPr>
        <w:t>Alternative contact name:</w:t>
      </w:r>
      <w:r w:rsidR="001D3AF0">
        <w:rPr>
          <w:b/>
        </w:rPr>
        <w:t xml:space="preserve"> </w:t>
      </w:r>
      <w:r w:rsidR="003C7607">
        <w:t>Redacted</w:t>
      </w:r>
    </w:p>
    <w:p w14:paraId="6F565F2A"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5F8DC0BF" w14:textId="77777777" w:rsidR="00E277E2" w:rsidRDefault="00C171FB" w:rsidP="00E277E2">
      <w:pPr>
        <w:pBdr>
          <w:top w:val="single" w:sz="4" w:space="1" w:color="auto"/>
          <w:left w:val="single" w:sz="4" w:space="4" w:color="auto"/>
          <w:bottom w:val="single" w:sz="4" w:space="1" w:color="auto"/>
          <w:right w:val="single" w:sz="4" w:space="4" w:color="auto"/>
        </w:pBdr>
      </w:pPr>
      <w:r>
        <w:t xml:space="preserve">Business: </w:t>
      </w:r>
      <w:r w:rsidR="003C7607">
        <w:t>Redacted</w:t>
      </w:r>
    </w:p>
    <w:p w14:paraId="5C284E3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3C7607">
        <w:t>Redacted</w:t>
      </w:r>
    </w:p>
    <w:p w14:paraId="114D1389"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3C7607">
        <w:t>Redacted</w:t>
      </w:r>
    </w:p>
    <w:p w14:paraId="0DF16283" w14:textId="77777777" w:rsidR="00534C5F" w:rsidRPr="00154B00" w:rsidRDefault="00494011" w:rsidP="00194C97">
      <w:pPr>
        <w:pStyle w:val="Heading2"/>
        <w:spacing w:before="360"/>
        <w:ind w:left="357" w:hanging="357"/>
      </w:pPr>
      <w:r>
        <w:t xml:space="preserve">(a) </w:t>
      </w:r>
      <w:r w:rsidR="00534C5F">
        <w:t>Are you a lobbyist acting on behalf of an Applicant?</w:t>
      </w:r>
    </w:p>
    <w:p w14:paraId="005CEC5F" w14:textId="77777777" w:rsidR="00A6491A" w:rsidRDefault="004B72C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00A6491A"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A6491A">
        <w:rPr>
          <w:szCs w:val="20"/>
        </w:rPr>
        <w:t xml:space="preserve"> Yes</w:t>
      </w:r>
    </w:p>
    <w:p w14:paraId="07E4B582" w14:textId="77777777" w:rsidR="00A6491A" w:rsidRPr="00753C44" w:rsidRDefault="004B72CA"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sidR="0056047A">
        <w:rPr>
          <w:szCs w:val="20"/>
        </w:rPr>
        <w:instrText xml:space="preserve"> FORMCHECKBOX </w:instrText>
      </w:r>
      <w:r w:rsidR="003136F9">
        <w:rPr>
          <w:szCs w:val="20"/>
        </w:rPr>
      </w:r>
      <w:r w:rsidR="003136F9">
        <w:rPr>
          <w:szCs w:val="20"/>
        </w:rPr>
        <w:fldChar w:fldCharType="separate"/>
      </w:r>
      <w:r>
        <w:rPr>
          <w:szCs w:val="20"/>
        </w:rPr>
        <w:fldChar w:fldCharType="end"/>
      </w:r>
      <w:bookmarkEnd w:id="1"/>
      <w:r w:rsidR="00A6491A">
        <w:rPr>
          <w:szCs w:val="20"/>
        </w:rPr>
        <w:t xml:space="preserve"> No</w:t>
      </w:r>
    </w:p>
    <w:p w14:paraId="6C13EA28"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530AF602" w14:textId="77777777" w:rsidR="00A6491A" w:rsidRDefault="004B72C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00A6491A"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A6491A">
        <w:rPr>
          <w:szCs w:val="20"/>
        </w:rPr>
        <w:t xml:space="preserve"> Yes</w:t>
      </w:r>
    </w:p>
    <w:p w14:paraId="3A2DA4AC" w14:textId="7E0FCB04" w:rsidR="00E04FB3" w:rsidRPr="00194C97" w:rsidRDefault="004B72CA" w:rsidP="00194C97">
      <w:pPr>
        <w:spacing w:before="0" w:after="0"/>
        <w:ind w:left="426"/>
        <w:rPr>
          <w:szCs w:val="20"/>
        </w:rPr>
      </w:pPr>
      <w:r w:rsidRPr="00753C44">
        <w:rPr>
          <w:szCs w:val="20"/>
        </w:rPr>
        <w:fldChar w:fldCharType="begin">
          <w:ffData>
            <w:name w:val="Check2"/>
            <w:enabled/>
            <w:calcOnExit w:val="0"/>
            <w:checkBox>
              <w:sizeAuto/>
              <w:default w:val="0"/>
            </w:checkBox>
          </w:ffData>
        </w:fldChar>
      </w:r>
      <w:r w:rsidR="00A6491A"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A6491A">
        <w:rPr>
          <w:szCs w:val="20"/>
        </w:rPr>
        <w:t xml:space="preserve"> No</w:t>
      </w:r>
      <w:r w:rsidR="00E04FB3" w:rsidRPr="00154B00">
        <w:rPr>
          <w:b/>
          <w:szCs w:val="20"/>
        </w:rPr>
        <w:br w:type="page"/>
      </w:r>
    </w:p>
    <w:p w14:paraId="04133454"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FCB25D2" w14:textId="77777777" w:rsidR="000B3CD0" w:rsidRDefault="000B3CD0" w:rsidP="00730C04">
      <w:pPr>
        <w:pStyle w:val="Heading2"/>
      </w:pPr>
      <w:r w:rsidRPr="00154B00">
        <w:t>Application title</w:t>
      </w:r>
      <w:r w:rsidR="00A8732C">
        <w:t xml:space="preserve"> </w:t>
      </w:r>
    </w:p>
    <w:p w14:paraId="5F76E90A" w14:textId="77777777" w:rsidR="0053555E" w:rsidRPr="0053555E" w:rsidRDefault="00E8581D" w:rsidP="00BE3218">
      <w:pPr>
        <w:ind w:left="360"/>
        <w:rPr>
          <w:rFonts w:cs="Calibri"/>
          <w:b/>
          <w:bCs/>
          <w:lang w:val="en-US" w:eastAsia="en-AU"/>
        </w:rPr>
      </w:pPr>
      <w:bookmarkStart w:id="2" w:name="_Hlk2678138"/>
      <w:r w:rsidRPr="001278A3">
        <w:rPr>
          <w:rFonts w:cs="Arial"/>
        </w:rPr>
        <w:t xml:space="preserve">YESCARTA™ </w:t>
      </w:r>
      <w:r>
        <w:rPr>
          <w:rFonts w:cs="Arial"/>
        </w:rPr>
        <w:t>(</w:t>
      </w:r>
      <w:r>
        <w:rPr>
          <w:rFonts w:cs="Calibri"/>
          <w:lang w:eastAsia="en-AU"/>
        </w:rPr>
        <w:t>a</w:t>
      </w:r>
      <w:r w:rsidR="00950D6C" w:rsidRPr="00696A2C">
        <w:rPr>
          <w:rFonts w:cs="Calibri"/>
          <w:lang w:eastAsia="en-AU"/>
        </w:rPr>
        <w:t>xicabtagene ciloleucel [KTE-C19])</w:t>
      </w:r>
      <w:r w:rsidR="00950D6C">
        <w:rPr>
          <w:rFonts w:cs="Calibri"/>
          <w:lang w:eastAsia="en-AU"/>
        </w:rPr>
        <w:t xml:space="preserve"> </w:t>
      </w:r>
      <w:r w:rsidR="0053555E" w:rsidRPr="0053555E">
        <w:rPr>
          <w:rFonts w:cs="Calibri"/>
          <w:bCs/>
          <w:lang w:val="en-US" w:eastAsia="en-AU"/>
        </w:rPr>
        <w:t>for</w:t>
      </w:r>
      <w:r w:rsidR="00E277E2">
        <w:rPr>
          <w:rFonts w:cs="Calibri"/>
          <w:bCs/>
          <w:lang w:val="en-US" w:eastAsia="en-AU"/>
        </w:rPr>
        <w:t xml:space="preserve"> the</w:t>
      </w:r>
      <w:r w:rsidR="0053555E" w:rsidRPr="0053555E">
        <w:rPr>
          <w:rFonts w:cs="Calibri"/>
          <w:bCs/>
          <w:lang w:val="en-US" w:eastAsia="en-AU"/>
        </w:rPr>
        <w:t xml:space="preserve"> treatment of refractory</w:t>
      </w:r>
      <w:r w:rsidR="00F82174">
        <w:rPr>
          <w:rFonts w:cs="Calibri"/>
          <w:bCs/>
          <w:lang w:val="en-US" w:eastAsia="en-AU"/>
        </w:rPr>
        <w:t xml:space="preserve"> or </w:t>
      </w:r>
      <w:r w:rsidR="0053555E" w:rsidRPr="0053555E">
        <w:rPr>
          <w:rFonts w:cs="Calibri"/>
          <w:bCs/>
          <w:lang w:val="en-US" w:eastAsia="en-AU"/>
        </w:rPr>
        <w:t>relapsed CD19-positive lymphoma</w:t>
      </w:r>
      <w:r w:rsidR="0053555E">
        <w:rPr>
          <w:rFonts w:cs="Calibri"/>
          <w:bCs/>
          <w:lang w:val="en-US" w:eastAsia="en-AU"/>
        </w:rPr>
        <w:t xml:space="preserve">. </w:t>
      </w:r>
    </w:p>
    <w:bookmarkEnd w:id="2"/>
    <w:p w14:paraId="6FD7194B"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9F24B55" w14:textId="77777777" w:rsidR="00FA2A52" w:rsidRPr="00FA2A52" w:rsidRDefault="00CB467D" w:rsidP="00E8581D">
      <w:pPr>
        <w:ind w:left="360"/>
        <w:rPr>
          <w:rFonts w:cs="Calibri"/>
          <w:lang w:eastAsia="en-AU"/>
        </w:rPr>
      </w:pPr>
      <w:bookmarkStart w:id="3" w:name="_Hlk1983182"/>
      <w:r>
        <w:rPr>
          <w:rFonts w:cs="Calibri"/>
          <w:lang w:eastAsia="en-AU"/>
        </w:rPr>
        <w:t>N</w:t>
      </w:r>
      <w:r w:rsidR="00B127CA">
        <w:rPr>
          <w:rFonts w:cs="Calibri"/>
          <w:lang w:eastAsia="en-AU"/>
        </w:rPr>
        <w:t>on-Hodgkin</w:t>
      </w:r>
      <w:r w:rsidR="00FA2A52" w:rsidRPr="00FA2A52">
        <w:rPr>
          <w:rFonts w:cs="Calibri"/>
          <w:lang w:eastAsia="en-AU"/>
        </w:rPr>
        <w:t xml:space="preserve"> lymphoma (NHL) comprises a heterogeneous group of cancers originating primarily in B lymphocytes (and, to a lesser extent, in T lymphocytes, and natural killer cells). The prognosis depends on the histologic type, stage, and treatment, along with other factors including the patient’s age and general health, whether there are certain changes in the genes, the amount of lactate dehydrogenase (LDH) in the blood, and whether the lymphoma has been newly diagnosed or has recurred (NCI, 2017).</w:t>
      </w:r>
    </w:p>
    <w:p w14:paraId="4F40C3BC" w14:textId="77777777" w:rsidR="00FA2A52" w:rsidRDefault="00FA2A52" w:rsidP="00FA2A52">
      <w:pPr>
        <w:ind w:left="360"/>
        <w:rPr>
          <w:rFonts w:cs="Calibri"/>
          <w:lang w:eastAsia="en-AU"/>
        </w:rPr>
      </w:pPr>
      <w:r w:rsidRPr="00FA2A52">
        <w:rPr>
          <w:rFonts w:cs="Calibri"/>
          <w:lang w:eastAsia="en-AU"/>
        </w:rPr>
        <w:t>Aggressive subtypes of B-cell NHL include diffuse large B-cell lymphoma (DLBCL), primary mediastinal B-cell lymphoma (PMBCL), and follicular lymphoma (FL) that has transformed histologically to DLBCL (hereafter referred to as transformed follicular lymphoma [TFL]).</w:t>
      </w:r>
    </w:p>
    <w:p w14:paraId="02A1E48F" w14:textId="77777777" w:rsidR="0011590F" w:rsidRPr="005D7E9B" w:rsidRDefault="00CC7F0E" w:rsidP="0067118F">
      <w:pPr>
        <w:ind w:left="360"/>
        <w:rPr>
          <w:b/>
        </w:rPr>
      </w:pPr>
      <w:r>
        <w:rPr>
          <w:rFonts w:cs="Calibri"/>
          <w:lang w:eastAsia="en-AU"/>
        </w:rPr>
        <w:t>A</w:t>
      </w:r>
      <w:r w:rsidRPr="00696A2C">
        <w:rPr>
          <w:rFonts w:cs="Calibri"/>
          <w:lang w:eastAsia="en-AU"/>
        </w:rPr>
        <w:t>xicabtagene ciloleucel</w:t>
      </w:r>
      <w:r w:rsidDel="00CC7F0E">
        <w:t xml:space="preserve"> </w:t>
      </w:r>
      <w:r>
        <w:t xml:space="preserve">is proposed for the treatment of relapsed or refractory </w:t>
      </w:r>
      <w:r w:rsidR="007544FA" w:rsidRPr="007544FA">
        <w:t>DLBCL</w:t>
      </w:r>
      <w:r w:rsidR="00FE01EC">
        <w:t>, including DLBCL</w:t>
      </w:r>
      <w:r w:rsidR="00024D52">
        <w:t xml:space="preserve"> </w:t>
      </w:r>
      <w:r w:rsidR="007544FA" w:rsidRPr="007544FA">
        <w:t>not otherwise specified</w:t>
      </w:r>
      <w:r>
        <w:t xml:space="preserve"> and </w:t>
      </w:r>
      <w:r w:rsidR="00CB467D" w:rsidRPr="007544FA">
        <w:t>high-grade</w:t>
      </w:r>
      <w:r w:rsidR="007544FA" w:rsidRPr="007544FA">
        <w:t xml:space="preserve"> B-cell lymphoma</w:t>
      </w:r>
      <w:r>
        <w:t xml:space="preserve">, </w:t>
      </w:r>
      <w:r w:rsidRPr="007544FA">
        <w:t>PMBCL</w:t>
      </w:r>
      <w:r>
        <w:t xml:space="preserve"> </w:t>
      </w:r>
      <w:r w:rsidR="007544FA" w:rsidRPr="007544FA">
        <w:t>and</w:t>
      </w:r>
      <w:r w:rsidR="0011590F">
        <w:t xml:space="preserve"> </w:t>
      </w:r>
      <w:r w:rsidR="00E3174E">
        <w:t>T</w:t>
      </w:r>
      <w:r w:rsidR="007544FA" w:rsidRPr="007544FA">
        <w:t>FL</w:t>
      </w:r>
      <w:r w:rsidR="00FE01EC">
        <w:t xml:space="preserve">. </w:t>
      </w:r>
    </w:p>
    <w:bookmarkEnd w:id="3"/>
    <w:p w14:paraId="17C9EC96"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w:t>
      </w:r>
      <w:r w:rsidR="00FA2A52">
        <w:t xml:space="preserve"> </w:t>
      </w:r>
      <w:r w:rsidR="00F93784">
        <w:t xml:space="preserve">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885F788" w14:textId="77777777" w:rsidR="00E8581D" w:rsidRDefault="00E8581D" w:rsidP="00BE3218">
      <w:pPr>
        <w:ind w:left="360"/>
        <w:rPr>
          <w:rFonts w:cs="Arial"/>
        </w:rPr>
      </w:pPr>
      <w:r>
        <w:rPr>
          <w:rFonts w:cs="Calibri"/>
          <w:lang w:eastAsia="en-AU"/>
        </w:rPr>
        <w:t>A</w:t>
      </w:r>
      <w:r w:rsidRPr="00696A2C">
        <w:rPr>
          <w:rFonts w:cs="Calibri"/>
          <w:lang w:eastAsia="en-AU"/>
        </w:rPr>
        <w:t>xicabtagene ciloleucel</w:t>
      </w:r>
      <w:r w:rsidRPr="001278A3">
        <w:rPr>
          <w:rFonts w:cs="Arial"/>
        </w:rPr>
        <w:t xml:space="preserve"> is </w:t>
      </w:r>
      <w:r>
        <w:rPr>
          <w:rFonts w:cs="Arial"/>
        </w:rPr>
        <w:t xml:space="preserve">a </w:t>
      </w:r>
      <w:r w:rsidRPr="001278A3">
        <w:rPr>
          <w:rFonts w:cs="Arial"/>
        </w:rPr>
        <w:t>chimeric antigen</w:t>
      </w:r>
      <w:r>
        <w:rPr>
          <w:rFonts w:cs="Arial"/>
        </w:rPr>
        <w:t xml:space="preserve"> receptor T</w:t>
      </w:r>
      <w:r w:rsidR="00A82901">
        <w:rPr>
          <w:rFonts w:cs="Arial"/>
        </w:rPr>
        <w:t>-</w:t>
      </w:r>
      <w:r>
        <w:rPr>
          <w:rFonts w:cs="Arial"/>
        </w:rPr>
        <w:t>cell (CAR</w:t>
      </w:r>
      <w:r w:rsidR="00A82901">
        <w:rPr>
          <w:rFonts w:cs="Arial"/>
        </w:rPr>
        <w:t>-</w:t>
      </w:r>
      <w:r>
        <w:rPr>
          <w:rFonts w:cs="Arial"/>
        </w:rPr>
        <w:t>T) therapy</w:t>
      </w:r>
      <w:r w:rsidRPr="001278A3">
        <w:rPr>
          <w:rFonts w:cs="Arial"/>
        </w:rPr>
        <w:t xml:space="preserve"> which can help to address </w:t>
      </w:r>
      <w:r>
        <w:rPr>
          <w:rFonts w:cs="Arial"/>
        </w:rPr>
        <w:t xml:space="preserve">the high </w:t>
      </w:r>
      <w:r w:rsidRPr="001278A3">
        <w:rPr>
          <w:rFonts w:cs="Arial"/>
        </w:rPr>
        <w:t>unmet need</w:t>
      </w:r>
      <w:r>
        <w:rPr>
          <w:rFonts w:cs="Arial"/>
        </w:rPr>
        <w:t xml:space="preserve"> in patients with </w:t>
      </w:r>
      <w:r w:rsidRPr="001278A3">
        <w:rPr>
          <w:rFonts w:cs="Arial"/>
        </w:rPr>
        <w:t>relapsed</w:t>
      </w:r>
      <w:r>
        <w:rPr>
          <w:rFonts w:cs="Arial"/>
        </w:rPr>
        <w:t xml:space="preserve"> or </w:t>
      </w:r>
      <w:r w:rsidRPr="001278A3">
        <w:rPr>
          <w:rFonts w:cs="Arial"/>
        </w:rPr>
        <w:t xml:space="preserve">refractory DLBCL, PMBCL </w:t>
      </w:r>
      <w:r>
        <w:rPr>
          <w:rFonts w:cs="Arial"/>
        </w:rPr>
        <w:t xml:space="preserve">or </w:t>
      </w:r>
      <w:r w:rsidRPr="001278A3">
        <w:rPr>
          <w:rFonts w:cs="Arial"/>
        </w:rPr>
        <w:t>TFL</w:t>
      </w:r>
      <w:r>
        <w:rPr>
          <w:rFonts w:cs="Arial"/>
        </w:rPr>
        <w:t>.</w:t>
      </w:r>
    </w:p>
    <w:p w14:paraId="0676005D" w14:textId="77777777" w:rsidR="00811928" w:rsidRDefault="007544FA" w:rsidP="00BE3218">
      <w:pPr>
        <w:ind w:left="360"/>
      </w:pPr>
      <w:r>
        <w:rPr>
          <w:rFonts w:cs="Calibri"/>
          <w:lang w:eastAsia="en-AU"/>
        </w:rPr>
        <w:t>A</w:t>
      </w:r>
      <w:r w:rsidRPr="00696A2C">
        <w:rPr>
          <w:rFonts w:cs="Calibri"/>
          <w:lang w:eastAsia="en-AU"/>
        </w:rPr>
        <w:t>xicabtagene ciloleucel</w:t>
      </w:r>
      <w:r w:rsidR="005D7E9B">
        <w:t xml:space="preserve"> is a CD19-directed genetically modified autologous T</w:t>
      </w:r>
      <w:r w:rsidR="00FE01EC">
        <w:t>-</w:t>
      </w:r>
      <w:r w:rsidR="005D7E9B">
        <w:t xml:space="preserve">cell immunotherapy. To prepare </w:t>
      </w:r>
      <w:r w:rsidR="004E559F" w:rsidRPr="00696A2C">
        <w:rPr>
          <w:rFonts w:cs="Calibri"/>
          <w:lang w:eastAsia="en-AU"/>
        </w:rPr>
        <w:t>axicabtagene ciloleucel</w:t>
      </w:r>
      <w:r w:rsidR="005D7E9B">
        <w:t>, patient’s own T</w:t>
      </w:r>
      <w:r w:rsidR="00FE01EC">
        <w:t>-</w:t>
      </w:r>
      <w:r w:rsidR="005D7E9B">
        <w:t>cells are harvested</w:t>
      </w:r>
      <w:r w:rsidR="005D7E9B" w:rsidRPr="005D7E9B">
        <w:t xml:space="preserve"> </w:t>
      </w:r>
      <w:r w:rsidR="005D7E9B">
        <w:t xml:space="preserve">via a standard leukapheresis procedure and genetically modified </w:t>
      </w:r>
      <w:r w:rsidR="005D7E9B" w:rsidRPr="002E1706">
        <w:rPr>
          <w:i/>
        </w:rPr>
        <w:t>ex</w:t>
      </w:r>
      <w:r w:rsidR="00FE01EC" w:rsidRPr="002E1706">
        <w:rPr>
          <w:i/>
        </w:rPr>
        <w:t>-</w:t>
      </w:r>
      <w:r w:rsidR="005D7E9B" w:rsidRPr="002E1706">
        <w:rPr>
          <w:i/>
        </w:rPr>
        <w:t>vivo</w:t>
      </w:r>
      <w:r w:rsidR="005D7E9B">
        <w:t xml:space="preserve"> by retroviral transduction to express a chimeric antigen receptor (CAR). The anti-CD19 CAR-positive viable T</w:t>
      </w:r>
      <w:r w:rsidR="00FE01EC">
        <w:t>-</w:t>
      </w:r>
      <w:r w:rsidR="005D7E9B">
        <w:t>cells are then expanded and infused back into the patient, where they can recognise and eliminate CD19 expressing target cells.</w:t>
      </w:r>
    </w:p>
    <w:p w14:paraId="77F8AF19" w14:textId="77777777" w:rsidR="00D11EB1" w:rsidRPr="0011036E" w:rsidRDefault="00E3174E" w:rsidP="004A0BF4">
      <w:pPr>
        <w:pStyle w:val="Heading2"/>
        <w:rPr>
          <w:rStyle w:val="Strong"/>
          <w:rFonts w:asciiTheme="minorHAnsi" w:eastAsiaTheme="minorHAnsi" w:hAnsiTheme="minorHAnsi" w:cstheme="minorBidi"/>
          <w:b/>
        </w:rPr>
      </w:pPr>
      <w:r w:rsidDel="00E3174E">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A623E95" w14:textId="77777777" w:rsidR="00753C44" w:rsidRDefault="004B72CA"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006B6390"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6B6390">
        <w:rPr>
          <w:szCs w:val="20"/>
        </w:rPr>
        <w:t xml:space="preserve"> Yes</w:t>
      </w:r>
    </w:p>
    <w:p w14:paraId="46078E34" w14:textId="77777777" w:rsidR="00235FFD" w:rsidRDefault="004B72CA" w:rsidP="00235FFD">
      <w:pPr>
        <w:spacing w:before="0" w:after="0"/>
        <w:ind w:left="284"/>
        <w:rPr>
          <w:szCs w:val="20"/>
        </w:rPr>
      </w:pPr>
      <w:r>
        <w:rPr>
          <w:szCs w:val="20"/>
        </w:rPr>
        <w:fldChar w:fldCharType="begin">
          <w:ffData>
            <w:name w:val=""/>
            <w:enabled/>
            <w:calcOnExit w:val="0"/>
            <w:checkBox>
              <w:sizeAuto/>
              <w:default w:val="1"/>
            </w:checkBox>
          </w:ffData>
        </w:fldChar>
      </w:r>
      <w:r w:rsidR="00D93832">
        <w:rPr>
          <w:szCs w:val="20"/>
        </w:rPr>
        <w:instrText xml:space="preserve"> FORMCHECKBOX </w:instrText>
      </w:r>
      <w:r w:rsidR="003136F9">
        <w:rPr>
          <w:szCs w:val="20"/>
        </w:rPr>
      </w:r>
      <w:r w:rsidR="003136F9">
        <w:rPr>
          <w:szCs w:val="20"/>
        </w:rPr>
        <w:fldChar w:fldCharType="separate"/>
      </w:r>
      <w:r>
        <w:rPr>
          <w:szCs w:val="20"/>
        </w:rPr>
        <w:fldChar w:fldCharType="end"/>
      </w:r>
      <w:r w:rsidR="006B6390">
        <w:rPr>
          <w:szCs w:val="20"/>
        </w:rPr>
        <w:t xml:space="preserve"> No</w:t>
      </w:r>
    </w:p>
    <w:p w14:paraId="2AE743F3" w14:textId="77777777" w:rsidR="00E8581D" w:rsidRDefault="003F2B5C" w:rsidP="00E92E45">
      <w:pPr>
        <w:spacing w:before="0" w:after="0"/>
        <w:ind w:left="720"/>
        <w:rPr>
          <w:szCs w:val="20"/>
        </w:rPr>
      </w:pPr>
      <w:r>
        <w:rPr>
          <w:szCs w:val="20"/>
        </w:rPr>
        <w:t>I</w:t>
      </w:r>
      <w:r w:rsidRPr="00F870F1">
        <w:rPr>
          <w:szCs w:val="20"/>
        </w:rPr>
        <w:t xml:space="preserve">t </w:t>
      </w:r>
      <w:r>
        <w:rPr>
          <w:szCs w:val="20"/>
        </w:rPr>
        <w:t xml:space="preserve">is Gilead’s understanding that neither </w:t>
      </w:r>
      <w:r w:rsidRPr="00696A2C">
        <w:rPr>
          <w:rFonts w:cs="Calibri"/>
          <w:lang w:eastAsia="en-AU"/>
        </w:rPr>
        <w:t>axicabtagene ciloleucel</w:t>
      </w:r>
      <w:r>
        <w:rPr>
          <w:szCs w:val="20"/>
        </w:rPr>
        <w:t>, nor the broader hybrid health technology, is currently eligible for funding through the MBS.</w:t>
      </w:r>
      <w:r w:rsidR="002C62F5">
        <w:rPr>
          <w:szCs w:val="20"/>
        </w:rPr>
        <w:t xml:space="preserve"> </w:t>
      </w:r>
      <w:r w:rsidR="006A291B" w:rsidRPr="006A291B">
        <w:rPr>
          <w:szCs w:val="20"/>
        </w:rPr>
        <w:t>Gilead seeks to work with the</w:t>
      </w:r>
      <w:r w:rsidR="006A291B" w:rsidRPr="006A291B">
        <w:rPr>
          <w:i/>
          <w:szCs w:val="20"/>
        </w:rPr>
        <w:t xml:space="preserve"> </w:t>
      </w:r>
      <w:r w:rsidR="006A291B" w:rsidRPr="006A291B">
        <w:rPr>
          <w:szCs w:val="20"/>
        </w:rPr>
        <w:t>Department of Health to consider which, if any, components of the therapy will be funded through current funding mechanisms.</w:t>
      </w:r>
    </w:p>
    <w:p w14:paraId="052679B4"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0179940" w14:textId="77777777" w:rsidR="00753C44" w:rsidRDefault="004B72CA"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006B6390"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145F0232" w14:textId="77777777" w:rsidR="00753C44" w:rsidRPr="00753C44" w:rsidRDefault="004B72CA"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006B6390"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6B6390">
        <w:rPr>
          <w:szCs w:val="20"/>
        </w:rPr>
        <w:t xml:space="preserve"> </w:t>
      </w:r>
      <w:r w:rsidR="00753C44" w:rsidRPr="00154B00">
        <w:rPr>
          <w:szCs w:val="20"/>
        </w:rPr>
        <w:t>New MBS item</w:t>
      </w:r>
      <w:r w:rsidR="00753C44">
        <w:rPr>
          <w:szCs w:val="20"/>
        </w:rPr>
        <w:t>(s)</w:t>
      </w:r>
    </w:p>
    <w:p w14:paraId="1BE3F8C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3CACD9F" w14:textId="77777777" w:rsidR="003D795C" w:rsidRPr="00CB12EC" w:rsidRDefault="00D93832" w:rsidP="00E92E45">
      <w:pPr>
        <w:ind w:left="426" w:firstLine="294"/>
      </w:pPr>
      <w:r>
        <w:t>Not applicable</w:t>
      </w:r>
      <w:r w:rsidR="00C47F81">
        <w:t>.</w:t>
      </w:r>
    </w:p>
    <w:p w14:paraId="663F0781" w14:textId="77777777" w:rsidR="006C0843"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B0FC94A" w14:textId="77777777" w:rsidR="00B81FA9" w:rsidRPr="00B81FA9" w:rsidRDefault="00B81FA9" w:rsidP="00E92E45">
      <w:pPr>
        <w:ind w:firstLine="720"/>
      </w:pPr>
      <w:r>
        <w:t>Not applicable</w:t>
      </w:r>
      <w:r w:rsidR="00C47F81">
        <w:t>.</w:t>
      </w:r>
    </w:p>
    <w:p w14:paraId="47A9E52A"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the way the service is clinically delivered under the existing item(s)</w:t>
      </w:r>
    </w:p>
    <w:p w14:paraId="5BC94875"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53EDA64A"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the schedule fee of the existing item(s)</w:t>
      </w:r>
    </w:p>
    <w:p w14:paraId="5F115367"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the time and complexity of an existing item(s)</w:t>
      </w:r>
    </w:p>
    <w:p w14:paraId="36B96D30"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Access to an existing item(s) by a different health practitioner group</w:t>
      </w:r>
    </w:p>
    <w:p w14:paraId="029E8AF4"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14:paraId="1745752E"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an existing specific single consultation item</w:t>
      </w:r>
    </w:p>
    <w:p w14:paraId="5EAD2494" w14:textId="77777777" w:rsidR="002A270B" w:rsidRPr="004A263B" w:rsidRDefault="004B72CA"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002A270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2A270B" w:rsidRPr="004A263B">
        <w:rPr>
          <w:b/>
          <w:szCs w:val="20"/>
        </w:rPr>
        <w:t xml:space="preserve"> </w:t>
      </w:r>
      <w:r w:rsidR="002A270B" w:rsidRPr="004A263B">
        <w:rPr>
          <w:rStyle w:val="Strong"/>
          <w:b w:val="0"/>
        </w:rPr>
        <w:t>An amendment to an existing global consultation item(s)</w:t>
      </w:r>
    </w:p>
    <w:p w14:paraId="33611B75" w14:textId="77777777" w:rsidR="002A270B" w:rsidRDefault="004B72CA"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004A263B" w:rsidRPr="004A263B">
        <w:rPr>
          <w:b/>
          <w:szCs w:val="20"/>
        </w:rPr>
        <w:instrText xml:space="preserve"> FORMCHECKBOX </w:instrText>
      </w:r>
      <w:r w:rsidR="003136F9">
        <w:rPr>
          <w:b/>
          <w:szCs w:val="20"/>
        </w:rPr>
      </w:r>
      <w:r w:rsidR="003136F9">
        <w:rPr>
          <w:b/>
          <w:szCs w:val="20"/>
        </w:rPr>
        <w:fldChar w:fldCharType="separate"/>
      </w:r>
      <w:r w:rsidRPr="004A263B">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14:paraId="2F671B3E" w14:textId="77777777" w:rsidR="002A270B" w:rsidRPr="00CB12EC" w:rsidRDefault="004B72CA" w:rsidP="00A6491A">
      <w:pPr>
        <w:ind w:left="284"/>
      </w:pPr>
      <w:r>
        <w:fldChar w:fldCharType="begin">
          <w:ffData>
            <w:name w:val=""/>
            <w:enabled/>
            <w:calcOnExit w:val="0"/>
            <w:textInput>
              <w:default w:val="Insert description of 'other' amendment here"/>
            </w:textInput>
          </w:ffData>
        </w:fldChar>
      </w:r>
      <w:r w:rsidR="00A6594E">
        <w:instrText xml:space="preserve"> FORMTEXT </w:instrText>
      </w:r>
      <w:r>
        <w:fldChar w:fldCharType="separate"/>
      </w:r>
      <w:r w:rsidR="00A6594E">
        <w:rPr>
          <w:noProof/>
        </w:rPr>
        <w:t>Insert description of 'other' amendment here</w:t>
      </w:r>
      <w:r>
        <w:fldChar w:fldCharType="end"/>
      </w:r>
    </w:p>
    <w:p w14:paraId="218CD4CB"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2CC3D39" w14:textId="77777777" w:rsidR="006B6390" w:rsidRPr="00AA2CFE" w:rsidRDefault="004B72CA"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3136F9">
        <w:rPr>
          <w:b/>
          <w:szCs w:val="20"/>
        </w:rPr>
      </w:r>
      <w:r w:rsidR="003136F9">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60558680" w14:textId="77777777" w:rsidR="006B6390" w:rsidRPr="00AA2CFE" w:rsidRDefault="004B72CA"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3136F9">
        <w:rPr>
          <w:b/>
          <w:szCs w:val="20"/>
        </w:rPr>
      </w:r>
      <w:r w:rsidR="003136F9">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4C15D1B0" w14:textId="77777777" w:rsidR="006B6390" w:rsidRPr="00AA2CFE" w:rsidRDefault="004B72CA"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3136F9">
        <w:rPr>
          <w:b/>
          <w:szCs w:val="20"/>
        </w:rPr>
      </w:r>
      <w:r w:rsidR="003136F9">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for a specific single consultation item</w:t>
      </w:r>
    </w:p>
    <w:p w14:paraId="7C1A2A12" w14:textId="77777777" w:rsidR="006B6390" w:rsidRPr="00AA2CFE" w:rsidRDefault="004B72CA"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006B6390" w:rsidRPr="00AA2CFE">
        <w:rPr>
          <w:b/>
          <w:szCs w:val="20"/>
        </w:rPr>
        <w:instrText xml:space="preserve"> FORMCHECKBOX </w:instrText>
      </w:r>
      <w:r w:rsidR="003136F9">
        <w:rPr>
          <w:b/>
          <w:szCs w:val="20"/>
        </w:rPr>
      </w:r>
      <w:r w:rsidR="003136F9">
        <w:rPr>
          <w:b/>
          <w:szCs w:val="20"/>
        </w:rPr>
        <w:fldChar w:fldCharType="separate"/>
      </w:r>
      <w:r w:rsidRPr="00AA2CFE">
        <w:rPr>
          <w:b/>
          <w:szCs w:val="20"/>
        </w:rPr>
        <w:fldChar w:fldCharType="end"/>
      </w:r>
      <w:r w:rsidR="006B6390" w:rsidRPr="00AA2CFE">
        <w:rPr>
          <w:b/>
          <w:szCs w:val="20"/>
        </w:rPr>
        <w:t xml:space="preserve"> </w:t>
      </w:r>
      <w:r w:rsidR="006B6390" w:rsidRPr="00AA2CFE">
        <w:rPr>
          <w:rStyle w:val="Strong"/>
          <w:b w:val="0"/>
        </w:rPr>
        <w:t>A new item for a global consultation item(s)</w:t>
      </w:r>
    </w:p>
    <w:p w14:paraId="12CCEC47"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A911D75" w14:textId="77777777" w:rsidR="000A5B32" w:rsidRDefault="004B72CA" w:rsidP="00A6491A">
      <w:pPr>
        <w:spacing w:before="0" w:after="0"/>
        <w:ind w:left="284"/>
        <w:rPr>
          <w:szCs w:val="20"/>
        </w:rPr>
      </w:pPr>
      <w:r>
        <w:rPr>
          <w:szCs w:val="20"/>
        </w:rPr>
        <w:fldChar w:fldCharType="begin">
          <w:ffData>
            <w:name w:val=""/>
            <w:enabled/>
            <w:calcOnExit w:val="0"/>
            <w:checkBox>
              <w:sizeAuto/>
              <w:default w:val="1"/>
            </w:checkBox>
          </w:ffData>
        </w:fldChar>
      </w:r>
      <w:r w:rsidR="00B9101C">
        <w:rPr>
          <w:szCs w:val="20"/>
        </w:rPr>
        <w:instrText xml:space="preserve"> FORMCHECKBOX </w:instrText>
      </w:r>
      <w:r w:rsidR="003136F9">
        <w:rPr>
          <w:szCs w:val="20"/>
        </w:rPr>
      </w:r>
      <w:r w:rsidR="003136F9">
        <w:rPr>
          <w:szCs w:val="20"/>
        </w:rPr>
        <w:fldChar w:fldCharType="separate"/>
      </w:r>
      <w:r>
        <w:rPr>
          <w:szCs w:val="20"/>
        </w:rPr>
        <w:fldChar w:fldCharType="end"/>
      </w:r>
      <w:r w:rsidR="000A5B32" w:rsidRPr="000A5B32">
        <w:rPr>
          <w:szCs w:val="20"/>
        </w:rPr>
        <w:t xml:space="preserve"> Yes</w:t>
      </w:r>
    </w:p>
    <w:p w14:paraId="0C23FE27" w14:textId="77777777" w:rsidR="00626365" w:rsidRDefault="004B72CA" w:rsidP="00626365">
      <w:pPr>
        <w:spacing w:before="0" w:after="0"/>
        <w:ind w:left="284"/>
        <w:rPr>
          <w:szCs w:val="20"/>
        </w:rPr>
      </w:pPr>
      <w:r>
        <w:rPr>
          <w:szCs w:val="20"/>
        </w:rPr>
        <w:fldChar w:fldCharType="begin">
          <w:ffData>
            <w:name w:val=""/>
            <w:enabled/>
            <w:calcOnExit w:val="0"/>
            <w:checkBox>
              <w:sizeAuto/>
              <w:default w:val="0"/>
            </w:checkBox>
          </w:ffData>
        </w:fldChar>
      </w:r>
      <w:r w:rsidR="00D93832">
        <w:rPr>
          <w:szCs w:val="20"/>
        </w:rPr>
        <w:instrText xml:space="preserve"> FORMCHECKBOX </w:instrText>
      </w:r>
      <w:r w:rsidR="003136F9">
        <w:rPr>
          <w:szCs w:val="20"/>
        </w:rPr>
      </w:r>
      <w:r w:rsidR="003136F9">
        <w:rPr>
          <w:szCs w:val="20"/>
        </w:rPr>
        <w:fldChar w:fldCharType="separate"/>
      </w:r>
      <w:r>
        <w:rPr>
          <w:szCs w:val="20"/>
        </w:rPr>
        <w:fldChar w:fldCharType="end"/>
      </w:r>
      <w:r w:rsidR="000A5B32" w:rsidRPr="000A5B32">
        <w:rPr>
          <w:szCs w:val="20"/>
        </w:rPr>
        <w:t xml:space="preserve"> No</w:t>
      </w:r>
    </w:p>
    <w:p w14:paraId="5BD9E02E"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78183736" w14:textId="16B4CA96" w:rsidR="006A291B" w:rsidRPr="00194C97" w:rsidRDefault="00FE01EC" w:rsidP="00194C97">
      <w:pPr>
        <w:spacing w:before="0"/>
        <w:ind w:left="720"/>
        <w:rPr>
          <w:rFonts w:ascii="Calibri" w:eastAsia="Calibri" w:hAnsi="Calibri" w:cs="Times New Roman"/>
          <w:szCs w:val="20"/>
        </w:rPr>
      </w:pPr>
      <w:r>
        <w:rPr>
          <w:rFonts w:ascii="Calibri" w:eastAsia="Calibri" w:hAnsi="Calibri" w:cs="Times New Roman"/>
          <w:szCs w:val="20"/>
        </w:rPr>
        <w:t>A</w:t>
      </w:r>
      <w:r w:rsidRPr="00B9101C">
        <w:rPr>
          <w:rFonts w:ascii="Calibri" w:eastAsia="Calibri" w:hAnsi="Calibri" w:cs="Times New Roman"/>
          <w:szCs w:val="20"/>
        </w:rPr>
        <w:t xml:space="preserve">t </w:t>
      </w:r>
      <w:r>
        <w:rPr>
          <w:rFonts w:ascii="Calibri" w:eastAsia="Calibri" w:hAnsi="Calibri" w:cs="Times New Roman"/>
          <w:szCs w:val="20"/>
        </w:rPr>
        <w:t xml:space="preserve">the </w:t>
      </w:r>
      <w:r w:rsidRPr="00B9101C">
        <w:rPr>
          <w:rFonts w:ascii="Calibri" w:eastAsia="Calibri" w:hAnsi="Calibri" w:cs="Times New Roman"/>
          <w:szCs w:val="20"/>
        </w:rPr>
        <w:t xml:space="preserve">time of </w:t>
      </w:r>
      <w:r>
        <w:rPr>
          <w:rFonts w:ascii="Calibri" w:eastAsia="Calibri" w:hAnsi="Calibri" w:cs="Times New Roman"/>
          <w:szCs w:val="20"/>
        </w:rPr>
        <w:t>completing</w:t>
      </w:r>
      <w:r w:rsidRPr="00B9101C">
        <w:rPr>
          <w:rFonts w:ascii="Calibri" w:eastAsia="Calibri" w:hAnsi="Calibri" w:cs="Times New Roman"/>
          <w:szCs w:val="20"/>
        </w:rPr>
        <w:t xml:space="preserve"> this application form</w:t>
      </w:r>
      <w:r>
        <w:rPr>
          <w:rFonts w:ascii="Calibri" w:eastAsia="Calibri" w:hAnsi="Calibri" w:cs="Times New Roman"/>
          <w:szCs w:val="20"/>
        </w:rPr>
        <w:t>, t</w:t>
      </w:r>
      <w:r w:rsidR="00B9101C" w:rsidRPr="00B9101C">
        <w:rPr>
          <w:szCs w:val="20"/>
        </w:rPr>
        <w:t xml:space="preserve">he public funding mechanism for </w:t>
      </w:r>
      <w:r w:rsidR="004E559F">
        <w:rPr>
          <w:szCs w:val="20"/>
        </w:rPr>
        <w:t>a</w:t>
      </w:r>
      <w:r w:rsidR="00B9101C" w:rsidRPr="00B9101C">
        <w:rPr>
          <w:rFonts w:cs="Calibri"/>
          <w:szCs w:val="20"/>
          <w:lang w:eastAsia="en-AU"/>
        </w:rPr>
        <w:t>xicabtagene ciloleucel</w:t>
      </w:r>
      <w:r w:rsidR="00B9101C" w:rsidRPr="00B9101C">
        <w:rPr>
          <w:rFonts w:ascii="Calibri" w:eastAsia="Calibri" w:hAnsi="Calibri" w:cs="Times New Roman"/>
          <w:szCs w:val="20"/>
        </w:rPr>
        <w:t xml:space="preserve"> </w:t>
      </w:r>
      <w:r>
        <w:rPr>
          <w:rFonts w:ascii="Calibri" w:eastAsia="Calibri" w:hAnsi="Calibri" w:cs="Times New Roman"/>
          <w:szCs w:val="20"/>
        </w:rPr>
        <w:t>was</w:t>
      </w:r>
      <w:r w:rsidR="00B9101C" w:rsidRPr="00B9101C">
        <w:rPr>
          <w:rFonts w:ascii="Calibri" w:eastAsia="Calibri" w:hAnsi="Calibri" w:cs="Times New Roman"/>
          <w:szCs w:val="20"/>
        </w:rPr>
        <w:t xml:space="preserve"> yet to be determined</w:t>
      </w:r>
      <w:r>
        <w:rPr>
          <w:rFonts w:ascii="Calibri" w:eastAsia="Calibri" w:hAnsi="Calibri" w:cs="Times New Roman"/>
          <w:szCs w:val="20"/>
        </w:rPr>
        <w:t xml:space="preserve">. </w:t>
      </w:r>
      <w:r w:rsidR="00C86CEC">
        <w:rPr>
          <w:rFonts w:ascii="Calibri" w:eastAsia="Calibri" w:hAnsi="Calibri" w:cs="Times New Roman"/>
          <w:szCs w:val="20"/>
        </w:rPr>
        <w:t>Gilead is committed to working with the Department of Health to facilitate public funding for this important therapy.</w:t>
      </w:r>
    </w:p>
    <w:p w14:paraId="540B0329" w14:textId="77777777" w:rsidR="00E8581D" w:rsidRDefault="00E8581D" w:rsidP="00E92E45">
      <w:pPr>
        <w:spacing w:before="0" w:after="0"/>
        <w:ind w:left="720"/>
        <w:rPr>
          <w:szCs w:val="20"/>
        </w:rPr>
      </w:pPr>
      <w:r>
        <w:rPr>
          <w:szCs w:val="20"/>
        </w:rPr>
        <w:t>I</w:t>
      </w:r>
      <w:r w:rsidRPr="00F870F1">
        <w:rPr>
          <w:szCs w:val="20"/>
        </w:rPr>
        <w:t xml:space="preserve">t </w:t>
      </w:r>
      <w:r>
        <w:rPr>
          <w:szCs w:val="20"/>
        </w:rPr>
        <w:t xml:space="preserve">is Gilead’s understanding that </w:t>
      </w:r>
      <w:r w:rsidRPr="00696A2C">
        <w:rPr>
          <w:rFonts w:cs="Calibri"/>
          <w:lang w:eastAsia="en-AU"/>
        </w:rPr>
        <w:t>axicabtagene ciloleucel</w:t>
      </w:r>
      <w:r>
        <w:rPr>
          <w:szCs w:val="20"/>
        </w:rPr>
        <w:t xml:space="preserve"> is</w:t>
      </w:r>
      <w:r w:rsidR="00DC2442">
        <w:rPr>
          <w:szCs w:val="20"/>
        </w:rPr>
        <w:t xml:space="preserve"> not</w:t>
      </w:r>
      <w:r>
        <w:rPr>
          <w:szCs w:val="20"/>
        </w:rPr>
        <w:t xml:space="preserve"> currently eligible for funding through the Pharmaceutical Benefits Scheme (PBS).</w:t>
      </w:r>
      <w:r w:rsidRPr="00E8581D">
        <w:rPr>
          <w:rFonts w:ascii="Calibri" w:eastAsia="Calibri" w:hAnsi="Calibri" w:cs="Times New Roman"/>
          <w:szCs w:val="20"/>
        </w:rPr>
        <w:t xml:space="preserve"> Gilead seeks to work with the</w:t>
      </w:r>
      <w:r w:rsidRPr="00E8581D">
        <w:rPr>
          <w:rFonts w:ascii="Calibri" w:eastAsia="Calibri" w:hAnsi="Calibri" w:cs="Times New Roman"/>
          <w:i/>
          <w:szCs w:val="20"/>
        </w:rPr>
        <w:t xml:space="preserve"> </w:t>
      </w:r>
      <w:r w:rsidRPr="00E8581D">
        <w:rPr>
          <w:rFonts w:ascii="Calibri" w:eastAsia="Calibri" w:hAnsi="Calibri" w:cs="Times New Roman"/>
          <w:szCs w:val="20"/>
        </w:rPr>
        <w:t>Department of Health to consider which, if any, components of the therapy will be funded through current funding mechanisms.</w:t>
      </w:r>
    </w:p>
    <w:p w14:paraId="45850F24" w14:textId="77777777" w:rsidR="000B3CD0" w:rsidRDefault="000B3CD0" w:rsidP="00730C04">
      <w:pPr>
        <w:pStyle w:val="Heading2"/>
      </w:pPr>
      <w:r w:rsidRPr="00154B00">
        <w:t>What is the type of service:</w:t>
      </w:r>
    </w:p>
    <w:p w14:paraId="1CA2AA5A" w14:textId="77777777" w:rsidR="00A6594E"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A6594E" w:rsidRPr="0027105F">
        <w:rPr>
          <w:b/>
          <w:szCs w:val="20"/>
        </w:rPr>
        <w:t xml:space="preserve"> </w:t>
      </w:r>
      <w:r w:rsidR="00A6594E">
        <w:t>Therapeutic medical service</w:t>
      </w:r>
    </w:p>
    <w:p w14:paraId="276E031B" w14:textId="77777777" w:rsidR="00A6594E"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A6594E" w:rsidRPr="0027105F">
        <w:rPr>
          <w:b/>
          <w:szCs w:val="20"/>
        </w:rPr>
        <w:t xml:space="preserve"> </w:t>
      </w:r>
      <w:r w:rsidR="00A6594E">
        <w:t>Investigative medical service</w:t>
      </w:r>
    </w:p>
    <w:p w14:paraId="4279F66E" w14:textId="77777777" w:rsidR="00A6594E"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A6594E" w:rsidRPr="0027105F">
        <w:rPr>
          <w:b/>
          <w:szCs w:val="20"/>
        </w:rPr>
        <w:t xml:space="preserve"> </w:t>
      </w:r>
      <w:r w:rsidR="00A6594E">
        <w:t>Single consultation medical service</w:t>
      </w:r>
    </w:p>
    <w:p w14:paraId="5BEFA8B6" w14:textId="77777777" w:rsidR="00A6594E"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A6594E" w:rsidRPr="0027105F">
        <w:rPr>
          <w:b/>
          <w:szCs w:val="20"/>
        </w:rPr>
        <w:t xml:space="preserve"> </w:t>
      </w:r>
      <w:r w:rsidR="00A6594E">
        <w:t>Global consultation medical service</w:t>
      </w:r>
    </w:p>
    <w:p w14:paraId="1428244A" w14:textId="77777777" w:rsidR="00A6594E"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A6594E" w:rsidRPr="0027105F">
        <w:rPr>
          <w:b/>
          <w:szCs w:val="20"/>
        </w:rPr>
        <w:t xml:space="preserve"> </w:t>
      </w:r>
      <w:r w:rsidR="00A6594E">
        <w:t>Allied health service</w:t>
      </w:r>
    </w:p>
    <w:p w14:paraId="6304DA03" w14:textId="77777777" w:rsidR="00A6594E"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A6594E"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A6594E" w:rsidRPr="0027105F">
        <w:rPr>
          <w:b/>
          <w:szCs w:val="20"/>
        </w:rPr>
        <w:t xml:space="preserve"> </w:t>
      </w:r>
      <w:r w:rsidR="00A6594E">
        <w:t>Co-dependent technology</w:t>
      </w:r>
    </w:p>
    <w:p w14:paraId="4C2C8898" w14:textId="77777777" w:rsidR="00A6594E" w:rsidRPr="00A6594E" w:rsidRDefault="004B72CA" w:rsidP="00A6491A">
      <w:pPr>
        <w:spacing w:before="0" w:after="0"/>
        <w:ind w:left="284"/>
      </w:pPr>
      <w:r>
        <w:rPr>
          <w:b/>
          <w:szCs w:val="20"/>
        </w:rPr>
        <w:fldChar w:fldCharType="begin">
          <w:ffData>
            <w:name w:val=""/>
            <w:enabled/>
            <w:calcOnExit w:val="0"/>
            <w:checkBox>
              <w:sizeAuto/>
              <w:default w:val="1"/>
            </w:checkBox>
          </w:ffData>
        </w:fldChar>
      </w:r>
      <w:r w:rsidR="00D93832">
        <w:rPr>
          <w:b/>
          <w:szCs w:val="20"/>
        </w:rPr>
        <w:instrText xml:space="preserve"> FORMCHECKBOX </w:instrText>
      </w:r>
      <w:r w:rsidR="003136F9">
        <w:rPr>
          <w:b/>
          <w:szCs w:val="20"/>
        </w:rPr>
      </w:r>
      <w:r w:rsidR="003136F9">
        <w:rPr>
          <w:b/>
          <w:szCs w:val="20"/>
        </w:rPr>
        <w:fldChar w:fldCharType="separate"/>
      </w:r>
      <w:r>
        <w:rPr>
          <w:b/>
          <w:szCs w:val="20"/>
        </w:rPr>
        <w:fldChar w:fldCharType="end"/>
      </w:r>
      <w:r w:rsidR="00A6594E" w:rsidRPr="0027105F">
        <w:rPr>
          <w:b/>
          <w:szCs w:val="20"/>
        </w:rPr>
        <w:t xml:space="preserve"> </w:t>
      </w:r>
      <w:r w:rsidR="00A6594E">
        <w:t>Hybrid health technology</w:t>
      </w:r>
    </w:p>
    <w:p w14:paraId="63811173"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98747A2" w14:textId="77777777" w:rsidR="00B81FA9" w:rsidRPr="00B81FA9" w:rsidRDefault="00B81FA9" w:rsidP="00BE3218">
      <w:pPr>
        <w:ind w:firstLine="360"/>
      </w:pPr>
      <w:r>
        <w:t>Not applicable</w:t>
      </w:r>
      <w:r w:rsidR="00C47F81">
        <w:t>.</w:t>
      </w:r>
    </w:p>
    <w:p w14:paraId="05D41069" w14:textId="77777777" w:rsidR="00A6594E" w:rsidRDefault="004B72CA"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3136F9">
        <w:rPr>
          <w:b/>
          <w:szCs w:val="20"/>
        </w:rPr>
      </w:r>
      <w:r w:rsidR="003136F9">
        <w:rPr>
          <w:b/>
          <w:szCs w:val="20"/>
        </w:rPr>
        <w:fldChar w:fldCharType="separate"/>
      </w:r>
      <w:r w:rsidRPr="00AF4466">
        <w:rPr>
          <w:b/>
          <w:szCs w:val="20"/>
        </w:rPr>
        <w:fldChar w:fldCharType="end"/>
      </w:r>
      <w:r w:rsidR="00A6594E" w:rsidRPr="00AF4466">
        <w:rPr>
          <w:b/>
          <w:szCs w:val="20"/>
        </w:rPr>
        <w:t xml:space="preserve"> </w:t>
      </w:r>
      <w:r w:rsidR="00A6594E">
        <w:t xml:space="preserve">To be used as a screening tool in asymptomatic populations </w:t>
      </w:r>
    </w:p>
    <w:p w14:paraId="3386379B" w14:textId="77777777" w:rsidR="00A6594E" w:rsidRDefault="004B72CA"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3136F9">
        <w:rPr>
          <w:b/>
          <w:szCs w:val="20"/>
        </w:rPr>
      </w:r>
      <w:r w:rsidR="003136F9">
        <w:rPr>
          <w:b/>
          <w:szCs w:val="20"/>
        </w:rPr>
        <w:fldChar w:fldCharType="separate"/>
      </w:r>
      <w:r w:rsidRPr="00AF4466">
        <w:rPr>
          <w:b/>
          <w:szCs w:val="20"/>
        </w:rPr>
        <w:fldChar w:fldCharType="end"/>
      </w:r>
      <w:r w:rsidR="00A6594E" w:rsidRPr="00AF4466">
        <w:rPr>
          <w:b/>
          <w:szCs w:val="20"/>
        </w:rPr>
        <w:t xml:space="preserve"> </w:t>
      </w:r>
      <w:r w:rsidR="00A6594E">
        <w:t>Assists in establishing a diagnosis in symptomatic patients</w:t>
      </w:r>
    </w:p>
    <w:p w14:paraId="3F0FF646" w14:textId="77777777" w:rsidR="00A6594E" w:rsidRDefault="004B72CA"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3136F9">
        <w:rPr>
          <w:b/>
          <w:szCs w:val="20"/>
        </w:rPr>
      </w:r>
      <w:r w:rsidR="003136F9">
        <w:rPr>
          <w:b/>
          <w:szCs w:val="20"/>
        </w:rPr>
        <w:fldChar w:fldCharType="separate"/>
      </w:r>
      <w:r w:rsidRPr="00AF4466">
        <w:rPr>
          <w:b/>
          <w:szCs w:val="20"/>
        </w:rPr>
        <w:fldChar w:fldCharType="end"/>
      </w:r>
      <w:r w:rsidR="00A6594E" w:rsidRPr="00AF4466">
        <w:rPr>
          <w:b/>
          <w:szCs w:val="20"/>
        </w:rPr>
        <w:t xml:space="preserve"> </w:t>
      </w:r>
      <w:r w:rsidR="00A6594E">
        <w:t>Provides information about prognosis</w:t>
      </w:r>
    </w:p>
    <w:p w14:paraId="6267A169" w14:textId="77777777" w:rsidR="00A6594E" w:rsidRDefault="004B72CA"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3136F9">
        <w:rPr>
          <w:b/>
          <w:szCs w:val="20"/>
        </w:rPr>
      </w:r>
      <w:r w:rsidR="003136F9">
        <w:rPr>
          <w:b/>
          <w:szCs w:val="20"/>
        </w:rPr>
        <w:fldChar w:fldCharType="separate"/>
      </w:r>
      <w:r w:rsidRPr="00AF4466">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3CA82C03" w14:textId="77777777" w:rsidR="00A6594E" w:rsidRPr="00A6594E" w:rsidRDefault="004B72CA"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00A6594E" w:rsidRPr="00AF4466">
        <w:rPr>
          <w:b/>
          <w:szCs w:val="20"/>
        </w:rPr>
        <w:instrText xml:space="preserve"> FORMCHECKBOX </w:instrText>
      </w:r>
      <w:r w:rsidR="003136F9">
        <w:rPr>
          <w:b/>
          <w:szCs w:val="20"/>
        </w:rPr>
      </w:r>
      <w:r w:rsidR="003136F9">
        <w:rPr>
          <w:b/>
          <w:szCs w:val="20"/>
        </w:rPr>
        <w:fldChar w:fldCharType="separate"/>
      </w:r>
      <w:r w:rsidRPr="00AF4466">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1AAD340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01B1A838" w14:textId="77777777" w:rsidR="00FE16C1" w:rsidRDefault="004B72CA" w:rsidP="00A6491A">
      <w:pPr>
        <w:spacing w:before="0" w:after="0"/>
        <w:ind w:left="284"/>
      </w:pPr>
      <w:r>
        <w:rPr>
          <w:b/>
          <w:szCs w:val="20"/>
        </w:rPr>
        <w:fldChar w:fldCharType="begin">
          <w:ffData>
            <w:name w:val=""/>
            <w:enabled/>
            <w:calcOnExit w:val="0"/>
            <w:checkBox>
              <w:sizeAuto/>
              <w:default w:val="1"/>
            </w:checkBox>
          </w:ffData>
        </w:fldChar>
      </w:r>
      <w:r w:rsidR="00D93832">
        <w:rPr>
          <w:b/>
          <w:szCs w:val="20"/>
        </w:rPr>
        <w:instrText xml:space="preserve"> FORMCHECKBOX </w:instrText>
      </w:r>
      <w:r w:rsidR="003136F9">
        <w:rPr>
          <w:b/>
          <w:szCs w:val="20"/>
        </w:rPr>
      </w:r>
      <w:r w:rsidR="003136F9">
        <w:rPr>
          <w:b/>
          <w:szCs w:val="20"/>
        </w:rPr>
        <w:fldChar w:fldCharType="separate"/>
      </w:r>
      <w:r>
        <w:rPr>
          <w:b/>
          <w:szCs w:val="20"/>
        </w:rPr>
        <w:fldChar w:fldCharType="end"/>
      </w:r>
      <w:r w:rsidR="00FE16C1" w:rsidRPr="0027105F">
        <w:rPr>
          <w:b/>
          <w:szCs w:val="20"/>
        </w:rPr>
        <w:t xml:space="preserve"> </w:t>
      </w:r>
      <w:r w:rsidR="00FE16C1">
        <w:t>Pharmaceutical / Biological</w:t>
      </w:r>
    </w:p>
    <w:p w14:paraId="178F1E40" w14:textId="77777777" w:rsidR="00FE16C1"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FE16C1"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FE16C1" w:rsidRPr="0027105F">
        <w:rPr>
          <w:b/>
          <w:szCs w:val="20"/>
        </w:rPr>
        <w:t xml:space="preserve"> </w:t>
      </w:r>
      <w:r w:rsidR="00FE16C1">
        <w:t>Prosthesis or device</w:t>
      </w:r>
    </w:p>
    <w:p w14:paraId="68882FAD" w14:textId="77777777" w:rsidR="00FE16C1" w:rsidRPr="00FE16C1" w:rsidRDefault="004B72CA" w:rsidP="00A6491A">
      <w:pPr>
        <w:spacing w:before="0" w:after="0"/>
        <w:ind w:left="284"/>
      </w:pPr>
      <w:r w:rsidRPr="0027105F">
        <w:rPr>
          <w:b/>
          <w:szCs w:val="20"/>
        </w:rPr>
        <w:fldChar w:fldCharType="begin">
          <w:ffData>
            <w:name w:val="Check2"/>
            <w:enabled/>
            <w:calcOnExit w:val="0"/>
            <w:checkBox>
              <w:sizeAuto/>
              <w:default w:val="0"/>
            </w:checkBox>
          </w:ffData>
        </w:fldChar>
      </w:r>
      <w:r w:rsidR="00FE16C1" w:rsidRPr="0027105F">
        <w:rPr>
          <w:b/>
          <w:szCs w:val="20"/>
        </w:rPr>
        <w:instrText xml:space="preserve"> FORMCHECKBOX </w:instrText>
      </w:r>
      <w:r w:rsidR="003136F9">
        <w:rPr>
          <w:b/>
          <w:szCs w:val="20"/>
        </w:rPr>
      </w:r>
      <w:r w:rsidR="003136F9">
        <w:rPr>
          <w:b/>
          <w:szCs w:val="20"/>
        </w:rPr>
        <w:fldChar w:fldCharType="separate"/>
      </w:r>
      <w:r w:rsidRPr="0027105F">
        <w:rPr>
          <w:b/>
          <w:szCs w:val="20"/>
        </w:rPr>
        <w:fldChar w:fldCharType="end"/>
      </w:r>
      <w:r w:rsidR="00FE16C1" w:rsidRPr="0027105F">
        <w:rPr>
          <w:b/>
          <w:szCs w:val="20"/>
        </w:rPr>
        <w:t xml:space="preserve"> </w:t>
      </w:r>
      <w:r w:rsidR="00FE16C1">
        <w:t>No</w:t>
      </w:r>
    </w:p>
    <w:p w14:paraId="4B99FA0E" w14:textId="77777777" w:rsidR="000E5439" w:rsidRPr="001E6958" w:rsidRDefault="00530204" w:rsidP="001741C6">
      <w:pPr>
        <w:pStyle w:val="Heading2"/>
        <w:keepNext/>
        <w:keepLines/>
      </w:pPr>
      <w:r>
        <w:lastRenderedPageBreak/>
        <w:t xml:space="preserve">(a)  </w:t>
      </w:r>
      <w:r w:rsidR="000E5439" w:rsidRPr="001E6958">
        <w:t>If the proposed service has a pharmaceutical component to it, is it already covered under an existing Pharmaceutical Benefits Scheme (PBS) listing?</w:t>
      </w:r>
    </w:p>
    <w:p w14:paraId="6D1ACEBD" w14:textId="77777777" w:rsidR="00FE16C1" w:rsidRDefault="004B72CA" w:rsidP="001741C6">
      <w:pPr>
        <w:keepNext/>
        <w:keepLines/>
        <w:spacing w:before="0" w:after="0"/>
        <w:ind w:left="284"/>
        <w:rPr>
          <w:szCs w:val="20"/>
        </w:rPr>
      </w:pPr>
      <w:r>
        <w:rPr>
          <w:szCs w:val="20"/>
        </w:rPr>
        <w:fldChar w:fldCharType="begin">
          <w:ffData>
            <w:name w:val=""/>
            <w:enabled/>
            <w:calcOnExit w:val="0"/>
            <w:checkBox>
              <w:sizeAuto/>
              <w:default w:val="1"/>
            </w:checkBox>
          </w:ffData>
        </w:fldChar>
      </w:r>
      <w:r w:rsidR="00F7661C">
        <w:rPr>
          <w:szCs w:val="20"/>
        </w:rPr>
        <w:instrText xml:space="preserve"> FORMCHECKBOX </w:instrText>
      </w:r>
      <w:r w:rsidR="003136F9">
        <w:rPr>
          <w:szCs w:val="20"/>
        </w:rPr>
      </w:r>
      <w:r w:rsidR="003136F9">
        <w:rPr>
          <w:szCs w:val="20"/>
        </w:rPr>
        <w:fldChar w:fldCharType="separate"/>
      </w:r>
      <w:r>
        <w:rPr>
          <w:szCs w:val="20"/>
        </w:rPr>
        <w:fldChar w:fldCharType="end"/>
      </w:r>
      <w:r w:rsidR="00FE16C1" w:rsidRPr="000A5B32">
        <w:rPr>
          <w:szCs w:val="20"/>
        </w:rPr>
        <w:t xml:space="preserve"> Yes</w:t>
      </w:r>
    </w:p>
    <w:p w14:paraId="3F1753B5" w14:textId="085636B0" w:rsidR="006F5F43" w:rsidRDefault="00B81FA9" w:rsidP="00194C97">
      <w:pPr>
        <w:keepNext/>
        <w:keepLines/>
        <w:spacing w:before="0"/>
        <w:ind w:left="720"/>
        <w:rPr>
          <w:szCs w:val="20"/>
        </w:rPr>
      </w:pPr>
      <w:r>
        <w:rPr>
          <w:szCs w:val="20"/>
        </w:rPr>
        <w:t>A l</w:t>
      </w:r>
      <w:r w:rsidRPr="00B81FA9">
        <w:rPr>
          <w:szCs w:val="20"/>
        </w:rPr>
        <w:t>ymphodepleting chemotherapy regimen consisting of</w:t>
      </w:r>
      <w:r>
        <w:rPr>
          <w:szCs w:val="20"/>
        </w:rPr>
        <w:t xml:space="preserve"> </w:t>
      </w:r>
      <w:r w:rsidRPr="00B81FA9">
        <w:rPr>
          <w:szCs w:val="20"/>
        </w:rPr>
        <w:t>cyclophosphamide 500 mg/m</w:t>
      </w:r>
      <w:r w:rsidRPr="00024D52">
        <w:rPr>
          <w:szCs w:val="20"/>
          <w:vertAlign w:val="superscript"/>
        </w:rPr>
        <w:t>2</w:t>
      </w:r>
      <w:r w:rsidR="00A35D2A">
        <w:rPr>
          <w:szCs w:val="20"/>
          <w:vertAlign w:val="superscript"/>
        </w:rPr>
        <w:t xml:space="preserve"> </w:t>
      </w:r>
      <w:r w:rsidR="00A35D2A">
        <w:rPr>
          <w:szCs w:val="20"/>
        </w:rPr>
        <w:t>intravenous (</w:t>
      </w:r>
      <w:r w:rsidRPr="00B81FA9">
        <w:rPr>
          <w:szCs w:val="20"/>
        </w:rPr>
        <w:t>IV</w:t>
      </w:r>
      <w:r w:rsidR="00A35D2A">
        <w:rPr>
          <w:szCs w:val="20"/>
        </w:rPr>
        <w:t>)</w:t>
      </w:r>
      <w:r w:rsidRPr="00B81FA9">
        <w:rPr>
          <w:szCs w:val="20"/>
        </w:rPr>
        <w:t xml:space="preserve"> and fludarabine 30 mg/m</w:t>
      </w:r>
      <w:r w:rsidRPr="00024D52">
        <w:rPr>
          <w:szCs w:val="20"/>
          <w:vertAlign w:val="superscript"/>
        </w:rPr>
        <w:t>2</w:t>
      </w:r>
      <w:r w:rsidRPr="00B81FA9">
        <w:rPr>
          <w:szCs w:val="20"/>
        </w:rPr>
        <w:t xml:space="preserve"> IV </w:t>
      </w:r>
      <w:r>
        <w:rPr>
          <w:szCs w:val="20"/>
        </w:rPr>
        <w:t xml:space="preserve">is administered </w:t>
      </w:r>
      <w:r w:rsidRPr="00B81FA9">
        <w:rPr>
          <w:szCs w:val="20"/>
        </w:rPr>
        <w:t>on the 5th, 4th,</w:t>
      </w:r>
      <w:r>
        <w:rPr>
          <w:szCs w:val="20"/>
        </w:rPr>
        <w:t xml:space="preserve"> </w:t>
      </w:r>
      <w:r w:rsidRPr="00B81FA9">
        <w:rPr>
          <w:szCs w:val="20"/>
        </w:rPr>
        <w:t xml:space="preserve">and 3rd day before infusion of </w:t>
      </w:r>
      <w:r w:rsidR="007544FA" w:rsidRPr="00696A2C">
        <w:rPr>
          <w:rFonts w:cs="Calibri"/>
          <w:lang w:eastAsia="en-AU"/>
        </w:rPr>
        <w:t>axicabtagene ciloleucel</w:t>
      </w:r>
      <w:r w:rsidR="001514EF">
        <w:rPr>
          <w:szCs w:val="20"/>
        </w:rPr>
        <w:t>.</w:t>
      </w:r>
    </w:p>
    <w:p w14:paraId="171F0E6B" w14:textId="2F93AF1E" w:rsidR="006F5F43" w:rsidRDefault="001D54A9" w:rsidP="00194C97">
      <w:pPr>
        <w:spacing w:before="0"/>
        <w:ind w:left="720"/>
        <w:rPr>
          <w:szCs w:val="20"/>
        </w:rPr>
      </w:pPr>
      <w:r>
        <w:rPr>
          <w:szCs w:val="20"/>
        </w:rPr>
        <w:t>Tocilizumab</w:t>
      </w:r>
      <w:r w:rsidR="009A3732">
        <w:rPr>
          <w:szCs w:val="20"/>
        </w:rPr>
        <w:t xml:space="preserve"> may</w:t>
      </w:r>
      <w:r>
        <w:rPr>
          <w:szCs w:val="20"/>
        </w:rPr>
        <w:t xml:space="preserve"> </w:t>
      </w:r>
      <w:r w:rsidR="00B81FA9">
        <w:rPr>
          <w:szCs w:val="20"/>
        </w:rPr>
        <w:t xml:space="preserve">be administered </w:t>
      </w:r>
      <w:r w:rsidR="0015057F">
        <w:rPr>
          <w:szCs w:val="20"/>
        </w:rPr>
        <w:t xml:space="preserve">while a patient was admitted </w:t>
      </w:r>
      <w:r w:rsidR="00B81FA9">
        <w:rPr>
          <w:szCs w:val="20"/>
        </w:rPr>
        <w:t xml:space="preserve">for the management of </w:t>
      </w:r>
      <w:r w:rsidR="003952F9">
        <w:rPr>
          <w:szCs w:val="20"/>
        </w:rPr>
        <w:t>c</w:t>
      </w:r>
      <w:r w:rsidR="00B81FA9">
        <w:rPr>
          <w:szCs w:val="20"/>
        </w:rPr>
        <w:t xml:space="preserve">ytokine </w:t>
      </w:r>
      <w:r w:rsidR="003952F9">
        <w:rPr>
          <w:szCs w:val="20"/>
        </w:rPr>
        <w:t>r</w:t>
      </w:r>
      <w:r w:rsidR="00B81FA9">
        <w:rPr>
          <w:szCs w:val="20"/>
        </w:rPr>
        <w:t xml:space="preserve">elease </w:t>
      </w:r>
      <w:r w:rsidR="003952F9">
        <w:rPr>
          <w:szCs w:val="20"/>
        </w:rPr>
        <w:t>s</w:t>
      </w:r>
      <w:r w:rsidR="00B81FA9">
        <w:rPr>
          <w:szCs w:val="20"/>
        </w:rPr>
        <w:t>yndrome</w:t>
      </w:r>
      <w:r>
        <w:rPr>
          <w:szCs w:val="20"/>
        </w:rPr>
        <w:t xml:space="preserve"> (CRS)</w:t>
      </w:r>
      <w:r w:rsidR="00B81FA9">
        <w:rPr>
          <w:szCs w:val="20"/>
        </w:rPr>
        <w:t xml:space="preserve">, a serious adverse event that may occur following treatment with </w:t>
      </w:r>
      <w:r w:rsidR="007544FA" w:rsidRPr="00696A2C">
        <w:rPr>
          <w:rFonts w:cs="Calibri"/>
          <w:lang w:eastAsia="en-AU"/>
        </w:rPr>
        <w:t>axicabtagene ciloleucel</w:t>
      </w:r>
      <w:r w:rsidR="00B81FA9">
        <w:rPr>
          <w:szCs w:val="20"/>
        </w:rPr>
        <w:t xml:space="preserve">.  </w:t>
      </w:r>
      <w:r w:rsidR="0015057F">
        <w:rPr>
          <w:szCs w:val="20"/>
        </w:rPr>
        <w:t>Th</w:t>
      </w:r>
      <w:r w:rsidR="0004609C">
        <w:rPr>
          <w:szCs w:val="20"/>
        </w:rPr>
        <w:t>is</w:t>
      </w:r>
      <w:r w:rsidR="0015057F">
        <w:rPr>
          <w:szCs w:val="20"/>
        </w:rPr>
        <w:t xml:space="preserve"> medicine would be administered as an inpatient.</w:t>
      </w:r>
    </w:p>
    <w:p w14:paraId="40D3DEDD" w14:textId="2F604EE9" w:rsidR="00B81FA9" w:rsidRDefault="00F969BF" w:rsidP="00194C97">
      <w:pPr>
        <w:spacing w:before="0"/>
        <w:ind w:left="720"/>
        <w:rPr>
          <w:szCs w:val="20"/>
        </w:rPr>
      </w:pPr>
      <w:r>
        <w:rPr>
          <w:szCs w:val="20"/>
        </w:rPr>
        <w:t>Intravenous immunoglobulin may be administered to manage events associated with B-cell aplasia</w:t>
      </w:r>
      <w:r w:rsidR="006A291B">
        <w:rPr>
          <w:szCs w:val="20"/>
        </w:rPr>
        <w:t xml:space="preserve"> </w:t>
      </w:r>
      <w:r w:rsidR="00C62242">
        <w:rPr>
          <w:szCs w:val="20"/>
        </w:rPr>
        <w:t>however</w:t>
      </w:r>
      <w:r w:rsidR="0067118F">
        <w:rPr>
          <w:szCs w:val="20"/>
        </w:rPr>
        <w:t>,</w:t>
      </w:r>
      <w:r w:rsidR="00C62242">
        <w:rPr>
          <w:szCs w:val="20"/>
        </w:rPr>
        <w:t xml:space="preserve"> </w:t>
      </w:r>
      <w:r w:rsidR="0067118F">
        <w:rPr>
          <w:szCs w:val="20"/>
        </w:rPr>
        <w:t>intravenous immunoglobulin</w:t>
      </w:r>
      <w:r w:rsidR="00C62242">
        <w:rPr>
          <w:szCs w:val="20"/>
        </w:rPr>
        <w:t xml:space="preserve"> is funded via the National Blood Authority.</w:t>
      </w:r>
    </w:p>
    <w:p w14:paraId="1B19A193" w14:textId="2DF7A5A0" w:rsidR="00FE16C1" w:rsidRPr="00FE16C1" w:rsidRDefault="004B72CA"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00FE16C1"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194C97">
        <w:rPr>
          <w:szCs w:val="20"/>
        </w:rPr>
        <w:t xml:space="preserve"> No</w:t>
      </w:r>
    </w:p>
    <w:p w14:paraId="41583D59" w14:textId="77777777" w:rsidR="00EC127A"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1365AF7" w14:textId="77777777" w:rsidR="00422750" w:rsidRDefault="00422750" w:rsidP="00E92E45">
      <w:pPr>
        <w:ind w:left="720"/>
      </w:pPr>
      <w:r>
        <w:t>It is Gilead’s understanding that some patients may be eligible for PBS-funded medicines in a tertiary public hospital setting.</w:t>
      </w:r>
      <w:r w:rsidR="006A291B">
        <w:t xml:space="preserve"> </w:t>
      </w:r>
      <w:r w:rsidR="00DC2442">
        <w:t xml:space="preserve">The table below lists the medicines that may be required for the delivery of </w:t>
      </w:r>
      <w:r w:rsidR="00DC2442" w:rsidRPr="00696A2C">
        <w:rPr>
          <w:rFonts w:cs="Calibri"/>
          <w:lang w:eastAsia="en-AU"/>
        </w:rPr>
        <w:t>axicabtagene ciloleucel</w:t>
      </w:r>
      <w:r w:rsidR="00DC2442">
        <w:t xml:space="preserve"> though the PBS. Where PBS-approved indication is not currently available, this has been noted. </w:t>
      </w:r>
    </w:p>
    <w:tbl>
      <w:tblPr>
        <w:tblStyle w:val="TableGrid"/>
        <w:tblW w:w="8392" w:type="dxa"/>
        <w:tblInd w:w="817" w:type="dxa"/>
        <w:tblLook w:val="04A0" w:firstRow="1" w:lastRow="0" w:firstColumn="1" w:lastColumn="0" w:noHBand="0" w:noVBand="1"/>
        <w:tblDescription w:val="Lists the medicines that may be required for the delivery of axicabtagene ciloleucel though the PBS."/>
      </w:tblPr>
      <w:tblGrid>
        <w:gridCol w:w="1760"/>
        <w:gridCol w:w="4511"/>
        <w:gridCol w:w="2121"/>
      </w:tblGrid>
      <w:tr w:rsidR="00826C39" w:rsidRPr="00472F30" w14:paraId="42B4D442" w14:textId="77777777" w:rsidTr="00021CF1">
        <w:trPr>
          <w:tblHeader/>
        </w:trPr>
        <w:tc>
          <w:tcPr>
            <w:tcW w:w="1477" w:type="dxa"/>
          </w:tcPr>
          <w:p w14:paraId="4D4CBB8D" w14:textId="77777777" w:rsidR="00826C39" w:rsidRPr="00472F30" w:rsidRDefault="00826C39" w:rsidP="00472F30">
            <w:pPr>
              <w:pStyle w:val="Caption"/>
              <w:keepNext w:val="0"/>
              <w:rPr>
                <w:rFonts w:asciiTheme="minorHAnsi" w:hAnsiTheme="minorHAnsi"/>
              </w:rPr>
            </w:pPr>
            <w:r w:rsidRPr="00472F30">
              <w:rPr>
                <w:rFonts w:asciiTheme="minorHAnsi" w:hAnsiTheme="minorHAnsi"/>
              </w:rPr>
              <w:t>Pharmaceutical</w:t>
            </w:r>
          </w:p>
        </w:tc>
        <w:tc>
          <w:tcPr>
            <w:tcW w:w="4785" w:type="dxa"/>
          </w:tcPr>
          <w:p w14:paraId="13C3F9F3" w14:textId="77777777" w:rsidR="00826C39" w:rsidRPr="00472F30" w:rsidRDefault="00826C39" w:rsidP="00472F30">
            <w:pPr>
              <w:pStyle w:val="Caption"/>
              <w:keepNext w:val="0"/>
              <w:rPr>
                <w:rFonts w:asciiTheme="minorHAnsi" w:hAnsiTheme="minorHAnsi"/>
              </w:rPr>
            </w:pPr>
            <w:r w:rsidRPr="00472F30">
              <w:rPr>
                <w:rFonts w:asciiTheme="minorHAnsi" w:hAnsiTheme="minorHAnsi"/>
              </w:rPr>
              <w:t>Usage</w:t>
            </w:r>
          </w:p>
        </w:tc>
        <w:tc>
          <w:tcPr>
            <w:tcW w:w="2130" w:type="dxa"/>
          </w:tcPr>
          <w:p w14:paraId="60589E11" w14:textId="77777777" w:rsidR="00826C39" w:rsidRPr="00472F30" w:rsidRDefault="00826C39" w:rsidP="00472F30">
            <w:pPr>
              <w:pStyle w:val="Caption"/>
              <w:keepNext w:val="0"/>
              <w:rPr>
                <w:rFonts w:asciiTheme="minorHAnsi" w:hAnsiTheme="minorHAnsi"/>
              </w:rPr>
            </w:pPr>
            <w:r w:rsidRPr="00472F30">
              <w:rPr>
                <w:rFonts w:asciiTheme="minorHAnsi" w:hAnsiTheme="minorHAnsi"/>
              </w:rPr>
              <w:t>PBS item code/funding</w:t>
            </w:r>
          </w:p>
        </w:tc>
      </w:tr>
      <w:tr w:rsidR="00826C39" w:rsidRPr="00472F30" w14:paraId="0FA1048E" w14:textId="77777777" w:rsidTr="00021CF1">
        <w:tc>
          <w:tcPr>
            <w:tcW w:w="1477" w:type="dxa"/>
          </w:tcPr>
          <w:p w14:paraId="2E3FB8E7"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Fludarabine</w:t>
            </w:r>
          </w:p>
        </w:tc>
        <w:tc>
          <w:tcPr>
            <w:tcW w:w="4785" w:type="dxa"/>
          </w:tcPr>
          <w:p w14:paraId="5DA52FFC"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Chemotherapy for public hospital use, antimetabolite</w:t>
            </w:r>
          </w:p>
        </w:tc>
        <w:tc>
          <w:tcPr>
            <w:tcW w:w="2130" w:type="dxa"/>
          </w:tcPr>
          <w:p w14:paraId="252ECDFC"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4393F</w:t>
            </w:r>
            <w:r w:rsidR="00451CFC">
              <w:rPr>
                <w:rFonts w:asciiTheme="minorHAnsi" w:hAnsiTheme="minorHAnsi"/>
                <w:b w:val="0"/>
              </w:rPr>
              <w:t xml:space="preserve"> (unrestricted item)</w:t>
            </w:r>
          </w:p>
        </w:tc>
      </w:tr>
      <w:tr w:rsidR="00826C39" w:rsidRPr="00472F30" w14:paraId="4F3130B3" w14:textId="77777777" w:rsidTr="00021CF1">
        <w:tc>
          <w:tcPr>
            <w:tcW w:w="1477" w:type="dxa"/>
          </w:tcPr>
          <w:p w14:paraId="2F38846B"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Cyclophosphamide</w:t>
            </w:r>
          </w:p>
        </w:tc>
        <w:tc>
          <w:tcPr>
            <w:tcW w:w="4785" w:type="dxa"/>
          </w:tcPr>
          <w:p w14:paraId="263CC5A1"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Chemotherapy for public hospital use, alkylating agent</w:t>
            </w:r>
          </w:p>
        </w:tc>
        <w:tc>
          <w:tcPr>
            <w:tcW w:w="2130" w:type="dxa"/>
          </w:tcPr>
          <w:p w14:paraId="04767347"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4327R</w:t>
            </w:r>
            <w:r w:rsidR="00451CFC">
              <w:rPr>
                <w:rFonts w:asciiTheme="minorHAnsi" w:hAnsiTheme="minorHAnsi"/>
                <w:b w:val="0"/>
              </w:rPr>
              <w:t xml:space="preserve"> (unrestricted item)</w:t>
            </w:r>
          </w:p>
        </w:tc>
      </w:tr>
      <w:tr w:rsidR="00826C39" w:rsidRPr="00472F30" w14:paraId="6A39F1DE" w14:textId="77777777" w:rsidTr="00021CF1">
        <w:tc>
          <w:tcPr>
            <w:tcW w:w="1477" w:type="dxa"/>
          </w:tcPr>
          <w:p w14:paraId="2D262EED"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Tocilizumab</w:t>
            </w:r>
          </w:p>
        </w:tc>
        <w:tc>
          <w:tcPr>
            <w:tcW w:w="4785" w:type="dxa"/>
          </w:tcPr>
          <w:p w14:paraId="2CE30327"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 xml:space="preserve">Treatment of CRS </w:t>
            </w:r>
          </w:p>
        </w:tc>
        <w:tc>
          <w:tcPr>
            <w:tcW w:w="2130" w:type="dxa"/>
          </w:tcPr>
          <w:p w14:paraId="1BFCCCD5" w14:textId="77777777" w:rsidR="00826C39" w:rsidRPr="00472F30" w:rsidRDefault="00826C39" w:rsidP="00472F30">
            <w:pPr>
              <w:pStyle w:val="Caption"/>
              <w:keepNext w:val="0"/>
              <w:ind w:left="0" w:firstLine="0"/>
              <w:rPr>
                <w:rFonts w:asciiTheme="minorHAnsi" w:hAnsiTheme="minorHAnsi"/>
                <w:b w:val="0"/>
                <w:lang w:val="it-IT"/>
              </w:rPr>
            </w:pPr>
            <w:r w:rsidRPr="00472F30">
              <w:rPr>
                <w:rFonts w:asciiTheme="minorHAnsi" w:hAnsiTheme="minorHAnsi"/>
                <w:b w:val="0"/>
                <w:lang w:val="it-IT"/>
              </w:rPr>
              <w:t>Funding costs based on PBS codes:1056G, 1058J, 10060L, 10064Q, 10068X, 10071C, 10072D, 10073E, 10077J, 10078K, 10079L, 10081N</w:t>
            </w:r>
          </w:p>
          <w:p w14:paraId="4C4ABCCD" w14:textId="77777777" w:rsidR="00826C39" w:rsidRPr="00472F30" w:rsidRDefault="00826C39" w:rsidP="00826C39">
            <w:pPr>
              <w:rPr>
                <w:lang w:val="it-IT" w:eastAsia="ja-JP"/>
              </w:rPr>
            </w:pPr>
            <w:r w:rsidRPr="00472F30">
              <w:rPr>
                <w:i/>
                <w:lang w:val="it-IT" w:eastAsia="ja-JP"/>
              </w:rPr>
              <w:t>Note: The above</w:t>
            </w:r>
            <w:r w:rsidR="00472F30">
              <w:rPr>
                <w:i/>
                <w:lang w:val="it-IT" w:eastAsia="ja-JP"/>
              </w:rPr>
              <w:t xml:space="preserve"> PBS</w:t>
            </w:r>
            <w:r w:rsidRPr="00472F30">
              <w:rPr>
                <w:i/>
                <w:lang w:val="it-IT" w:eastAsia="ja-JP"/>
              </w:rPr>
              <w:t xml:space="preserve"> item </w:t>
            </w:r>
            <w:r w:rsidR="00472F30">
              <w:rPr>
                <w:i/>
                <w:lang w:val="it-IT" w:eastAsia="ja-JP"/>
              </w:rPr>
              <w:t>numbers</w:t>
            </w:r>
            <w:r w:rsidRPr="00472F30">
              <w:rPr>
                <w:i/>
                <w:lang w:val="it-IT" w:eastAsia="ja-JP"/>
              </w:rPr>
              <w:t xml:space="preserve"> are not indicated for CRS</w:t>
            </w:r>
            <w:r w:rsidRPr="00472F30">
              <w:rPr>
                <w:lang w:val="it-IT" w:eastAsia="ja-JP"/>
              </w:rPr>
              <w:t xml:space="preserve">. </w:t>
            </w:r>
          </w:p>
        </w:tc>
      </w:tr>
      <w:tr w:rsidR="00826C39" w:rsidRPr="00472F30" w14:paraId="56009151" w14:textId="77777777" w:rsidTr="00021CF1">
        <w:tc>
          <w:tcPr>
            <w:tcW w:w="1477" w:type="dxa"/>
          </w:tcPr>
          <w:p w14:paraId="4C00B2FB" w14:textId="77777777" w:rsidR="00826C39" w:rsidRPr="00472F30" w:rsidRDefault="00826C39" w:rsidP="00472F30">
            <w:pPr>
              <w:pStyle w:val="Caption"/>
              <w:keepNext w:val="0"/>
              <w:ind w:left="0" w:firstLine="0"/>
              <w:rPr>
                <w:rFonts w:asciiTheme="minorHAnsi" w:hAnsiTheme="minorHAnsi"/>
                <w:b w:val="0"/>
              </w:rPr>
            </w:pPr>
            <w:r w:rsidRPr="00472F30">
              <w:rPr>
                <w:rFonts w:asciiTheme="minorHAnsi" w:hAnsiTheme="minorHAnsi"/>
                <w:b w:val="0"/>
              </w:rPr>
              <w:t>Intravenous immunoglobulin</w:t>
            </w:r>
          </w:p>
        </w:tc>
        <w:tc>
          <w:tcPr>
            <w:tcW w:w="4785" w:type="dxa"/>
          </w:tcPr>
          <w:p w14:paraId="51DF1F26" w14:textId="77777777" w:rsidR="00826C39" w:rsidRPr="00472F30" w:rsidRDefault="00826C39" w:rsidP="00472F30">
            <w:pPr>
              <w:pStyle w:val="Caption"/>
              <w:keepNext w:val="0"/>
              <w:rPr>
                <w:rFonts w:asciiTheme="minorHAnsi" w:hAnsiTheme="minorHAnsi"/>
                <w:b w:val="0"/>
              </w:rPr>
            </w:pPr>
            <w:r w:rsidRPr="00472F30">
              <w:rPr>
                <w:rFonts w:asciiTheme="minorHAnsi" w:hAnsiTheme="minorHAnsi"/>
                <w:b w:val="0"/>
              </w:rPr>
              <w:t xml:space="preserve">To manage events of B-cell aplasia </w:t>
            </w:r>
          </w:p>
        </w:tc>
        <w:tc>
          <w:tcPr>
            <w:tcW w:w="2130" w:type="dxa"/>
          </w:tcPr>
          <w:p w14:paraId="77BAD815" w14:textId="77777777" w:rsidR="00826C39" w:rsidRPr="00472F30" w:rsidRDefault="00826C39" w:rsidP="00472F30">
            <w:pPr>
              <w:pStyle w:val="Caption"/>
              <w:keepNext w:val="0"/>
              <w:ind w:left="0" w:firstLine="0"/>
              <w:rPr>
                <w:rFonts w:asciiTheme="minorHAnsi" w:hAnsiTheme="minorHAnsi"/>
                <w:b w:val="0"/>
              </w:rPr>
            </w:pPr>
            <w:r w:rsidRPr="00472F30">
              <w:rPr>
                <w:rFonts w:asciiTheme="minorHAnsi" w:hAnsiTheme="minorHAnsi"/>
                <w:b w:val="0"/>
              </w:rPr>
              <w:t>(Funded through National Blood Authority for different indications)</w:t>
            </w:r>
          </w:p>
        </w:tc>
      </w:tr>
    </w:tbl>
    <w:p w14:paraId="6ED3BBA5" w14:textId="77777777" w:rsidR="00826C39" w:rsidRPr="00422750" w:rsidRDefault="00826C39" w:rsidP="00021CF1">
      <w:pPr>
        <w:ind w:firstLine="720"/>
      </w:pPr>
      <w:r>
        <w:t xml:space="preserve">Source: Adapted from Kymirah PICO Confirmation </w:t>
      </w:r>
    </w:p>
    <w:p w14:paraId="4BD2A65F"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B45670C" w14:textId="77777777" w:rsidR="007E39E4"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7E39E4"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7E39E4" w:rsidRPr="000A5B32">
        <w:rPr>
          <w:szCs w:val="20"/>
        </w:rPr>
        <w:t xml:space="preserve"> Yes</w:t>
      </w:r>
      <w:r w:rsidR="001E6919">
        <w:rPr>
          <w:szCs w:val="20"/>
        </w:rPr>
        <w:t xml:space="preserve"> (please provide PBAC submission item number below)</w:t>
      </w:r>
    </w:p>
    <w:p w14:paraId="608F1DB6" w14:textId="77777777" w:rsidR="001E6919" w:rsidRDefault="004B72CA" w:rsidP="001E6919">
      <w:pPr>
        <w:spacing w:before="0"/>
        <w:ind w:left="284"/>
        <w:rPr>
          <w:szCs w:val="20"/>
        </w:rPr>
      </w:pPr>
      <w:r w:rsidRPr="000A5B32">
        <w:rPr>
          <w:szCs w:val="20"/>
        </w:rPr>
        <w:fldChar w:fldCharType="begin">
          <w:ffData>
            <w:name w:val="Check2"/>
            <w:enabled/>
            <w:calcOnExit w:val="0"/>
            <w:checkBox>
              <w:sizeAuto/>
              <w:default w:val="0"/>
            </w:checkBox>
          </w:ffData>
        </w:fldChar>
      </w:r>
      <w:r w:rsidR="007E39E4"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1E6919">
        <w:rPr>
          <w:szCs w:val="20"/>
        </w:rPr>
        <w:t xml:space="preserve"> No</w:t>
      </w:r>
    </w:p>
    <w:p w14:paraId="6D73ADC0" w14:textId="77777777" w:rsidR="001E6919" w:rsidRPr="007E39E4" w:rsidRDefault="004B72CA" w:rsidP="00A6491A">
      <w:pPr>
        <w:spacing w:before="0" w:after="0"/>
        <w:ind w:left="284"/>
        <w:rPr>
          <w:szCs w:val="20"/>
        </w:rPr>
      </w:pPr>
      <w:r>
        <w:fldChar w:fldCharType="begin">
          <w:ffData>
            <w:name w:val=""/>
            <w:enabled/>
            <w:calcOnExit w:val="0"/>
            <w:textInput>
              <w:default w:val="Insert PBAC submission item number here"/>
            </w:textInput>
          </w:ffData>
        </w:fldChar>
      </w:r>
      <w:r w:rsidR="001E6919">
        <w:instrText xml:space="preserve"> FORMTEXT </w:instrText>
      </w:r>
      <w:r>
        <w:fldChar w:fldCharType="separate"/>
      </w:r>
      <w:r w:rsidR="001E6919">
        <w:rPr>
          <w:noProof/>
        </w:rPr>
        <w:t>Insert PBAC submission item number here</w:t>
      </w:r>
      <w:r>
        <w:fldChar w:fldCharType="end"/>
      </w:r>
    </w:p>
    <w:p w14:paraId="09DD8867"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12C68F64" w14:textId="77777777" w:rsidR="00C91AD8" w:rsidRPr="00C91AD8" w:rsidRDefault="00C91AD8" w:rsidP="00021CF1">
      <w:pPr>
        <w:ind w:firstLine="720"/>
      </w:pPr>
      <w:r>
        <w:t>Not applicable</w:t>
      </w:r>
      <w:r w:rsidR="00235FFD">
        <w:t>.</w:t>
      </w:r>
    </w:p>
    <w:p w14:paraId="6677BD1A" w14:textId="77777777" w:rsidR="001E6958" w:rsidRDefault="001E6958" w:rsidP="006A291B">
      <w:pPr>
        <w:spacing w:before="0" w:after="0"/>
        <w:ind w:left="284" w:firstLine="76"/>
      </w:pPr>
      <w:r>
        <w:t xml:space="preserve">Trade name: </w:t>
      </w:r>
      <w:r w:rsidR="004B72CA">
        <w:fldChar w:fldCharType="begin">
          <w:ffData>
            <w:name w:val=""/>
            <w:enabled/>
            <w:calcOnExit w:val="0"/>
            <w:textInput>
              <w:default w:val="Insert trade name here"/>
            </w:textInput>
          </w:ffData>
        </w:fldChar>
      </w:r>
      <w:r>
        <w:instrText xml:space="preserve"> FORMTEXT </w:instrText>
      </w:r>
      <w:r w:rsidR="004B72CA">
        <w:fldChar w:fldCharType="separate"/>
      </w:r>
      <w:r>
        <w:rPr>
          <w:noProof/>
        </w:rPr>
        <w:t>Insert trade name here</w:t>
      </w:r>
      <w:r w:rsidR="004B72CA">
        <w:fldChar w:fldCharType="end"/>
      </w:r>
    </w:p>
    <w:p w14:paraId="1A9E7D1E" w14:textId="77777777" w:rsidR="001E6958" w:rsidRPr="001E6958" w:rsidRDefault="001E6958" w:rsidP="006A291B">
      <w:pPr>
        <w:spacing w:before="0" w:after="0"/>
        <w:ind w:left="284" w:firstLine="76"/>
      </w:pPr>
      <w:r>
        <w:lastRenderedPageBreak/>
        <w:t xml:space="preserve">Generic name: </w:t>
      </w:r>
      <w:r w:rsidR="004B72CA">
        <w:fldChar w:fldCharType="begin">
          <w:ffData>
            <w:name w:val=""/>
            <w:enabled/>
            <w:calcOnExit w:val="0"/>
            <w:textInput>
              <w:default w:val="Insert generic name here"/>
            </w:textInput>
          </w:ffData>
        </w:fldChar>
      </w:r>
      <w:r>
        <w:instrText xml:space="preserve"> FORMTEXT </w:instrText>
      </w:r>
      <w:r w:rsidR="004B72CA">
        <w:fldChar w:fldCharType="separate"/>
      </w:r>
      <w:r>
        <w:rPr>
          <w:noProof/>
        </w:rPr>
        <w:t>Insert generic name here</w:t>
      </w:r>
      <w:r w:rsidR="004B72CA">
        <w:fldChar w:fldCharType="end"/>
      </w:r>
    </w:p>
    <w:p w14:paraId="4D32A63D"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B2050CC" w14:textId="77777777" w:rsidR="001E6958"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1E6958"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1E6958" w:rsidRPr="000A5B32">
        <w:rPr>
          <w:szCs w:val="20"/>
        </w:rPr>
        <w:t xml:space="preserve"> Yes</w:t>
      </w:r>
    </w:p>
    <w:p w14:paraId="4FE6B1E0" w14:textId="6FE8F5BC" w:rsidR="001E6919" w:rsidRPr="001E6958" w:rsidRDefault="004B72CA" w:rsidP="00194C97">
      <w:pPr>
        <w:spacing w:before="0" w:after="0"/>
        <w:ind w:left="284"/>
        <w:rPr>
          <w:szCs w:val="20"/>
        </w:rPr>
      </w:pPr>
      <w:r>
        <w:rPr>
          <w:szCs w:val="20"/>
        </w:rPr>
        <w:fldChar w:fldCharType="begin">
          <w:ffData>
            <w:name w:val=""/>
            <w:enabled/>
            <w:calcOnExit w:val="0"/>
            <w:checkBox>
              <w:sizeAuto/>
              <w:default w:val="1"/>
            </w:checkBox>
          </w:ffData>
        </w:fldChar>
      </w:r>
      <w:r w:rsidR="00F7661C">
        <w:rPr>
          <w:szCs w:val="20"/>
        </w:rPr>
        <w:instrText xml:space="preserve"> FORMCHECKBOX </w:instrText>
      </w:r>
      <w:r w:rsidR="003136F9">
        <w:rPr>
          <w:szCs w:val="20"/>
        </w:rPr>
      </w:r>
      <w:r w:rsidR="003136F9">
        <w:rPr>
          <w:szCs w:val="20"/>
        </w:rPr>
        <w:fldChar w:fldCharType="separate"/>
      </w:r>
      <w:r>
        <w:rPr>
          <w:szCs w:val="20"/>
        </w:rPr>
        <w:fldChar w:fldCharType="end"/>
      </w:r>
      <w:r w:rsidR="001E6958">
        <w:rPr>
          <w:szCs w:val="20"/>
        </w:rPr>
        <w:t xml:space="preserve"> No</w:t>
      </w:r>
    </w:p>
    <w:p w14:paraId="6042C493" w14:textId="77777777" w:rsidR="00B75965" w:rsidRDefault="00B75965" w:rsidP="00530204">
      <w:pPr>
        <w:pStyle w:val="Heading2"/>
        <w:numPr>
          <w:ilvl w:val="0"/>
          <w:numId w:val="26"/>
        </w:numPr>
      </w:pPr>
      <w:bookmarkStart w:id="4" w:name="_Hlk4072867"/>
      <w:r w:rsidRPr="001E6958">
        <w:t xml:space="preserve">If yes, </w:t>
      </w:r>
      <w:r w:rsidR="00C73B62" w:rsidRPr="001E6958">
        <w:t xml:space="preserve">please provide the following information (where relevant): </w:t>
      </w:r>
    </w:p>
    <w:p w14:paraId="7C7C324F" w14:textId="77777777" w:rsidR="001E6958" w:rsidRDefault="001E6958" w:rsidP="006A291B">
      <w:pPr>
        <w:spacing w:before="0" w:after="0"/>
        <w:ind w:left="284" w:firstLine="76"/>
      </w:pPr>
      <w:r>
        <w:t xml:space="preserve">Billing code(s): </w:t>
      </w:r>
      <w:r w:rsidR="004B72CA">
        <w:fldChar w:fldCharType="begin">
          <w:ffData>
            <w:name w:val=""/>
            <w:enabled/>
            <w:calcOnExit w:val="0"/>
            <w:textInput>
              <w:default w:val="Insert billing code(s) here"/>
            </w:textInput>
          </w:ffData>
        </w:fldChar>
      </w:r>
      <w:r w:rsidR="009939DC">
        <w:instrText xml:space="preserve"> FORMTEXT </w:instrText>
      </w:r>
      <w:r w:rsidR="004B72CA">
        <w:fldChar w:fldCharType="separate"/>
      </w:r>
      <w:r w:rsidR="009939DC">
        <w:rPr>
          <w:noProof/>
        </w:rPr>
        <w:t>Insert billing code(s) here</w:t>
      </w:r>
      <w:r w:rsidR="004B72CA">
        <w:fldChar w:fldCharType="end"/>
      </w:r>
    </w:p>
    <w:p w14:paraId="43A30B04" w14:textId="77777777" w:rsidR="001E6958" w:rsidRDefault="001E6958" w:rsidP="006A291B">
      <w:pPr>
        <w:spacing w:before="0" w:after="0"/>
        <w:ind w:left="284" w:firstLine="76"/>
      </w:pPr>
      <w:r>
        <w:t xml:space="preserve">Trade name of prostheses: </w:t>
      </w:r>
      <w:r w:rsidR="004B72CA">
        <w:fldChar w:fldCharType="begin">
          <w:ffData>
            <w:name w:val=""/>
            <w:enabled/>
            <w:calcOnExit w:val="0"/>
            <w:textInput>
              <w:default w:val="Insert trade name here"/>
            </w:textInput>
          </w:ffData>
        </w:fldChar>
      </w:r>
      <w:r w:rsidR="009939DC">
        <w:instrText xml:space="preserve"> FORMTEXT </w:instrText>
      </w:r>
      <w:r w:rsidR="004B72CA">
        <w:fldChar w:fldCharType="separate"/>
      </w:r>
      <w:r w:rsidR="009939DC">
        <w:rPr>
          <w:noProof/>
        </w:rPr>
        <w:t>Insert trade name here</w:t>
      </w:r>
      <w:r w:rsidR="004B72CA">
        <w:fldChar w:fldCharType="end"/>
      </w:r>
    </w:p>
    <w:p w14:paraId="60EA7E47" w14:textId="77777777" w:rsidR="001E6958" w:rsidRDefault="001E6958" w:rsidP="006A291B">
      <w:pPr>
        <w:spacing w:before="0" w:after="0"/>
        <w:ind w:left="284" w:firstLine="76"/>
      </w:pPr>
      <w:r>
        <w:t xml:space="preserve">Clinical name of prostheses: </w:t>
      </w:r>
      <w:r w:rsidR="004B72CA">
        <w:fldChar w:fldCharType="begin">
          <w:ffData>
            <w:name w:val=""/>
            <w:enabled/>
            <w:calcOnExit w:val="0"/>
            <w:textInput>
              <w:default w:val="Insert clinical name here"/>
            </w:textInput>
          </w:ffData>
        </w:fldChar>
      </w:r>
      <w:r w:rsidR="009939DC">
        <w:instrText xml:space="preserve"> FORMTEXT </w:instrText>
      </w:r>
      <w:r w:rsidR="004B72CA">
        <w:fldChar w:fldCharType="separate"/>
      </w:r>
      <w:r w:rsidR="009939DC">
        <w:rPr>
          <w:noProof/>
        </w:rPr>
        <w:t>Insert clinical name here</w:t>
      </w:r>
      <w:r w:rsidR="004B72CA">
        <w:fldChar w:fldCharType="end"/>
      </w:r>
    </w:p>
    <w:p w14:paraId="1EFB643A" w14:textId="77777777" w:rsidR="001E6958" w:rsidRPr="001E6958" w:rsidRDefault="001E6958" w:rsidP="006A291B">
      <w:pPr>
        <w:spacing w:before="0" w:after="0"/>
        <w:ind w:left="284" w:firstLine="76"/>
      </w:pPr>
      <w:r>
        <w:t xml:space="preserve">Other device components delivered as part of the service: </w:t>
      </w:r>
      <w:r w:rsidR="004B72CA">
        <w:fldChar w:fldCharType="begin">
          <w:ffData>
            <w:name w:val=""/>
            <w:enabled/>
            <w:calcOnExit w:val="0"/>
            <w:textInput>
              <w:default w:val="Insert description of device components here"/>
            </w:textInput>
          </w:ffData>
        </w:fldChar>
      </w:r>
      <w:r w:rsidR="009939DC">
        <w:instrText xml:space="preserve"> FORMTEXT </w:instrText>
      </w:r>
      <w:r w:rsidR="004B72CA">
        <w:fldChar w:fldCharType="separate"/>
      </w:r>
      <w:r w:rsidR="009939DC">
        <w:rPr>
          <w:noProof/>
        </w:rPr>
        <w:t>Insert description of device components here</w:t>
      </w:r>
      <w:r w:rsidR="004B72CA">
        <w:fldChar w:fldCharType="end"/>
      </w:r>
    </w:p>
    <w:bookmarkEnd w:id="4"/>
    <w:p w14:paraId="2D40D745"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2B8F2F82" w14:textId="77777777" w:rsidR="009939DC"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9939DC"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9939DC" w:rsidRPr="000A5B32">
        <w:rPr>
          <w:szCs w:val="20"/>
        </w:rPr>
        <w:t xml:space="preserve"> Yes</w:t>
      </w:r>
    </w:p>
    <w:p w14:paraId="2F1E65F8" w14:textId="4D45E58E" w:rsidR="001E6958" w:rsidRPr="009939DC" w:rsidRDefault="004B72CA" w:rsidP="00A6491A">
      <w:pPr>
        <w:spacing w:before="0" w:after="0"/>
        <w:ind w:left="284"/>
        <w:rPr>
          <w:szCs w:val="20"/>
        </w:rPr>
      </w:pPr>
      <w:r>
        <w:rPr>
          <w:szCs w:val="20"/>
        </w:rPr>
        <w:fldChar w:fldCharType="begin">
          <w:ffData>
            <w:name w:val=""/>
            <w:enabled/>
            <w:calcOnExit w:val="0"/>
            <w:checkBox>
              <w:sizeAuto/>
              <w:default w:val="1"/>
            </w:checkBox>
          </w:ffData>
        </w:fldChar>
      </w:r>
      <w:r w:rsidR="007E70BF">
        <w:rPr>
          <w:szCs w:val="20"/>
        </w:rPr>
        <w:instrText xml:space="preserve"> FORMCHECKBOX </w:instrText>
      </w:r>
      <w:r w:rsidR="003136F9">
        <w:rPr>
          <w:szCs w:val="20"/>
        </w:rPr>
      </w:r>
      <w:r w:rsidR="003136F9">
        <w:rPr>
          <w:szCs w:val="20"/>
        </w:rPr>
        <w:fldChar w:fldCharType="separate"/>
      </w:r>
      <w:r>
        <w:rPr>
          <w:szCs w:val="20"/>
        </w:rPr>
        <w:fldChar w:fldCharType="end"/>
      </w:r>
      <w:r w:rsidR="00194C97">
        <w:rPr>
          <w:szCs w:val="20"/>
        </w:rPr>
        <w:t xml:space="preserve"> No</w:t>
      </w:r>
    </w:p>
    <w:p w14:paraId="3C3AA978"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31843A49" w14:textId="77777777" w:rsidR="00C91AD8" w:rsidRPr="00BE3218" w:rsidRDefault="00C91AD8" w:rsidP="00021CF1">
      <w:pPr>
        <w:ind w:firstLine="720"/>
      </w:pPr>
      <w:r>
        <w:t>Not applicable</w:t>
      </w:r>
      <w:r w:rsidR="00C47F81">
        <w:t>.</w:t>
      </w:r>
    </w:p>
    <w:p w14:paraId="38BCC641" w14:textId="77777777" w:rsidR="009939DC"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9939DC"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9939DC" w:rsidRPr="000A5B32">
        <w:rPr>
          <w:szCs w:val="20"/>
        </w:rPr>
        <w:t xml:space="preserve"> Yes</w:t>
      </w:r>
    </w:p>
    <w:p w14:paraId="3D0E8D3F" w14:textId="7FE4EC52" w:rsidR="009939DC" w:rsidRPr="001E6958" w:rsidRDefault="004B72CA"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009939DC"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194C97">
        <w:rPr>
          <w:szCs w:val="20"/>
        </w:rPr>
        <w:t xml:space="preserve"> No</w:t>
      </w:r>
    </w:p>
    <w:p w14:paraId="724D775C"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0E8FD95" w14:textId="77777777" w:rsidR="00016B6E" w:rsidRPr="009939DC" w:rsidRDefault="004B72CA" w:rsidP="00A6491A">
      <w:pPr>
        <w:ind w:left="284"/>
      </w:pPr>
      <w:r w:rsidRPr="009939DC">
        <w:fldChar w:fldCharType="begin">
          <w:ffData>
            <w:name w:val=""/>
            <w:enabled/>
            <w:calcOnExit w:val="0"/>
            <w:textInput>
              <w:default w:val="Insert sponsor and/or manufacturer name(s) here"/>
            </w:textInput>
          </w:ffData>
        </w:fldChar>
      </w:r>
      <w:r w:rsidR="009939DC" w:rsidRPr="009939DC">
        <w:instrText xml:space="preserve"> FORMTEXT </w:instrText>
      </w:r>
      <w:r w:rsidRPr="009939DC">
        <w:fldChar w:fldCharType="separate"/>
      </w:r>
      <w:r w:rsidR="009939DC" w:rsidRPr="009939DC">
        <w:rPr>
          <w:noProof/>
        </w:rPr>
        <w:t>Insert sponsor and/or manufacturer name(s) here</w:t>
      </w:r>
      <w:r w:rsidRPr="009939DC">
        <w:fldChar w:fldCharType="end"/>
      </w:r>
    </w:p>
    <w:p w14:paraId="25550C08"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ABB4CA6" w14:textId="77777777" w:rsidR="00241186" w:rsidRDefault="00095DD9" w:rsidP="006A291B">
      <w:pPr>
        <w:ind w:left="360"/>
        <w:rPr>
          <w:rFonts w:ascii="Calibri" w:eastAsia="Calibri" w:hAnsi="Calibri" w:cs="Times New Roman"/>
          <w:szCs w:val="20"/>
        </w:rPr>
      </w:pPr>
      <w:r>
        <w:t xml:space="preserve">The diagram </w:t>
      </w:r>
      <w:r w:rsidR="000D0D13">
        <w:t>provided in the response to</w:t>
      </w:r>
      <w:r>
        <w:t xml:space="preserve"> Q2</w:t>
      </w:r>
      <w:r w:rsidR="00A6083C">
        <w:t>8</w:t>
      </w:r>
      <w:r>
        <w:t xml:space="preserve"> </w:t>
      </w:r>
      <w:r w:rsidR="00505FEC">
        <w:t>illustrates</w:t>
      </w:r>
      <w:r w:rsidR="00241186">
        <w:t xml:space="preserve"> the different stages involved in the delivery of </w:t>
      </w:r>
      <w:r>
        <w:t>a</w:t>
      </w:r>
      <w:r w:rsidR="00241186" w:rsidRPr="00B9101C">
        <w:rPr>
          <w:rFonts w:cs="Calibri"/>
          <w:szCs w:val="20"/>
          <w:lang w:eastAsia="en-AU"/>
        </w:rPr>
        <w:t>xicabtagene ciloleucel</w:t>
      </w:r>
      <w:r w:rsidR="00241186">
        <w:rPr>
          <w:rFonts w:ascii="Calibri" w:eastAsia="Calibri" w:hAnsi="Calibri" w:cs="Times New Roman"/>
          <w:szCs w:val="20"/>
        </w:rPr>
        <w:t>. The consumable</w:t>
      </w:r>
      <w:r w:rsidR="00775261">
        <w:rPr>
          <w:rFonts w:ascii="Calibri" w:eastAsia="Calibri" w:hAnsi="Calibri" w:cs="Times New Roman"/>
          <w:szCs w:val="20"/>
        </w:rPr>
        <w:t xml:space="preserve">s </w:t>
      </w:r>
      <w:r w:rsidR="00241186">
        <w:rPr>
          <w:rFonts w:ascii="Calibri" w:eastAsia="Calibri" w:hAnsi="Calibri" w:cs="Times New Roman"/>
          <w:szCs w:val="20"/>
        </w:rPr>
        <w:t>for each stage</w:t>
      </w:r>
      <w:r w:rsidR="000D0D13">
        <w:rPr>
          <w:rFonts w:ascii="Calibri" w:eastAsia="Calibri" w:hAnsi="Calibri" w:cs="Times New Roman"/>
          <w:szCs w:val="20"/>
        </w:rPr>
        <w:t xml:space="preserve"> are stated below</w:t>
      </w:r>
      <w:r w:rsidR="00241186">
        <w:rPr>
          <w:rFonts w:ascii="Calibri" w:eastAsia="Calibri" w:hAnsi="Calibri" w:cs="Times New Roman"/>
          <w:szCs w:val="20"/>
        </w:rPr>
        <w:t>.</w:t>
      </w:r>
    </w:p>
    <w:p w14:paraId="37AAB0D7" w14:textId="46B4CA4C" w:rsidR="00241186" w:rsidRDefault="00241186" w:rsidP="00194C97">
      <w:pPr>
        <w:spacing w:before="0"/>
        <w:ind w:left="360"/>
        <w:rPr>
          <w:rFonts w:ascii="Calibri" w:eastAsia="Calibri" w:hAnsi="Calibri" w:cs="Times New Roman"/>
          <w:szCs w:val="20"/>
        </w:rPr>
      </w:pPr>
      <w:r>
        <w:rPr>
          <w:rFonts w:ascii="Calibri" w:eastAsia="Calibri" w:hAnsi="Calibri" w:cs="Times New Roman"/>
          <w:szCs w:val="20"/>
        </w:rPr>
        <w:t xml:space="preserve">Leukapheresis: </w:t>
      </w:r>
      <w:r w:rsidR="00505FEC">
        <w:rPr>
          <w:rFonts w:ascii="Calibri" w:eastAsia="Calibri" w:hAnsi="Calibri" w:cs="Times New Roman"/>
          <w:szCs w:val="20"/>
        </w:rPr>
        <w:t>v</w:t>
      </w:r>
      <w:r w:rsidR="0041732D">
        <w:rPr>
          <w:rFonts w:ascii="Calibri" w:eastAsia="Calibri" w:hAnsi="Calibri" w:cs="Times New Roman"/>
          <w:szCs w:val="20"/>
        </w:rPr>
        <w:t>arious</w:t>
      </w:r>
      <w:r w:rsidR="00BA7234">
        <w:rPr>
          <w:rFonts w:ascii="Calibri" w:eastAsia="Calibri" w:hAnsi="Calibri" w:cs="Times New Roman"/>
          <w:szCs w:val="20"/>
        </w:rPr>
        <w:t xml:space="preserve"> specialised apheresis</w:t>
      </w:r>
      <w:r>
        <w:rPr>
          <w:rFonts w:ascii="Calibri" w:eastAsia="Calibri" w:hAnsi="Calibri" w:cs="Times New Roman"/>
          <w:szCs w:val="20"/>
        </w:rPr>
        <w:t xml:space="preserve"> systems are available for this </w:t>
      </w:r>
      <w:r w:rsidR="0041732D">
        <w:rPr>
          <w:rFonts w:ascii="Calibri" w:eastAsia="Calibri" w:hAnsi="Calibri" w:cs="Times New Roman"/>
          <w:szCs w:val="20"/>
        </w:rPr>
        <w:t>process.</w:t>
      </w:r>
      <w:r>
        <w:rPr>
          <w:rFonts w:ascii="Calibri" w:eastAsia="Calibri" w:hAnsi="Calibri" w:cs="Times New Roman"/>
          <w:szCs w:val="20"/>
        </w:rPr>
        <w:t xml:space="preserve"> </w:t>
      </w:r>
      <w:r w:rsidR="00BA7234">
        <w:rPr>
          <w:rFonts w:ascii="Calibri" w:eastAsia="Calibri" w:hAnsi="Calibri" w:cs="Times New Roman"/>
          <w:szCs w:val="20"/>
        </w:rPr>
        <w:t>The a</w:t>
      </w:r>
      <w:r w:rsidR="00BA7234" w:rsidRPr="00BA7234">
        <w:rPr>
          <w:rFonts w:ascii="Calibri" w:eastAsia="Calibri" w:hAnsi="Calibri" w:cs="Times New Roman"/>
          <w:szCs w:val="20"/>
        </w:rPr>
        <w:t>pheresis machine</w:t>
      </w:r>
      <w:r w:rsidR="00BA7234">
        <w:rPr>
          <w:rFonts w:ascii="Calibri" w:eastAsia="Calibri" w:hAnsi="Calibri" w:cs="Times New Roman"/>
          <w:szCs w:val="20"/>
        </w:rPr>
        <w:t xml:space="preserve"> is connected to the patient via sterile tubing sets. The </w:t>
      </w:r>
      <w:r w:rsidR="00BA7234" w:rsidRPr="00BA7234">
        <w:rPr>
          <w:rFonts w:ascii="Calibri" w:eastAsia="Calibri" w:hAnsi="Calibri" w:cs="Times New Roman"/>
          <w:szCs w:val="20"/>
        </w:rPr>
        <w:t>patient’s blood is pumped into the machine</w:t>
      </w:r>
      <w:r w:rsidR="00BA7234">
        <w:rPr>
          <w:rFonts w:ascii="Calibri" w:eastAsia="Calibri" w:hAnsi="Calibri" w:cs="Times New Roman"/>
          <w:szCs w:val="20"/>
        </w:rPr>
        <w:t xml:space="preserve"> where the blood components are </w:t>
      </w:r>
      <w:r w:rsidR="00BA7234" w:rsidRPr="00BA7234">
        <w:rPr>
          <w:rFonts w:ascii="Calibri" w:eastAsia="Calibri" w:hAnsi="Calibri" w:cs="Times New Roman"/>
          <w:szCs w:val="20"/>
        </w:rPr>
        <w:t>separated using centrifugation and/or filtration</w:t>
      </w:r>
      <w:r w:rsidR="00CB34E3">
        <w:rPr>
          <w:rFonts w:ascii="Calibri" w:eastAsia="Calibri" w:hAnsi="Calibri" w:cs="Times New Roman"/>
          <w:szCs w:val="20"/>
        </w:rPr>
        <w:t>. The apheresis machine is a multi</w:t>
      </w:r>
      <w:r w:rsidR="00C47F81">
        <w:rPr>
          <w:rFonts w:ascii="Calibri" w:eastAsia="Calibri" w:hAnsi="Calibri" w:cs="Times New Roman"/>
          <w:szCs w:val="20"/>
        </w:rPr>
        <w:t>-</w:t>
      </w:r>
      <w:r w:rsidR="00CB34E3">
        <w:rPr>
          <w:rFonts w:ascii="Calibri" w:eastAsia="Calibri" w:hAnsi="Calibri" w:cs="Times New Roman"/>
          <w:szCs w:val="20"/>
        </w:rPr>
        <w:t xml:space="preserve">use consumable. </w:t>
      </w:r>
      <w:r w:rsidR="0041732D">
        <w:rPr>
          <w:rFonts w:ascii="Calibri" w:eastAsia="Calibri" w:hAnsi="Calibri" w:cs="Times New Roman"/>
          <w:szCs w:val="20"/>
        </w:rPr>
        <w:t>Single</w:t>
      </w:r>
      <w:r w:rsidR="00C47F81">
        <w:rPr>
          <w:rFonts w:ascii="Calibri" w:eastAsia="Calibri" w:hAnsi="Calibri" w:cs="Times New Roman"/>
          <w:szCs w:val="20"/>
        </w:rPr>
        <w:t>-</w:t>
      </w:r>
      <w:r>
        <w:rPr>
          <w:rFonts w:ascii="Calibri" w:eastAsia="Calibri" w:hAnsi="Calibri" w:cs="Times New Roman"/>
          <w:szCs w:val="20"/>
        </w:rPr>
        <w:t>use consumables are tubing, sets, bowls</w:t>
      </w:r>
      <w:r w:rsidR="0041732D">
        <w:rPr>
          <w:rFonts w:ascii="Calibri" w:eastAsia="Calibri" w:hAnsi="Calibri" w:cs="Times New Roman"/>
          <w:szCs w:val="20"/>
        </w:rPr>
        <w:t>,</w:t>
      </w:r>
      <w:r>
        <w:rPr>
          <w:rFonts w:ascii="Calibri" w:eastAsia="Calibri" w:hAnsi="Calibri" w:cs="Times New Roman"/>
          <w:szCs w:val="20"/>
        </w:rPr>
        <w:t xml:space="preserve"> </w:t>
      </w:r>
      <w:r w:rsidR="0041732D">
        <w:rPr>
          <w:rFonts w:ascii="Calibri" w:eastAsia="Calibri" w:hAnsi="Calibri" w:cs="Times New Roman"/>
          <w:szCs w:val="20"/>
        </w:rPr>
        <w:t>a</w:t>
      </w:r>
      <w:r>
        <w:rPr>
          <w:rFonts w:ascii="Calibri" w:eastAsia="Calibri" w:hAnsi="Calibri" w:cs="Times New Roman"/>
          <w:szCs w:val="20"/>
        </w:rPr>
        <w:t>nticoagulant and replacement fluids.</w:t>
      </w:r>
    </w:p>
    <w:p w14:paraId="343E3042" w14:textId="1C171BBD" w:rsidR="0041732D" w:rsidRDefault="00F7717F" w:rsidP="00194C97">
      <w:pPr>
        <w:spacing w:before="0"/>
        <w:ind w:left="360"/>
      </w:pPr>
      <w:r>
        <w:rPr>
          <w:rFonts w:ascii="Calibri" w:eastAsia="Calibri" w:hAnsi="Calibri" w:cs="Times New Roman"/>
          <w:szCs w:val="20"/>
        </w:rPr>
        <w:t>L</w:t>
      </w:r>
      <w:r w:rsidRPr="00F7717F">
        <w:rPr>
          <w:rFonts w:ascii="Calibri" w:eastAsia="Calibri" w:hAnsi="Calibri" w:cs="Times New Roman"/>
          <w:szCs w:val="20"/>
        </w:rPr>
        <w:t>ymphodepleting chemotherapy</w:t>
      </w:r>
      <w:r w:rsidR="00241186">
        <w:rPr>
          <w:rFonts w:ascii="Calibri" w:eastAsia="Calibri" w:hAnsi="Calibri" w:cs="Times New Roman"/>
          <w:szCs w:val="20"/>
        </w:rPr>
        <w:t xml:space="preserve">: </w:t>
      </w:r>
      <w:r w:rsidRPr="00F7717F">
        <w:t xml:space="preserve">lymphodepleting chemotherapy </w:t>
      </w:r>
      <w:r w:rsidR="00CB34E3" w:rsidRPr="00CB34E3">
        <w:t>consists of fludarabine (30 mg/m</w:t>
      </w:r>
      <w:r w:rsidR="00CB34E3" w:rsidRPr="00CB34E3">
        <w:rPr>
          <w:vertAlign w:val="superscript"/>
        </w:rPr>
        <w:t>2</w:t>
      </w:r>
      <w:r w:rsidR="00CB34E3" w:rsidRPr="00CB34E3">
        <w:t>/day) plus cyclophosphamide (500 mg/m</w:t>
      </w:r>
      <w:r w:rsidR="00CB34E3" w:rsidRPr="00CB34E3">
        <w:rPr>
          <w:vertAlign w:val="superscript"/>
        </w:rPr>
        <w:t>2</w:t>
      </w:r>
      <w:r w:rsidR="00CB34E3" w:rsidRPr="00CB34E3">
        <w:t>/day)</w:t>
      </w:r>
      <w:r w:rsidR="00A35D2A">
        <w:t xml:space="preserve"> administered IV on the 5th, 4th, and 3rd day before infusion of </w:t>
      </w:r>
      <w:r w:rsidR="00A35D2A">
        <w:rPr>
          <w:rFonts w:cs="Calibri"/>
          <w:lang w:eastAsia="en-AU"/>
        </w:rPr>
        <w:t>axicabtagene ciloleucel</w:t>
      </w:r>
      <w:r w:rsidR="00C47F81">
        <w:t>.</w:t>
      </w:r>
      <w:r w:rsidR="00CB34E3" w:rsidRPr="00CB34E3">
        <w:t xml:space="preserve"> </w:t>
      </w:r>
      <w:r w:rsidR="00241186">
        <w:t xml:space="preserve">Standard </w:t>
      </w:r>
      <w:r w:rsidR="002832D3">
        <w:t>single</w:t>
      </w:r>
      <w:r w:rsidR="00C76929">
        <w:t>-use</w:t>
      </w:r>
      <w:r w:rsidR="002832D3">
        <w:t xml:space="preserve"> </w:t>
      </w:r>
      <w:r w:rsidR="00241186">
        <w:t xml:space="preserve">consumables for an IV infusion </w:t>
      </w:r>
      <w:r w:rsidR="0082615F">
        <w:t>include sterile alcohol wipes, plastic wrap, film dressing, gauze wipes, tubing adhesive tape, spill kit, prep mats, labels, transport bag, and latex gloves</w:t>
      </w:r>
      <w:r w:rsidR="00194C97">
        <w:t>.</w:t>
      </w:r>
    </w:p>
    <w:p w14:paraId="1110F8FB" w14:textId="5D70D901" w:rsidR="00CB34E3" w:rsidRDefault="0041732D" w:rsidP="00194C97">
      <w:pPr>
        <w:spacing w:before="0"/>
        <w:ind w:left="360"/>
      </w:pPr>
      <w:r w:rsidRPr="00B9101C">
        <w:rPr>
          <w:rFonts w:cs="Calibri"/>
          <w:szCs w:val="20"/>
          <w:lang w:eastAsia="en-AU"/>
        </w:rPr>
        <w:t>Axicabtagene ciloleucel</w:t>
      </w:r>
      <w:r w:rsidRPr="00855944">
        <w:t xml:space="preserve"> </w:t>
      </w:r>
      <w:r>
        <w:t xml:space="preserve">infusion: </w:t>
      </w:r>
      <w:r w:rsidR="00505FEC">
        <w:t>t</w:t>
      </w:r>
      <w:r>
        <w:t>his process includes</w:t>
      </w:r>
      <w:r w:rsidR="0067118F">
        <w:t xml:space="preserve"> standard</w:t>
      </w:r>
      <w:r w:rsidR="00C76929">
        <w:t xml:space="preserve"> single-use</w:t>
      </w:r>
      <w:r>
        <w:t xml:space="preserve"> consumables typical to </w:t>
      </w:r>
      <w:r w:rsidR="0067118F">
        <w:t>an</w:t>
      </w:r>
      <w:r>
        <w:t xml:space="preserve"> IV infusion</w:t>
      </w:r>
      <w:r w:rsidR="00C76929">
        <w:t>,</w:t>
      </w:r>
      <w:r>
        <w:t xml:space="preserve"> </w:t>
      </w:r>
      <w:r w:rsidR="00194C97">
        <w:t>as listed above.</w:t>
      </w:r>
    </w:p>
    <w:p w14:paraId="532C67E9" w14:textId="77777777" w:rsidR="00112A1A" w:rsidRPr="00855944" w:rsidRDefault="00A12500" w:rsidP="00D4288A">
      <w:pPr>
        <w:spacing w:before="0" w:after="0"/>
        <w:ind w:left="360"/>
      </w:pPr>
      <w:r>
        <w:t>Management of potential serious adverse events</w:t>
      </w:r>
      <w:r w:rsidR="00CB34E3">
        <w:t xml:space="preserve">: </w:t>
      </w:r>
      <w:r w:rsidR="00960736">
        <w:t>m</w:t>
      </w:r>
      <w:r w:rsidR="0067118F">
        <w:t>edicines</w:t>
      </w:r>
      <w:r w:rsidR="00CB34E3" w:rsidRPr="00CB34E3">
        <w:t xml:space="preserve"> may be administered </w:t>
      </w:r>
      <w:r w:rsidR="00CB34E3">
        <w:t xml:space="preserve">via IV infusion </w:t>
      </w:r>
      <w:r w:rsidR="00CB34E3" w:rsidRPr="00CB34E3">
        <w:t xml:space="preserve">for the management of </w:t>
      </w:r>
      <w:r w:rsidR="00CB34E3">
        <w:t xml:space="preserve">CRS, </w:t>
      </w:r>
      <w:r w:rsidR="00C76929">
        <w:t>and</w:t>
      </w:r>
      <w:r w:rsidR="00CB34E3">
        <w:t xml:space="preserve"> standard single</w:t>
      </w:r>
      <w:r w:rsidR="00C76929">
        <w:t>-use</w:t>
      </w:r>
      <w:r w:rsidR="00CB34E3">
        <w:t xml:space="preserve"> consumables for an IV infusion will be required</w:t>
      </w:r>
      <w:r w:rsidR="00C76929">
        <w:t xml:space="preserve">, as </w:t>
      </w:r>
      <w:r w:rsidR="00CB34E3">
        <w:t>listed above</w:t>
      </w:r>
      <w:r w:rsidR="00C76929">
        <w:t>.</w:t>
      </w:r>
      <w:r w:rsidR="00CB34E3">
        <w:t xml:space="preserve"> </w:t>
      </w:r>
      <w:r w:rsidR="00F301F1" w:rsidRPr="00855944">
        <w:br w:type="page"/>
      </w:r>
    </w:p>
    <w:p w14:paraId="699B2E5B"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014E5BAA"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361F2CE0" w14:textId="77777777" w:rsidR="00A26343" w:rsidRPr="00A26343" w:rsidRDefault="00A26343" w:rsidP="00BE3218">
      <w:pPr>
        <w:spacing w:before="0" w:after="0"/>
        <w:ind w:left="284" w:firstLine="76"/>
        <w:rPr>
          <w:szCs w:val="20"/>
        </w:rPr>
      </w:pPr>
      <w:r w:rsidRPr="00A26343">
        <w:rPr>
          <w:szCs w:val="20"/>
        </w:rPr>
        <w:t>Type of therapeutic good</w:t>
      </w:r>
      <w:r>
        <w:rPr>
          <w:szCs w:val="20"/>
        </w:rPr>
        <w:t xml:space="preserve">: </w:t>
      </w:r>
      <w:r w:rsidR="00D93832">
        <w:t>Class 4 biological product</w:t>
      </w:r>
    </w:p>
    <w:p w14:paraId="650955FB" w14:textId="77777777" w:rsidR="00A26343" w:rsidRPr="00A26343" w:rsidRDefault="00A26343" w:rsidP="00BE3218">
      <w:pPr>
        <w:spacing w:before="0" w:after="0"/>
        <w:ind w:left="284" w:firstLine="76"/>
        <w:rPr>
          <w:szCs w:val="20"/>
        </w:rPr>
      </w:pPr>
      <w:r w:rsidRPr="00A26343">
        <w:rPr>
          <w:szCs w:val="20"/>
        </w:rPr>
        <w:t>Manufacturer’s name</w:t>
      </w:r>
      <w:r>
        <w:rPr>
          <w:szCs w:val="20"/>
        </w:rPr>
        <w:t xml:space="preserve">: </w:t>
      </w:r>
      <w:r w:rsidR="00C91AD8">
        <w:t>Kite Pharma, a Gilead Company</w:t>
      </w:r>
    </w:p>
    <w:p w14:paraId="323463DD" w14:textId="77777777" w:rsidR="00A26343" w:rsidRPr="00A26343" w:rsidRDefault="00A26343" w:rsidP="00BE3218">
      <w:pPr>
        <w:spacing w:before="0" w:after="0"/>
        <w:ind w:left="284" w:firstLine="76"/>
        <w:rPr>
          <w:szCs w:val="20"/>
        </w:rPr>
      </w:pPr>
      <w:r w:rsidRPr="00A26343">
        <w:rPr>
          <w:szCs w:val="20"/>
        </w:rPr>
        <w:t>Sponsor’s name</w:t>
      </w:r>
      <w:r>
        <w:rPr>
          <w:szCs w:val="20"/>
        </w:rPr>
        <w:t xml:space="preserve">: </w:t>
      </w:r>
      <w:r w:rsidR="00D93832" w:rsidRPr="00D93832">
        <w:t>Gilead Sciences Pty Ltd</w:t>
      </w:r>
    </w:p>
    <w:p w14:paraId="1EE7DB6C"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3FD9724F" w14:textId="77777777" w:rsidR="00615F42" w:rsidRPr="00615F42"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615F42" w:rsidRPr="000A5B32">
        <w:rPr>
          <w:szCs w:val="20"/>
        </w:rPr>
        <w:t xml:space="preserve"> </w:t>
      </w:r>
      <w:r w:rsidR="00615F42" w:rsidRPr="00615F42">
        <w:rPr>
          <w:szCs w:val="20"/>
        </w:rPr>
        <w:t>Class III</w:t>
      </w:r>
    </w:p>
    <w:p w14:paraId="140323C2" w14:textId="77777777" w:rsidR="00615F42" w:rsidRPr="00615F42"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615F42" w:rsidRPr="000A5B32">
        <w:rPr>
          <w:szCs w:val="20"/>
        </w:rPr>
        <w:t xml:space="preserve"> </w:t>
      </w:r>
      <w:r w:rsidR="00615F42" w:rsidRPr="00615F42">
        <w:rPr>
          <w:szCs w:val="20"/>
        </w:rPr>
        <w:t>AIMD</w:t>
      </w:r>
    </w:p>
    <w:p w14:paraId="577F81E5" w14:textId="77777777" w:rsidR="005E2CE3" w:rsidRPr="00154B00" w:rsidRDefault="004B72CA" w:rsidP="00A6491A">
      <w:pPr>
        <w:spacing w:before="0" w:after="0"/>
        <w:ind w:left="284"/>
        <w:rPr>
          <w:szCs w:val="20"/>
        </w:rPr>
      </w:pPr>
      <w:r>
        <w:rPr>
          <w:szCs w:val="20"/>
        </w:rPr>
        <w:fldChar w:fldCharType="begin">
          <w:ffData>
            <w:name w:val="Check1"/>
            <w:enabled/>
            <w:calcOnExit w:val="0"/>
            <w:checkBox>
              <w:sizeAuto/>
              <w:default w:val="1"/>
            </w:checkBox>
          </w:ffData>
        </w:fldChar>
      </w:r>
      <w:bookmarkStart w:id="5" w:name="Check1"/>
      <w:r w:rsidR="00D93832">
        <w:rPr>
          <w:szCs w:val="20"/>
        </w:rPr>
        <w:instrText xml:space="preserve"> FORMCHECKBOX </w:instrText>
      </w:r>
      <w:r w:rsidR="003136F9">
        <w:rPr>
          <w:szCs w:val="20"/>
        </w:rPr>
      </w:r>
      <w:r w:rsidR="003136F9">
        <w:rPr>
          <w:szCs w:val="20"/>
        </w:rPr>
        <w:fldChar w:fldCharType="separate"/>
      </w:r>
      <w:r>
        <w:rPr>
          <w:szCs w:val="20"/>
        </w:rPr>
        <w:fldChar w:fldCharType="end"/>
      </w:r>
      <w:bookmarkEnd w:id="5"/>
      <w:r w:rsidR="00615F42" w:rsidRPr="000A5B32">
        <w:rPr>
          <w:szCs w:val="20"/>
        </w:rPr>
        <w:t xml:space="preserve"> </w:t>
      </w:r>
      <w:r w:rsidR="00615F42" w:rsidRPr="00615F42">
        <w:rPr>
          <w:szCs w:val="20"/>
        </w:rPr>
        <w:t>N/A</w:t>
      </w:r>
    </w:p>
    <w:p w14:paraId="51A725C7"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461193D" w14:textId="77777777" w:rsidR="00615F42" w:rsidRDefault="004B72CA"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00615F42"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615F42">
        <w:rPr>
          <w:szCs w:val="20"/>
        </w:rPr>
        <w:t xml:space="preserve"> Yes (</w:t>
      </w:r>
      <w:r w:rsidR="00615F42" w:rsidRPr="00154B00">
        <w:rPr>
          <w:szCs w:val="20"/>
        </w:rPr>
        <w:t>If yes, please provide supporting documentation</w:t>
      </w:r>
      <w:r w:rsidR="00615F42">
        <w:rPr>
          <w:szCs w:val="20"/>
        </w:rPr>
        <w:t xml:space="preserve"> as an attachment to this application form)</w:t>
      </w:r>
    </w:p>
    <w:p w14:paraId="6C11F9BF" w14:textId="77777777" w:rsidR="003421AE" w:rsidRPr="00615F42" w:rsidRDefault="004B72CA" w:rsidP="00A6491A">
      <w:pPr>
        <w:spacing w:before="0" w:after="0"/>
        <w:ind w:left="284"/>
        <w:rPr>
          <w:b/>
          <w:szCs w:val="20"/>
        </w:rPr>
      </w:pPr>
      <w:r>
        <w:rPr>
          <w:szCs w:val="20"/>
        </w:rPr>
        <w:fldChar w:fldCharType="begin">
          <w:ffData>
            <w:name w:val=""/>
            <w:enabled/>
            <w:calcOnExit w:val="0"/>
            <w:checkBox>
              <w:sizeAuto/>
              <w:default w:val="1"/>
            </w:checkBox>
          </w:ffData>
        </w:fldChar>
      </w:r>
      <w:r w:rsidR="00D93832">
        <w:rPr>
          <w:szCs w:val="20"/>
        </w:rPr>
        <w:instrText xml:space="preserve"> FORMCHECKBOX </w:instrText>
      </w:r>
      <w:r w:rsidR="003136F9">
        <w:rPr>
          <w:szCs w:val="20"/>
        </w:rPr>
      </w:r>
      <w:r w:rsidR="003136F9">
        <w:rPr>
          <w:szCs w:val="20"/>
        </w:rPr>
        <w:fldChar w:fldCharType="separate"/>
      </w:r>
      <w:r>
        <w:rPr>
          <w:szCs w:val="20"/>
        </w:rPr>
        <w:fldChar w:fldCharType="end"/>
      </w:r>
      <w:r w:rsidR="00615F42">
        <w:rPr>
          <w:szCs w:val="20"/>
        </w:rPr>
        <w:t xml:space="preserve"> No</w:t>
      </w:r>
    </w:p>
    <w:p w14:paraId="08A70442"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A5B12CD" w14:textId="77777777" w:rsidR="0043654D" w:rsidRDefault="004B72CA"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0043654D"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43654D">
        <w:rPr>
          <w:szCs w:val="20"/>
        </w:rPr>
        <w:t xml:space="preserve"> Yes (if yes, please provide details below)</w:t>
      </w:r>
    </w:p>
    <w:p w14:paraId="3545B83D" w14:textId="73B26C91" w:rsidR="0043654D" w:rsidRPr="00194C97" w:rsidRDefault="004B72CA" w:rsidP="00194C97">
      <w:pPr>
        <w:spacing w:before="0"/>
        <w:ind w:left="284"/>
        <w:rPr>
          <w:szCs w:val="20"/>
        </w:rPr>
      </w:pPr>
      <w:r>
        <w:rPr>
          <w:szCs w:val="20"/>
        </w:rPr>
        <w:fldChar w:fldCharType="begin">
          <w:ffData>
            <w:name w:val=""/>
            <w:enabled/>
            <w:calcOnExit w:val="0"/>
            <w:checkBox>
              <w:sizeAuto/>
              <w:default w:val="1"/>
            </w:checkBox>
          </w:ffData>
        </w:fldChar>
      </w:r>
      <w:r w:rsidR="00D93832">
        <w:rPr>
          <w:szCs w:val="20"/>
        </w:rPr>
        <w:instrText xml:space="preserve"> FORMCHECKBOX </w:instrText>
      </w:r>
      <w:r w:rsidR="003136F9">
        <w:rPr>
          <w:szCs w:val="20"/>
        </w:rPr>
      </w:r>
      <w:r w:rsidR="003136F9">
        <w:rPr>
          <w:szCs w:val="20"/>
        </w:rPr>
        <w:fldChar w:fldCharType="separate"/>
      </w:r>
      <w:r>
        <w:rPr>
          <w:szCs w:val="20"/>
        </w:rPr>
        <w:fldChar w:fldCharType="end"/>
      </w:r>
      <w:r w:rsidR="0043654D">
        <w:rPr>
          <w:szCs w:val="20"/>
        </w:rPr>
        <w:t xml:space="preserve"> No</w:t>
      </w:r>
    </w:p>
    <w:p w14:paraId="4EB9C8BC" w14:textId="77777777" w:rsidR="0043654D" w:rsidRPr="0043654D" w:rsidRDefault="0043654D" w:rsidP="00021CF1">
      <w:pPr>
        <w:spacing w:before="0" w:after="0"/>
        <w:ind w:firstLine="284"/>
        <w:rPr>
          <w:szCs w:val="20"/>
        </w:rPr>
      </w:pPr>
      <w:r w:rsidRPr="0043654D">
        <w:rPr>
          <w:szCs w:val="20"/>
        </w:rPr>
        <w:t>ARTG listing, registration or inclusion number:</w:t>
      </w:r>
      <w:r>
        <w:rPr>
          <w:szCs w:val="20"/>
        </w:rPr>
        <w:t xml:space="preserve">  </w:t>
      </w:r>
      <w:r w:rsidR="004B72CA">
        <w:fldChar w:fldCharType="begin">
          <w:ffData>
            <w:name w:val=""/>
            <w:enabled/>
            <w:calcOnExit w:val="0"/>
            <w:textInput>
              <w:default w:val="Insert ARTG number here"/>
            </w:textInput>
          </w:ffData>
        </w:fldChar>
      </w:r>
      <w:r>
        <w:instrText xml:space="preserve"> FORMTEXT </w:instrText>
      </w:r>
      <w:r w:rsidR="004B72CA">
        <w:fldChar w:fldCharType="separate"/>
      </w:r>
      <w:r>
        <w:rPr>
          <w:noProof/>
        </w:rPr>
        <w:t>Insert ARTG number here</w:t>
      </w:r>
      <w:r w:rsidR="004B72CA">
        <w:fldChar w:fldCharType="end"/>
      </w:r>
    </w:p>
    <w:p w14:paraId="4856C690" w14:textId="77777777" w:rsidR="0043654D" w:rsidRPr="0043654D" w:rsidRDefault="0043654D" w:rsidP="00021CF1">
      <w:pPr>
        <w:spacing w:before="0" w:after="0"/>
        <w:ind w:firstLine="284"/>
        <w:rPr>
          <w:szCs w:val="20"/>
        </w:rPr>
      </w:pPr>
      <w:r w:rsidRPr="0043654D">
        <w:rPr>
          <w:szCs w:val="20"/>
        </w:rPr>
        <w:t>TGA approved indication(s), if applicable:</w:t>
      </w:r>
      <w:r>
        <w:rPr>
          <w:szCs w:val="20"/>
        </w:rPr>
        <w:t xml:space="preserve">  </w:t>
      </w:r>
      <w:r w:rsidR="004B72CA">
        <w:fldChar w:fldCharType="begin">
          <w:ffData>
            <w:name w:val=""/>
            <w:enabled/>
            <w:calcOnExit w:val="0"/>
            <w:textInput>
              <w:default w:val="Insert approved indication(s) here"/>
            </w:textInput>
          </w:ffData>
        </w:fldChar>
      </w:r>
      <w:r>
        <w:instrText xml:space="preserve"> FORMTEXT </w:instrText>
      </w:r>
      <w:r w:rsidR="004B72CA">
        <w:fldChar w:fldCharType="separate"/>
      </w:r>
      <w:r>
        <w:rPr>
          <w:noProof/>
        </w:rPr>
        <w:t>Insert approved indication(s) here</w:t>
      </w:r>
      <w:r w:rsidR="004B72CA">
        <w:fldChar w:fldCharType="end"/>
      </w:r>
    </w:p>
    <w:p w14:paraId="440C5C3A" w14:textId="77777777" w:rsidR="00F301F1" w:rsidRPr="0043654D" w:rsidRDefault="0043654D" w:rsidP="00021CF1">
      <w:pPr>
        <w:spacing w:before="0" w:after="0"/>
        <w:ind w:firstLine="284"/>
        <w:rPr>
          <w:szCs w:val="20"/>
        </w:rPr>
      </w:pPr>
      <w:r w:rsidRPr="0043654D">
        <w:rPr>
          <w:szCs w:val="20"/>
        </w:rPr>
        <w:t>TGA approved purpose(s), if applicable:</w:t>
      </w:r>
      <w:r>
        <w:rPr>
          <w:szCs w:val="20"/>
        </w:rPr>
        <w:t xml:space="preserve">  </w:t>
      </w:r>
      <w:r w:rsidR="004B72CA">
        <w:fldChar w:fldCharType="begin">
          <w:ffData>
            <w:name w:val=""/>
            <w:enabled/>
            <w:calcOnExit w:val="0"/>
            <w:textInput>
              <w:default w:val="Insert approved purpose(s) here"/>
            </w:textInput>
          </w:ffData>
        </w:fldChar>
      </w:r>
      <w:r>
        <w:instrText xml:space="preserve"> FORMTEXT </w:instrText>
      </w:r>
      <w:r w:rsidR="004B72CA">
        <w:fldChar w:fldCharType="separate"/>
      </w:r>
      <w:r>
        <w:rPr>
          <w:noProof/>
        </w:rPr>
        <w:t>Insert approved purpose(s) here</w:t>
      </w:r>
      <w:r w:rsidR="004B72CA">
        <w:fldChar w:fldCharType="end"/>
      </w:r>
    </w:p>
    <w:p w14:paraId="293AF5B6"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5F11C62" w14:textId="77777777" w:rsidR="003433D1" w:rsidRPr="0047581D" w:rsidRDefault="00D056E7" w:rsidP="0090748F">
      <w:pPr>
        <w:spacing w:before="0" w:after="0"/>
        <w:ind w:firstLine="284"/>
        <w:rPr>
          <w:szCs w:val="20"/>
        </w:rPr>
      </w:pPr>
      <w:r>
        <w:rPr>
          <w:szCs w:val="20"/>
        </w:rPr>
        <w:t>R</w:t>
      </w:r>
      <w:r w:rsidR="00D11D01">
        <w:rPr>
          <w:szCs w:val="20"/>
        </w:rPr>
        <w:t>edacted</w:t>
      </w:r>
    </w:p>
    <w:p w14:paraId="1DDAD091" w14:textId="77777777" w:rsidR="00C0796F"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2622C04" w14:textId="3DD47A26" w:rsidR="00F83A9D" w:rsidRPr="00194C97" w:rsidRDefault="003C7607" w:rsidP="00194C97">
      <w:pPr>
        <w:ind w:firstLine="360"/>
      </w:pPr>
      <w:r>
        <w:t>Redacted</w:t>
      </w:r>
      <w:r w:rsidR="00BE3218">
        <w:t>.</w:t>
      </w:r>
    </w:p>
    <w:p w14:paraId="4B3F7848"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5CF65266"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70C3F0A3"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0" w:type="auto"/>
        <w:tblInd w:w="426" w:type="dxa"/>
        <w:tblLayout w:type="fixed"/>
        <w:tblLook w:val="04A0" w:firstRow="1" w:lastRow="0" w:firstColumn="1" w:lastColumn="0" w:noHBand="0" w:noVBand="1"/>
        <w:tblDescription w:val="Summary of the key published journal articles related to the proposed service "/>
      </w:tblPr>
      <w:tblGrid>
        <w:gridCol w:w="360"/>
        <w:gridCol w:w="1397"/>
        <w:gridCol w:w="2788"/>
        <w:gridCol w:w="2395"/>
        <w:gridCol w:w="5131"/>
        <w:gridCol w:w="1451"/>
      </w:tblGrid>
      <w:tr w:rsidR="002832D3" w14:paraId="58AD0D6B" w14:textId="77777777" w:rsidTr="00D4288A">
        <w:trPr>
          <w:tblHeader/>
        </w:trPr>
        <w:tc>
          <w:tcPr>
            <w:tcW w:w="360" w:type="dxa"/>
          </w:tcPr>
          <w:p w14:paraId="27F39866" w14:textId="77777777" w:rsidR="002832D3" w:rsidRDefault="002832D3" w:rsidP="002832D3">
            <w:pPr>
              <w:spacing w:after="0"/>
              <w:rPr>
                <w:sz w:val="18"/>
                <w:szCs w:val="18"/>
              </w:rPr>
            </w:pPr>
            <w:bookmarkStart w:id="6" w:name="_Hlk1998305"/>
          </w:p>
        </w:tc>
        <w:tc>
          <w:tcPr>
            <w:tcW w:w="1397" w:type="dxa"/>
          </w:tcPr>
          <w:p w14:paraId="472A4C35" w14:textId="77777777" w:rsidR="002832D3" w:rsidRPr="002832D3" w:rsidRDefault="002832D3" w:rsidP="002832D3">
            <w:pPr>
              <w:spacing w:after="0"/>
              <w:rPr>
                <w:b/>
                <w:sz w:val="18"/>
                <w:szCs w:val="18"/>
              </w:rPr>
            </w:pPr>
            <w:r w:rsidRPr="002832D3">
              <w:rPr>
                <w:b/>
              </w:rPr>
              <w:t>Type of study design*</w:t>
            </w:r>
          </w:p>
        </w:tc>
        <w:tc>
          <w:tcPr>
            <w:tcW w:w="2788" w:type="dxa"/>
          </w:tcPr>
          <w:p w14:paraId="3CBA6E36" w14:textId="77777777" w:rsidR="002832D3" w:rsidRPr="002832D3" w:rsidRDefault="002832D3" w:rsidP="002832D3">
            <w:pPr>
              <w:spacing w:after="0"/>
              <w:rPr>
                <w:b/>
                <w:sz w:val="18"/>
                <w:szCs w:val="18"/>
              </w:rPr>
            </w:pPr>
            <w:r w:rsidRPr="002832D3">
              <w:rPr>
                <w:b/>
              </w:rPr>
              <w:t>Title of journal article or research project (including any trial identifier or study lead if relevant)</w:t>
            </w:r>
          </w:p>
        </w:tc>
        <w:tc>
          <w:tcPr>
            <w:tcW w:w="2395" w:type="dxa"/>
          </w:tcPr>
          <w:p w14:paraId="5722E91B" w14:textId="77777777" w:rsidR="002832D3" w:rsidRPr="002832D3" w:rsidRDefault="002832D3" w:rsidP="002832D3">
            <w:pPr>
              <w:spacing w:after="0"/>
              <w:rPr>
                <w:b/>
                <w:sz w:val="18"/>
                <w:szCs w:val="18"/>
              </w:rPr>
            </w:pPr>
            <w:r w:rsidRPr="002832D3">
              <w:rPr>
                <w:b/>
              </w:rPr>
              <w:t>Short description of research (max 50 words)**</w:t>
            </w:r>
          </w:p>
        </w:tc>
        <w:tc>
          <w:tcPr>
            <w:tcW w:w="5131" w:type="dxa"/>
          </w:tcPr>
          <w:p w14:paraId="71558254" w14:textId="77777777" w:rsidR="002832D3" w:rsidRPr="002832D3" w:rsidRDefault="002832D3" w:rsidP="002832D3">
            <w:pPr>
              <w:spacing w:after="0"/>
              <w:rPr>
                <w:b/>
                <w:sz w:val="18"/>
                <w:szCs w:val="18"/>
              </w:rPr>
            </w:pPr>
            <w:r w:rsidRPr="002832D3">
              <w:rPr>
                <w:b/>
              </w:rPr>
              <w:t>Website link to journal article or research (if available)</w:t>
            </w:r>
          </w:p>
        </w:tc>
        <w:tc>
          <w:tcPr>
            <w:tcW w:w="1451" w:type="dxa"/>
          </w:tcPr>
          <w:p w14:paraId="7875C254" w14:textId="77777777" w:rsidR="002832D3" w:rsidRPr="002832D3" w:rsidRDefault="002832D3" w:rsidP="002832D3">
            <w:pPr>
              <w:spacing w:after="0"/>
              <w:rPr>
                <w:b/>
                <w:sz w:val="18"/>
                <w:szCs w:val="18"/>
              </w:rPr>
            </w:pPr>
            <w:r w:rsidRPr="002832D3">
              <w:rPr>
                <w:b/>
              </w:rPr>
              <w:t>Date of publication***</w:t>
            </w:r>
          </w:p>
        </w:tc>
      </w:tr>
      <w:tr w:rsidR="002832D3" w14:paraId="4EE6E47B" w14:textId="77777777" w:rsidTr="00A8688E">
        <w:tc>
          <w:tcPr>
            <w:tcW w:w="360" w:type="dxa"/>
          </w:tcPr>
          <w:p w14:paraId="01E8BA49" w14:textId="77777777" w:rsidR="002832D3" w:rsidRDefault="002832D3" w:rsidP="002832D3">
            <w:pPr>
              <w:spacing w:after="0"/>
              <w:rPr>
                <w:sz w:val="18"/>
                <w:szCs w:val="18"/>
              </w:rPr>
            </w:pPr>
            <w:r>
              <w:rPr>
                <w:sz w:val="18"/>
                <w:szCs w:val="18"/>
              </w:rPr>
              <w:t>1.</w:t>
            </w:r>
          </w:p>
        </w:tc>
        <w:tc>
          <w:tcPr>
            <w:tcW w:w="1397" w:type="dxa"/>
          </w:tcPr>
          <w:p w14:paraId="583F3206" w14:textId="77777777" w:rsidR="002832D3" w:rsidRPr="00212BF8" w:rsidRDefault="002832D3" w:rsidP="002832D3">
            <w:pPr>
              <w:widowControl w:val="0"/>
              <w:rPr>
                <w:b/>
                <w:noProof/>
              </w:rPr>
            </w:pPr>
            <w:r w:rsidRPr="00212BF8">
              <w:rPr>
                <w:b/>
                <w:noProof/>
              </w:rPr>
              <w:t>Pivotal Study</w:t>
            </w:r>
          </w:p>
          <w:p w14:paraId="0B6EF02B" w14:textId="77777777" w:rsidR="002832D3" w:rsidRDefault="002832D3" w:rsidP="002832D3">
            <w:pPr>
              <w:widowControl w:val="0"/>
              <w:rPr>
                <w:noProof/>
              </w:rPr>
            </w:pPr>
            <w:r>
              <w:rPr>
                <w:noProof/>
              </w:rPr>
              <w:t>Multicentre Phase 2 trial in 101 patients with refractory DLBCL, PMBCL and TFL</w:t>
            </w:r>
          </w:p>
          <w:p w14:paraId="3A005FE3" w14:textId="77777777" w:rsidR="002832D3" w:rsidRPr="00175C5E" w:rsidRDefault="00175C5E" w:rsidP="00175C5E">
            <w:pPr>
              <w:widowControl w:val="0"/>
              <w:rPr>
                <w:noProof/>
              </w:rPr>
            </w:pPr>
            <w:r>
              <w:rPr>
                <w:noProof/>
              </w:rPr>
              <w:t>(Cohorts 1 and 2)</w:t>
            </w:r>
          </w:p>
        </w:tc>
        <w:tc>
          <w:tcPr>
            <w:tcW w:w="2788" w:type="dxa"/>
          </w:tcPr>
          <w:p w14:paraId="3B6B5F22" w14:textId="77777777" w:rsidR="002832D3" w:rsidRDefault="002832D3" w:rsidP="002832D3">
            <w:pPr>
              <w:pStyle w:val="Default"/>
              <w:widowControl w:val="0"/>
              <w:rPr>
                <w:rFonts w:asciiTheme="minorHAnsi" w:hAnsiTheme="minorHAnsi" w:cstheme="minorBidi"/>
                <w:noProof/>
                <w:color w:val="auto"/>
                <w:sz w:val="20"/>
                <w:szCs w:val="22"/>
              </w:rPr>
            </w:pPr>
            <w:r w:rsidRPr="00DD3C95">
              <w:rPr>
                <w:rFonts w:asciiTheme="minorHAnsi" w:hAnsiTheme="minorHAnsi" w:cstheme="minorBidi"/>
                <w:noProof/>
                <w:color w:val="auto"/>
                <w:sz w:val="20"/>
                <w:szCs w:val="22"/>
              </w:rPr>
              <w:t xml:space="preserve">KTE-C19-101 </w:t>
            </w:r>
          </w:p>
          <w:p w14:paraId="212D62C3" w14:textId="77777777" w:rsidR="002832D3" w:rsidRDefault="002832D3" w:rsidP="002832D3">
            <w:pPr>
              <w:pStyle w:val="Default"/>
              <w:widowControl w:val="0"/>
              <w:rPr>
                <w:rFonts w:asciiTheme="minorHAnsi" w:hAnsiTheme="minorHAnsi" w:cstheme="minorBidi"/>
                <w:noProof/>
                <w:color w:val="auto"/>
                <w:sz w:val="20"/>
                <w:szCs w:val="22"/>
              </w:rPr>
            </w:pPr>
            <w:r w:rsidRPr="00357EA8">
              <w:rPr>
                <w:rFonts w:asciiTheme="minorHAnsi" w:hAnsiTheme="minorHAnsi" w:cstheme="minorBidi"/>
                <w:noProof/>
                <w:color w:val="auto"/>
                <w:sz w:val="20"/>
                <w:szCs w:val="22"/>
              </w:rPr>
              <w:t xml:space="preserve">Safety and Efficacy of KTE-C19 in Adults With Refractory Aggressive </w:t>
            </w:r>
            <w:r w:rsidR="00B127CA">
              <w:rPr>
                <w:rFonts w:asciiTheme="minorHAnsi" w:hAnsiTheme="minorHAnsi" w:cstheme="minorBidi"/>
                <w:noProof/>
                <w:color w:val="auto"/>
                <w:sz w:val="20"/>
                <w:szCs w:val="22"/>
              </w:rPr>
              <w:t>non-Hodgkin</w:t>
            </w:r>
            <w:r w:rsidRPr="00357EA8">
              <w:rPr>
                <w:rFonts w:asciiTheme="minorHAnsi" w:hAnsiTheme="minorHAnsi" w:cstheme="minorBidi"/>
                <w:noProof/>
                <w:color w:val="auto"/>
                <w:sz w:val="20"/>
                <w:szCs w:val="22"/>
              </w:rPr>
              <w:t xml:space="preserve"> Lymphoma (ZUMA-1)</w:t>
            </w:r>
            <w:r w:rsidRPr="00DD3C95">
              <w:rPr>
                <w:rFonts w:asciiTheme="minorHAnsi" w:hAnsiTheme="minorHAnsi" w:cstheme="minorBidi"/>
                <w:noProof/>
                <w:color w:val="auto"/>
                <w:sz w:val="20"/>
                <w:szCs w:val="22"/>
              </w:rPr>
              <w:t xml:space="preserve"> </w:t>
            </w:r>
          </w:p>
          <w:p w14:paraId="5EEFFC3E" w14:textId="6630DA87" w:rsidR="002832D3" w:rsidRDefault="002832D3" w:rsidP="00194C97">
            <w:pPr>
              <w:pStyle w:val="Default"/>
              <w:widowControl w:val="0"/>
              <w:spacing w:after="240"/>
              <w:rPr>
                <w:rFonts w:asciiTheme="minorHAnsi" w:hAnsiTheme="minorHAnsi" w:cstheme="minorBidi"/>
                <w:noProof/>
                <w:color w:val="auto"/>
                <w:sz w:val="20"/>
                <w:szCs w:val="22"/>
              </w:rPr>
            </w:pPr>
            <w:r w:rsidRPr="00357EA8">
              <w:rPr>
                <w:rFonts w:asciiTheme="minorHAnsi" w:hAnsiTheme="minorHAnsi" w:cstheme="minorBidi"/>
                <w:noProof/>
                <w:color w:val="auto"/>
                <w:sz w:val="20"/>
                <w:szCs w:val="22"/>
              </w:rPr>
              <w:t>ClinicalTrials.gov Identifier:</w:t>
            </w:r>
            <w:r>
              <w:rPr>
                <w:rFonts w:asciiTheme="minorHAnsi" w:hAnsiTheme="minorHAnsi" w:cstheme="minorBidi"/>
                <w:noProof/>
                <w:color w:val="auto"/>
                <w:sz w:val="20"/>
                <w:szCs w:val="22"/>
              </w:rPr>
              <w:t xml:space="preserve"> </w:t>
            </w:r>
            <w:r w:rsidRPr="00357EA8">
              <w:rPr>
                <w:rFonts w:asciiTheme="minorHAnsi" w:hAnsiTheme="minorHAnsi" w:cstheme="minorBidi"/>
                <w:noProof/>
                <w:color w:val="auto"/>
                <w:sz w:val="20"/>
                <w:szCs w:val="22"/>
              </w:rPr>
              <w:t>NCT02348216</w:t>
            </w:r>
          </w:p>
          <w:p w14:paraId="78A8BDED" w14:textId="4AD6D718" w:rsidR="002832D3" w:rsidRPr="00194C97" w:rsidRDefault="003136F9" w:rsidP="00194C97">
            <w:pPr>
              <w:pStyle w:val="Default"/>
              <w:widowControl w:val="0"/>
              <w:spacing w:after="240"/>
            </w:pPr>
            <w:hyperlink r:id="rId17" w:history="1">
              <w:r w:rsidR="002832D3" w:rsidRPr="00057014">
                <w:rPr>
                  <w:rFonts w:asciiTheme="minorHAnsi" w:hAnsiTheme="minorHAnsi" w:cstheme="minorBidi"/>
                  <w:noProof/>
                  <w:color w:val="auto"/>
                  <w:sz w:val="20"/>
                  <w:szCs w:val="22"/>
                </w:rPr>
                <w:t>Neelapu SS</w:t>
              </w:r>
            </w:hyperlink>
            <w:r w:rsidR="002832D3" w:rsidRPr="00057014">
              <w:rPr>
                <w:rFonts w:asciiTheme="minorHAnsi" w:hAnsiTheme="minorHAnsi" w:cstheme="minorBidi"/>
                <w:noProof/>
                <w:color w:val="auto"/>
                <w:sz w:val="20"/>
                <w:szCs w:val="22"/>
              </w:rPr>
              <w:t>, </w:t>
            </w:r>
            <w:hyperlink r:id="rId18" w:history="1">
              <w:r w:rsidR="002832D3" w:rsidRPr="00057014">
                <w:rPr>
                  <w:rFonts w:asciiTheme="minorHAnsi" w:hAnsiTheme="minorHAnsi" w:cstheme="minorBidi"/>
                  <w:noProof/>
                  <w:color w:val="auto"/>
                  <w:sz w:val="20"/>
                  <w:szCs w:val="22"/>
                </w:rPr>
                <w:t>Locke FL</w:t>
              </w:r>
            </w:hyperlink>
            <w:r w:rsidR="002832D3" w:rsidRPr="00057014">
              <w:rPr>
                <w:rFonts w:asciiTheme="minorHAnsi" w:hAnsiTheme="minorHAnsi" w:cstheme="minorBidi"/>
                <w:noProof/>
                <w:color w:val="auto"/>
                <w:sz w:val="20"/>
                <w:szCs w:val="22"/>
              </w:rPr>
              <w:t>1, </w:t>
            </w:r>
            <w:hyperlink r:id="rId19" w:history="1">
              <w:r w:rsidR="002832D3" w:rsidRPr="00057014">
                <w:rPr>
                  <w:rFonts w:asciiTheme="minorHAnsi" w:hAnsiTheme="minorHAnsi" w:cstheme="minorBidi"/>
                  <w:noProof/>
                  <w:color w:val="auto"/>
                  <w:sz w:val="20"/>
                  <w:szCs w:val="22"/>
                </w:rPr>
                <w:t>Bartlett NL</w:t>
              </w:r>
            </w:hyperlink>
            <w:r w:rsidR="002832D3" w:rsidRPr="00057014">
              <w:rPr>
                <w:rFonts w:asciiTheme="minorHAnsi" w:hAnsiTheme="minorHAnsi" w:cstheme="minorBidi"/>
                <w:noProof/>
                <w:color w:val="auto"/>
                <w:sz w:val="20"/>
                <w:szCs w:val="22"/>
              </w:rPr>
              <w:t>, </w:t>
            </w:r>
            <w:hyperlink r:id="rId20" w:history="1">
              <w:r w:rsidR="002832D3" w:rsidRPr="00057014">
                <w:rPr>
                  <w:rFonts w:asciiTheme="minorHAnsi" w:hAnsiTheme="minorHAnsi" w:cstheme="minorBidi"/>
                  <w:noProof/>
                  <w:color w:val="auto"/>
                  <w:sz w:val="20"/>
                  <w:szCs w:val="22"/>
                </w:rPr>
                <w:t>Lekakis LJ</w:t>
              </w:r>
            </w:hyperlink>
            <w:r w:rsidR="002832D3" w:rsidRPr="00057014">
              <w:rPr>
                <w:rFonts w:asciiTheme="minorHAnsi" w:hAnsiTheme="minorHAnsi" w:cstheme="minorBidi"/>
                <w:noProof/>
                <w:color w:val="auto"/>
                <w:sz w:val="20"/>
                <w:szCs w:val="22"/>
              </w:rPr>
              <w:t>, </w:t>
            </w:r>
            <w:hyperlink r:id="rId21" w:history="1">
              <w:r w:rsidR="002832D3" w:rsidRPr="00057014">
                <w:rPr>
                  <w:rFonts w:asciiTheme="minorHAnsi" w:hAnsiTheme="minorHAnsi" w:cstheme="minorBidi"/>
                  <w:noProof/>
                  <w:color w:val="auto"/>
                  <w:sz w:val="20"/>
                  <w:szCs w:val="22"/>
                </w:rPr>
                <w:t>Miklos DB</w:t>
              </w:r>
            </w:hyperlink>
            <w:r w:rsidR="002832D3" w:rsidRPr="00057014">
              <w:rPr>
                <w:rFonts w:asciiTheme="minorHAnsi" w:hAnsiTheme="minorHAnsi" w:cstheme="minorBidi"/>
                <w:noProof/>
                <w:color w:val="auto"/>
                <w:sz w:val="20"/>
                <w:szCs w:val="22"/>
              </w:rPr>
              <w:t>, </w:t>
            </w:r>
            <w:hyperlink r:id="rId22" w:history="1">
              <w:r w:rsidR="002832D3" w:rsidRPr="00057014">
                <w:rPr>
                  <w:rFonts w:asciiTheme="minorHAnsi" w:hAnsiTheme="minorHAnsi" w:cstheme="minorBidi"/>
                  <w:noProof/>
                  <w:color w:val="auto"/>
                  <w:sz w:val="20"/>
                  <w:szCs w:val="22"/>
                </w:rPr>
                <w:t>Jacobson CA</w:t>
              </w:r>
            </w:hyperlink>
            <w:r w:rsidR="002832D3" w:rsidRPr="00057014">
              <w:rPr>
                <w:rFonts w:asciiTheme="minorHAnsi" w:hAnsiTheme="minorHAnsi" w:cstheme="minorBidi"/>
                <w:noProof/>
                <w:color w:val="auto"/>
                <w:sz w:val="20"/>
                <w:szCs w:val="22"/>
              </w:rPr>
              <w:t xml:space="preserve"> </w:t>
            </w:r>
            <w:r w:rsidR="002832D3">
              <w:rPr>
                <w:rFonts w:asciiTheme="minorHAnsi" w:hAnsiTheme="minorHAnsi" w:cstheme="minorBidi"/>
                <w:noProof/>
                <w:color w:val="auto"/>
                <w:sz w:val="20"/>
                <w:szCs w:val="22"/>
              </w:rPr>
              <w:t>et al.</w:t>
            </w:r>
            <w:r w:rsidR="002832D3" w:rsidRPr="00057014">
              <w:rPr>
                <w:rFonts w:asciiTheme="minorHAnsi" w:hAnsiTheme="minorHAnsi" w:cstheme="minorBidi"/>
                <w:noProof/>
                <w:color w:val="auto"/>
                <w:sz w:val="20"/>
                <w:szCs w:val="22"/>
              </w:rPr>
              <w:t>Axicabtagene Ciloleucel CAR T-Cell Therapy in Refractory Large B-Cell Lymphoma.</w:t>
            </w:r>
            <w:r w:rsidR="002832D3">
              <w:rPr>
                <w:rFonts w:asciiTheme="minorHAnsi" w:hAnsiTheme="minorHAnsi" w:cstheme="minorBidi"/>
                <w:noProof/>
                <w:color w:val="auto"/>
                <w:sz w:val="20"/>
                <w:szCs w:val="22"/>
              </w:rPr>
              <w:t xml:space="preserve"> </w:t>
            </w:r>
            <w:r w:rsidR="002832D3" w:rsidRPr="00057014">
              <w:rPr>
                <w:rFonts w:asciiTheme="minorHAnsi" w:hAnsiTheme="minorHAnsi" w:cstheme="minorBidi"/>
                <w:noProof/>
                <w:color w:val="auto"/>
                <w:sz w:val="20"/>
                <w:szCs w:val="22"/>
              </w:rPr>
              <w:t>N Engl J Med. 2017 December 28; 377(26): 2531–2544. doi:10.1056/NEJMoa1707447.</w:t>
            </w:r>
          </w:p>
          <w:p w14:paraId="7C8B2461" w14:textId="77777777" w:rsidR="002832D3" w:rsidRDefault="002832D3" w:rsidP="002832D3">
            <w:pPr>
              <w:pStyle w:val="Default"/>
              <w:widowControl w:val="0"/>
              <w:rPr>
                <w:rFonts w:asciiTheme="minorHAnsi" w:hAnsiTheme="minorHAnsi" w:cstheme="minorBidi"/>
                <w:noProof/>
                <w:color w:val="auto"/>
                <w:sz w:val="20"/>
                <w:szCs w:val="22"/>
              </w:rPr>
            </w:pPr>
            <w:r w:rsidRPr="00DD3C95">
              <w:rPr>
                <w:rFonts w:asciiTheme="minorHAnsi" w:hAnsiTheme="minorHAnsi" w:cstheme="minorBidi"/>
                <w:noProof/>
                <w:color w:val="auto"/>
                <w:sz w:val="20"/>
                <w:szCs w:val="22"/>
              </w:rPr>
              <w:t>Locke FL, Ghobadi A, Jacobson CA, Miklos DB, Lekakis LJ, Oluwole OO</w:t>
            </w:r>
            <w:r>
              <w:rPr>
                <w:rFonts w:asciiTheme="minorHAnsi" w:hAnsiTheme="minorHAnsi" w:cstheme="minorBidi"/>
                <w:noProof/>
                <w:color w:val="auto"/>
                <w:sz w:val="20"/>
                <w:szCs w:val="22"/>
              </w:rPr>
              <w:t xml:space="preserve"> et al.</w:t>
            </w:r>
            <w:r w:rsidRPr="00DD3C95">
              <w:rPr>
                <w:rFonts w:asciiTheme="minorHAnsi" w:hAnsiTheme="minorHAnsi" w:cstheme="minorBidi"/>
                <w:noProof/>
                <w:color w:val="auto"/>
                <w:sz w:val="20"/>
                <w:szCs w:val="22"/>
              </w:rPr>
              <w:t xml:space="preserve"> Long-term safety and activity of axicabtagene ciloleucel in refractory large B-cell lymphoma (ZUMA-1): a single-arm, multicentre, phase 1-2 </w:t>
            </w:r>
            <w:r w:rsidRPr="00DD3C95">
              <w:rPr>
                <w:rFonts w:asciiTheme="minorHAnsi" w:hAnsiTheme="minorHAnsi" w:cstheme="minorBidi"/>
                <w:noProof/>
                <w:color w:val="auto"/>
                <w:sz w:val="20"/>
                <w:szCs w:val="22"/>
              </w:rPr>
              <w:lastRenderedPageBreak/>
              <w:t>trial. Lancet Oncol. 2019 Jan;20(1):31-42. doi: 10.1016/S1470-2045(18)30864-7. Epub 2018 Dec 2.</w:t>
            </w:r>
          </w:p>
          <w:p w14:paraId="00FFA40A" w14:textId="77777777" w:rsidR="002832D3" w:rsidRDefault="002832D3" w:rsidP="002832D3">
            <w:pPr>
              <w:spacing w:after="0"/>
              <w:rPr>
                <w:sz w:val="18"/>
                <w:szCs w:val="18"/>
              </w:rPr>
            </w:pPr>
            <w:r>
              <w:rPr>
                <w:noProof/>
              </w:rPr>
              <w:t xml:space="preserve">ClincialTrials.gov Identifier: </w:t>
            </w:r>
            <w:r w:rsidRPr="00DD3C95">
              <w:rPr>
                <w:noProof/>
              </w:rPr>
              <w:t xml:space="preserve">NCT02348216  </w:t>
            </w:r>
          </w:p>
        </w:tc>
        <w:tc>
          <w:tcPr>
            <w:tcW w:w="2395" w:type="dxa"/>
          </w:tcPr>
          <w:p w14:paraId="6A44BE6A" w14:textId="77777777" w:rsidR="002832D3" w:rsidRPr="002E5298" w:rsidRDefault="002832D3" w:rsidP="002832D3">
            <w:pPr>
              <w:widowControl w:val="0"/>
              <w:rPr>
                <w:szCs w:val="20"/>
              </w:rPr>
            </w:pPr>
            <w:r w:rsidRPr="002E5298">
              <w:rPr>
                <w:szCs w:val="20"/>
              </w:rPr>
              <w:lastRenderedPageBreak/>
              <w:t>Evaluation of</w:t>
            </w:r>
            <w:r>
              <w:rPr>
                <w:szCs w:val="20"/>
              </w:rPr>
              <w:t xml:space="preserve"> </w:t>
            </w:r>
            <w:r w:rsidRPr="002E5298">
              <w:rPr>
                <w:szCs w:val="20"/>
              </w:rPr>
              <w:t xml:space="preserve">axi-cel </w:t>
            </w:r>
            <w:r>
              <w:rPr>
                <w:szCs w:val="20"/>
              </w:rPr>
              <w:t>efficacy</w:t>
            </w:r>
            <w:r w:rsidRPr="002E5298">
              <w:rPr>
                <w:szCs w:val="20"/>
              </w:rPr>
              <w:t xml:space="preserve"> in 101 patients with </w:t>
            </w:r>
            <w:r>
              <w:rPr>
                <w:szCs w:val="20"/>
              </w:rPr>
              <w:t xml:space="preserve">refractory </w:t>
            </w:r>
            <w:r w:rsidRPr="002E5298">
              <w:rPr>
                <w:szCs w:val="20"/>
              </w:rPr>
              <w:t>DLBCL</w:t>
            </w:r>
            <w:r w:rsidR="009C0FFF">
              <w:rPr>
                <w:szCs w:val="20"/>
              </w:rPr>
              <w:t xml:space="preserve"> (n=</w:t>
            </w:r>
            <w:r w:rsidR="008867E3">
              <w:rPr>
                <w:szCs w:val="20"/>
              </w:rPr>
              <w:t>77</w:t>
            </w:r>
            <w:r w:rsidR="009C0FFF">
              <w:rPr>
                <w:szCs w:val="20"/>
              </w:rPr>
              <w:t>; Cohort 1)</w:t>
            </w:r>
            <w:r w:rsidRPr="002E5298">
              <w:rPr>
                <w:szCs w:val="20"/>
              </w:rPr>
              <w:t xml:space="preserve">, PMBCL and </w:t>
            </w:r>
            <w:r w:rsidR="008867E3">
              <w:rPr>
                <w:szCs w:val="20"/>
              </w:rPr>
              <w:t>T</w:t>
            </w:r>
            <w:r w:rsidRPr="002E5298">
              <w:rPr>
                <w:szCs w:val="20"/>
              </w:rPr>
              <w:t>F</w:t>
            </w:r>
            <w:r>
              <w:rPr>
                <w:szCs w:val="20"/>
              </w:rPr>
              <w:t>L</w:t>
            </w:r>
            <w:r w:rsidR="009C0FFF">
              <w:rPr>
                <w:szCs w:val="20"/>
              </w:rPr>
              <w:t xml:space="preserve"> (n=</w:t>
            </w:r>
            <w:r w:rsidR="008867E3">
              <w:rPr>
                <w:szCs w:val="20"/>
              </w:rPr>
              <w:t>24</w:t>
            </w:r>
            <w:r w:rsidR="009C0FFF">
              <w:rPr>
                <w:szCs w:val="20"/>
              </w:rPr>
              <w:t>; Cohort 2)</w:t>
            </w:r>
          </w:p>
          <w:p w14:paraId="2ED09E02" w14:textId="2D7FA063" w:rsidR="002832D3" w:rsidRPr="00194C97" w:rsidRDefault="002832D3" w:rsidP="00194C97">
            <w:pPr>
              <w:widowControl w:val="0"/>
              <w:spacing w:before="0"/>
            </w:pPr>
            <w:r>
              <w:t>Primary endpoint: ORR; Secondary end points included DOR, PFS, OS, incidence of adverse events, and blood levels of CAR T</w:t>
            </w:r>
            <w:r w:rsidR="00024D52">
              <w:t>-</w:t>
            </w:r>
            <w:r>
              <w:t>cells</w:t>
            </w:r>
            <w:r w:rsidR="00F7717F">
              <w:t xml:space="preserve">, anti-axicabtagene ciloleucel antibodies </w:t>
            </w:r>
            <w:r>
              <w:t xml:space="preserve"> and serum cytokines. (6-month timepoint)</w:t>
            </w:r>
          </w:p>
          <w:p w14:paraId="144A73D8" w14:textId="77777777" w:rsidR="002832D3" w:rsidRDefault="002832D3" w:rsidP="00194C97">
            <w:pPr>
              <w:spacing w:before="360" w:after="0"/>
              <w:rPr>
                <w:sz w:val="18"/>
                <w:szCs w:val="18"/>
              </w:rPr>
            </w:pPr>
            <w:r w:rsidRPr="008F59F2">
              <w:rPr>
                <w:szCs w:val="20"/>
              </w:rPr>
              <w:t xml:space="preserve">Two year follow up data </w:t>
            </w:r>
            <w:r>
              <w:rPr>
                <w:szCs w:val="20"/>
              </w:rPr>
              <w:t>(median follow up 27.1 months)</w:t>
            </w:r>
          </w:p>
        </w:tc>
        <w:tc>
          <w:tcPr>
            <w:tcW w:w="5131" w:type="dxa"/>
          </w:tcPr>
          <w:p w14:paraId="074AD307" w14:textId="77777777" w:rsidR="00A8688E" w:rsidRDefault="00A8688E" w:rsidP="002832D3">
            <w:pPr>
              <w:widowControl w:val="0"/>
            </w:pPr>
          </w:p>
          <w:p w14:paraId="5C8E77CD" w14:textId="77777777" w:rsidR="002832D3" w:rsidRDefault="003136F9" w:rsidP="00D4288A">
            <w:pPr>
              <w:widowControl w:val="0"/>
              <w:spacing w:before="1440"/>
            </w:pPr>
            <w:hyperlink r:id="rId23" w:tooltip="Link to Pub Med article - Axicabtagene Cilolecleucel CAR T-cell in regractory large B-cell lymphoma" w:history="1">
              <w:r w:rsidR="00A8688E" w:rsidRPr="00635567">
                <w:rPr>
                  <w:rStyle w:val="Hyperlink"/>
                </w:rPr>
                <w:t>https://www.ncbi.nlm.nih.gov/pubmed/29226797?dopt=Abstract</w:t>
              </w:r>
            </w:hyperlink>
          </w:p>
          <w:p w14:paraId="6096DF85" w14:textId="77777777" w:rsidR="002832D3" w:rsidRDefault="002832D3" w:rsidP="002832D3">
            <w:pPr>
              <w:widowControl w:val="0"/>
            </w:pPr>
          </w:p>
          <w:p w14:paraId="1709C850" w14:textId="77777777" w:rsidR="002832D3" w:rsidRPr="00175C5E" w:rsidRDefault="003136F9" w:rsidP="00175C5E">
            <w:pPr>
              <w:widowControl w:val="0"/>
              <w:spacing w:before="1440"/>
            </w:pPr>
            <w:hyperlink r:id="rId24" w:tooltip="Link to Pub Med article - Long-term safety and activity of axicabtagene cilolecleucel in refractory large B-cell lymphoma (ZUMA-1)" w:history="1">
              <w:r w:rsidR="00A8688E" w:rsidRPr="00635567">
                <w:rPr>
                  <w:rStyle w:val="Hyperlink"/>
                </w:rPr>
                <w:t>https://www.ncbi.nlm.nih.gov/pubmed/30518502</w:t>
              </w:r>
            </w:hyperlink>
          </w:p>
        </w:tc>
        <w:tc>
          <w:tcPr>
            <w:tcW w:w="1451" w:type="dxa"/>
          </w:tcPr>
          <w:p w14:paraId="6D56541D" w14:textId="77777777" w:rsidR="00D4288A" w:rsidRDefault="00D4288A" w:rsidP="002832D3">
            <w:pPr>
              <w:widowControl w:val="0"/>
              <w:rPr>
                <w:noProof/>
              </w:rPr>
            </w:pPr>
          </w:p>
          <w:p w14:paraId="23E5DF70" w14:textId="77777777" w:rsidR="002832D3" w:rsidRPr="00057014" w:rsidRDefault="001741C6" w:rsidP="00D4288A">
            <w:pPr>
              <w:widowControl w:val="0"/>
              <w:spacing w:before="1440"/>
              <w:rPr>
                <w:noProof/>
              </w:rPr>
            </w:pPr>
            <w:r>
              <w:rPr>
                <w:noProof/>
              </w:rPr>
              <w:t>2</w:t>
            </w:r>
            <w:r w:rsidR="002832D3">
              <w:rPr>
                <w:noProof/>
              </w:rPr>
              <w:t>017</w:t>
            </w:r>
            <w:r w:rsidR="002832D3">
              <w:rPr>
                <w:noProof/>
              </w:rPr>
              <w:br/>
            </w:r>
          </w:p>
          <w:p w14:paraId="44B98BC0" w14:textId="77777777" w:rsidR="002832D3" w:rsidRDefault="002832D3" w:rsidP="002832D3">
            <w:pPr>
              <w:widowControl w:val="0"/>
              <w:rPr>
                <w:noProof/>
              </w:rPr>
            </w:pPr>
          </w:p>
          <w:p w14:paraId="1D332A35" w14:textId="77777777" w:rsidR="002832D3" w:rsidRPr="00175C5E" w:rsidRDefault="00A8688E" w:rsidP="00175C5E">
            <w:pPr>
              <w:widowControl w:val="0"/>
              <w:spacing w:before="1440"/>
              <w:rPr>
                <w:noProof/>
              </w:rPr>
            </w:pPr>
            <w:r>
              <w:rPr>
                <w:noProof/>
              </w:rPr>
              <w:t>2</w:t>
            </w:r>
            <w:r w:rsidR="00175C5E">
              <w:rPr>
                <w:noProof/>
              </w:rPr>
              <w:t>018</w:t>
            </w:r>
          </w:p>
        </w:tc>
      </w:tr>
      <w:tr w:rsidR="002832D3" w14:paraId="2FB0DB12" w14:textId="77777777" w:rsidTr="00A8688E">
        <w:tc>
          <w:tcPr>
            <w:tcW w:w="360" w:type="dxa"/>
          </w:tcPr>
          <w:p w14:paraId="0AD8297D" w14:textId="77777777" w:rsidR="002832D3" w:rsidRDefault="002832D3" w:rsidP="002832D3">
            <w:pPr>
              <w:spacing w:after="0"/>
              <w:rPr>
                <w:sz w:val="18"/>
                <w:szCs w:val="18"/>
              </w:rPr>
            </w:pPr>
            <w:r>
              <w:rPr>
                <w:sz w:val="18"/>
                <w:szCs w:val="18"/>
              </w:rPr>
              <w:t xml:space="preserve">2. </w:t>
            </w:r>
          </w:p>
        </w:tc>
        <w:tc>
          <w:tcPr>
            <w:tcW w:w="1397" w:type="dxa"/>
          </w:tcPr>
          <w:p w14:paraId="21BC5BFB" w14:textId="77777777" w:rsidR="002832D3" w:rsidRPr="00212BF8" w:rsidRDefault="002832D3" w:rsidP="002832D3">
            <w:pPr>
              <w:pStyle w:val="Default"/>
              <w:keepNext/>
              <w:keepLines/>
              <w:widowControl w:val="0"/>
              <w:rPr>
                <w:rFonts w:asciiTheme="minorHAnsi" w:hAnsiTheme="minorHAnsi" w:cstheme="minorBidi"/>
                <w:b/>
                <w:noProof/>
                <w:color w:val="auto"/>
                <w:sz w:val="20"/>
                <w:szCs w:val="22"/>
              </w:rPr>
            </w:pPr>
            <w:r w:rsidRPr="00212BF8">
              <w:rPr>
                <w:rFonts w:asciiTheme="minorHAnsi" w:hAnsiTheme="minorHAnsi" w:cstheme="minorBidi"/>
                <w:b/>
                <w:noProof/>
                <w:color w:val="auto"/>
                <w:sz w:val="20"/>
                <w:szCs w:val="22"/>
              </w:rPr>
              <w:t>Supportive Study</w:t>
            </w:r>
          </w:p>
          <w:p w14:paraId="52216F2B" w14:textId="77777777" w:rsidR="002832D3" w:rsidRPr="00DD3C95" w:rsidRDefault="002832D3" w:rsidP="002832D3">
            <w:pPr>
              <w:pStyle w:val="Default"/>
              <w:keepNext/>
              <w:keepLines/>
              <w:widowControl w:val="0"/>
              <w:rPr>
                <w:rFonts w:asciiTheme="minorHAnsi" w:hAnsiTheme="minorHAnsi" w:cstheme="minorBidi"/>
                <w:noProof/>
                <w:color w:val="auto"/>
                <w:sz w:val="20"/>
                <w:szCs w:val="22"/>
              </w:rPr>
            </w:pPr>
            <w:r>
              <w:rPr>
                <w:rFonts w:asciiTheme="minorHAnsi" w:hAnsiTheme="minorHAnsi" w:cstheme="minorBidi"/>
                <w:noProof/>
                <w:color w:val="auto"/>
                <w:sz w:val="20"/>
                <w:szCs w:val="22"/>
              </w:rPr>
              <w:t xml:space="preserve">Multicentre, </w:t>
            </w:r>
            <w:r w:rsidRPr="00DD3C95">
              <w:rPr>
                <w:rFonts w:asciiTheme="minorHAnsi" w:hAnsiTheme="minorHAnsi" w:cstheme="minorBidi"/>
                <w:noProof/>
                <w:color w:val="auto"/>
                <w:sz w:val="20"/>
                <w:szCs w:val="22"/>
              </w:rPr>
              <w:t>Phase 1</w:t>
            </w:r>
            <w:r>
              <w:rPr>
                <w:rFonts w:asciiTheme="minorHAnsi" w:hAnsiTheme="minorHAnsi" w:cstheme="minorBidi"/>
                <w:noProof/>
                <w:color w:val="auto"/>
                <w:sz w:val="20"/>
                <w:szCs w:val="22"/>
              </w:rPr>
              <w:t xml:space="preserve"> study in 7</w:t>
            </w:r>
            <w:r w:rsidRPr="00DD3C95">
              <w:rPr>
                <w:rFonts w:asciiTheme="minorHAnsi" w:hAnsiTheme="minorHAnsi" w:cstheme="minorBidi"/>
                <w:noProof/>
                <w:color w:val="auto"/>
                <w:sz w:val="20"/>
                <w:szCs w:val="22"/>
              </w:rPr>
              <w:t xml:space="preserve"> refractory DLBCL</w:t>
            </w:r>
            <w:r>
              <w:rPr>
                <w:rFonts w:asciiTheme="minorHAnsi" w:hAnsiTheme="minorHAnsi" w:cstheme="minorBidi"/>
                <w:noProof/>
                <w:color w:val="auto"/>
                <w:sz w:val="20"/>
                <w:szCs w:val="22"/>
              </w:rPr>
              <w:t xml:space="preserve"> patients</w:t>
            </w:r>
          </w:p>
          <w:p w14:paraId="67B2AD4B" w14:textId="77777777" w:rsidR="002832D3" w:rsidRPr="00212BF8" w:rsidRDefault="002832D3" w:rsidP="002832D3">
            <w:pPr>
              <w:widowControl w:val="0"/>
              <w:rPr>
                <w:b/>
                <w:noProof/>
              </w:rPr>
            </w:pPr>
          </w:p>
        </w:tc>
        <w:tc>
          <w:tcPr>
            <w:tcW w:w="2788" w:type="dxa"/>
          </w:tcPr>
          <w:p w14:paraId="4CAF0CEF" w14:textId="77777777" w:rsidR="002832D3" w:rsidRDefault="002832D3" w:rsidP="002832D3">
            <w:pPr>
              <w:pStyle w:val="Default"/>
              <w:keepNext/>
              <w:keepLines/>
              <w:widowControl w:val="0"/>
              <w:rPr>
                <w:rFonts w:asciiTheme="minorHAnsi" w:hAnsiTheme="minorHAnsi" w:cstheme="minorBidi"/>
                <w:noProof/>
                <w:color w:val="auto"/>
                <w:sz w:val="20"/>
                <w:szCs w:val="22"/>
              </w:rPr>
            </w:pPr>
            <w:r w:rsidRPr="00DD3C95">
              <w:rPr>
                <w:rFonts w:asciiTheme="minorHAnsi" w:hAnsiTheme="minorHAnsi" w:cstheme="minorBidi"/>
                <w:noProof/>
                <w:color w:val="auto"/>
                <w:sz w:val="20"/>
                <w:szCs w:val="22"/>
              </w:rPr>
              <w:t xml:space="preserve">KTE-C19-101 </w:t>
            </w:r>
          </w:p>
          <w:p w14:paraId="728FFBDF" w14:textId="77777777" w:rsidR="002832D3" w:rsidRDefault="002832D3" w:rsidP="002832D3">
            <w:pPr>
              <w:pStyle w:val="Default"/>
              <w:keepNext/>
              <w:keepLines/>
              <w:widowControl w:val="0"/>
              <w:rPr>
                <w:rFonts w:asciiTheme="minorHAnsi" w:hAnsiTheme="minorHAnsi" w:cstheme="minorBidi"/>
                <w:noProof/>
                <w:color w:val="auto"/>
                <w:sz w:val="20"/>
                <w:szCs w:val="22"/>
              </w:rPr>
            </w:pPr>
            <w:r w:rsidRPr="00357EA8">
              <w:rPr>
                <w:rFonts w:asciiTheme="minorHAnsi" w:hAnsiTheme="minorHAnsi" w:cstheme="minorBidi"/>
                <w:noProof/>
                <w:color w:val="auto"/>
                <w:sz w:val="20"/>
                <w:szCs w:val="22"/>
              </w:rPr>
              <w:t xml:space="preserve">Safety and Efficacy of KTE-C19 in Adults With Refractory Aggressive </w:t>
            </w:r>
            <w:r w:rsidR="00B127CA">
              <w:rPr>
                <w:rFonts w:asciiTheme="minorHAnsi" w:hAnsiTheme="minorHAnsi" w:cstheme="minorBidi"/>
                <w:noProof/>
                <w:color w:val="auto"/>
                <w:sz w:val="20"/>
                <w:szCs w:val="22"/>
              </w:rPr>
              <w:t>non-Hodgkin</w:t>
            </w:r>
            <w:r w:rsidRPr="00357EA8">
              <w:rPr>
                <w:rFonts w:asciiTheme="minorHAnsi" w:hAnsiTheme="minorHAnsi" w:cstheme="minorBidi"/>
                <w:noProof/>
                <w:color w:val="auto"/>
                <w:sz w:val="20"/>
                <w:szCs w:val="22"/>
              </w:rPr>
              <w:t xml:space="preserve"> Lymphoma (ZUMA-1)</w:t>
            </w:r>
            <w:r w:rsidRPr="00DD3C95">
              <w:rPr>
                <w:rFonts w:asciiTheme="minorHAnsi" w:hAnsiTheme="minorHAnsi" w:cstheme="minorBidi"/>
                <w:noProof/>
                <w:color w:val="auto"/>
                <w:sz w:val="20"/>
                <w:szCs w:val="22"/>
              </w:rPr>
              <w:t xml:space="preserve"> </w:t>
            </w:r>
          </w:p>
          <w:p w14:paraId="610FBA3E" w14:textId="71A17917" w:rsidR="002832D3" w:rsidRDefault="002832D3" w:rsidP="00194C97">
            <w:pPr>
              <w:pStyle w:val="Default"/>
              <w:keepNext/>
              <w:keepLines/>
              <w:widowControl w:val="0"/>
              <w:spacing w:after="240"/>
              <w:rPr>
                <w:rFonts w:asciiTheme="minorHAnsi" w:hAnsiTheme="minorHAnsi" w:cstheme="minorBidi"/>
                <w:noProof/>
                <w:color w:val="auto"/>
                <w:sz w:val="20"/>
                <w:szCs w:val="22"/>
              </w:rPr>
            </w:pPr>
            <w:r w:rsidRPr="00357EA8">
              <w:rPr>
                <w:rFonts w:asciiTheme="minorHAnsi" w:hAnsiTheme="minorHAnsi" w:cstheme="minorBidi"/>
                <w:noProof/>
                <w:color w:val="auto"/>
                <w:sz w:val="20"/>
                <w:szCs w:val="22"/>
              </w:rPr>
              <w:t>ClinicalTrials.gov Identifier:</w:t>
            </w:r>
            <w:r>
              <w:rPr>
                <w:rFonts w:asciiTheme="minorHAnsi" w:hAnsiTheme="minorHAnsi" w:cstheme="minorBidi"/>
                <w:noProof/>
                <w:color w:val="auto"/>
                <w:sz w:val="20"/>
                <w:szCs w:val="22"/>
              </w:rPr>
              <w:t xml:space="preserve"> </w:t>
            </w:r>
            <w:r w:rsidRPr="00357EA8">
              <w:rPr>
                <w:rFonts w:asciiTheme="minorHAnsi" w:hAnsiTheme="minorHAnsi" w:cstheme="minorBidi"/>
                <w:noProof/>
                <w:color w:val="auto"/>
                <w:sz w:val="20"/>
                <w:szCs w:val="22"/>
              </w:rPr>
              <w:t>NCT02348216</w:t>
            </w:r>
          </w:p>
          <w:p w14:paraId="3368CF77" w14:textId="77777777" w:rsidR="002832D3" w:rsidRPr="00DD3C95" w:rsidRDefault="002832D3" w:rsidP="00D4288A">
            <w:pPr>
              <w:pStyle w:val="Default"/>
              <w:keepNext/>
              <w:keepLines/>
              <w:widowControl w:val="0"/>
              <w:rPr>
                <w:rFonts w:asciiTheme="minorHAnsi" w:hAnsiTheme="minorHAnsi" w:cstheme="minorBidi"/>
                <w:noProof/>
                <w:color w:val="auto"/>
                <w:sz w:val="20"/>
                <w:szCs w:val="22"/>
              </w:rPr>
            </w:pPr>
            <w:r w:rsidRPr="00057014">
              <w:rPr>
                <w:rFonts w:asciiTheme="minorHAnsi" w:hAnsiTheme="minorHAnsi" w:cstheme="minorBidi"/>
                <w:noProof/>
                <w:color w:val="auto"/>
                <w:sz w:val="20"/>
                <w:szCs w:val="22"/>
              </w:rPr>
              <w:t>Locke FL, Neelapu SS, Bartlett NL,</w:t>
            </w:r>
            <w:r>
              <w:rPr>
                <w:rFonts w:asciiTheme="minorHAnsi" w:hAnsiTheme="minorHAnsi" w:cstheme="minorBidi"/>
                <w:noProof/>
                <w:color w:val="auto"/>
                <w:sz w:val="20"/>
                <w:szCs w:val="22"/>
              </w:rPr>
              <w:t xml:space="preserve"> Siddiqi T, Chavez JC, Hosing CM</w:t>
            </w:r>
            <w:r w:rsidRPr="00057014">
              <w:rPr>
                <w:rFonts w:asciiTheme="minorHAnsi" w:hAnsiTheme="minorHAnsi" w:cstheme="minorBidi"/>
                <w:noProof/>
                <w:color w:val="auto"/>
                <w:sz w:val="20"/>
                <w:szCs w:val="22"/>
              </w:rPr>
              <w:t xml:space="preserve"> et al. Phase 1 results of ZUMA-1: a multicenter study of KTEC19 anti-CD19 CAR T</w:t>
            </w:r>
            <w:r w:rsidR="00024D52">
              <w:rPr>
                <w:rFonts w:asciiTheme="minorHAnsi" w:hAnsiTheme="minorHAnsi" w:cstheme="minorBidi"/>
                <w:noProof/>
                <w:color w:val="auto"/>
                <w:sz w:val="20"/>
                <w:szCs w:val="22"/>
              </w:rPr>
              <w:t>-</w:t>
            </w:r>
            <w:r w:rsidRPr="00057014">
              <w:rPr>
                <w:rFonts w:asciiTheme="minorHAnsi" w:hAnsiTheme="minorHAnsi" w:cstheme="minorBidi"/>
                <w:noProof/>
                <w:color w:val="auto"/>
                <w:sz w:val="20"/>
                <w:szCs w:val="22"/>
              </w:rPr>
              <w:t xml:space="preserve">cell therapy in refractory aggressive lymphoma. Mol Ther. 2017; 25:285–95. </w:t>
            </w:r>
          </w:p>
        </w:tc>
        <w:tc>
          <w:tcPr>
            <w:tcW w:w="2395" w:type="dxa"/>
          </w:tcPr>
          <w:p w14:paraId="56EBD422" w14:textId="77777777" w:rsidR="002832D3" w:rsidRPr="002E5298" w:rsidRDefault="002832D3" w:rsidP="002832D3">
            <w:pPr>
              <w:widowControl w:val="0"/>
              <w:rPr>
                <w:szCs w:val="20"/>
              </w:rPr>
            </w:pPr>
            <w:r>
              <w:t>Evaluation of safety of axi-cel regimens in refractory DLBCL patients. Primary endpoint: Incidence of dose limiting toxicity; secondary endpoints included ORR, DOR, PFS</w:t>
            </w:r>
            <w:r w:rsidRPr="00696ADF">
              <w:t>, OS, incidence of AEs</w:t>
            </w:r>
            <w:r>
              <w:t>,</w:t>
            </w:r>
            <w:r w:rsidRPr="00696ADF">
              <w:t xml:space="preserve"> clinically significant changes in laboratory values, incidences of anti-KTE-C19 antibodies, and levels of anti-CD19 CAR+ T</w:t>
            </w:r>
            <w:r w:rsidR="00024D52">
              <w:t>-</w:t>
            </w:r>
            <w:r w:rsidRPr="00696ADF">
              <w:t>cells and cytokines in blood and serum</w:t>
            </w:r>
          </w:p>
        </w:tc>
        <w:tc>
          <w:tcPr>
            <w:tcW w:w="5131" w:type="dxa"/>
          </w:tcPr>
          <w:p w14:paraId="3035F644" w14:textId="77777777" w:rsidR="002832D3" w:rsidRPr="00A8688E" w:rsidRDefault="002832D3" w:rsidP="002832D3">
            <w:pPr>
              <w:keepNext/>
              <w:keepLines/>
              <w:widowControl w:val="0"/>
              <w:rPr>
                <w:rStyle w:val="Hyperlink"/>
              </w:rPr>
            </w:pPr>
          </w:p>
          <w:p w14:paraId="21356758" w14:textId="77777777" w:rsidR="002832D3" w:rsidRPr="00A8688E" w:rsidRDefault="003136F9" w:rsidP="00D4288A">
            <w:pPr>
              <w:widowControl w:val="0"/>
              <w:spacing w:before="1440"/>
            </w:pPr>
            <w:hyperlink r:id="rId25" w:tooltip="Link to Molecular Therapy article - Phase 1 Results of ZUMA-1" w:history="1">
              <w:r w:rsidR="002832D3" w:rsidRPr="00A8688E">
                <w:rPr>
                  <w:rStyle w:val="Hyperlink"/>
                  <w:szCs w:val="20"/>
                </w:rPr>
                <w:t>https://www.ncbi.nlm.nih.gov/pmc/articles/PMC5363293/</w:t>
              </w:r>
            </w:hyperlink>
          </w:p>
        </w:tc>
        <w:tc>
          <w:tcPr>
            <w:tcW w:w="1451" w:type="dxa"/>
          </w:tcPr>
          <w:p w14:paraId="18CA703D" w14:textId="77777777" w:rsidR="00A8688E" w:rsidRDefault="00A8688E" w:rsidP="002832D3">
            <w:pPr>
              <w:widowControl w:val="0"/>
              <w:rPr>
                <w:szCs w:val="20"/>
              </w:rPr>
            </w:pPr>
          </w:p>
          <w:p w14:paraId="2940A2C3" w14:textId="77777777" w:rsidR="002832D3" w:rsidRDefault="002832D3" w:rsidP="00D4288A">
            <w:pPr>
              <w:widowControl w:val="0"/>
              <w:spacing w:before="1440"/>
              <w:rPr>
                <w:noProof/>
              </w:rPr>
            </w:pPr>
            <w:r w:rsidRPr="004A4560">
              <w:rPr>
                <w:szCs w:val="20"/>
              </w:rPr>
              <w:t>2017</w:t>
            </w:r>
          </w:p>
        </w:tc>
      </w:tr>
    </w:tbl>
    <w:p w14:paraId="2ED11F47" w14:textId="77777777" w:rsidR="007544FA" w:rsidRPr="007544FA" w:rsidRDefault="002832D3" w:rsidP="002832D3">
      <w:pPr>
        <w:spacing w:after="0"/>
        <w:ind w:left="426"/>
        <w:rPr>
          <w:sz w:val="18"/>
          <w:szCs w:val="18"/>
        </w:rPr>
      </w:pPr>
      <w:r>
        <w:rPr>
          <w:sz w:val="18"/>
          <w:szCs w:val="18"/>
        </w:rPr>
        <w:t>A</w:t>
      </w:r>
      <w:r w:rsidR="007544FA" w:rsidRPr="007544FA">
        <w:rPr>
          <w:sz w:val="18"/>
          <w:szCs w:val="18"/>
        </w:rPr>
        <w:t>bbreviations: axi-cel, axicabtagene ciloleucel; ORR, objective response rate; DOR, duration of response; PFS, progression-free survival; OS, overall survival; AE. Adverse event; DLBCL, diffuse large B-cell lymphoma; PMBCL, primary mediastinal B-cell lymphoma; TFL, transformed follicular lymphoma;</w:t>
      </w:r>
    </w:p>
    <w:bookmarkEnd w:id="6"/>
    <w:p w14:paraId="27A9A330" w14:textId="77777777" w:rsidR="00502097" w:rsidRDefault="00502097" w:rsidP="00502097">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1E62B5A" w14:textId="77777777" w:rsidR="00502097" w:rsidRDefault="00502097" w:rsidP="00502097">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6619D709" w14:textId="77777777" w:rsidR="00DD308E" w:rsidRDefault="00502097" w:rsidP="00D4288A">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r w:rsidR="00DD308E">
        <w:rPr>
          <w:i/>
          <w:szCs w:val="20"/>
        </w:rPr>
        <w:br w:type="page"/>
      </w:r>
    </w:p>
    <w:p w14:paraId="085B6F15"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36C120F1" w14:textId="77777777" w:rsidR="001D3AF0" w:rsidRDefault="004C49EF" w:rsidP="001D3AF0">
      <w:pPr>
        <w:pStyle w:val="Heading2"/>
        <w:rPr>
          <w:i/>
        </w:rPr>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2A198CC0" w14:textId="77777777" w:rsidR="002832D3" w:rsidRDefault="004D2CA8" w:rsidP="00D4288A">
      <w:pPr>
        <w:ind w:left="360"/>
        <w:rPr>
          <w:szCs w:val="20"/>
        </w:rPr>
      </w:pPr>
      <w:r w:rsidRPr="004D2CA8">
        <w:rPr>
          <w:szCs w:val="20"/>
        </w:rPr>
        <w:t xml:space="preserve">A </w:t>
      </w:r>
      <w:r>
        <w:rPr>
          <w:szCs w:val="20"/>
        </w:rPr>
        <w:t xml:space="preserve">preliminary literature </w:t>
      </w:r>
      <w:r w:rsidRPr="004D2CA8">
        <w:rPr>
          <w:szCs w:val="20"/>
        </w:rPr>
        <w:t>search</w:t>
      </w:r>
      <w:r w:rsidR="00811928">
        <w:rPr>
          <w:szCs w:val="20"/>
        </w:rPr>
        <w:t>, including a search of clinical trial</w:t>
      </w:r>
      <w:r w:rsidR="00C76929">
        <w:rPr>
          <w:szCs w:val="20"/>
        </w:rPr>
        <w:t xml:space="preserve"> </w:t>
      </w:r>
      <w:r w:rsidR="00811928">
        <w:rPr>
          <w:szCs w:val="20"/>
        </w:rPr>
        <w:t>databases, did not</w:t>
      </w:r>
      <w:r w:rsidRPr="004D2CA8">
        <w:rPr>
          <w:szCs w:val="20"/>
        </w:rPr>
        <w:t xml:space="preserve"> </w:t>
      </w:r>
      <w:r w:rsidR="00811928">
        <w:rPr>
          <w:szCs w:val="20"/>
        </w:rPr>
        <w:t>identify additional relevant research for inclusion in this application.</w:t>
      </w:r>
      <w:r w:rsidR="002832D3">
        <w:rPr>
          <w:szCs w:val="20"/>
        </w:rPr>
        <w:br w:type="page"/>
      </w:r>
    </w:p>
    <w:p w14:paraId="31397B5E"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053E81EB"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A0AD3C3" w14:textId="77777777" w:rsidR="00C76929" w:rsidRPr="00A12500" w:rsidRDefault="00505FEC" w:rsidP="00A12500">
      <w:pPr>
        <w:pStyle w:val="ListParagraph"/>
        <w:numPr>
          <w:ilvl w:val="0"/>
          <w:numId w:val="40"/>
        </w:numPr>
        <w:rPr>
          <w:rStyle w:val="Hyperlink"/>
          <w:color w:val="auto"/>
          <w:szCs w:val="16"/>
          <w:u w:val="none"/>
        </w:rPr>
      </w:pPr>
      <w:r w:rsidRPr="00505FEC">
        <w:rPr>
          <w:iCs/>
          <w:szCs w:val="16"/>
        </w:rPr>
        <w:t>Haematology Society of Australia and New Zealand</w:t>
      </w:r>
      <w:r w:rsidR="007C2DD0">
        <w:rPr>
          <w:iCs/>
          <w:szCs w:val="16"/>
        </w:rPr>
        <w:t xml:space="preserve"> (HSANZ)</w:t>
      </w:r>
      <w:r w:rsidR="004B72CA" w:rsidRPr="00EB341B">
        <w:rPr>
          <w:szCs w:val="16"/>
        </w:rPr>
        <w:fldChar w:fldCharType="begin"/>
      </w:r>
      <w:r w:rsidR="00C76929" w:rsidRPr="00A12500">
        <w:rPr>
          <w:szCs w:val="16"/>
        </w:rPr>
        <w:instrText xml:space="preserve"> HYPERLINK "https://www.allg.org.au/" </w:instrText>
      </w:r>
      <w:r w:rsidR="004B72CA" w:rsidRPr="00EB341B">
        <w:rPr>
          <w:szCs w:val="16"/>
        </w:rPr>
        <w:fldChar w:fldCharType="separate"/>
      </w:r>
    </w:p>
    <w:p w14:paraId="1C6AACF2" w14:textId="77777777" w:rsidR="00C76929" w:rsidRPr="00FB43A9" w:rsidRDefault="00C76929" w:rsidP="00C76929">
      <w:pPr>
        <w:pStyle w:val="ListParagraph"/>
        <w:numPr>
          <w:ilvl w:val="0"/>
          <w:numId w:val="40"/>
        </w:numPr>
        <w:rPr>
          <w:rStyle w:val="Hyperlink"/>
          <w:color w:val="auto"/>
          <w:szCs w:val="16"/>
          <w:u w:val="none"/>
        </w:rPr>
      </w:pPr>
      <w:r w:rsidRPr="00FB43A9">
        <w:rPr>
          <w:rStyle w:val="Hyperlink"/>
          <w:color w:val="auto"/>
          <w:szCs w:val="16"/>
          <w:u w:val="none"/>
        </w:rPr>
        <w:t>The Australasian Leukaemia and Lymphoma Group (ALLG)</w:t>
      </w:r>
    </w:p>
    <w:p w14:paraId="43796FDE" w14:textId="77777777" w:rsidR="00C76929" w:rsidRDefault="004B72CA" w:rsidP="00441447">
      <w:pPr>
        <w:ind w:left="360"/>
      </w:pPr>
      <w:r w:rsidRPr="00EB341B">
        <w:fldChar w:fldCharType="end"/>
      </w:r>
      <w:r w:rsidR="00C8473C">
        <w:t>S</w:t>
      </w:r>
      <w:r w:rsidR="00C76929">
        <w:t>tatement</w:t>
      </w:r>
      <w:r w:rsidR="00C8473C">
        <w:t>s</w:t>
      </w:r>
      <w:r w:rsidR="00C76929">
        <w:t xml:space="preserve"> of clinical relevance from HSANZ </w:t>
      </w:r>
      <w:r w:rsidR="00C8473C">
        <w:t>and</w:t>
      </w:r>
      <w:r w:rsidR="00441447">
        <w:t xml:space="preserve"> ALLG </w:t>
      </w:r>
      <w:r w:rsidR="00C8473C">
        <w:t xml:space="preserve">are </w:t>
      </w:r>
      <w:r w:rsidR="00C8473C">
        <w:rPr>
          <w:rFonts w:cs="Calibri"/>
          <w:szCs w:val="20"/>
          <w:lang w:eastAsia="en-AU"/>
        </w:rPr>
        <w:t xml:space="preserve">provided as attachments to this application. </w:t>
      </w:r>
      <w:r w:rsidR="00441447">
        <w:t xml:space="preserve"> </w:t>
      </w:r>
    </w:p>
    <w:p w14:paraId="24C57B15"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70F8987" w14:textId="20926720" w:rsidR="00813755" w:rsidRPr="00813755" w:rsidRDefault="00F00C59" w:rsidP="00BE3218">
      <w:pPr>
        <w:ind w:left="360"/>
      </w:pPr>
      <w:r>
        <w:t>Redacted</w:t>
      </w:r>
      <w:r w:rsidR="00194C97">
        <w:rPr>
          <w:rFonts w:cs="Calibri"/>
          <w:szCs w:val="20"/>
          <w:lang w:eastAsia="en-AU"/>
        </w:rPr>
        <w:t>.</w:t>
      </w:r>
    </w:p>
    <w:p w14:paraId="3A1BE306"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5AE134FF" w14:textId="77777777" w:rsidR="0061273A" w:rsidRDefault="0061273A" w:rsidP="0061273A">
      <w:pPr>
        <w:pStyle w:val="ListParagraph"/>
        <w:numPr>
          <w:ilvl w:val="0"/>
          <w:numId w:val="40"/>
        </w:numPr>
      </w:pPr>
      <w:r>
        <w:t>Rare Cancers Australia</w:t>
      </w:r>
    </w:p>
    <w:p w14:paraId="0CBAEFFC" w14:textId="77777777" w:rsidR="0061273A" w:rsidRPr="00F82174" w:rsidRDefault="0061273A" w:rsidP="0061273A">
      <w:pPr>
        <w:pStyle w:val="ListParagraph"/>
        <w:numPr>
          <w:ilvl w:val="0"/>
          <w:numId w:val="40"/>
        </w:numPr>
        <w:rPr>
          <w:szCs w:val="20"/>
        </w:rPr>
      </w:pPr>
      <w:r>
        <w:t>Lymphoma Australia</w:t>
      </w:r>
    </w:p>
    <w:p w14:paraId="7A9545C0" w14:textId="77777777" w:rsidR="0061273A" w:rsidRDefault="00C8473C" w:rsidP="00BE3218">
      <w:pPr>
        <w:ind w:left="360"/>
      </w:pPr>
      <w:r>
        <w:t>A l</w:t>
      </w:r>
      <w:r w:rsidR="0061273A">
        <w:t xml:space="preserve">etter of support </w:t>
      </w:r>
      <w:r w:rsidR="008F77A7">
        <w:t>from</w:t>
      </w:r>
      <w:r w:rsidR="0061273A">
        <w:t xml:space="preserve"> Lymphoma Australia </w:t>
      </w:r>
      <w:r w:rsidR="0032552D">
        <w:t>is</w:t>
      </w:r>
      <w:r w:rsidR="0061273A">
        <w:t xml:space="preserve"> provided as </w:t>
      </w:r>
      <w:r w:rsidR="00D226B0">
        <w:t xml:space="preserve">an </w:t>
      </w:r>
      <w:r w:rsidR="0061273A" w:rsidRPr="006A291B">
        <w:t>attachment</w:t>
      </w:r>
      <w:r w:rsidR="0061273A">
        <w:t xml:space="preserve"> to this application.</w:t>
      </w:r>
    </w:p>
    <w:p w14:paraId="4BA1C139" w14:textId="77777777" w:rsidR="0032552D" w:rsidRPr="00A727B6" w:rsidRDefault="003811DE" w:rsidP="00BE3218">
      <w:pPr>
        <w:ind w:left="360"/>
      </w:pPr>
      <w:r>
        <w:t>A l</w:t>
      </w:r>
      <w:r w:rsidR="0032552D">
        <w:t xml:space="preserve">etter of support from </w:t>
      </w:r>
      <w:r w:rsidR="0032552D" w:rsidRPr="00CB467D">
        <w:t>Rare Cancers Australia</w:t>
      </w:r>
      <w:r w:rsidR="0032552D">
        <w:t xml:space="preserve"> is to follow. </w:t>
      </w:r>
    </w:p>
    <w:p w14:paraId="177E85E5"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BE36207" w14:textId="77777777" w:rsidR="00EE6450" w:rsidRDefault="0061273A" w:rsidP="00BE3218">
      <w:pPr>
        <w:ind w:firstLine="360"/>
        <w:rPr>
          <w:szCs w:val="20"/>
        </w:rPr>
      </w:pPr>
      <w:r>
        <w:t>N</w:t>
      </w:r>
      <w:r w:rsidR="0045083F">
        <w:t>ovartis</w:t>
      </w:r>
      <w:r>
        <w:t>.</w:t>
      </w:r>
    </w:p>
    <w:p w14:paraId="0D349D75" w14:textId="77777777" w:rsidR="00E82F54" w:rsidRDefault="00E82F54" w:rsidP="00530204">
      <w:pPr>
        <w:pStyle w:val="Heading2"/>
      </w:pPr>
      <w:r w:rsidRPr="00154B00">
        <w:t>Nominate two experts who could be approached about the proposed medical service and the current clinical management of the service(s):</w:t>
      </w:r>
    </w:p>
    <w:p w14:paraId="36894F2C" w14:textId="77777777" w:rsidR="00B63F29" w:rsidRPr="00441447" w:rsidRDefault="00987ABE" w:rsidP="00BE3218">
      <w:pPr>
        <w:ind w:firstLine="360"/>
        <w:rPr>
          <w:szCs w:val="20"/>
        </w:rPr>
      </w:pPr>
      <w:r w:rsidRPr="00441447">
        <w:rPr>
          <w:szCs w:val="20"/>
        </w:rPr>
        <w:t xml:space="preserve">Name of expert </w:t>
      </w:r>
      <w:r w:rsidR="003C06D6">
        <w:rPr>
          <w:szCs w:val="20"/>
        </w:rPr>
        <w:t>1</w:t>
      </w:r>
      <w:r w:rsidRPr="00441447">
        <w:rPr>
          <w:szCs w:val="20"/>
        </w:rPr>
        <w:t xml:space="preserve">: </w:t>
      </w:r>
      <w:r w:rsidR="00F00C59">
        <w:t>Redacted</w:t>
      </w:r>
    </w:p>
    <w:p w14:paraId="4CAF1144" w14:textId="77777777" w:rsidR="00987ABE" w:rsidRPr="00441447" w:rsidRDefault="00987ABE" w:rsidP="00BE3218">
      <w:pPr>
        <w:ind w:firstLine="360"/>
        <w:rPr>
          <w:szCs w:val="20"/>
        </w:rPr>
      </w:pPr>
      <w:r w:rsidRPr="00441447">
        <w:rPr>
          <w:szCs w:val="20"/>
        </w:rPr>
        <w:t>Telephone number(s):</w:t>
      </w:r>
      <w:r w:rsidR="00B63F29" w:rsidRPr="00441447">
        <w:rPr>
          <w:szCs w:val="20"/>
        </w:rPr>
        <w:t xml:space="preserve"> </w:t>
      </w:r>
      <w:r w:rsidR="00F00C59">
        <w:t>Redacted</w:t>
      </w:r>
    </w:p>
    <w:p w14:paraId="73364613" w14:textId="77777777" w:rsidR="003C06D6" w:rsidRDefault="00987ABE" w:rsidP="003C06D6">
      <w:pPr>
        <w:ind w:firstLine="360"/>
        <w:rPr>
          <w:noProof/>
        </w:rPr>
      </w:pPr>
      <w:r w:rsidRPr="00441447">
        <w:rPr>
          <w:szCs w:val="20"/>
        </w:rPr>
        <w:t xml:space="preserve">Email address: </w:t>
      </w:r>
      <w:r w:rsidR="00F00C59">
        <w:t>Redacted</w:t>
      </w:r>
    </w:p>
    <w:p w14:paraId="0B7906CD" w14:textId="7647A2D4" w:rsidR="006A291B" w:rsidRDefault="00987ABE" w:rsidP="00194C97">
      <w:pPr>
        <w:spacing w:after="360"/>
        <w:ind w:left="357"/>
      </w:pPr>
      <w:r>
        <w:rPr>
          <w:szCs w:val="20"/>
        </w:rPr>
        <w:t xml:space="preserve">Justification of expertise: </w:t>
      </w:r>
      <w:r w:rsidR="00F00C59">
        <w:t>Redacted</w:t>
      </w:r>
      <w:r w:rsidR="00B92D73" w:rsidRPr="00024D52">
        <w:t>.</w:t>
      </w:r>
    </w:p>
    <w:p w14:paraId="3D06B0A7" w14:textId="77777777" w:rsidR="003C06D6" w:rsidRPr="00987ABE" w:rsidRDefault="003C06D6" w:rsidP="001741C6">
      <w:pPr>
        <w:keepNext/>
        <w:keepLines/>
        <w:ind w:firstLine="360"/>
        <w:rPr>
          <w:szCs w:val="20"/>
        </w:rPr>
      </w:pPr>
      <w:r>
        <w:rPr>
          <w:szCs w:val="20"/>
        </w:rPr>
        <w:t xml:space="preserve">Name of expert 2: </w:t>
      </w:r>
      <w:r w:rsidR="00F00C59">
        <w:t>Redacted</w:t>
      </w:r>
    </w:p>
    <w:p w14:paraId="44B3C9C3" w14:textId="77777777" w:rsidR="003C06D6" w:rsidRPr="00441447" w:rsidRDefault="003C06D6" w:rsidP="001741C6">
      <w:pPr>
        <w:keepNext/>
        <w:keepLines/>
        <w:ind w:firstLine="360"/>
        <w:rPr>
          <w:szCs w:val="20"/>
        </w:rPr>
      </w:pPr>
      <w:r w:rsidRPr="00441447">
        <w:rPr>
          <w:szCs w:val="20"/>
        </w:rPr>
        <w:t xml:space="preserve">Telephone number(s): </w:t>
      </w:r>
      <w:r w:rsidR="00F00C59">
        <w:t>Redacted</w:t>
      </w:r>
    </w:p>
    <w:p w14:paraId="4050288A" w14:textId="77777777" w:rsidR="003C06D6" w:rsidRPr="00441447" w:rsidRDefault="003C06D6" w:rsidP="001741C6">
      <w:pPr>
        <w:keepNext/>
        <w:keepLines/>
        <w:ind w:firstLine="360"/>
        <w:rPr>
          <w:szCs w:val="20"/>
        </w:rPr>
      </w:pPr>
      <w:r w:rsidRPr="00441447">
        <w:rPr>
          <w:szCs w:val="20"/>
        </w:rPr>
        <w:t xml:space="preserve">Email address: </w:t>
      </w:r>
      <w:r w:rsidR="00F00C59">
        <w:t>Redacted</w:t>
      </w:r>
    </w:p>
    <w:p w14:paraId="72E7ABE3" w14:textId="4ACC183C" w:rsidR="003C06D6" w:rsidRPr="00194C97" w:rsidRDefault="003C06D6" w:rsidP="00194C97">
      <w:pPr>
        <w:keepNext/>
        <w:keepLines/>
        <w:spacing w:after="360"/>
        <w:ind w:left="357"/>
        <w:rPr>
          <w:szCs w:val="20"/>
        </w:rPr>
      </w:pPr>
      <w:r w:rsidRPr="00441447">
        <w:rPr>
          <w:szCs w:val="20"/>
        </w:rPr>
        <w:t xml:space="preserve">Justification of expertise: </w:t>
      </w:r>
      <w:r w:rsidR="00F00C59">
        <w:t>Redacted</w:t>
      </w:r>
      <w:r w:rsidRPr="00441447">
        <w:t>.</w:t>
      </w:r>
    </w:p>
    <w:p w14:paraId="4B5BEFDA" w14:textId="3526DBF9" w:rsidR="003433D1" w:rsidRPr="00194C97" w:rsidRDefault="0067118F" w:rsidP="00194C97">
      <w:pPr>
        <w:ind w:left="360"/>
        <w:rPr>
          <w:i/>
          <w:szCs w:val="20"/>
        </w:rPr>
      </w:pPr>
      <w:r>
        <w:rPr>
          <w:i/>
          <w:szCs w:val="20"/>
        </w:rPr>
        <w:t>P</w:t>
      </w:r>
      <w:r w:rsidR="00E82F54" w:rsidRPr="00154B00">
        <w:rPr>
          <w:i/>
          <w:szCs w:val="20"/>
        </w:rPr>
        <w:t>lease note that the Department may also consult with other referrers, proceduralists and disease specialists to obtain their insight.</w:t>
      </w:r>
      <w:r w:rsidR="003433D1">
        <w:rPr>
          <w:b/>
          <w:sz w:val="32"/>
          <w:szCs w:val="32"/>
        </w:rPr>
        <w:br w:type="page"/>
      </w:r>
    </w:p>
    <w:p w14:paraId="210D56EA"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17CC04E2" w14:textId="77777777" w:rsidR="0021185D" w:rsidRPr="005C3AE7" w:rsidRDefault="005C3AE7" w:rsidP="005C3AE7">
      <w:pPr>
        <w:pStyle w:val="Subtitle"/>
      </w:pPr>
      <w:r w:rsidRPr="005C3AE7">
        <w:t xml:space="preserve">PART 6a – </w:t>
      </w:r>
      <w:r w:rsidR="0021185D" w:rsidRPr="005C3AE7">
        <w:t>INFORMATION ABOUT THE PROPOSED POPULATION</w:t>
      </w:r>
    </w:p>
    <w:p w14:paraId="08E41C95" w14:textId="77777777" w:rsidR="0032788B" w:rsidRDefault="0021185D" w:rsidP="00CB467D">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4C61D5"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bookmarkStart w:id="7" w:name="_Hlk2678311"/>
    </w:p>
    <w:p w14:paraId="322948BC" w14:textId="77777777" w:rsidR="0032788B" w:rsidRDefault="0032788B" w:rsidP="0032788B">
      <w:pPr>
        <w:ind w:left="360"/>
        <w:rPr>
          <w:szCs w:val="20"/>
          <w:lang w:val="en-GB"/>
        </w:rPr>
      </w:pPr>
      <w:r w:rsidRPr="0032788B">
        <w:rPr>
          <w:szCs w:val="20"/>
          <w:lang w:val="en-GB"/>
        </w:rPr>
        <w:t>DLBCL</w:t>
      </w:r>
      <w:r>
        <w:rPr>
          <w:szCs w:val="20"/>
          <w:lang w:val="en-GB"/>
        </w:rPr>
        <w:t>,</w:t>
      </w:r>
      <w:r w:rsidRPr="0032788B">
        <w:rPr>
          <w:szCs w:val="20"/>
          <w:lang w:val="en-GB"/>
        </w:rPr>
        <w:t xml:space="preserve"> PMBCL</w:t>
      </w:r>
      <w:r>
        <w:rPr>
          <w:szCs w:val="20"/>
          <w:lang w:val="en-GB"/>
        </w:rPr>
        <w:t xml:space="preserve"> and</w:t>
      </w:r>
      <w:r w:rsidRPr="0032788B">
        <w:rPr>
          <w:szCs w:val="20"/>
          <w:lang w:val="en-GB"/>
        </w:rPr>
        <w:t xml:space="preserve"> TFL</w:t>
      </w:r>
      <w:r>
        <w:rPr>
          <w:szCs w:val="20"/>
          <w:lang w:val="en-GB"/>
        </w:rPr>
        <w:t xml:space="preserve"> are a</w:t>
      </w:r>
      <w:r w:rsidRPr="0032788B">
        <w:rPr>
          <w:szCs w:val="20"/>
          <w:lang w:val="en-GB"/>
        </w:rPr>
        <w:t>ggressive subtypes of B-cell</w:t>
      </w:r>
      <w:r>
        <w:rPr>
          <w:szCs w:val="20"/>
          <w:lang w:val="en-GB"/>
        </w:rPr>
        <w:t xml:space="preserve"> NHL. </w:t>
      </w:r>
    </w:p>
    <w:p w14:paraId="74D82E82" w14:textId="77777777" w:rsidR="0032788B" w:rsidRPr="0032788B" w:rsidRDefault="0032788B" w:rsidP="00CB467D">
      <w:pPr>
        <w:ind w:left="360"/>
        <w:rPr>
          <w:szCs w:val="20"/>
          <w:lang w:val="en-GB"/>
        </w:rPr>
      </w:pPr>
      <w:r w:rsidRPr="0032788B">
        <w:rPr>
          <w:szCs w:val="20"/>
          <w:lang w:val="en-GB"/>
        </w:rPr>
        <w:t>DLBCL, is the most common subtype of B-cell NHL</w:t>
      </w:r>
      <w:r>
        <w:rPr>
          <w:szCs w:val="20"/>
          <w:lang w:val="en-GB"/>
        </w:rPr>
        <w:t xml:space="preserve">. </w:t>
      </w:r>
      <w:r w:rsidRPr="0032788B">
        <w:rPr>
          <w:szCs w:val="20"/>
          <w:lang w:val="en-GB"/>
        </w:rPr>
        <w:t>A family history of lymphoma, autoimmune disease, human immunodeficiency virus (HIV) infection, hepatitis C virus (HCV) seropositivity, a high body mass as a young adult and some occupational exposures have been identified as risk factors of DLBCL (Tilly et al, 2015).</w:t>
      </w:r>
    </w:p>
    <w:p w14:paraId="247D25BE" w14:textId="77777777" w:rsidR="0032788B" w:rsidRPr="0032788B" w:rsidRDefault="0032788B" w:rsidP="0032788B">
      <w:pPr>
        <w:ind w:left="360"/>
        <w:rPr>
          <w:szCs w:val="20"/>
          <w:lang w:val="en-GB"/>
        </w:rPr>
      </w:pPr>
      <w:r w:rsidRPr="0032788B">
        <w:rPr>
          <w:szCs w:val="20"/>
          <w:lang w:val="en-GB"/>
        </w:rPr>
        <w:t>DLBCL comprises a group of lymphoid malignancies composed of large cells with vesicular nuclei, prominent nucleoli, basophilic cytoplasm, and a high proliferation rate (Martelli et al, 2013). DLBCL typically presents as a nodal or extra-nodal mass with fast tumour growth associated with systemic symptoms, such as sweats, fatigue and fever (Freedman et al, 2015). In about 40% of cases, DLBCL presents in areas outside lymph nodes, such as the digestive tract, skin, bone, thyroid, and testes (Freedman et al, 2015). The causes of NHL in general, and DLBCL specifically, are unclear; however identified potential risk factors include: immunosuppression, ultraviolet radiation, pesticides, hair dyes and diet (Ekström-Smedby, 2006). Centroblast- and immunoblast-like cells are the predominant morphology, and these cells typically express the B-cell markers CD19, CD20, CD22, as well as surface immunoglobulin (Martelli et al, 2013).</w:t>
      </w:r>
    </w:p>
    <w:p w14:paraId="701DAEE1" w14:textId="77777777" w:rsidR="0032788B" w:rsidRPr="00524A17" w:rsidRDefault="0032788B" w:rsidP="00524A17">
      <w:pPr>
        <w:ind w:left="360"/>
        <w:rPr>
          <w:i/>
        </w:rPr>
      </w:pPr>
      <w:r w:rsidRPr="0032788B">
        <w:rPr>
          <w:szCs w:val="20"/>
          <w:lang w:val="en-GB"/>
        </w:rPr>
        <w:t xml:space="preserve">PMBCL is a rare form of NHL similar to DLBCL. </w:t>
      </w:r>
      <w:r w:rsidR="00524A17" w:rsidRPr="00524A17">
        <w:t>PMBCL represents approximately 6% to 12% of all DLBCL</w:t>
      </w:r>
      <w:r w:rsidR="0054564F">
        <w:t xml:space="preserve"> </w:t>
      </w:r>
      <w:r w:rsidR="0054564F" w:rsidRPr="007544FA">
        <w:t>(Falini et al, 1995; Cazals-Hatem et al, 1996; Sehn et al, 1998; Savage, 2006; Dabrowska-Iwanicka and Walewski, 2014; Bhatt et al, 2015)</w:t>
      </w:r>
      <w:r w:rsidR="00524A17" w:rsidRPr="00524A17">
        <w:t xml:space="preserve">. Specific incidences are not available for Australia. </w:t>
      </w:r>
      <w:r w:rsidRPr="0032788B">
        <w:rPr>
          <w:szCs w:val="20"/>
          <w:lang w:val="en-GB"/>
        </w:rPr>
        <w:t>Histologically virtually identical</w:t>
      </w:r>
      <w:r w:rsidR="00524A17">
        <w:rPr>
          <w:szCs w:val="20"/>
          <w:lang w:val="en-GB"/>
        </w:rPr>
        <w:t xml:space="preserve"> to DLBCL</w:t>
      </w:r>
      <w:r w:rsidRPr="0032788B">
        <w:rPr>
          <w:szCs w:val="20"/>
          <w:lang w:val="en-GB"/>
        </w:rPr>
        <w:t>, PMBCL is thought to arise from thymic (medullary) B</w:t>
      </w:r>
      <w:r w:rsidR="004F44C2">
        <w:rPr>
          <w:szCs w:val="20"/>
          <w:lang w:val="en-GB"/>
        </w:rPr>
        <w:t>-</w:t>
      </w:r>
      <w:r w:rsidRPr="0032788B">
        <w:rPr>
          <w:szCs w:val="20"/>
          <w:lang w:val="en-GB"/>
        </w:rPr>
        <w:t>cells and has distinct clinical, pathological, and molecular characteristics from other subtypes. PMBCL is typically identified in the fourth decade of life and</w:t>
      </w:r>
      <w:r w:rsidR="00E10395">
        <w:rPr>
          <w:szCs w:val="20"/>
          <w:lang w:val="en-GB"/>
        </w:rPr>
        <w:t xml:space="preserve"> </w:t>
      </w:r>
      <w:r w:rsidRPr="0032788B">
        <w:rPr>
          <w:szCs w:val="20"/>
          <w:lang w:val="en-GB"/>
        </w:rPr>
        <w:t>has a female predominance (Savage, 2006; Sehn et al, 1998; Dabrowska-Iwanicka &amp; Walewski, 2014).</w:t>
      </w:r>
    </w:p>
    <w:p w14:paraId="3DCAEB2B" w14:textId="77777777" w:rsidR="0032788B" w:rsidRDefault="0032788B" w:rsidP="0032788B">
      <w:pPr>
        <w:ind w:left="360"/>
        <w:rPr>
          <w:szCs w:val="20"/>
          <w:lang w:val="en-GB"/>
        </w:rPr>
      </w:pPr>
      <w:r w:rsidRPr="0032788B">
        <w:rPr>
          <w:szCs w:val="20"/>
          <w:lang w:val="en-GB"/>
        </w:rPr>
        <w:t>PMBCL typically presents as a large, fast-growing mass with invasion. This is usually limited to the anterior-upper mediastinum, but may infiltrate adjacent thoracic structures such as chest wall, pleura, lungs, pericardium and heart, causing pleural/pericardial effusion in approximately 30–50% of cases. Systemic symptoms, mainly weight loss and fever, are relatively rare and they affect less than 20% of patients (Dabrowska-Iwanicka &amp; Walewski, 2014). No risk factors for PMBCL have been identified, although a familial case has been identified in Finland, which may be related to a mutation to the mixed lineage leukaemia (MLL) gene. PMBCL cells typically express the B-cell markers CD19, CD20, CD22; in a majority of cases, CD23, CD45 and myelin and lymphocyte protein (MAL) are also expressed (Dabrowska-Iwanicka &amp; Walewski, 2014).</w:t>
      </w:r>
    </w:p>
    <w:p w14:paraId="2CACAD29" w14:textId="77777777" w:rsidR="0032788B" w:rsidRPr="0032788B" w:rsidRDefault="0032788B" w:rsidP="0032788B">
      <w:pPr>
        <w:ind w:left="360"/>
        <w:rPr>
          <w:szCs w:val="20"/>
          <w:lang w:val="en-GB"/>
        </w:rPr>
      </w:pPr>
      <w:r w:rsidRPr="0032788B">
        <w:rPr>
          <w:szCs w:val="20"/>
          <w:lang w:val="en-GB"/>
        </w:rPr>
        <w:t xml:space="preserve">Follicular lymphoma (FL), the second most common form of NHL in Western countries, accounting for approximately 20% of NHL cases globally (Casulo et al, 2017). Some patients with FL will transform to a high grade DLBCL (known as TFL) which is aggressive and associated with a poor outcome. Histological transformation to DLBCL occurs at an annual rate of approximately 3% over 15 years. Thus, TFL accounts for approximately 1% of all NHL (Lossos &amp; Gascoyne, 2011; Casulo et al, 2015). </w:t>
      </w:r>
    </w:p>
    <w:p w14:paraId="777BBDE1" w14:textId="77777777" w:rsidR="0032788B" w:rsidRPr="0032788B" w:rsidRDefault="0032788B" w:rsidP="00CB467D">
      <w:pPr>
        <w:ind w:left="360"/>
        <w:rPr>
          <w:szCs w:val="20"/>
          <w:lang w:val="en-GB"/>
        </w:rPr>
      </w:pPr>
      <w:r w:rsidRPr="0032788B">
        <w:rPr>
          <w:szCs w:val="20"/>
          <w:lang w:val="en-GB"/>
        </w:rPr>
        <w:t>Typically, the treatment algorithm used for the management of patients with DLBCL is also used for patients with PMBCL and TFL.</w:t>
      </w:r>
    </w:p>
    <w:bookmarkEnd w:id="7"/>
    <w:p w14:paraId="61306596" w14:textId="77777777" w:rsidR="00350635" w:rsidRDefault="007544FA" w:rsidP="0032788B">
      <w:pPr>
        <w:ind w:left="360"/>
      </w:pPr>
      <w:r w:rsidRPr="007544FA">
        <w:rPr>
          <w:szCs w:val="20"/>
        </w:rPr>
        <w:t>The current standard of care for first-line treatment is a regimen of cyclophosphamide, doxorubicin, vincristine, and prednisolone (CHOP) in combination with an anti-CD20 monoclonal antibody (mAb) such as rituximab (R-CHOP) (Flowers et al, 2010) (National Comprehensive Cancer Network, 2014; Tilly et al, 2015). Although more effective than chemotherapy alone, first-line R-CHOP only results in long term disease remission in &lt; 40% of subjects.</w:t>
      </w:r>
      <w:r w:rsidR="00350635">
        <w:rPr>
          <w:szCs w:val="20"/>
        </w:rPr>
        <w:t xml:space="preserve"> </w:t>
      </w:r>
    </w:p>
    <w:p w14:paraId="18B60748" w14:textId="77777777" w:rsidR="00B127CA" w:rsidRPr="00B127CA" w:rsidRDefault="00B127CA" w:rsidP="00CB467D">
      <w:pPr>
        <w:ind w:left="360"/>
        <w:rPr>
          <w:lang w:val="en-GB"/>
        </w:rPr>
      </w:pPr>
      <w:r w:rsidRPr="00B127CA">
        <w:rPr>
          <w:lang w:val="en-GB"/>
        </w:rPr>
        <w:lastRenderedPageBreak/>
        <w:t>Relapse is most likely to happen within two years of the end of the first treatment (Lymphoma Association, 2016). Overall, approximately 30% of DLBCL will ultimately relapse. The incidence of relapsed/refractory DLBCL in the European Union</w:t>
      </w:r>
      <w:r w:rsidR="000F4071">
        <w:rPr>
          <w:lang w:val="en-GB"/>
        </w:rPr>
        <w:t xml:space="preserve"> (which can be reasonably extrapolated to Australia)</w:t>
      </w:r>
      <w:r w:rsidRPr="00B127CA">
        <w:rPr>
          <w:lang w:val="en-GB"/>
        </w:rPr>
        <w:t xml:space="preserve"> is therefore estimated to be around 1/100,000/year (Tilly et al, 2015).</w:t>
      </w:r>
      <w:r w:rsidR="009A3732">
        <w:rPr>
          <w:lang w:val="en-GB"/>
        </w:rPr>
        <w:t xml:space="preserve"> </w:t>
      </w:r>
      <w:r w:rsidR="00490B25" w:rsidRPr="00490B25">
        <w:t>Gilead notes that the PICO Confirmation for Kymriah uses an estimated incidence of 2</w:t>
      </w:r>
      <w:r w:rsidR="00F950EA">
        <w:t>,</w:t>
      </w:r>
      <w:r w:rsidR="00490B25" w:rsidRPr="00490B25">
        <w:t>070 patients for DLBCL</w:t>
      </w:r>
      <w:r w:rsidR="00490B25">
        <w:t xml:space="preserve"> in Australia</w:t>
      </w:r>
      <w:r w:rsidR="00490B25" w:rsidRPr="00490B25">
        <w:t>.</w:t>
      </w:r>
      <w:r w:rsidR="00490B25">
        <w:t xml:space="preserve"> </w:t>
      </w:r>
    </w:p>
    <w:p w14:paraId="1A421C31" w14:textId="77777777" w:rsidR="00B127CA" w:rsidRPr="006F4086" w:rsidRDefault="00B127CA" w:rsidP="00B127CA">
      <w:pPr>
        <w:ind w:left="360"/>
      </w:pPr>
      <w:r w:rsidRPr="00B127CA">
        <w:rPr>
          <w:lang w:val="en-GB"/>
        </w:rPr>
        <w:t>Patients with relapsed/refractory aggressive B-cell NHL typically receive salvage therapy with rituximab and platinum-based chemotherapy regimens (Tilly et al, 2015). Treatment regimens for patients with relapsed/refractory DLBCL are also used in the treatment of those with relapsed/refractory PMBCL or TFL.</w:t>
      </w:r>
    </w:p>
    <w:p w14:paraId="75403EC4" w14:textId="77777777" w:rsidR="00DB6C6C" w:rsidRPr="006F4086" w:rsidRDefault="00FB7305" w:rsidP="00BE3218">
      <w:pPr>
        <w:ind w:left="360"/>
        <w:rPr>
          <w:szCs w:val="20"/>
        </w:rPr>
      </w:pPr>
      <w:r>
        <w:rPr>
          <w:szCs w:val="20"/>
        </w:rPr>
        <w:t>S</w:t>
      </w:r>
      <w:r w:rsidR="007544FA" w:rsidRPr="00350635">
        <w:rPr>
          <w:szCs w:val="20"/>
        </w:rPr>
        <w:t>tudies in relapsed or refractory B-cell NHL indicate that only half of patients who respond to second-line therapy are able to proceed to</w:t>
      </w:r>
      <w:r w:rsidR="004F44C2">
        <w:rPr>
          <w:szCs w:val="20"/>
        </w:rPr>
        <w:t xml:space="preserve"> </w:t>
      </w:r>
      <w:r w:rsidR="004F44C2" w:rsidRPr="004F44C2">
        <w:rPr>
          <w:szCs w:val="20"/>
          <w:lang w:val="en-GB"/>
        </w:rPr>
        <w:t>autologous stem cell transplant</w:t>
      </w:r>
      <w:r w:rsidR="007544FA" w:rsidRPr="00350635">
        <w:rPr>
          <w:szCs w:val="20"/>
        </w:rPr>
        <w:t xml:space="preserve"> </w:t>
      </w:r>
      <w:r w:rsidR="004F44C2">
        <w:rPr>
          <w:szCs w:val="20"/>
        </w:rPr>
        <w:t>(</w:t>
      </w:r>
      <w:r w:rsidR="007544FA" w:rsidRPr="00350635">
        <w:rPr>
          <w:szCs w:val="20"/>
        </w:rPr>
        <w:t>ASCT</w:t>
      </w:r>
      <w:r w:rsidR="004F44C2">
        <w:rPr>
          <w:szCs w:val="20"/>
        </w:rPr>
        <w:t>)</w:t>
      </w:r>
      <w:r w:rsidR="007544FA" w:rsidRPr="00350635">
        <w:rPr>
          <w:szCs w:val="20"/>
        </w:rPr>
        <w:t xml:space="preserve"> (Philip et al, 1995; Moskowitz et al, 1999; Gisselbrecht et al, 2012; Crump et al, 2014).</w:t>
      </w:r>
    </w:p>
    <w:p w14:paraId="3CB4E388" w14:textId="77777777" w:rsidR="003C06D6" w:rsidRDefault="00A02C5C" w:rsidP="003C06D6">
      <w:pPr>
        <w:ind w:left="360"/>
      </w:pPr>
      <w:r>
        <w:t xml:space="preserve">Clinical observations suggest that patients with refractory DLBCL, defined as no response to last chemotherapy or relapse ≤12 months post-ASCT, have poor overall survival (OS) rates; however, there is a paucity of published data reporting outcomes in this patient </w:t>
      </w:r>
      <w:r w:rsidRPr="00A43D21">
        <w:t xml:space="preserve">population (Nagle et al, 2013). </w:t>
      </w:r>
    </w:p>
    <w:p w14:paraId="0289BBD7" w14:textId="77777777" w:rsidR="00A02C5C" w:rsidRDefault="00A02C5C" w:rsidP="003C06D6">
      <w:pPr>
        <w:ind w:left="360"/>
      </w:pPr>
      <w:r>
        <w:t xml:space="preserve">In order to address this data shortcoming, the </w:t>
      </w:r>
      <w:r w:rsidRPr="002D7E3C">
        <w:t xml:space="preserve">international multi-cohort </w:t>
      </w:r>
      <w:r w:rsidRPr="008A4DC3">
        <w:t>retrospective non-Hodgkin lymphoma research (SCHOLAR-1) study was conducted to provide a more rigorous assessment of the outcomes of patients</w:t>
      </w:r>
      <w:r>
        <w:t xml:space="preserve"> with refractory DLBCL whose disease fails to respond to immunochemotherapy or any subsequent salvage regimen and for those whose disease relapses early post-ASCT</w:t>
      </w:r>
      <w:r w:rsidR="004F44C2">
        <w:t xml:space="preserve"> </w:t>
      </w:r>
      <w:r w:rsidRPr="002D7E3C">
        <w:t>(</w:t>
      </w:r>
      <w:r w:rsidRPr="00A43D21">
        <w:t xml:space="preserve">Crump et al, 2017). </w:t>
      </w:r>
    </w:p>
    <w:p w14:paraId="78F7DC00" w14:textId="77777777" w:rsidR="00A02C5C" w:rsidRPr="006D022E" w:rsidRDefault="003C06D6" w:rsidP="00BE3218">
      <w:pPr>
        <w:ind w:left="360"/>
      </w:pPr>
      <w:r>
        <w:t>SCHOLAR-1</w:t>
      </w:r>
      <w:r w:rsidR="00A02C5C" w:rsidRPr="002D7E3C">
        <w:t xml:space="preserve"> was a patient-level, retrospective, pooled analysis of response rates and OS rates in </w:t>
      </w:r>
      <w:r w:rsidR="00A02C5C">
        <w:t xml:space="preserve">636 </w:t>
      </w:r>
      <w:r w:rsidR="00A02C5C" w:rsidRPr="002D7E3C">
        <w:t xml:space="preserve">patients with refractory NHL, using data from the databases of three academic centres and from two of the largest randomized, controlled </w:t>
      </w:r>
      <w:r w:rsidR="00A02C5C">
        <w:t>Phase</w:t>
      </w:r>
      <w:r w:rsidR="00A02C5C" w:rsidRPr="002D7E3C">
        <w:t xml:space="preserve"> 2 trials of patients with refractory aggressive lymphomas, including DLBCL</w:t>
      </w:r>
      <w:r w:rsidR="00A02C5C">
        <w:t xml:space="preserve"> (87%)</w:t>
      </w:r>
      <w:r w:rsidR="00A02C5C" w:rsidRPr="002D7E3C">
        <w:t>, PMBCL</w:t>
      </w:r>
      <w:r w:rsidR="00A02C5C">
        <w:t xml:space="preserve"> (2%), and </w:t>
      </w:r>
      <w:r w:rsidR="00A02C5C" w:rsidRPr="002D7E3C">
        <w:t>TFL</w:t>
      </w:r>
      <w:r w:rsidR="00A02C5C">
        <w:t xml:space="preserve"> (4%</w:t>
      </w:r>
      <w:r w:rsidR="00A02C5C" w:rsidRPr="00A43D21">
        <w:t xml:space="preserve">) </w:t>
      </w:r>
      <w:r w:rsidR="00A02C5C" w:rsidRPr="006D022E">
        <w:t xml:space="preserve">(Gisselbrecht et al, 2012; Crump et al, 2014; Van Den Neste E et al, 2016). </w:t>
      </w:r>
      <w:r w:rsidR="00A02C5C">
        <w:t>In the pooled patient population overall, 178 (28%) were primary refractory, 318 (50%) were refractory to</w:t>
      </w:r>
      <w:r w:rsidR="00E10395">
        <w:t xml:space="preserve"> </w:t>
      </w:r>
      <w:r w:rsidR="00E10395">
        <w:rPr>
          <w:rFonts w:cstheme="minorHAnsi"/>
        </w:rPr>
        <w:t xml:space="preserve">≥ </w:t>
      </w:r>
      <w:r w:rsidR="00A02C5C">
        <w:t xml:space="preserve">second-line therapy, and 140 (22%) were in relapse </w:t>
      </w:r>
      <w:r w:rsidR="00A02C5C">
        <w:sym w:font="Symbol" w:char="F0A3"/>
      </w:r>
      <w:r w:rsidR="00A02C5C">
        <w:t>12 months post</w:t>
      </w:r>
      <w:r w:rsidR="004F44C2">
        <w:t>-</w:t>
      </w:r>
      <w:r w:rsidR="00A02C5C" w:rsidRPr="006D022E">
        <w:t>ASCT (Crump et al, 2017).</w:t>
      </w:r>
    </w:p>
    <w:p w14:paraId="57BFF558" w14:textId="77777777" w:rsidR="00A02C5C" w:rsidRDefault="00A02C5C" w:rsidP="00BE3218">
      <w:pPr>
        <w:ind w:left="360"/>
      </w:pPr>
      <w:r w:rsidRPr="002D7E3C">
        <w:t xml:space="preserve">Results of SCHOLAR-1 demonstrated the </w:t>
      </w:r>
      <w:r w:rsidR="00AA02BC">
        <w:t xml:space="preserve">extremely </w:t>
      </w:r>
      <w:r w:rsidRPr="002D7E3C">
        <w:t>poor outcomes to currently available therapies in this population, with an</w:t>
      </w:r>
      <w:r w:rsidR="004F44C2">
        <w:t xml:space="preserve"> objective response rate</w:t>
      </w:r>
      <w:r w:rsidRPr="002D7E3C">
        <w:t xml:space="preserve"> </w:t>
      </w:r>
      <w:r w:rsidR="004F44C2">
        <w:t>(</w:t>
      </w:r>
      <w:r w:rsidRPr="002D7E3C">
        <w:t>ORR</w:t>
      </w:r>
      <w:r w:rsidR="004F44C2">
        <w:t>)</w:t>
      </w:r>
      <w:r w:rsidRPr="002D7E3C">
        <w:t xml:space="preserve"> of 26% and a</w:t>
      </w:r>
      <w:r w:rsidR="004F44C2">
        <w:t xml:space="preserve"> complete response (</w:t>
      </w:r>
      <w:r w:rsidRPr="002D7E3C">
        <w:t>CR</w:t>
      </w:r>
      <w:r w:rsidR="004F44C2">
        <w:t>)</w:t>
      </w:r>
      <w:r w:rsidRPr="002D7E3C">
        <w:t xml:space="preserve"> rate of 7%</w:t>
      </w:r>
      <w:r>
        <w:t xml:space="preserve"> in the overall population of patients (n=523) evaluated for response.</w:t>
      </w:r>
    </w:p>
    <w:p w14:paraId="7A341FC9" w14:textId="77777777" w:rsidR="00A02C5C" w:rsidRPr="006D022E" w:rsidRDefault="00A02C5C" w:rsidP="000C35BF">
      <w:pPr>
        <w:keepNext/>
        <w:keepLines/>
        <w:ind w:left="357"/>
      </w:pPr>
      <w:r>
        <w:t xml:space="preserve">Response rates were also consistently poor when differentiating by refractory subgroup. In </w:t>
      </w:r>
      <w:r w:rsidRPr="002D7E3C">
        <w:t>primary refractory</w:t>
      </w:r>
      <w:r>
        <w:t xml:space="preserve"> patients (n=169), ORR was 20% and CR rate was 3%; among patients who were refractory to second-line therapy or later therapy (n=274), ORR was 26% and CR rate was 10%; and for patients who had relapsed </w:t>
      </w:r>
      <w:r>
        <w:sym w:font="Symbol" w:char="F0A3"/>
      </w:r>
      <w:r>
        <w:t>12 months post-ASCT (n=80), ORR was 34% and CR rate was 15% (</w:t>
      </w:r>
      <w:r w:rsidRPr="006D022E">
        <w:t>Crump et al, 2017).</w:t>
      </w:r>
    </w:p>
    <w:p w14:paraId="3CB454A9" w14:textId="77777777" w:rsidR="00A02C5C" w:rsidRDefault="00A02C5C" w:rsidP="00BE3218">
      <w:pPr>
        <w:ind w:left="360"/>
        <w:rPr>
          <w:color w:val="000000"/>
        </w:rPr>
      </w:pPr>
      <w:r w:rsidRPr="002D7E3C">
        <w:t>Patient survival was poor</w:t>
      </w:r>
      <w:r>
        <w:t xml:space="preserve"> in the overall population of refractory patients evaluated for survival (n=603)</w:t>
      </w:r>
      <w:r w:rsidRPr="002D7E3C">
        <w:t>, with median</w:t>
      </w:r>
      <w:r w:rsidR="004F44C2">
        <w:t xml:space="preserve"> overall survival</w:t>
      </w:r>
      <w:r w:rsidRPr="002D7E3C">
        <w:t xml:space="preserve"> </w:t>
      </w:r>
      <w:r w:rsidR="004F44C2">
        <w:t>(</w:t>
      </w:r>
      <w:r>
        <w:t>OS</w:t>
      </w:r>
      <w:r w:rsidR="004F44C2">
        <w:t>)</w:t>
      </w:r>
      <w:r w:rsidRPr="002D7E3C">
        <w:t xml:space="preserve"> of 6.3 </w:t>
      </w:r>
      <w:r w:rsidRPr="006D022E">
        <w:t xml:space="preserve">months (Crump et al, 2017). Patient </w:t>
      </w:r>
      <w:r>
        <w:t>survival was also consistently poor when differentiating by refractory subgroup of DLBCL/PMBCL/TFL patients</w:t>
      </w:r>
      <w:r w:rsidR="00901605">
        <w:t>,</w:t>
      </w:r>
      <w:r>
        <w:t xml:space="preserve"> with median OS of 7.1 months in </w:t>
      </w:r>
      <w:r w:rsidRPr="002D7E3C">
        <w:t>primary refractory</w:t>
      </w:r>
      <w:r>
        <w:t xml:space="preserve"> patients (n=179), 6.1 months for patients who were refractory to second-line therapy or later-line therapy (n=306), and 6.2 months among patients who had relapsed </w:t>
      </w:r>
      <w:r>
        <w:sym w:font="Symbol" w:char="F0A3"/>
      </w:r>
      <w:r>
        <w:t>12 months post-ASCT (n=118).</w:t>
      </w:r>
      <w:r w:rsidR="00901605">
        <w:t xml:space="preserve"> </w:t>
      </w:r>
      <w:r>
        <w:t>Moreover, median OS of refractory DLBCL/PMBCL/TFL patients who were ineligible to receive ASCT (n=423) was 5.1 months</w:t>
      </w:r>
      <w:r w:rsidR="00901605">
        <w:t xml:space="preserve"> </w:t>
      </w:r>
      <w:r w:rsidRPr="006D022E">
        <w:t>(Crump et al, 2017).</w:t>
      </w:r>
      <w:r w:rsidR="008A4DC3" w:rsidRPr="006D022E">
        <w:t xml:space="preserve"> </w:t>
      </w:r>
      <w:r w:rsidRPr="006D022E">
        <w:t xml:space="preserve">Poor </w:t>
      </w:r>
      <w:r w:rsidRPr="002C2EFB">
        <w:rPr>
          <w:color w:val="000000"/>
        </w:rPr>
        <w:t xml:space="preserve">outcomes are also observed for patients with relapsed/refractory </w:t>
      </w:r>
      <w:r>
        <w:rPr>
          <w:color w:val="000000"/>
        </w:rPr>
        <w:t xml:space="preserve">DLBCL </w:t>
      </w:r>
      <w:r w:rsidRPr="002C2EFB">
        <w:rPr>
          <w:color w:val="000000"/>
        </w:rPr>
        <w:t>who respond to salvage therapy but are ineligible for</w:t>
      </w:r>
      <w:r>
        <w:rPr>
          <w:color w:val="000000"/>
        </w:rPr>
        <w:t xml:space="preserve"> stem cell </w:t>
      </w:r>
      <w:r w:rsidRPr="002C2EFB">
        <w:rPr>
          <w:color w:val="000000"/>
        </w:rPr>
        <w:t xml:space="preserve">transplant </w:t>
      </w:r>
      <w:r>
        <w:rPr>
          <w:color w:val="000000"/>
        </w:rPr>
        <w:t xml:space="preserve">(SCT). Reasons for </w:t>
      </w:r>
      <w:r w:rsidR="004F44C2">
        <w:rPr>
          <w:color w:val="000000"/>
        </w:rPr>
        <w:t>stem cell transplant (</w:t>
      </w:r>
      <w:r>
        <w:rPr>
          <w:color w:val="000000"/>
        </w:rPr>
        <w:t>SCT</w:t>
      </w:r>
      <w:r w:rsidR="004F44C2">
        <w:rPr>
          <w:color w:val="000000"/>
        </w:rPr>
        <w:t>)</w:t>
      </w:r>
      <w:r>
        <w:rPr>
          <w:color w:val="000000"/>
        </w:rPr>
        <w:t xml:space="preserve"> ineligibility include: patient </w:t>
      </w:r>
      <w:r w:rsidRPr="002C2EFB">
        <w:rPr>
          <w:color w:val="000000"/>
        </w:rPr>
        <w:t xml:space="preserve">age (&gt;65 years of age </w:t>
      </w:r>
      <w:r>
        <w:rPr>
          <w:color w:val="000000"/>
        </w:rPr>
        <w:t xml:space="preserve">is </w:t>
      </w:r>
      <w:r w:rsidRPr="002C2EFB">
        <w:rPr>
          <w:color w:val="000000"/>
        </w:rPr>
        <w:t>typically ineligible</w:t>
      </w:r>
      <w:r>
        <w:rPr>
          <w:color w:val="000000"/>
        </w:rPr>
        <w:t>)</w:t>
      </w:r>
      <w:r w:rsidRPr="002C2EFB">
        <w:rPr>
          <w:color w:val="000000"/>
        </w:rPr>
        <w:t>; inadequate response or early relapse after second-line therapy; relapse after second- or later-line of therapy; failure to mobilize stem cells for ASCT; or presence of comorb</w:t>
      </w:r>
      <w:r>
        <w:rPr>
          <w:color w:val="000000"/>
        </w:rPr>
        <w:t xml:space="preserve">idities or unresolved </w:t>
      </w:r>
      <w:r w:rsidRPr="006D022E">
        <w:t>toxicities (Colosia et al, 2014).</w:t>
      </w:r>
    </w:p>
    <w:p w14:paraId="6D20ADEF" w14:textId="77777777" w:rsidR="00B65655" w:rsidRDefault="00A02C5C" w:rsidP="00BE3218">
      <w:pPr>
        <w:ind w:left="360"/>
      </w:pPr>
      <w:r>
        <w:rPr>
          <w:color w:val="000000"/>
        </w:rPr>
        <w:t>Survival rates are poor among patients with r</w:t>
      </w:r>
      <w:r w:rsidRPr="00144C11">
        <w:rPr>
          <w:color w:val="000000"/>
        </w:rPr>
        <w:t>elapsed/refractory, stem cell transplant-ineligible DLBCL</w:t>
      </w:r>
      <w:r>
        <w:rPr>
          <w:color w:val="000000"/>
        </w:rPr>
        <w:t>.</w:t>
      </w:r>
      <w:r w:rsidRPr="00144C11">
        <w:rPr>
          <w:color w:val="000000"/>
        </w:rPr>
        <w:t xml:space="preserve"> </w:t>
      </w:r>
      <w:r>
        <w:rPr>
          <w:color w:val="000000"/>
        </w:rPr>
        <w:t>In a Canadian database review of 326 relapsed/refractory, SCT-ineligible DLBCL patients, median OS was 3.9 months (</w:t>
      </w:r>
      <w:r w:rsidRPr="00235FFD">
        <w:t>Kansara et al, 2014).</w:t>
      </w:r>
      <w:r>
        <w:rPr>
          <w:color w:val="000000"/>
        </w:rPr>
        <w:t xml:space="preserve"> I</w:t>
      </w:r>
      <w:r w:rsidRPr="00B54E0F">
        <w:rPr>
          <w:color w:val="000000"/>
        </w:rPr>
        <w:t xml:space="preserve">n the international </w:t>
      </w:r>
      <w:r w:rsidRPr="00D16DF4">
        <w:rPr>
          <w:color w:val="000000"/>
        </w:rPr>
        <w:t>Collaborative Trial in Relapsed Aggressive L</w:t>
      </w:r>
      <w:r w:rsidRPr="00EF1012">
        <w:rPr>
          <w:color w:val="000000"/>
        </w:rPr>
        <w:t xml:space="preserve">ymphoma </w:t>
      </w:r>
      <w:r>
        <w:rPr>
          <w:color w:val="000000"/>
        </w:rPr>
        <w:t>(</w:t>
      </w:r>
      <w:r w:rsidRPr="00B54E0F">
        <w:rPr>
          <w:color w:val="000000"/>
        </w:rPr>
        <w:t>CORAL</w:t>
      </w:r>
      <w:r>
        <w:rPr>
          <w:color w:val="000000"/>
        </w:rPr>
        <w:t>)</w:t>
      </w:r>
      <w:r w:rsidRPr="00B54E0F">
        <w:rPr>
          <w:color w:val="000000"/>
        </w:rPr>
        <w:t xml:space="preserve"> study, </w:t>
      </w:r>
      <w:r>
        <w:rPr>
          <w:color w:val="000000"/>
        </w:rPr>
        <w:t xml:space="preserve">129 relapsed/refractory DLBCL </w:t>
      </w:r>
      <w:r w:rsidRPr="00B54E0F">
        <w:rPr>
          <w:color w:val="000000"/>
        </w:rPr>
        <w:t>patients who received third-line therapy</w:t>
      </w:r>
      <w:r w:rsidR="00901605">
        <w:rPr>
          <w:color w:val="000000"/>
        </w:rPr>
        <w:t xml:space="preserve"> </w:t>
      </w:r>
      <w:r w:rsidRPr="00B54E0F">
        <w:rPr>
          <w:color w:val="000000"/>
        </w:rPr>
        <w:t xml:space="preserve">but did not undergo </w:t>
      </w:r>
      <w:r>
        <w:rPr>
          <w:color w:val="000000"/>
        </w:rPr>
        <w:t xml:space="preserve">SCT had median OS of </w:t>
      </w:r>
      <w:r w:rsidRPr="00B54E0F">
        <w:rPr>
          <w:color w:val="000000"/>
        </w:rPr>
        <w:t>3.3 months</w:t>
      </w:r>
      <w:r>
        <w:rPr>
          <w:color w:val="FF0000"/>
        </w:rPr>
        <w:t xml:space="preserve"> </w:t>
      </w:r>
      <w:r w:rsidRPr="00B54E0F">
        <w:rPr>
          <w:color w:val="000000"/>
        </w:rPr>
        <w:t>(</w:t>
      </w:r>
      <w:r w:rsidRPr="006D022E">
        <w:t>Van Den Neste et al, 2016).</w:t>
      </w:r>
    </w:p>
    <w:p w14:paraId="19BDA229" w14:textId="77777777" w:rsidR="0032788B" w:rsidRPr="00CB467D" w:rsidRDefault="0032788B" w:rsidP="00CB467D">
      <w:pPr>
        <w:ind w:left="360"/>
      </w:pPr>
      <w:r w:rsidRPr="008A4DC3">
        <w:rPr>
          <w:szCs w:val="20"/>
        </w:rPr>
        <w:t xml:space="preserve">AIHW figures show relative 1-year and 5-year survival from DLBCL in Australia was 77.3% (95%CI 75.8-78.8%) and 64.4% (95%CI 62.7-66.1%), respectively (AIHW Australian Cancer database, 2006-2010). </w:t>
      </w:r>
      <w:r>
        <w:rPr>
          <w:szCs w:val="20"/>
          <w:lang w:val="en-GB"/>
        </w:rPr>
        <w:lastRenderedPageBreak/>
        <w:t xml:space="preserve">Australian data on the morbidity of NHL (C82-C86; including FL, DLBCL, peripheral and cutaneous T-cell lymphoma and other unspecified types of NHL) indicate that </w:t>
      </w:r>
      <w:r>
        <w:t>n</w:t>
      </w:r>
      <w:r w:rsidRPr="00FB7305">
        <w:t xml:space="preserve">on-Indigenous Australians diagnosed with </w:t>
      </w:r>
      <w:r>
        <w:t>NHL</w:t>
      </w:r>
      <w:r w:rsidRPr="00FB7305">
        <w:t xml:space="preserve"> had a 72% chance, on average, of surviving for five years compared with their counterparts in the non-Indigenous population.</w:t>
      </w:r>
      <w:r>
        <w:t xml:space="preserve"> </w:t>
      </w:r>
      <w:r w:rsidRPr="00FB7305">
        <w:t xml:space="preserve">In 2007–2014, Indigenous Australians diagnosed with </w:t>
      </w:r>
      <w:r>
        <w:t>NHL</w:t>
      </w:r>
      <w:r w:rsidRPr="00FB7305">
        <w:t xml:space="preserve"> had a 71% chance, on average, of surviving for five years compared with their counterparts in the Indigenous population.</w:t>
      </w:r>
      <w:r>
        <w:t xml:space="preserve"> (AIHW, 2018)</w:t>
      </w:r>
    </w:p>
    <w:p w14:paraId="1B02CDF2" w14:textId="77777777" w:rsidR="00274659" w:rsidRDefault="00274659" w:rsidP="00BE3218">
      <w:pPr>
        <w:ind w:left="360"/>
      </w:pPr>
      <w:r>
        <w:t>In summary, p</w:t>
      </w:r>
      <w:r w:rsidRPr="004D669F">
        <w:t xml:space="preserve">rognosis </w:t>
      </w:r>
      <w:r>
        <w:t xml:space="preserve">is extremely poor </w:t>
      </w:r>
      <w:r w:rsidRPr="004D669F">
        <w:t xml:space="preserve">for </w:t>
      </w:r>
      <w:r>
        <w:t>the proposed patient population. T</w:t>
      </w:r>
      <w:r w:rsidR="00B127CA">
        <w:t>he</w:t>
      </w:r>
      <w:r>
        <w:t xml:space="preserve"> current standard of care provides refractory DLBCL patients with </w:t>
      </w:r>
      <w:r w:rsidR="004E1EC6">
        <w:t xml:space="preserve">a </w:t>
      </w:r>
      <w:r>
        <w:t>median overall survival (OS) of 6.3 months and a complete response (CR) of only 7</w:t>
      </w:r>
      <w:r w:rsidRPr="006D022E">
        <w:t xml:space="preserve">% (Crump et al, 2017). </w:t>
      </w:r>
      <w:r>
        <w:t>Moreover,</w:t>
      </w:r>
      <w:r w:rsidR="00362164">
        <w:t xml:space="preserve"> the</w:t>
      </w:r>
      <w:r>
        <w:t xml:space="preserve"> current </w:t>
      </w:r>
      <w:r w:rsidR="00362164">
        <w:t>standard of care</w:t>
      </w:r>
      <w:r>
        <w:t xml:space="preserve"> provides ASCT-ineligible, relapsed/refractory DLBCL patients with median OS of 3.3–3.9 </w:t>
      </w:r>
      <w:r w:rsidRPr="006D022E">
        <w:t xml:space="preserve">months (Van Den Neste et al, 2016; </w:t>
      </w:r>
      <w:r w:rsidRPr="00235FFD">
        <w:t>Kansara et al, 2014</w:t>
      </w:r>
      <w:r>
        <w:t>).</w:t>
      </w:r>
    </w:p>
    <w:p w14:paraId="55A38897"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DBBF439" w14:textId="77777777" w:rsidR="00A12500" w:rsidRDefault="00A12500" w:rsidP="00235FFD">
      <w:pPr>
        <w:spacing w:after="0"/>
        <w:ind w:left="360"/>
      </w:pPr>
      <w:bookmarkStart w:id="8" w:name="_Hlk2678348"/>
      <w:r w:rsidRPr="005123FB">
        <w:rPr>
          <w:szCs w:val="20"/>
        </w:rPr>
        <w:t>Axicabtagene ciloleucel</w:t>
      </w:r>
      <w:r w:rsidR="00AA44F0" w:rsidRPr="00AA44F0">
        <w:t xml:space="preserve"> is indicated for the treatment of adult patients with relapsed or refractory</w:t>
      </w:r>
      <w:r w:rsidR="00AA44F0">
        <w:t xml:space="preserve"> </w:t>
      </w:r>
      <w:r w:rsidR="00AA44F0" w:rsidRPr="007544FA">
        <w:t>DLBCL</w:t>
      </w:r>
      <w:r w:rsidR="00D933CB">
        <w:t>,</w:t>
      </w:r>
      <w:r w:rsidR="00AA44F0">
        <w:t xml:space="preserve"> including DLBCL </w:t>
      </w:r>
      <w:r w:rsidR="00AA44F0" w:rsidRPr="007544FA">
        <w:t>not otherwise specified</w:t>
      </w:r>
      <w:r w:rsidR="00D933CB">
        <w:t xml:space="preserve"> and </w:t>
      </w:r>
      <w:r w:rsidR="00362164" w:rsidRPr="007544FA">
        <w:t>high-grade</w:t>
      </w:r>
      <w:r w:rsidR="00D933CB" w:rsidRPr="007544FA">
        <w:t xml:space="preserve"> B-cell lymphoma</w:t>
      </w:r>
      <w:r w:rsidR="00AA44F0">
        <w:t xml:space="preserve">, </w:t>
      </w:r>
      <w:r w:rsidR="00AA44F0" w:rsidRPr="007544FA">
        <w:t xml:space="preserve">PMBCL and </w:t>
      </w:r>
      <w:r w:rsidR="00244CB2">
        <w:t>T</w:t>
      </w:r>
      <w:r w:rsidR="00AA44F0" w:rsidRPr="007544FA">
        <w:t>FL</w:t>
      </w:r>
      <w:r w:rsidR="00244CB2">
        <w:t xml:space="preserve"> </w:t>
      </w:r>
      <w:r w:rsidR="00244CB2" w:rsidRPr="00B65655">
        <w:t>after two or more lines of systemic therapy</w:t>
      </w:r>
      <w:r w:rsidR="0046428E">
        <w:t xml:space="preserve">. </w:t>
      </w:r>
    </w:p>
    <w:p w14:paraId="2E953A13" w14:textId="77777777" w:rsidR="0046428E" w:rsidRDefault="0046428E" w:rsidP="00235FFD">
      <w:pPr>
        <w:spacing w:after="0"/>
        <w:ind w:left="360"/>
      </w:pPr>
      <w:r>
        <w:t xml:space="preserve">This includes patients who have relapsed or refractory disease after at least two lines of chemotherapy, and (1) </w:t>
      </w:r>
      <w:r w:rsidRPr="00A12500">
        <w:rPr>
          <w:rFonts w:cs="Arial"/>
        </w:rPr>
        <w:t xml:space="preserve">have relapsed after autologous stem cell transplant, </w:t>
      </w:r>
      <w:r w:rsidR="00A12500">
        <w:rPr>
          <w:rFonts w:cs="Arial"/>
        </w:rPr>
        <w:t>or</w:t>
      </w:r>
      <w:r>
        <w:t xml:space="preserve"> (2) </w:t>
      </w:r>
      <w:r w:rsidRPr="004820D4">
        <w:rPr>
          <w:rFonts w:cs="Arial"/>
        </w:rPr>
        <w:t xml:space="preserve">are ineligible for </w:t>
      </w:r>
      <w:r w:rsidR="00274659" w:rsidRPr="00A12500">
        <w:rPr>
          <w:rFonts w:cs="Arial"/>
        </w:rPr>
        <w:t>autologous</w:t>
      </w:r>
      <w:r w:rsidR="00274659" w:rsidRPr="004820D4">
        <w:rPr>
          <w:rFonts w:cs="Arial"/>
        </w:rPr>
        <w:t xml:space="preserve"> </w:t>
      </w:r>
      <w:r w:rsidRPr="004820D4">
        <w:rPr>
          <w:rFonts w:cs="Arial"/>
        </w:rPr>
        <w:t>stem cell transplant</w:t>
      </w:r>
      <w:r>
        <w:t>.</w:t>
      </w:r>
    </w:p>
    <w:p w14:paraId="2DE1BF0C" w14:textId="77777777" w:rsidR="00441447" w:rsidRDefault="00441447" w:rsidP="00441447">
      <w:pPr>
        <w:spacing w:after="0"/>
        <w:ind w:left="360"/>
      </w:pPr>
      <w:r>
        <w:t xml:space="preserve">Patients will be monitored </w:t>
      </w:r>
      <w:r w:rsidR="00DF5F86">
        <w:t xml:space="preserve">by their haematologists to detect </w:t>
      </w:r>
      <w:r>
        <w:t>relapsed or refractory disease. A variety of different tests may be undertaken, including blood counts, bone marrow aspiration and biopsy, lumbar puncture, and/or imaging tests.</w:t>
      </w:r>
    </w:p>
    <w:p w14:paraId="486B0886" w14:textId="77777777" w:rsidR="00141CCC" w:rsidRDefault="00A12500" w:rsidP="00235FFD">
      <w:pPr>
        <w:ind w:left="360"/>
      </w:pPr>
      <w:r>
        <w:rPr>
          <w:szCs w:val="20"/>
        </w:rPr>
        <w:t xml:space="preserve">Patients will be managed by a haematologist or haematological oncologist in a specialist unit within a </w:t>
      </w:r>
      <w:r w:rsidR="00B33DCA">
        <w:rPr>
          <w:szCs w:val="20"/>
        </w:rPr>
        <w:t xml:space="preserve">public </w:t>
      </w:r>
      <w:r>
        <w:rPr>
          <w:szCs w:val="20"/>
        </w:rPr>
        <w:t xml:space="preserve">tertiary </w:t>
      </w:r>
      <w:r w:rsidR="00141CCC">
        <w:rPr>
          <w:szCs w:val="20"/>
        </w:rPr>
        <w:t>hospital.</w:t>
      </w:r>
    </w:p>
    <w:bookmarkEnd w:id="8"/>
    <w:p w14:paraId="4D32DC5D"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33CB3E7" w14:textId="77777777" w:rsidR="00141CCC" w:rsidRDefault="00A55C49" w:rsidP="004F44C2">
      <w:pPr>
        <w:ind w:left="360"/>
      </w:pPr>
      <w:r>
        <w:t xml:space="preserve">The clinical management pathway is complex, </w:t>
      </w:r>
      <w:r w:rsidR="00441447">
        <w:t xml:space="preserve">including </w:t>
      </w:r>
      <w:r>
        <w:t xml:space="preserve">standard chemotherapy regimens, salvage chemotherapy, radiation therapy, and </w:t>
      </w:r>
      <w:r w:rsidRPr="007544FA">
        <w:rPr>
          <w:szCs w:val="20"/>
        </w:rPr>
        <w:t>autologous stem cell transplant</w:t>
      </w:r>
      <w:r>
        <w:rPr>
          <w:szCs w:val="20"/>
        </w:rPr>
        <w:t xml:space="preserve">. </w:t>
      </w:r>
      <w:r w:rsidRPr="002D7E3C">
        <w:t>Clinician treatment choices are empirical</w:t>
      </w:r>
      <w:r>
        <w:t xml:space="preserve"> and i</w:t>
      </w:r>
      <w:r w:rsidRPr="002D7E3C">
        <w:t>ndividuali</w:t>
      </w:r>
      <w:r>
        <w:t>s</w:t>
      </w:r>
      <w:r w:rsidRPr="002D7E3C">
        <w:t xml:space="preserve">ed approaches to treatment result in a high heterogeneity of </w:t>
      </w:r>
      <w:r>
        <w:t>the clinical management pathway</w:t>
      </w:r>
      <w:r w:rsidRPr="002D7E3C">
        <w:t>, particularly in the relapse</w:t>
      </w:r>
      <w:r w:rsidR="00DF5F86">
        <w:t>d</w:t>
      </w:r>
      <w:r w:rsidRPr="002D7E3C">
        <w:t xml:space="preserve"> setting. </w:t>
      </w:r>
    </w:p>
    <w:p w14:paraId="1CA2C404" w14:textId="620819F2" w:rsidR="00256C35" w:rsidRPr="00BC424B" w:rsidRDefault="00A46845" w:rsidP="00194C97">
      <w:pPr>
        <w:ind w:left="357"/>
      </w:pPr>
      <w:r>
        <w:rPr>
          <w:szCs w:val="20"/>
        </w:rPr>
        <w:t>A c</w:t>
      </w:r>
      <w:r w:rsidR="00DB41E0" w:rsidRPr="00DB41E0">
        <w:t>urrent</w:t>
      </w:r>
      <w:r w:rsidR="007544FA">
        <w:t xml:space="preserve"> and proposed </w:t>
      </w:r>
      <w:r w:rsidR="00DB41E0" w:rsidRPr="00DB41E0">
        <w:t>management algorithm</w:t>
      </w:r>
      <w:r w:rsidR="0045083F">
        <w:t xml:space="preserve"> is</w:t>
      </w:r>
      <w:r w:rsidR="00DB41E0" w:rsidRPr="00DB41E0">
        <w:t xml:space="preserve"> provided as</w:t>
      </w:r>
      <w:r w:rsidR="007544FA">
        <w:t xml:space="preserve"> </w:t>
      </w:r>
      <w:r w:rsidR="004F44C2">
        <w:t>Appendix</w:t>
      </w:r>
      <w:r w:rsidR="00DB41E0" w:rsidRPr="004F44C2">
        <w:t xml:space="preserve"> </w:t>
      </w:r>
      <w:r w:rsidR="001806C3" w:rsidRPr="004F44C2">
        <w:t xml:space="preserve">A </w:t>
      </w:r>
      <w:r w:rsidR="00DB41E0" w:rsidRPr="004F44C2">
        <w:t>to th</w:t>
      </w:r>
      <w:r w:rsidRPr="004F44C2">
        <w:t>is</w:t>
      </w:r>
      <w:r w:rsidR="00DB41E0" w:rsidRPr="00DB41E0">
        <w:t xml:space="preserve"> </w:t>
      </w:r>
      <w:r w:rsidR="00BE0951" w:rsidRPr="00DB41E0">
        <w:t>application and</w:t>
      </w:r>
      <w:r w:rsidR="00BE0951">
        <w:t xml:space="preserve"> </w:t>
      </w:r>
      <w:r w:rsidR="00AC32C5">
        <w:t>has been</w:t>
      </w:r>
      <w:r w:rsidR="00BE0951">
        <w:t xml:space="preserve"> </w:t>
      </w:r>
      <w:r w:rsidR="007544FA">
        <w:t>adapted</w:t>
      </w:r>
      <w:r w:rsidR="00BE0951">
        <w:t xml:space="preserve"> from the PICO </w:t>
      </w:r>
      <w:r w:rsidR="007544FA">
        <w:t xml:space="preserve">Confirmation </w:t>
      </w:r>
      <w:r w:rsidR="00AC32C5">
        <w:t>for</w:t>
      </w:r>
      <w:r w:rsidR="00BE0951">
        <w:t xml:space="preserve"> Kymriah</w:t>
      </w:r>
      <w:r>
        <w:t xml:space="preserve"> (Application 1519)</w:t>
      </w:r>
      <w:r w:rsidR="00194C97">
        <w:t>.</w:t>
      </w:r>
    </w:p>
    <w:p w14:paraId="2B469310" w14:textId="77777777" w:rsidR="002A50FD" w:rsidRPr="00881F93" w:rsidRDefault="005C3AE7" w:rsidP="005C3AE7">
      <w:pPr>
        <w:pStyle w:val="Subtitle"/>
      </w:pPr>
      <w:r>
        <w:t xml:space="preserve">PART 6b – </w:t>
      </w:r>
      <w:r w:rsidR="002A50FD" w:rsidRPr="00881F93">
        <w:t>INFORMATION ABOUT THE INTERVENTION</w:t>
      </w:r>
    </w:p>
    <w:p w14:paraId="4D849CD6"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73819747" w14:textId="77777777" w:rsidR="00886236" w:rsidRDefault="007D1A99" w:rsidP="00E357B9">
      <w:pPr>
        <w:ind w:left="426"/>
        <w:rPr>
          <w:szCs w:val="20"/>
        </w:rPr>
      </w:pPr>
      <w:bookmarkStart w:id="9" w:name="_Hlk2678380"/>
      <w:r w:rsidRPr="005123FB">
        <w:rPr>
          <w:szCs w:val="20"/>
        </w:rPr>
        <w:t>Axicabtagene ciloleucel is produced via a process from leukapheresis material obtained from individual patients, and therefore the product is unique to each patient. A replication-incompetent retroviral vector is used to introduce the anti-CD19 CAR gene into patient-derived human T</w:t>
      </w:r>
      <w:r w:rsidR="00024D52">
        <w:rPr>
          <w:szCs w:val="20"/>
        </w:rPr>
        <w:t>-</w:t>
      </w:r>
      <w:r w:rsidRPr="005123FB">
        <w:rPr>
          <w:szCs w:val="20"/>
        </w:rPr>
        <w:t>cells</w:t>
      </w:r>
      <w:r w:rsidR="00EB5F1C">
        <w:rPr>
          <w:szCs w:val="20"/>
        </w:rPr>
        <w:t>.</w:t>
      </w:r>
    </w:p>
    <w:bookmarkEnd w:id="9"/>
    <w:p w14:paraId="4D958151" w14:textId="77777777" w:rsidR="00EB5F1C" w:rsidRDefault="00EB5F1C" w:rsidP="00E357B9">
      <w:pPr>
        <w:ind w:left="426"/>
        <w:rPr>
          <w:szCs w:val="20"/>
        </w:rPr>
      </w:pPr>
      <w:r>
        <w:rPr>
          <w:szCs w:val="20"/>
        </w:rPr>
        <w:t>The diagram below</w:t>
      </w:r>
      <w:r w:rsidR="007735C4">
        <w:rPr>
          <w:szCs w:val="20"/>
        </w:rPr>
        <w:t xml:space="preserve"> summarises</w:t>
      </w:r>
      <w:r>
        <w:rPr>
          <w:szCs w:val="20"/>
        </w:rPr>
        <w:t xml:space="preserve"> the </w:t>
      </w:r>
      <w:r w:rsidR="00635FC7">
        <w:rPr>
          <w:szCs w:val="20"/>
        </w:rPr>
        <w:t>manufacture, dosing and treatment protocol</w:t>
      </w:r>
      <w:r>
        <w:rPr>
          <w:szCs w:val="20"/>
        </w:rPr>
        <w:t>.</w:t>
      </w:r>
    </w:p>
    <w:p w14:paraId="7B8EEA72" w14:textId="77777777" w:rsidR="00EB5F1C" w:rsidRPr="00EB5F1C" w:rsidRDefault="00EB5F1C" w:rsidP="00EB5F1C">
      <w:pPr>
        <w:ind w:left="426"/>
        <w:rPr>
          <w:szCs w:val="20"/>
        </w:rPr>
      </w:pPr>
      <w:r>
        <w:rPr>
          <w:szCs w:val="20"/>
        </w:rPr>
        <w:t>Step 1: L</w:t>
      </w:r>
      <w:r w:rsidRPr="00EB5F1C">
        <w:rPr>
          <w:szCs w:val="20"/>
        </w:rPr>
        <w:t>eukapheresis</w:t>
      </w:r>
    </w:p>
    <w:p w14:paraId="34C51871" w14:textId="77777777" w:rsidR="004E1EC6" w:rsidRPr="00EB5F1C" w:rsidRDefault="00EB5F1C" w:rsidP="0074334F">
      <w:pPr>
        <w:ind w:left="426"/>
        <w:rPr>
          <w:szCs w:val="20"/>
        </w:rPr>
      </w:pPr>
      <w:r>
        <w:rPr>
          <w:szCs w:val="20"/>
        </w:rPr>
        <w:t>L</w:t>
      </w:r>
      <w:r w:rsidRPr="00EB5F1C">
        <w:rPr>
          <w:szCs w:val="20"/>
        </w:rPr>
        <w:t>eukocytes (white blood cells) are collected from the patient at their clinical centre</w:t>
      </w:r>
      <w:r>
        <w:rPr>
          <w:szCs w:val="20"/>
        </w:rPr>
        <w:t xml:space="preserve">. </w:t>
      </w:r>
      <w:r w:rsidRPr="00EB5F1C">
        <w:rPr>
          <w:szCs w:val="20"/>
        </w:rPr>
        <w:t>This is done by leukapheresis, whereby whole blood is withdrawn from the patient, leukocytes are extracted and then the remainder of the blood is transfused back into the patient</w:t>
      </w:r>
      <w:r w:rsidR="00256C35">
        <w:rPr>
          <w:szCs w:val="20"/>
        </w:rPr>
        <w:t xml:space="preserve">. </w:t>
      </w:r>
      <w:r w:rsidR="00F373C0">
        <w:t>Redacted</w:t>
      </w:r>
      <w:r w:rsidRPr="00EB5F1C">
        <w:rPr>
          <w:szCs w:val="20"/>
        </w:rPr>
        <w:t>.</w:t>
      </w:r>
    </w:p>
    <w:p w14:paraId="084778CD" w14:textId="77777777" w:rsidR="00AD2BD9" w:rsidRDefault="00EB5F1C" w:rsidP="001741C6">
      <w:pPr>
        <w:keepNext/>
        <w:keepLines/>
        <w:ind w:left="425"/>
      </w:pPr>
      <w:r>
        <w:rPr>
          <w:szCs w:val="20"/>
        </w:rPr>
        <w:lastRenderedPageBreak/>
        <w:t xml:space="preserve">Step 2: </w:t>
      </w:r>
      <w:r w:rsidR="00B33DCA">
        <w:rPr>
          <w:szCs w:val="20"/>
        </w:rPr>
        <w:t xml:space="preserve">Procurement of </w:t>
      </w:r>
      <w:r w:rsidR="00AD2BD9" w:rsidRPr="00264322">
        <w:t>axicabtagene ciloleucel</w:t>
      </w:r>
      <w:r w:rsidR="00AD2BD9">
        <w:t xml:space="preserve"> </w:t>
      </w:r>
    </w:p>
    <w:p w14:paraId="38F20A78" w14:textId="77777777" w:rsidR="00EB5F1C" w:rsidRPr="00EB5F1C" w:rsidRDefault="00747B27" w:rsidP="001741C6">
      <w:pPr>
        <w:keepNext/>
        <w:keepLines/>
        <w:ind w:left="425"/>
        <w:rPr>
          <w:szCs w:val="20"/>
        </w:rPr>
      </w:pPr>
      <w:r>
        <w:rPr>
          <w:szCs w:val="20"/>
        </w:rPr>
        <w:t>The manufacturing process is undertaken in an off-shore facility in Santa Monic</w:t>
      </w:r>
      <w:r w:rsidR="00A46845">
        <w:rPr>
          <w:szCs w:val="20"/>
        </w:rPr>
        <w:t>a</w:t>
      </w:r>
      <w:r>
        <w:rPr>
          <w:szCs w:val="20"/>
        </w:rPr>
        <w:t xml:space="preserve">, California, USA. The manufacturing process </w:t>
      </w:r>
      <w:r w:rsidR="007735C4">
        <w:rPr>
          <w:szCs w:val="20"/>
        </w:rPr>
        <w:t>involves</w:t>
      </w:r>
      <w:r w:rsidR="00EB5F1C">
        <w:rPr>
          <w:szCs w:val="20"/>
        </w:rPr>
        <w:t xml:space="preserve"> i</w:t>
      </w:r>
      <w:r w:rsidR="00EB5F1C" w:rsidRPr="00EB5F1C">
        <w:rPr>
          <w:szCs w:val="20"/>
        </w:rPr>
        <w:t>solation and activation of T</w:t>
      </w:r>
      <w:r w:rsidR="00A46845">
        <w:rPr>
          <w:szCs w:val="20"/>
        </w:rPr>
        <w:t>-</w:t>
      </w:r>
      <w:r w:rsidR="00EB5F1C" w:rsidRPr="00EB5F1C">
        <w:rPr>
          <w:szCs w:val="20"/>
        </w:rPr>
        <w:t>cells</w:t>
      </w:r>
      <w:r w:rsidR="00EB5F1C">
        <w:rPr>
          <w:szCs w:val="20"/>
        </w:rPr>
        <w:t>, e</w:t>
      </w:r>
      <w:r w:rsidR="00EB5F1C" w:rsidRPr="00EB5F1C">
        <w:rPr>
          <w:szCs w:val="20"/>
        </w:rPr>
        <w:t>ngineering T</w:t>
      </w:r>
      <w:r w:rsidR="00A46845">
        <w:rPr>
          <w:szCs w:val="20"/>
        </w:rPr>
        <w:t>-</w:t>
      </w:r>
      <w:r w:rsidR="00EB5F1C" w:rsidRPr="00EB5F1C">
        <w:rPr>
          <w:szCs w:val="20"/>
        </w:rPr>
        <w:t>cells with</w:t>
      </w:r>
      <w:r w:rsidR="00A46845">
        <w:rPr>
          <w:szCs w:val="20"/>
        </w:rPr>
        <w:t xml:space="preserve"> the</w:t>
      </w:r>
      <w:r w:rsidR="00EB5F1C" w:rsidRPr="00EB5F1C">
        <w:rPr>
          <w:szCs w:val="20"/>
        </w:rPr>
        <w:t xml:space="preserve"> CAR gene</w:t>
      </w:r>
      <w:r w:rsidR="00EB5F1C">
        <w:rPr>
          <w:szCs w:val="20"/>
        </w:rPr>
        <w:t>, and g</w:t>
      </w:r>
      <w:r w:rsidR="00EB5F1C" w:rsidRPr="00EB5F1C">
        <w:rPr>
          <w:szCs w:val="20"/>
        </w:rPr>
        <w:t xml:space="preserve">rowth and expansion </w:t>
      </w:r>
      <w:r w:rsidR="00A46845">
        <w:rPr>
          <w:szCs w:val="20"/>
        </w:rPr>
        <w:t xml:space="preserve">of </w:t>
      </w:r>
      <w:r w:rsidR="00EB5F1C" w:rsidRPr="00EB5F1C">
        <w:rPr>
          <w:szCs w:val="20"/>
        </w:rPr>
        <w:t>engineered T</w:t>
      </w:r>
      <w:r w:rsidR="00A46845">
        <w:rPr>
          <w:szCs w:val="20"/>
        </w:rPr>
        <w:t>-</w:t>
      </w:r>
      <w:r w:rsidR="00EB5F1C" w:rsidRPr="00EB5F1C">
        <w:rPr>
          <w:szCs w:val="20"/>
        </w:rPr>
        <w:t>cells</w:t>
      </w:r>
      <w:r w:rsidR="00EB5F1C">
        <w:rPr>
          <w:szCs w:val="20"/>
        </w:rPr>
        <w:t>.</w:t>
      </w:r>
      <w:r w:rsidR="00A46845">
        <w:rPr>
          <w:szCs w:val="20"/>
        </w:rPr>
        <w:t xml:space="preserve"> The f</w:t>
      </w:r>
      <w:r w:rsidR="00EB5F1C" w:rsidRPr="00EB5F1C">
        <w:rPr>
          <w:szCs w:val="20"/>
        </w:rPr>
        <w:t>inal product is washed, cryopreserved and tested for identity, potency, and adventitious agents.</w:t>
      </w:r>
      <w:r w:rsidR="00EB5F1C">
        <w:rPr>
          <w:szCs w:val="20"/>
        </w:rPr>
        <w:t xml:space="preserve"> </w:t>
      </w:r>
      <w:r w:rsidR="00EB5F1C" w:rsidRPr="00EB5F1C">
        <w:rPr>
          <w:szCs w:val="20"/>
        </w:rPr>
        <w:t xml:space="preserve">After meeting acceptance criteria, the product is </w:t>
      </w:r>
      <w:r w:rsidR="004269BE">
        <w:rPr>
          <w:szCs w:val="20"/>
        </w:rPr>
        <w:t>transported</w:t>
      </w:r>
      <w:r w:rsidR="00EB5F1C" w:rsidRPr="00EB5F1C">
        <w:rPr>
          <w:szCs w:val="20"/>
        </w:rPr>
        <w:t xml:space="preserve"> back to the patient’s clinical centre</w:t>
      </w:r>
      <w:r>
        <w:rPr>
          <w:szCs w:val="20"/>
        </w:rPr>
        <w:t xml:space="preserve"> in Australia</w:t>
      </w:r>
      <w:r w:rsidR="00EB5F1C" w:rsidRPr="00EB5F1C">
        <w:rPr>
          <w:szCs w:val="20"/>
        </w:rPr>
        <w:t xml:space="preserve"> using a validated cryo-shipper.</w:t>
      </w:r>
    </w:p>
    <w:p w14:paraId="388867B3" w14:textId="77777777" w:rsidR="00EB5F1C" w:rsidRPr="00EB5F1C" w:rsidRDefault="007735C4" w:rsidP="00EB5F1C">
      <w:pPr>
        <w:ind w:left="426"/>
        <w:rPr>
          <w:szCs w:val="20"/>
        </w:rPr>
      </w:pPr>
      <w:r>
        <w:rPr>
          <w:szCs w:val="20"/>
        </w:rPr>
        <w:t xml:space="preserve">Step 3: </w:t>
      </w:r>
      <w:r w:rsidR="00901BB5">
        <w:rPr>
          <w:szCs w:val="20"/>
        </w:rPr>
        <w:t xml:space="preserve">Lymphodepleting </w:t>
      </w:r>
      <w:r w:rsidR="00EB5F1C" w:rsidRPr="00EB5F1C">
        <w:rPr>
          <w:szCs w:val="20"/>
        </w:rPr>
        <w:t>chemotherapy</w:t>
      </w:r>
    </w:p>
    <w:p w14:paraId="63FF0A27" w14:textId="77777777" w:rsidR="00EB5F1C" w:rsidRDefault="00EB5F1C" w:rsidP="00EB5F1C">
      <w:pPr>
        <w:ind w:left="426"/>
        <w:rPr>
          <w:szCs w:val="20"/>
        </w:rPr>
      </w:pPr>
      <w:r w:rsidRPr="00EB5F1C">
        <w:rPr>
          <w:szCs w:val="20"/>
        </w:rPr>
        <w:t xml:space="preserve">Prior to infusion, patients are treated with low-dose </w:t>
      </w:r>
      <w:r w:rsidR="005B5CE2">
        <w:rPr>
          <w:szCs w:val="20"/>
        </w:rPr>
        <w:t>lymphodepleting</w:t>
      </w:r>
      <w:r w:rsidRPr="00EB5F1C">
        <w:rPr>
          <w:szCs w:val="20"/>
        </w:rPr>
        <w:t xml:space="preserve"> chemotherapy </w:t>
      </w:r>
      <w:r w:rsidR="00A46845">
        <w:rPr>
          <w:szCs w:val="20"/>
        </w:rPr>
        <w:t>to</w:t>
      </w:r>
      <w:r w:rsidRPr="00EB5F1C">
        <w:rPr>
          <w:szCs w:val="20"/>
        </w:rPr>
        <w:t xml:space="preserve"> eliminate the patient’s lymphocytes</w:t>
      </w:r>
      <w:r w:rsidR="00A46845">
        <w:rPr>
          <w:szCs w:val="20"/>
        </w:rPr>
        <w:t xml:space="preserve"> and</w:t>
      </w:r>
      <w:r w:rsidRPr="00EB5F1C">
        <w:rPr>
          <w:szCs w:val="20"/>
        </w:rPr>
        <w:t xml:space="preserve"> allow space for the T</w:t>
      </w:r>
      <w:r w:rsidR="00A46845">
        <w:rPr>
          <w:szCs w:val="20"/>
        </w:rPr>
        <w:t>-</w:t>
      </w:r>
      <w:r w:rsidRPr="00EB5F1C">
        <w:rPr>
          <w:szCs w:val="20"/>
        </w:rPr>
        <w:t xml:space="preserve">cells to expand. </w:t>
      </w:r>
      <w:r w:rsidR="005B5CE2">
        <w:rPr>
          <w:szCs w:val="20"/>
        </w:rPr>
        <w:t>Lymphodepleting</w:t>
      </w:r>
      <w:r w:rsidRPr="00EB5F1C">
        <w:rPr>
          <w:szCs w:val="20"/>
        </w:rPr>
        <w:t xml:space="preserve"> chemotherapy consists of fludarabine (30 mg/m</w:t>
      </w:r>
      <w:r w:rsidRPr="00A46845">
        <w:rPr>
          <w:szCs w:val="20"/>
          <w:vertAlign w:val="superscript"/>
        </w:rPr>
        <w:t>2</w:t>
      </w:r>
      <w:r w:rsidRPr="00EB5F1C">
        <w:rPr>
          <w:szCs w:val="20"/>
        </w:rPr>
        <w:t>/day) plus cyclophosphamide (500 mg/m</w:t>
      </w:r>
      <w:r w:rsidRPr="00A46845">
        <w:rPr>
          <w:szCs w:val="20"/>
          <w:vertAlign w:val="superscript"/>
        </w:rPr>
        <w:t>2</w:t>
      </w:r>
      <w:r w:rsidRPr="00EB5F1C">
        <w:rPr>
          <w:szCs w:val="20"/>
        </w:rPr>
        <w:t xml:space="preserve">/day) for three days (on the fifth, fourth, and third day before the infusion of </w:t>
      </w:r>
      <w:r w:rsidR="00256C35">
        <w:rPr>
          <w:szCs w:val="20"/>
        </w:rPr>
        <w:t>a</w:t>
      </w:r>
      <w:r w:rsidR="00256C35" w:rsidRPr="005123FB">
        <w:rPr>
          <w:szCs w:val="20"/>
        </w:rPr>
        <w:t>xicabtagene ciloleucel</w:t>
      </w:r>
      <w:r w:rsidRPr="00EB5F1C">
        <w:rPr>
          <w:szCs w:val="20"/>
        </w:rPr>
        <w:t xml:space="preserve"> at Day 0).</w:t>
      </w:r>
    </w:p>
    <w:p w14:paraId="4A3568FD" w14:textId="77777777" w:rsidR="00EB5F1C" w:rsidRDefault="007735C4" w:rsidP="00EB5F1C">
      <w:pPr>
        <w:ind w:left="426"/>
        <w:rPr>
          <w:szCs w:val="20"/>
        </w:rPr>
      </w:pPr>
      <w:r>
        <w:rPr>
          <w:szCs w:val="20"/>
        </w:rPr>
        <w:t xml:space="preserve">Step 4: </w:t>
      </w:r>
      <w:r w:rsidR="00EB5F1C">
        <w:rPr>
          <w:szCs w:val="20"/>
        </w:rPr>
        <w:t>Treatment infusion</w:t>
      </w:r>
    </w:p>
    <w:p w14:paraId="7E097E2F" w14:textId="77777777" w:rsidR="00625BF8" w:rsidRDefault="00256C35" w:rsidP="00235FFD">
      <w:pPr>
        <w:ind w:left="426"/>
        <w:rPr>
          <w:szCs w:val="20"/>
        </w:rPr>
      </w:pPr>
      <w:r>
        <w:rPr>
          <w:szCs w:val="20"/>
        </w:rPr>
        <w:t>A</w:t>
      </w:r>
      <w:r w:rsidRPr="005123FB">
        <w:rPr>
          <w:szCs w:val="20"/>
        </w:rPr>
        <w:t>xicabtagene ciloleucel</w:t>
      </w:r>
      <w:r>
        <w:rPr>
          <w:szCs w:val="20"/>
        </w:rPr>
        <w:t xml:space="preserve"> </w:t>
      </w:r>
      <w:r w:rsidR="007735C4" w:rsidRPr="00EB5F1C">
        <w:rPr>
          <w:szCs w:val="20"/>
        </w:rPr>
        <w:t>is a single infusion product. Each bag contains a suspension of anti-CD19 CAR T</w:t>
      </w:r>
      <w:r w:rsidR="00A46845">
        <w:rPr>
          <w:szCs w:val="20"/>
        </w:rPr>
        <w:t>-</w:t>
      </w:r>
      <w:r w:rsidR="007735C4" w:rsidRPr="00EB5F1C">
        <w:rPr>
          <w:szCs w:val="20"/>
        </w:rPr>
        <w:t>cells in approximately 68 m</w:t>
      </w:r>
      <w:r>
        <w:rPr>
          <w:szCs w:val="20"/>
        </w:rPr>
        <w:t>L</w:t>
      </w:r>
      <w:r w:rsidR="007735C4" w:rsidRPr="00EB5F1C">
        <w:rPr>
          <w:szCs w:val="20"/>
        </w:rPr>
        <w:t xml:space="preserve">. </w:t>
      </w:r>
      <w:r>
        <w:rPr>
          <w:szCs w:val="20"/>
        </w:rPr>
        <w:t>A</w:t>
      </w:r>
      <w:r w:rsidRPr="005123FB">
        <w:rPr>
          <w:szCs w:val="20"/>
        </w:rPr>
        <w:t>xicabtagene ciloleucel</w:t>
      </w:r>
      <w:r w:rsidR="00A46845">
        <w:rPr>
          <w:szCs w:val="20"/>
        </w:rPr>
        <w:t xml:space="preserve"> </w:t>
      </w:r>
      <w:r w:rsidR="007735C4">
        <w:rPr>
          <w:szCs w:val="20"/>
        </w:rPr>
        <w:t xml:space="preserve">is delivered via an IV infusion. </w:t>
      </w:r>
    </w:p>
    <w:p w14:paraId="4D3ACDD4" w14:textId="77777777" w:rsidR="00625BF8" w:rsidRDefault="00625BF8" w:rsidP="00235FFD">
      <w:pPr>
        <w:ind w:left="426"/>
      </w:pPr>
      <w:r>
        <w:rPr>
          <w:szCs w:val="20"/>
        </w:rPr>
        <w:t>A</w:t>
      </w:r>
      <w:r w:rsidRPr="005123FB">
        <w:rPr>
          <w:szCs w:val="20"/>
        </w:rPr>
        <w:t>xicabtagene ciloleucel</w:t>
      </w:r>
      <w:r w:rsidRPr="004504E1">
        <w:t xml:space="preserve"> binds to CD19, an antigen expressed on the cell surface of the target lymphoma B cells.</w:t>
      </w:r>
      <w:r>
        <w:t xml:space="preserve"> </w:t>
      </w:r>
      <w:r w:rsidRPr="004504E1">
        <w:t>Following engagement with CD19-expressing target ce</w:t>
      </w:r>
      <w:r>
        <w:t>lls</w:t>
      </w:r>
      <w:r w:rsidRPr="004504E1">
        <w:t xml:space="preserve">, the CD3ζ domain activates the downstream signalling cascade that leads to T-cell activation, proliferation, and acquisition of effector functions, such as cytotoxicity. The intracellular signalling domain of CD28 provides a co-stimulatory signal that works in concert with the primary CD3ζ signal to augment T-cell function, including </w:t>
      </w:r>
      <w:r>
        <w:t>interleukin-2 (</w:t>
      </w:r>
      <w:r w:rsidRPr="004504E1">
        <w:t>IL-2</w:t>
      </w:r>
      <w:r>
        <w:t>)</w:t>
      </w:r>
      <w:r w:rsidRPr="004504E1">
        <w:t xml:space="preserve"> production </w:t>
      </w:r>
      <w:r w:rsidRPr="00CF3776">
        <w:t xml:space="preserve">(Finney et al, 1998). </w:t>
      </w:r>
      <w:r w:rsidRPr="004504E1">
        <w:t xml:space="preserve">Together, these signals act in concert resulting in proliferation of the </w:t>
      </w:r>
      <w:r>
        <w:rPr>
          <w:szCs w:val="20"/>
        </w:rPr>
        <w:t>a</w:t>
      </w:r>
      <w:r w:rsidRPr="005123FB">
        <w:rPr>
          <w:szCs w:val="20"/>
        </w:rPr>
        <w:t>xicabtagene ciloleucel</w:t>
      </w:r>
      <w:r w:rsidRPr="004504E1">
        <w:t xml:space="preserve"> CAR T</w:t>
      </w:r>
      <w:r w:rsidR="0074334F">
        <w:t>-</w:t>
      </w:r>
      <w:r w:rsidRPr="004504E1">
        <w:t>cells and direct killing of target cells. In addition, activated T</w:t>
      </w:r>
      <w:r w:rsidR="0074334F">
        <w:t>-</w:t>
      </w:r>
      <w:r w:rsidRPr="004504E1">
        <w:t>cells secrete cytokines and other molecules that can recruit and activate additional anti</w:t>
      </w:r>
      <w:r w:rsidRPr="004504E1">
        <w:noBreakHyphen/>
        <w:t xml:space="preserve">tumour immune cells </w:t>
      </w:r>
      <w:r w:rsidRPr="00CF3776">
        <w:t>(Restifo et al, 2012).</w:t>
      </w:r>
    </w:p>
    <w:p w14:paraId="63F7287D" w14:textId="77777777" w:rsidR="008237F5" w:rsidRPr="007134C8" w:rsidRDefault="004E5215" w:rsidP="007134C8">
      <w:pPr>
        <w:ind w:left="426"/>
        <w:rPr>
          <w:szCs w:val="20"/>
        </w:rPr>
      </w:pPr>
      <w:r>
        <w:rPr>
          <w:noProof/>
          <w:lang w:eastAsia="en-AU"/>
        </w:rPr>
        <mc:AlternateContent>
          <mc:Choice Requires="wps">
            <w:drawing>
              <wp:anchor distT="0" distB="0" distL="114300" distR="114300" simplePos="0" relativeHeight="251659264" behindDoc="0" locked="0" layoutInCell="1" allowOverlap="1" wp14:anchorId="766B130C" wp14:editId="04C6BD88">
                <wp:simplePos x="0" y="0"/>
                <wp:positionH relativeFrom="column">
                  <wp:posOffset>1026160</wp:posOffset>
                </wp:positionH>
                <wp:positionV relativeFrom="paragraph">
                  <wp:posOffset>92075</wp:posOffset>
                </wp:positionV>
                <wp:extent cx="617220" cy="51054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 cy="5105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200CC" w14:textId="77777777" w:rsidR="00D4288A" w:rsidRPr="00C945AE" w:rsidRDefault="00D4288A" w:rsidP="00C945AE">
                            <w:pPr>
                              <w:spacing w:before="0"/>
                              <w:jc w:val="center"/>
                              <w:rPr>
                                <w:b/>
                                <w:color w:val="548DD4" w:themeColor="text2" w:themeTint="99"/>
                                <w:sz w:val="10"/>
                                <w:lang w:val="en-US"/>
                              </w:rPr>
                            </w:pPr>
                            <w:r w:rsidRPr="00C945AE">
                              <w:rPr>
                                <w:b/>
                                <w:color w:val="548DD4" w:themeColor="text2" w:themeTint="99"/>
                                <w:sz w:val="10"/>
                                <w:lang w:val="en-US"/>
                              </w:rPr>
                              <w:t xml:space="preserve">Same day – Ship cells to </w:t>
                            </w:r>
                            <w:r>
                              <w:rPr>
                                <w:b/>
                                <w:color w:val="548DD4" w:themeColor="text2" w:themeTint="99"/>
                                <w:sz w:val="10"/>
                                <w:lang w:val="en-US"/>
                              </w:rPr>
                              <w:t>M</w:t>
                            </w:r>
                            <w:r w:rsidRPr="00C945AE">
                              <w:rPr>
                                <w:b/>
                                <w:color w:val="548DD4" w:themeColor="text2" w:themeTint="99"/>
                                <w:sz w:val="10"/>
                                <w:lang w:val="en-US"/>
                              </w:rPr>
                              <w:t>anufacturing site in Santa Monica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80.8pt;margin-top:7.25pt;width:48.6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" fillcolor="#f2f2f2 [3052]" stroked="f" strokeweight="2pt">
                <v:path arrowok="t"/>
                <v:textbox>
                  <w:txbxContent>
                    <w:p w:rsidR="00D4288A" w:rsidRPr="00C945AE" w:rsidRDefault="00D4288A" w:rsidP="00C945AE">
                      <w:pPr>
                        <w:spacing w:before="0"/>
                        <w:jc w:val="center"/>
                        <w:rPr>
                          <w:b/>
                          <w:color w:val="548DD4" w:themeColor="text2" w:themeTint="99"/>
                          <w:sz w:val="10"/>
                          <w:lang w:val="en-US"/>
                        </w:rPr>
                      </w:pPr>
                      <w:r w:rsidRPr="00C945AE">
                        <w:rPr>
                          <w:b/>
                          <w:color w:val="548DD4" w:themeColor="text2" w:themeTint="99"/>
                          <w:sz w:val="10"/>
                          <w:lang w:val="en-US"/>
                        </w:rPr>
                        <w:t xml:space="preserve">Same day – Ship cells to </w:t>
                      </w:r>
                      <w:r>
                        <w:rPr>
                          <w:b/>
                          <w:color w:val="548DD4" w:themeColor="text2" w:themeTint="99"/>
                          <w:sz w:val="10"/>
                          <w:lang w:val="en-US"/>
                        </w:rPr>
                        <w:t>M</w:t>
                      </w:r>
                      <w:r w:rsidRPr="00C945AE">
                        <w:rPr>
                          <w:b/>
                          <w:color w:val="548DD4" w:themeColor="text2" w:themeTint="99"/>
                          <w:sz w:val="10"/>
                          <w:lang w:val="en-US"/>
                        </w:rPr>
                        <w:t>anufacturing site in Santa Monica</w:t>
                      </w:r>
                    </w:p>
                  </w:txbxContent>
                </v:textbox>
              </v:rect>
            </w:pict>
          </mc:Fallback>
        </mc:AlternateContent>
      </w:r>
      <w:r w:rsidR="00235FFD">
        <w:rPr>
          <w:noProof/>
          <w:lang w:eastAsia="en-AU"/>
        </w:rPr>
        <w:drawing>
          <wp:inline distT="0" distB="0" distL="0" distR="0" wp14:anchorId="5761BBC8" wp14:editId="5B6DDC65">
            <wp:extent cx="5731510" cy="1303655"/>
            <wp:effectExtent l="0" t="0" r="2540" b="0"/>
            <wp:docPr id="2" name="Picture 2" descr="Picture summary of the proposed process to collect the patients blood, engineer the CAR T-cells and infuse into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731510" cy="1303655"/>
                    </a:xfrm>
                    <a:prstGeom prst="rect">
                      <a:avLst/>
                    </a:prstGeom>
                  </pic:spPr>
                </pic:pic>
              </a:graphicData>
            </a:graphic>
          </wp:inline>
        </w:drawing>
      </w:r>
    </w:p>
    <w:p w14:paraId="1BD92186"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3E7CA8C" w14:textId="77777777" w:rsidR="002A6753" w:rsidRPr="00154B00" w:rsidRDefault="003D3AB6" w:rsidP="00E357B9">
      <w:pPr>
        <w:ind w:left="426"/>
        <w:rPr>
          <w:szCs w:val="20"/>
        </w:rPr>
      </w:pPr>
      <w:r>
        <w:t>A</w:t>
      </w:r>
      <w:r w:rsidR="0006683A" w:rsidRPr="00696A2C">
        <w:rPr>
          <w:rFonts w:cs="Calibri"/>
          <w:lang w:eastAsia="en-AU"/>
        </w:rPr>
        <w:t>xicabtagene ciloleucel</w:t>
      </w:r>
      <w:r>
        <w:rPr>
          <w:rFonts w:cs="Calibri"/>
          <w:lang w:eastAsia="en-AU"/>
        </w:rPr>
        <w:t xml:space="preserve"> is not yet TGA registered. However, it is proposed that </w:t>
      </w:r>
      <w:r w:rsidRPr="00696A2C">
        <w:rPr>
          <w:rFonts w:cs="Calibri"/>
          <w:lang w:eastAsia="en-AU"/>
        </w:rPr>
        <w:t>axicabtagene ciloleucel</w:t>
      </w:r>
      <w:r>
        <w:rPr>
          <w:rFonts w:cs="Calibri"/>
          <w:lang w:eastAsia="en-AU"/>
        </w:rPr>
        <w:t xml:space="preserve"> </w:t>
      </w:r>
      <w:r w:rsidR="0006683A">
        <w:rPr>
          <w:rFonts w:cs="Calibri"/>
          <w:lang w:eastAsia="en-AU"/>
        </w:rPr>
        <w:t>will be suppl</w:t>
      </w:r>
      <w:r w:rsidR="0074334F">
        <w:rPr>
          <w:rFonts w:cs="Calibri"/>
          <w:lang w:eastAsia="en-AU"/>
        </w:rPr>
        <w:t>i</w:t>
      </w:r>
      <w:r w:rsidR="0006683A">
        <w:rPr>
          <w:rFonts w:cs="Calibri"/>
          <w:lang w:eastAsia="en-AU"/>
        </w:rPr>
        <w:t>ed as a trademarked class 4 biological product</w:t>
      </w:r>
      <w:r w:rsidR="00A46845">
        <w:rPr>
          <w:rFonts w:cs="Calibri"/>
          <w:lang w:eastAsia="en-AU"/>
        </w:rPr>
        <w:t>;</w:t>
      </w:r>
      <w:r w:rsidR="0006683A">
        <w:rPr>
          <w:rFonts w:cs="Calibri"/>
          <w:lang w:eastAsia="en-AU"/>
        </w:rPr>
        <w:t xml:space="preserve"> </w:t>
      </w:r>
      <w:r w:rsidR="0006683A">
        <w:t>YESCARTA</w:t>
      </w:r>
      <w:r w:rsidR="0006683A">
        <w:rPr>
          <w:rFonts w:cstheme="minorHAnsi"/>
        </w:rPr>
        <w:t>®</w:t>
      </w:r>
      <w:r w:rsidR="00C945AE">
        <w:rPr>
          <w:rFonts w:cstheme="minorHAnsi"/>
        </w:rPr>
        <w:t xml:space="preserve">, </w:t>
      </w:r>
      <w:r w:rsidR="00F373C0">
        <w:t>redacted</w:t>
      </w:r>
      <w:r w:rsidR="0006683A">
        <w:rPr>
          <w:rFonts w:cstheme="minorHAnsi"/>
        </w:rPr>
        <w:t>.</w:t>
      </w:r>
    </w:p>
    <w:p w14:paraId="1E5257E5"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802A98E" w14:textId="77777777" w:rsidR="00DF0C51" w:rsidRDefault="0006683A" w:rsidP="00E357B9">
      <w:pPr>
        <w:ind w:left="426"/>
        <w:rPr>
          <w:b/>
          <w:szCs w:val="20"/>
        </w:rPr>
      </w:pPr>
      <w:r>
        <w:t>Not applicable</w:t>
      </w:r>
      <w:r w:rsidR="00235FFD">
        <w:t>.</w:t>
      </w:r>
    </w:p>
    <w:p w14:paraId="792FA3B8"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33A8C2B4" w14:textId="77777777" w:rsidR="00C945AE" w:rsidRDefault="00F373C0" w:rsidP="00C945AE">
      <w:pPr>
        <w:ind w:left="426"/>
        <w:rPr>
          <w:szCs w:val="20"/>
        </w:rPr>
      </w:pPr>
      <w:bookmarkStart w:id="10" w:name="_Hlk2260554"/>
      <w:r>
        <w:t>Redacted</w:t>
      </w:r>
      <w:r w:rsidR="00BA7C1B">
        <w:rPr>
          <w:rFonts w:cs="Calibri"/>
          <w:lang w:eastAsia="en-AU"/>
        </w:rPr>
        <w:t xml:space="preserve">. </w:t>
      </w:r>
      <w:bookmarkEnd w:id="10"/>
    </w:p>
    <w:p w14:paraId="6C424CC7" w14:textId="77777777" w:rsidR="00791C8D" w:rsidRPr="00C945AE" w:rsidRDefault="00791C8D" w:rsidP="00C945AE">
      <w:pPr>
        <w:pStyle w:val="Heading2"/>
      </w:pPr>
      <w:r w:rsidRPr="00C945AE">
        <w:t xml:space="preserve">If applicable, identify any healthcare resources </w:t>
      </w:r>
      <w:r w:rsidR="007522E3" w:rsidRPr="00C945AE">
        <w:t xml:space="preserve">or other medical services </w:t>
      </w:r>
      <w:r w:rsidRPr="00C945AE">
        <w:t xml:space="preserve">that would need to be delivered </w:t>
      </w:r>
      <w:r w:rsidRPr="00C945AE">
        <w:rPr>
          <w:u w:val="single"/>
        </w:rPr>
        <w:t>at the same time</w:t>
      </w:r>
      <w:r w:rsidRPr="00C945AE">
        <w:t xml:space="preserve"> </w:t>
      </w:r>
      <w:r w:rsidR="00197D29" w:rsidRPr="00C945AE">
        <w:t>as the proposed medical service:</w:t>
      </w:r>
    </w:p>
    <w:p w14:paraId="468862E2" w14:textId="681C7662" w:rsidR="007A7B06" w:rsidRDefault="00244CB2" w:rsidP="00A93B0B">
      <w:pPr>
        <w:spacing w:after="360"/>
        <w:ind w:left="425"/>
      </w:pPr>
      <w:r>
        <w:t>Leukapheresis</w:t>
      </w:r>
      <w:r w:rsidR="00C67F2F">
        <w:t xml:space="preserve">, lymphodepleting chemotherapy and </w:t>
      </w:r>
      <w:r w:rsidR="00BB0A93">
        <w:t>infusion</w:t>
      </w:r>
      <w:r w:rsidR="00C67F2F">
        <w:t xml:space="preserve"> of </w:t>
      </w:r>
      <w:r w:rsidR="003055D7" w:rsidRPr="00696A2C">
        <w:rPr>
          <w:rFonts w:cs="Calibri"/>
          <w:lang w:eastAsia="en-AU"/>
        </w:rPr>
        <w:t>axicabtagene ciloleucel</w:t>
      </w:r>
      <w:r w:rsidR="00352840">
        <w:t xml:space="preserve"> will require</w:t>
      </w:r>
      <w:r w:rsidR="003055D7">
        <w:t xml:space="preserve"> IV administration by a nurse</w:t>
      </w:r>
      <w:r w:rsidR="00C67F2F">
        <w:t xml:space="preserve">. IV infusion of </w:t>
      </w:r>
      <w:r w:rsidR="00C67F2F" w:rsidRPr="00696A2C">
        <w:rPr>
          <w:rFonts w:cs="Calibri"/>
          <w:lang w:eastAsia="en-AU"/>
        </w:rPr>
        <w:t>axicabtagene ciloleucel</w:t>
      </w:r>
      <w:r w:rsidR="00C67F2F">
        <w:rPr>
          <w:rFonts w:cs="Calibri"/>
          <w:lang w:eastAsia="en-AU"/>
        </w:rPr>
        <w:t xml:space="preserve"> will also be undertaken u</w:t>
      </w:r>
      <w:r w:rsidR="003055D7">
        <w:t>nder the supervision of a haematologist or haematological o</w:t>
      </w:r>
      <w:r w:rsidR="00A93B0B">
        <w:t>ncologist in a hospital setting.</w:t>
      </w:r>
      <w:r w:rsidR="003055D7">
        <w:t xml:space="preserve"> </w:t>
      </w:r>
    </w:p>
    <w:p w14:paraId="794643DA"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7A5F48A" w14:textId="77777777" w:rsidR="00B17E26" w:rsidRPr="00154B00" w:rsidRDefault="0006683A" w:rsidP="00884E69">
      <w:pPr>
        <w:ind w:left="426"/>
        <w:rPr>
          <w:szCs w:val="20"/>
        </w:rPr>
      </w:pPr>
      <w:r>
        <w:lastRenderedPageBreak/>
        <w:t>Haematologists and haematological oncologists</w:t>
      </w:r>
      <w:r w:rsidR="00B67B8C">
        <w:t>.</w:t>
      </w:r>
    </w:p>
    <w:p w14:paraId="54A30CCD" w14:textId="77777777"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E2EF6EF" w14:textId="77777777" w:rsidR="005041A6" w:rsidRPr="005041A6" w:rsidRDefault="005041A6" w:rsidP="005041A6">
      <w:pPr>
        <w:ind w:left="360"/>
      </w:pPr>
      <w:r>
        <w:t>Not appropriate.</w:t>
      </w:r>
    </w:p>
    <w:p w14:paraId="3AC3D5DD"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5F04B1E" w14:textId="77777777" w:rsidR="004312BC" w:rsidRDefault="004312BC" w:rsidP="00E92E45">
      <w:pPr>
        <w:ind w:left="360"/>
        <w:rPr>
          <w:rFonts w:cs="Calibri"/>
          <w:lang w:eastAsia="en-AU"/>
        </w:rPr>
      </w:pPr>
      <w:bookmarkStart w:id="11" w:name="_Hlk2595598"/>
      <w:r>
        <w:rPr>
          <w:rFonts w:cs="Calibri"/>
          <w:lang w:eastAsia="en-AU"/>
        </w:rPr>
        <w:t>A</w:t>
      </w:r>
      <w:r w:rsidRPr="00696A2C">
        <w:rPr>
          <w:rFonts w:cs="Calibri"/>
          <w:lang w:eastAsia="en-AU"/>
        </w:rPr>
        <w:t>xicabtagene ciloleucel</w:t>
      </w:r>
      <w:r w:rsidRPr="003A3D01">
        <w:t xml:space="preserve"> will be prescribed </w:t>
      </w:r>
      <w:r>
        <w:t xml:space="preserve">and delivered </w:t>
      </w:r>
      <w:r w:rsidRPr="003A3D01">
        <w:t>by physicians experienced in the</w:t>
      </w:r>
      <w:r>
        <w:t xml:space="preserve"> </w:t>
      </w:r>
      <w:r w:rsidRPr="003A3D01">
        <w:t>treatment of haematological malignancies</w:t>
      </w:r>
      <w:r>
        <w:t>.</w:t>
      </w:r>
      <w:r w:rsidRPr="003A3D01">
        <w:t xml:space="preserve"> </w:t>
      </w:r>
    </w:p>
    <w:bookmarkEnd w:id="11"/>
    <w:p w14:paraId="6E7E6A7A"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2C7CD73" w14:textId="77777777" w:rsidR="00EA0E25" w:rsidRDefault="00F373C0" w:rsidP="004312BC">
      <w:pPr>
        <w:ind w:left="360"/>
      </w:pPr>
      <w:r>
        <w:t>Redacted</w:t>
      </w:r>
      <w:r w:rsidR="009669FF">
        <w:t>.</w:t>
      </w:r>
    </w:p>
    <w:p w14:paraId="46216375" w14:textId="77777777" w:rsidR="005F3F07" w:rsidRDefault="00BB0A93" w:rsidP="00530204">
      <w:pPr>
        <w:pStyle w:val="Heading2"/>
      </w:pPr>
      <w:r>
        <w:t xml:space="preserve"> </w:t>
      </w:r>
      <w:r w:rsidR="000C6B8B" w:rsidRPr="000C6B8B">
        <w:rPr>
          <w:rFonts w:ascii="Arial" w:eastAsiaTheme="minorEastAsia" w:hAnsi="Arial" w:cs="Helvetica"/>
          <w:b w:val="0"/>
          <w:bCs/>
          <w:color w:val="FFFFFF"/>
          <w:kern w:val="24"/>
          <w:sz w:val="40"/>
          <w:szCs w:val="40"/>
          <w:lang w:val="en-US" w:eastAsia="en-AU"/>
        </w:rPr>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09F15F91" w14:textId="77777777" w:rsidR="000A478F" w:rsidRDefault="004B72CA" w:rsidP="000A478F">
      <w:pPr>
        <w:spacing w:before="0" w:after="0"/>
        <w:ind w:left="426"/>
      </w:pPr>
      <w:r>
        <w:rPr>
          <w:szCs w:val="20"/>
        </w:rPr>
        <w:fldChar w:fldCharType="begin">
          <w:ffData>
            <w:name w:val=""/>
            <w:enabled/>
            <w:calcOnExit w:val="0"/>
            <w:checkBox>
              <w:sizeAuto/>
              <w:default w:val="0"/>
            </w:checkBox>
          </w:ffData>
        </w:fldChar>
      </w:r>
      <w:r w:rsidR="0006683A">
        <w:rPr>
          <w:szCs w:val="20"/>
        </w:rPr>
        <w:instrText xml:space="preserve"> FORMCHECKBOX </w:instrText>
      </w:r>
      <w:r w:rsidR="003136F9">
        <w:rPr>
          <w:szCs w:val="20"/>
        </w:rPr>
      </w:r>
      <w:r w:rsidR="003136F9">
        <w:rPr>
          <w:szCs w:val="20"/>
        </w:rPr>
        <w:fldChar w:fldCharType="separate"/>
      </w:r>
      <w:r>
        <w:rPr>
          <w:szCs w:val="20"/>
        </w:rPr>
        <w:fldChar w:fldCharType="end"/>
      </w:r>
      <w:r w:rsidR="000A478F">
        <w:rPr>
          <w:szCs w:val="20"/>
        </w:rPr>
        <w:t xml:space="preserve"> </w:t>
      </w:r>
      <w:r w:rsidR="000A478F">
        <w:t>Inpatient private hospital</w:t>
      </w:r>
    </w:p>
    <w:p w14:paraId="0BEC02EA" w14:textId="77777777" w:rsidR="000A478F" w:rsidRDefault="004B72CA" w:rsidP="000A478F">
      <w:pPr>
        <w:spacing w:before="0" w:after="0"/>
        <w:ind w:left="426"/>
      </w:pPr>
      <w:r>
        <w:rPr>
          <w:szCs w:val="20"/>
        </w:rPr>
        <w:fldChar w:fldCharType="begin">
          <w:ffData>
            <w:name w:val=""/>
            <w:enabled/>
            <w:calcOnExit w:val="0"/>
            <w:checkBox>
              <w:sizeAuto/>
              <w:default w:val="1"/>
            </w:checkBox>
          </w:ffData>
        </w:fldChar>
      </w:r>
      <w:r w:rsidR="0006683A">
        <w:rPr>
          <w:szCs w:val="20"/>
        </w:rPr>
        <w:instrText xml:space="preserve"> FORMCHECKBOX </w:instrText>
      </w:r>
      <w:r w:rsidR="003136F9">
        <w:rPr>
          <w:szCs w:val="20"/>
        </w:rPr>
      </w:r>
      <w:r w:rsidR="003136F9">
        <w:rPr>
          <w:szCs w:val="20"/>
        </w:rPr>
        <w:fldChar w:fldCharType="separate"/>
      </w:r>
      <w:r>
        <w:rPr>
          <w:szCs w:val="20"/>
        </w:rPr>
        <w:fldChar w:fldCharType="end"/>
      </w:r>
      <w:r w:rsidR="000A478F">
        <w:rPr>
          <w:szCs w:val="20"/>
        </w:rPr>
        <w:t xml:space="preserve"> </w:t>
      </w:r>
      <w:r w:rsidR="000A478F">
        <w:t>Inpatient public hospital</w:t>
      </w:r>
    </w:p>
    <w:p w14:paraId="78387830" w14:textId="77777777" w:rsidR="000A478F" w:rsidRDefault="004B72CA" w:rsidP="000A478F">
      <w:pPr>
        <w:spacing w:before="0" w:after="0"/>
        <w:ind w:left="426"/>
      </w:pPr>
      <w:r>
        <w:rPr>
          <w:szCs w:val="20"/>
        </w:rPr>
        <w:fldChar w:fldCharType="begin">
          <w:ffData>
            <w:name w:val=""/>
            <w:enabled/>
            <w:calcOnExit w:val="0"/>
            <w:checkBox>
              <w:sizeAuto/>
              <w:default w:val="1"/>
            </w:checkBox>
          </w:ffData>
        </w:fldChar>
      </w:r>
      <w:r w:rsidR="0006683A">
        <w:rPr>
          <w:szCs w:val="20"/>
        </w:rPr>
        <w:instrText xml:space="preserve"> FORMCHECKBOX </w:instrText>
      </w:r>
      <w:r w:rsidR="003136F9">
        <w:rPr>
          <w:szCs w:val="20"/>
        </w:rPr>
      </w:r>
      <w:r w:rsidR="003136F9">
        <w:rPr>
          <w:szCs w:val="20"/>
        </w:rPr>
        <w:fldChar w:fldCharType="separate"/>
      </w:r>
      <w:r>
        <w:rPr>
          <w:szCs w:val="20"/>
        </w:rPr>
        <w:fldChar w:fldCharType="end"/>
      </w:r>
      <w:r w:rsidR="000A478F">
        <w:rPr>
          <w:szCs w:val="20"/>
        </w:rPr>
        <w:t xml:space="preserve"> </w:t>
      </w:r>
      <w:r w:rsidR="000A478F">
        <w:t>Outpatient clinic</w:t>
      </w:r>
    </w:p>
    <w:p w14:paraId="2967B795" w14:textId="77777777" w:rsid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Emergency Department</w:t>
      </w:r>
    </w:p>
    <w:p w14:paraId="0AFAA992" w14:textId="77777777" w:rsid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Consulting rooms</w:t>
      </w:r>
    </w:p>
    <w:p w14:paraId="4D4802BB" w14:textId="77777777" w:rsid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Day surgery centre</w:t>
      </w:r>
    </w:p>
    <w:p w14:paraId="5E9D9EB7" w14:textId="77777777" w:rsid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Residential aged care facility</w:t>
      </w:r>
    </w:p>
    <w:p w14:paraId="5FDECA10" w14:textId="77777777" w:rsid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Patient’s home</w:t>
      </w:r>
    </w:p>
    <w:p w14:paraId="00FAC41F" w14:textId="77777777" w:rsid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Laboratory</w:t>
      </w:r>
    </w:p>
    <w:p w14:paraId="2F4299DA" w14:textId="77777777" w:rsidR="000A478F" w:rsidRPr="000A478F" w:rsidRDefault="004B72CA" w:rsidP="000A478F">
      <w:pPr>
        <w:spacing w:before="0" w:after="0"/>
        <w:ind w:left="426"/>
      </w:pPr>
      <w:r w:rsidRPr="000A5B32">
        <w:rPr>
          <w:szCs w:val="20"/>
        </w:rPr>
        <w:fldChar w:fldCharType="begin">
          <w:ffData>
            <w:name w:val="Check1"/>
            <w:enabled/>
            <w:calcOnExit w:val="0"/>
            <w:checkBox>
              <w:sizeAuto/>
              <w:default w:val="0"/>
            </w:checkBox>
          </w:ffData>
        </w:fldChar>
      </w:r>
      <w:r w:rsidR="000A478F" w:rsidRPr="000A5B32">
        <w:rPr>
          <w:szCs w:val="20"/>
        </w:rPr>
        <w:instrText xml:space="preserve"> FORMCHECKBOX </w:instrText>
      </w:r>
      <w:r w:rsidR="003136F9">
        <w:rPr>
          <w:szCs w:val="20"/>
        </w:rPr>
      </w:r>
      <w:r w:rsidR="003136F9">
        <w:rPr>
          <w:szCs w:val="20"/>
        </w:rPr>
        <w:fldChar w:fldCharType="separate"/>
      </w:r>
      <w:r w:rsidRPr="000A5B32">
        <w:rPr>
          <w:szCs w:val="20"/>
        </w:rPr>
        <w:fldChar w:fldCharType="end"/>
      </w:r>
      <w:r w:rsidR="000A478F">
        <w:rPr>
          <w:szCs w:val="20"/>
        </w:rPr>
        <w:t xml:space="preserve"> </w:t>
      </w:r>
      <w:r w:rsidR="000A478F">
        <w:t>Other – please specify below</w:t>
      </w:r>
    </w:p>
    <w:p w14:paraId="291509B4"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272204A3" w14:textId="77777777" w:rsidR="000D2BF0" w:rsidRPr="005C0AB9" w:rsidRDefault="00F373C0" w:rsidP="00021CF1">
      <w:pPr>
        <w:ind w:left="720"/>
        <w:rPr>
          <w:strike/>
        </w:rPr>
      </w:pPr>
      <w:r>
        <w:t>Redacted</w:t>
      </w:r>
      <w:r w:rsidR="009669FF" w:rsidRPr="009669FF">
        <w:t>.</w:t>
      </w:r>
    </w:p>
    <w:p w14:paraId="5F18B2EC" w14:textId="77777777" w:rsidR="003E30FB" w:rsidRDefault="003E30FB" w:rsidP="00530204">
      <w:pPr>
        <w:pStyle w:val="Heading2"/>
      </w:pPr>
      <w:r>
        <w:t xml:space="preserve">Is the </w:t>
      </w:r>
      <w:r w:rsidRPr="001B29A1">
        <w:t>proposed</w:t>
      </w:r>
      <w:r>
        <w:t xml:space="preserve"> medical service intended to be entirely rendered in Australia?</w:t>
      </w:r>
    </w:p>
    <w:p w14:paraId="5194F7CA" w14:textId="77777777" w:rsidR="000A478F" w:rsidRDefault="004B72CA" w:rsidP="000A478F">
      <w:pPr>
        <w:spacing w:before="0" w:after="0"/>
        <w:ind w:left="426"/>
        <w:rPr>
          <w:szCs w:val="20"/>
        </w:rPr>
      </w:pPr>
      <w:r>
        <w:rPr>
          <w:szCs w:val="20"/>
        </w:rPr>
        <w:fldChar w:fldCharType="begin">
          <w:ffData>
            <w:name w:val=""/>
            <w:enabled/>
            <w:calcOnExit w:val="0"/>
            <w:checkBox>
              <w:sizeAuto/>
              <w:default w:val="1"/>
            </w:checkBox>
          </w:ffData>
        </w:fldChar>
      </w:r>
      <w:r w:rsidR="0076304D">
        <w:rPr>
          <w:szCs w:val="20"/>
        </w:rPr>
        <w:instrText xml:space="preserve"> FORMCHECKBOX </w:instrText>
      </w:r>
      <w:r w:rsidR="003136F9">
        <w:rPr>
          <w:szCs w:val="20"/>
        </w:rPr>
      </w:r>
      <w:r w:rsidR="003136F9">
        <w:rPr>
          <w:szCs w:val="20"/>
        </w:rPr>
        <w:fldChar w:fldCharType="separate"/>
      </w:r>
      <w:r>
        <w:rPr>
          <w:szCs w:val="20"/>
        </w:rPr>
        <w:fldChar w:fldCharType="end"/>
      </w:r>
      <w:r w:rsidR="000A478F">
        <w:rPr>
          <w:szCs w:val="20"/>
        </w:rPr>
        <w:t xml:space="preserve"> Yes</w:t>
      </w:r>
    </w:p>
    <w:p w14:paraId="5AF2DFB1" w14:textId="77777777" w:rsidR="000A478F" w:rsidRPr="00753C44" w:rsidRDefault="004B72CA" w:rsidP="00194C97">
      <w:pPr>
        <w:spacing w:before="0" w:after="240"/>
        <w:ind w:left="425"/>
        <w:rPr>
          <w:szCs w:val="20"/>
        </w:rPr>
      </w:pPr>
      <w:r>
        <w:rPr>
          <w:szCs w:val="20"/>
        </w:rPr>
        <w:fldChar w:fldCharType="begin">
          <w:ffData>
            <w:name w:val=""/>
            <w:enabled/>
            <w:calcOnExit w:val="0"/>
            <w:checkBox>
              <w:sizeAuto/>
              <w:default w:val="0"/>
            </w:checkBox>
          </w:ffData>
        </w:fldChar>
      </w:r>
      <w:r w:rsidR="0076304D">
        <w:rPr>
          <w:szCs w:val="20"/>
        </w:rPr>
        <w:instrText xml:space="preserve"> FORMCHECKBOX </w:instrText>
      </w:r>
      <w:r w:rsidR="003136F9">
        <w:rPr>
          <w:szCs w:val="20"/>
        </w:rPr>
      </w:r>
      <w:r w:rsidR="003136F9">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69392AA5" w14:textId="4C266C00" w:rsidR="005041A6" w:rsidRPr="00194C97" w:rsidRDefault="00F373C0" w:rsidP="00194C97">
      <w:pPr>
        <w:spacing w:after="360"/>
        <w:ind w:left="357"/>
        <w:rPr>
          <w:szCs w:val="20"/>
        </w:rPr>
      </w:pPr>
      <w:r>
        <w:t>Redacted</w:t>
      </w:r>
      <w:r w:rsidR="00194C97">
        <w:rPr>
          <w:szCs w:val="20"/>
        </w:rPr>
        <w:t>.</w:t>
      </w:r>
    </w:p>
    <w:p w14:paraId="5125E584"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35E2D02C"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958EBF1" w14:textId="77777777" w:rsidR="0051591D" w:rsidRDefault="0051591D" w:rsidP="004269BE">
      <w:pPr>
        <w:ind w:left="360"/>
      </w:pPr>
      <w:r>
        <w:rPr>
          <w:szCs w:val="20"/>
        </w:rPr>
        <w:t>A</w:t>
      </w:r>
      <w:r w:rsidRPr="000572D8">
        <w:rPr>
          <w:szCs w:val="20"/>
        </w:rPr>
        <w:t xml:space="preserve">xicabtagene </w:t>
      </w:r>
      <w:r>
        <w:rPr>
          <w:szCs w:val="20"/>
        </w:rPr>
        <w:t>ciloleucel</w:t>
      </w:r>
      <w:r w:rsidRPr="0051591D">
        <w:t xml:space="preserve"> </w:t>
      </w:r>
      <w:r w:rsidRPr="00264322">
        <w:t>is expected to substitute current clinical practice</w:t>
      </w:r>
      <w:r>
        <w:t xml:space="preserve"> of salvage chemotherapy</w:t>
      </w:r>
      <w:r w:rsidR="006C0051">
        <w:t xml:space="preserve"> for</w:t>
      </w:r>
      <w:r w:rsidR="005C0AB9">
        <w:t xml:space="preserve"> relapsed/refractory </w:t>
      </w:r>
      <w:r w:rsidR="006C0051">
        <w:t>DLBCL,</w:t>
      </w:r>
      <w:r w:rsidR="00E8393C">
        <w:t xml:space="preserve"> </w:t>
      </w:r>
      <w:r w:rsidR="006C0051">
        <w:t>PMBCL and TFL</w:t>
      </w:r>
      <w:r w:rsidR="005C0AB9">
        <w:t xml:space="preserve"> patients eligible for CAR-T therapy</w:t>
      </w:r>
      <w:r>
        <w:t>.</w:t>
      </w:r>
      <w:r w:rsidRPr="0051591D">
        <w:rPr>
          <w:i/>
        </w:rPr>
        <w:t xml:space="preserve"> </w:t>
      </w:r>
    </w:p>
    <w:p w14:paraId="43607316" w14:textId="77777777" w:rsidR="00C52FA0" w:rsidRPr="00F33039" w:rsidRDefault="00A45404" w:rsidP="00026CD1">
      <w:pPr>
        <w:pStyle w:val="ListParagraph"/>
        <w:ind w:left="360"/>
      </w:pPr>
      <w:r>
        <w:t>Redacted</w:t>
      </w:r>
    </w:p>
    <w:p w14:paraId="662BFA77"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4034A184" w14:textId="77777777" w:rsidR="00422750" w:rsidRPr="00422750" w:rsidRDefault="00422750" w:rsidP="00CB467D">
      <w:pPr>
        <w:ind w:firstLine="360"/>
      </w:pPr>
      <w:r>
        <w:t>Not applicable</w:t>
      </w:r>
      <w:r w:rsidR="00E8393C">
        <w:t>.</w:t>
      </w:r>
    </w:p>
    <w:p w14:paraId="3E250937" w14:textId="77777777" w:rsidR="006A1038" w:rsidRDefault="004B72CA"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006A1038"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6A1038">
        <w:rPr>
          <w:szCs w:val="20"/>
        </w:rPr>
        <w:t xml:space="preserve"> Yes (please provide all relevant MBS item numbers below)</w:t>
      </w:r>
    </w:p>
    <w:p w14:paraId="2DDF48AA" w14:textId="019772B9" w:rsidR="000159B9" w:rsidRDefault="004B72CA" w:rsidP="00194C97">
      <w:pPr>
        <w:spacing w:before="0"/>
        <w:ind w:left="426"/>
        <w:rPr>
          <w:szCs w:val="20"/>
        </w:rPr>
      </w:pPr>
      <w:r>
        <w:rPr>
          <w:szCs w:val="20"/>
        </w:rPr>
        <w:fldChar w:fldCharType="begin">
          <w:ffData>
            <w:name w:val=""/>
            <w:enabled/>
            <w:calcOnExit w:val="0"/>
            <w:checkBox>
              <w:sizeAuto/>
              <w:default w:val="0"/>
            </w:checkBox>
          </w:ffData>
        </w:fldChar>
      </w:r>
      <w:r w:rsidR="00901BB5">
        <w:rPr>
          <w:szCs w:val="20"/>
        </w:rPr>
        <w:instrText xml:space="preserve"> FORMCHECKBOX </w:instrText>
      </w:r>
      <w:r w:rsidR="003136F9">
        <w:rPr>
          <w:szCs w:val="20"/>
        </w:rPr>
      </w:r>
      <w:r w:rsidR="003136F9">
        <w:rPr>
          <w:szCs w:val="20"/>
        </w:rPr>
        <w:fldChar w:fldCharType="separate"/>
      </w:r>
      <w:r>
        <w:rPr>
          <w:szCs w:val="20"/>
        </w:rPr>
        <w:fldChar w:fldCharType="end"/>
      </w:r>
      <w:r w:rsidR="00194C97">
        <w:rPr>
          <w:szCs w:val="20"/>
        </w:rPr>
        <w:t xml:space="preserve"> No</w:t>
      </w:r>
    </w:p>
    <w:p w14:paraId="69F378BF" w14:textId="77777777" w:rsidR="00AF5D1E" w:rsidRPr="00154B00" w:rsidRDefault="00AF5D1E" w:rsidP="00530204">
      <w:pPr>
        <w:pStyle w:val="Heading2"/>
      </w:pPr>
      <w:r w:rsidRPr="00154B00">
        <w:lastRenderedPageBreak/>
        <w:t>Define an</w:t>
      </w:r>
      <w:bookmarkStart w:id="12" w:name="_GoBack"/>
      <w:bookmarkEnd w:id="12"/>
      <w:r w:rsidRPr="00154B00">
        <w:t xml:space="preserve">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3C6C332B" w14:textId="77777777" w:rsidR="0012508A" w:rsidRDefault="0051591D" w:rsidP="0090748F">
      <w:pPr>
        <w:ind w:left="360"/>
      </w:pPr>
      <w:bookmarkStart w:id="13" w:name="_Hlk2678415"/>
      <w:r>
        <w:t>Following salvage chemotherapy, patients may receive best supportive care (BSC), an allogenic stem cell transplant</w:t>
      </w:r>
      <w:r w:rsidR="006555E5">
        <w:t xml:space="preserve">, further salvage therapy </w:t>
      </w:r>
      <w:r w:rsidR="0012508A">
        <w:t>or enrol in a clinical trial</w:t>
      </w:r>
      <w:r w:rsidR="00F00DD1">
        <w:t xml:space="preserve">. </w:t>
      </w:r>
      <w:bookmarkEnd w:id="13"/>
    </w:p>
    <w:p w14:paraId="1DF3D529" w14:textId="77777777" w:rsidR="003433D1" w:rsidRDefault="00BD44C6" w:rsidP="00E92E45">
      <w:pPr>
        <w:ind w:firstLine="360"/>
        <w:rPr>
          <w:b/>
          <w:szCs w:val="20"/>
        </w:rPr>
      </w:pPr>
      <w:r>
        <w:t xml:space="preserve">These are last line </w:t>
      </w:r>
      <w:r w:rsidR="00683030">
        <w:t xml:space="preserve">treatment options </w:t>
      </w:r>
      <w:r>
        <w:t>and are</w:t>
      </w:r>
      <w:r w:rsidR="00683030">
        <w:t xml:space="preserve"> considered </w:t>
      </w:r>
      <w:r>
        <w:t>largely ineffective.</w:t>
      </w:r>
    </w:p>
    <w:p w14:paraId="2E4545E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296CD96" w14:textId="77777777" w:rsidR="001B29A1" w:rsidRDefault="004B72CA" w:rsidP="001B29A1">
      <w:pPr>
        <w:spacing w:before="0" w:after="0"/>
        <w:ind w:left="426"/>
        <w:rPr>
          <w:szCs w:val="20"/>
        </w:rPr>
      </w:pPr>
      <w:r>
        <w:rPr>
          <w:szCs w:val="20"/>
        </w:rPr>
        <w:fldChar w:fldCharType="begin">
          <w:ffData>
            <w:name w:val=""/>
            <w:enabled/>
            <w:calcOnExit w:val="0"/>
            <w:checkBox>
              <w:sizeAuto/>
              <w:default w:val="1"/>
            </w:checkBox>
          </w:ffData>
        </w:fldChar>
      </w:r>
      <w:r w:rsidR="007A3FC2">
        <w:rPr>
          <w:szCs w:val="20"/>
        </w:rPr>
        <w:instrText xml:space="preserve"> FORMCHECKBOX </w:instrText>
      </w:r>
      <w:r w:rsidR="003136F9">
        <w:rPr>
          <w:szCs w:val="20"/>
        </w:rPr>
      </w:r>
      <w:r w:rsidR="003136F9">
        <w:rPr>
          <w:szCs w:val="20"/>
        </w:rPr>
        <w:fldChar w:fldCharType="separate"/>
      </w:r>
      <w:r>
        <w:rPr>
          <w:szCs w:val="20"/>
        </w:rPr>
        <w:fldChar w:fldCharType="end"/>
      </w:r>
      <w:r w:rsidR="001B29A1">
        <w:rPr>
          <w:szCs w:val="20"/>
        </w:rPr>
        <w:t xml:space="preserve"> Yes </w:t>
      </w:r>
    </w:p>
    <w:p w14:paraId="5E59CF34" w14:textId="77777777" w:rsidR="001B29A1" w:rsidRDefault="004B72CA"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001B29A1" w:rsidRPr="00753C44">
        <w:rPr>
          <w:szCs w:val="20"/>
        </w:rPr>
        <w:instrText xml:space="preserve"> FORMCHECKBOX </w:instrText>
      </w:r>
      <w:r w:rsidR="003136F9">
        <w:rPr>
          <w:szCs w:val="20"/>
        </w:rPr>
      </w:r>
      <w:r w:rsidR="003136F9">
        <w:rPr>
          <w:szCs w:val="20"/>
        </w:rPr>
        <w:fldChar w:fldCharType="separate"/>
      </w:r>
      <w:r w:rsidRPr="00753C44">
        <w:rPr>
          <w:szCs w:val="20"/>
        </w:rPr>
        <w:fldChar w:fldCharType="end"/>
      </w:r>
      <w:r w:rsidR="001B29A1">
        <w:rPr>
          <w:szCs w:val="20"/>
        </w:rPr>
        <w:t xml:space="preserve"> No  </w:t>
      </w:r>
    </w:p>
    <w:p w14:paraId="366EE452"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739DCE1" w14:textId="77777777" w:rsidR="0090724E" w:rsidRDefault="00BD44C6" w:rsidP="00021CF1">
      <w:pPr>
        <w:ind w:left="720"/>
      </w:pPr>
      <w:bookmarkStart w:id="14" w:name="_Hlk2678471"/>
      <w:r>
        <w:rPr>
          <w:szCs w:val="20"/>
        </w:rPr>
        <w:t>A</w:t>
      </w:r>
      <w:r w:rsidRPr="000572D8">
        <w:rPr>
          <w:szCs w:val="20"/>
        </w:rPr>
        <w:t xml:space="preserve">xicabtagene </w:t>
      </w:r>
      <w:r w:rsidR="00507825">
        <w:rPr>
          <w:szCs w:val="20"/>
        </w:rPr>
        <w:t>ciloleucel</w:t>
      </w:r>
      <w:r>
        <w:rPr>
          <w:szCs w:val="20"/>
        </w:rPr>
        <w:t xml:space="preserve"> </w:t>
      </w:r>
      <w:r w:rsidR="006555E5">
        <w:rPr>
          <w:szCs w:val="20"/>
        </w:rPr>
        <w:t xml:space="preserve">will substitute salvage chemotherapy in the </w:t>
      </w:r>
      <w:r w:rsidR="00683030">
        <w:rPr>
          <w:szCs w:val="20"/>
        </w:rPr>
        <w:t xml:space="preserve">current </w:t>
      </w:r>
      <w:r w:rsidR="006555E5">
        <w:rPr>
          <w:szCs w:val="20"/>
        </w:rPr>
        <w:t>treatment algorith</w:t>
      </w:r>
      <w:r w:rsidR="009B669B">
        <w:rPr>
          <w:szCs w:val="20"/>
        </w:rPr>
        <w:t>m.</w:t>
      </w:r>
      <w:r w:rsidR="006555E5">
        <w:rPr>
          <w:szCs w:val="20"/>
        </w:rPr>
        <w:t xml:space="preserve"> </w:t>
      </w:r>
      <w:r w:rsidR="006555E5">
        <w:t xml:space="preserve">BSC, allogenic stem cell transplant, salvage chemotherapy or </w:t>
      </w:r>
      <w:r w:rsidR="004C61D5">
        <w:t>enrolment</w:t>
      </w:r>
      <w:r w:rsidR="006555E5">
        <w:t xml:space="preserve"> in a clinical trial</w:t>
      </w:r>
      <w:r w:rsidR="009B669B">
        <w:t xml:space="preserve"> will remain last line options.</w:t>
      </w:r>
    </w:p>
    <w:bookmarkEnd w:id="14"/>
    <w:p w14:paraId="61DB7B54"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00C015B" w14:textId="33C8F744" w:rsidR="00320BAC" w:rsidRPr="00194C97" w:rsidRDefault="00BD44C6" w:rsidP="00194C97">
      <w:pPr>
        <w:pStyle w:val="ListParagraph"/>
        <w:spacing w:after="360"/>
        <w:ind w:left="357"/>
        <w:rPr>
          <w:szCs w:val="20"/>
        </w:rPr>
      </w:pPr>
      <w:bookmarkStart w:id="15" w:name="_Hlk2678478"/>
      <w:r>
        <w:rPr>
          <w:szCs w:val="20"/>
        </w:rPr>
        <w:t>If</w:t>
      </w:r>
      <w:r w:rsidR="00076658">
        <w:rPr>
          <w:szCs w:val="20"/>
        </w:rPr>
        <w:t xml:space="preserve"> approved for funding</w:t>
      </w:r>
      <w:r>
        <w:rPr>
          <w:szCs w:val="20"/>
        </w:rPr>
        <w:t xml:space="preserve"> as proposed</w:t>
      </w:r>
      <w:r w:rsidR="00076658">
        <w:rPr>
          <w:szCs w:val="20"/>
        </w:rPr>
        <w:t xml:space="preserve">, </w:t>
      </w:r>
      <w:r w:rsidR="00095DD9">
        <w:rPr>
          <w:szCs w:val="20"/>
        </w:rPr>
        <w:t>a</w:t>
      </w:r>
      <w:r w:rsidR="004A0306" w:rsidRPr="000572D8">
        <w:rPr>
          <w:szCs w:val="20"/>
        </w:rPr>
        <w:t xml:space="preserve">xicabtagene </w:t>
      </w:r>
      <w:r w:rsidR="00507825">
        <w:rPr>
          <w:szCs w:val="20"/>
        </w:rPr>
        <w:t>ciloleucel</w:t>
      </w:r>
      <w:r w:rsidR="00076658">
        <w:rPr>
          <w:szCs w:val="20"/>
        </w:rPr>
        <w:t xml:space="preserve"> will provide </w:t>
      </w:r>
      <w:r w:rsidR="00330C6C">
        <w:rPr>
          <w:szCs w:val="20"/>
        </w:rPr>
        <w:t>a more effective treatment</w:t>
      </w:r>
      <w:r w:rsidR="00076658">
        <w:rPr>
          <w:szCs w:val="20"/>
        </w:rPr>
        <w:t xml:space="preserve"> option</w:t>
      </w:r>
      <w:r w:rsidR="00330C6C">
        <w:rPr>
          <w:szCs w:val="20"/>
        </w:rPr>
        <w:t xml:space="preserve"> compared to salvage chemotherapy</w:t>
      </w:r>
      <w:r>
        <w:rPr>
          <w:szCs w:val="20"/>
        </w:rPr>
        <w:t xml:space="preserve">, </w:t>
      </w:r>
      <w:r w:rsidR="00330C6C">
        <w:rPr>
          <w:szCs w:val="20"/>
        </w:rPr>
        <w:t>delaying or eliminating the need for essentially ineffective last line treatment options</w:t>
      </w:r>
      <w:r>
        <w:rPr>
          <w:szCs w:val="20"/>
        </w:rPr>
        <w:t>.</w:t>
      </w:r>
      <w:r w:rsidR="00330C6C">
        <w:rPr>
          <w:szCs w:val="20"/>
        </w:rPr>
        <w:t xml:space="preserve"> </w:t>
      </w:r>
      <w:r>
        <w:rPr>
          <w:szCs w:val="20"/>
        </w:rPr>
        <w:t>There will be no change to earlier lines of therapy</w:t>
      </w:r>
      <w:r w:rsidR="00076658">
        <w:rPr>
          <w:szCs w:val="20"/>
        </w:rPr>
        <w:t>.</w:t>
      </w:r>
      <w:bookmarkEnd w:id="15"/>
    </w:p>
    <w:p w14:paraId="479CE968" w14:textId="77777777" w:rsidR="00DF0D47" w:rsidRPr="00881F93" w:rsidRDefault="005C3AE7" w:rsidP="00E92E45">
      <w:pPr>
        <w:pStyle w:val="Subtitle"/>
        <w:keepNext/>
        <w:keepLines/>
      </w:pPr>
      <w:r>
        <w:t xml:space="preserve">PART 6d – </w:t>
      </w:r>
      <w:r w:rsidR="00DF0D47" w:rsidRPr="00881F93">
        <w:t xml:space="preserve">INFORMATION ABOUT THE </w:t>
      </w:r>
      <w:r w:rsidR="00CF5AD8" w:rsidRPr="00881F93">
        <w:t xml:space="preserve">CLINICAL </w:t>
      </w:r>
      <w:r w:rsidR="00DF0D47" w:rsidRPr="00881F93">
        <w:t>OUTCOME</w:t>
      </w:r>
    </w:p>
    <w:p w14:paraId="69B32374" w14:textId="77777777" w:rsidR="004E3CC7" w:rsidRPr="001B29A1" w:rsidRDefault="004E3CC7" w:rsidP="00E92E45">
      <w:pPr>
        <w:pStyle w:val="Heading2"/>
        <w:keepNext/>
        <w:keepLines/>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8640FD4" w14:textId="77777777" w:rsidR="00B17985" w:rsidRPr="00154B00" w:rsidRDefault="00B17985" w:rsidP="00E92E45">
      <w:pPr>
        <w:keepNext/>
        <w:keepLines/>
        <w:ind w:left="426"/>
        <w:rPr>
          <w:szCs w:val="20"/>
        </w:rPr>
      </w:pPr>
      <w:r w:rsidRPr="007544FA">
        <w:rPr>
          <w:szCs w:val="20"/>
        </w:rPr>
        <w:t xml:space="preserve">Axicabtagene ciloleucel represents a significantly improved treatment option for patients with </w:t>
      </w:r>
      <w:r>
        <w:rPr>
          <w:szCs w:val="20"/>
        </w:rPr>
        <w:t>relapsed/</w:t>
      </w:r>
      <w:r w:rsidRPr="007544FA">
        <w:rPr>
          <w:szCs w:val="20"/>
        </w:rPr>
        <w:t>refractory</w:t>
      </w:r>
      <w:r>
        <w:rPr>
          <w:szCs w:val="20"/>
        </w:rPr>
        <w:t xml:space="preserve"> DLBCL, PMBCL and TFL.</w:t>
      </w:r>
    </w:p>
    <w:p w14:paraId="51C00710" w14:textId="77777777" w:rsidR="009B669B" w:rsidRPr="00DF5F86" w:rsidRDefault="009B669B" w:rsidP="00E92E45">
      <w:pPr>
        <w:keepNext/>
        <w:keepLines/>
        <w:ind w:left="426"/>
      </w:pPr>
      <w:r w:rsidRPr="009B669B">
        <w:rPr>
          <w:szCs w:val="20"/>
          <w:lang w:val="en-GB"/>
        </w:rPr>
        <w:t xml:space="preserve">Primary analysis of the pivotal ZUMA-1 Phase 2 study was conducted after a median follow-up of 8.7 months after </w:t>
      </w:r>
      <w:r>
        <w:rPr>
          <w:szCs w:val="20"/>
        </w:rPr>
        <w:t>a</w:t>
      </w:r>
      <w:r w:rsidRPr="000572D8">
        <w:rPr>
          <w:szCs w:val="20"/>
        </w:rPr>
        <w:t xml:space="preserve">xicabtagene </w:t>
      </w:r>
      <w:r>
        <w:rPr>
          <w:szCs w:val="20"/>
        </w:rPr>
        <w:t>ciloleucel</w:t>
      </w:r>
      <w:r w:rsidRPr="009B669B">
        <w:rPr>
          <w:szCs w:val="20"/>
          <w:lang w:val="en-GB"/>
        </w:rPr>
        <w:t xml:space="preserve"> infusion. </w:t>
      </w:r>
      <w:r w:rsidR="00DF5F86" w:rsidRPr="00DF5F86">
        <w:rPr>
          <w:szCs w:val="20"/>
        </w:rPr>
        <w:t>At the time of the analysis, 44% remained in response, including 39% in CR</w:t>
      </w:r>
      <w:r w:rsidR="00DF5F86">
        <w:rPr>
          <w:szCs w:val="20"/>
        </w:rPr>
        <w:t>.</w:t>
      </w:r>
      <w:r w:rsidRPr="009B669B">
        <w:rPr>
          <w:szCs w:val="20"/>
          <w:lang w:val="en-GB"/>
        </w:rPr>
        <w:t xml:space="preserve"> The median </w:t>
      </w:r>
      <w:r w:rsidR="00771D58">
        <w:rPr>
          <w:szCs w:val="20"/>
          <w:lang w:val="en-GB"/>
        </w:rPr>
        <w:t xml:space="preserve">duration of response (DOR) </w:t>
      </w:r>
      <w:r w:rsidRPr="009B669B">
        <w:rPr>
          <w:szCs w:val="20"/>
          <w:lang w:val="en-GB"/>
        </w:rPr>
        <w:t xml:space="preserve">was 8.2 months, and median DOR had not been reached by patients who were lymphoma-free. </w:t>
      </w:r>
      <w:r w:rsidR="00F373C0">
        <w:t>Redacted</w:t>
      </w:r>
      <w:r w:rsidRPr="009B669B">
        <w:rPr>
          <w:szCs w:val="20"/>
          <w:lang w:val="en-GB"/>
        </w:rPr>
        <w:t>. Median OS had not been reached, with a lower confidence interval of 10.5 months.</w:t>
      </w:r>
      <w:r w:rsidR="00F373C0" w:rsidRPr="00F373C0">
        <w:t xml:space="preserve"> </w:t>
      </w:r>
      <w:r w:rsidR="00F373C0">
        <w:t>Redacted</w:t>
      </w:r>
      <w:r w:rsidRPr="009B669B">
        <w:rPr>
          <w:szCs w:val="20"/>
          <w:lang w:val="en-GB"/>
        </w:rPr>
        <w:t>, and median</w:t>
      </w:r>
      <w:r w:rsidR="00771D58">
        <w:rPr>
          <w:szCs w:val="20"/>
          <w:lang w:val="en-GB"/>
        </w:rPr>
        <w:t xml:space="preserve"> progression free survival (</w:t>
      </w:r>
      <w:r w:rsidRPr="009B669B">
        <w:rPr>
          <w:szCs w:val="20"/>
          <w:lang w:val="en-GB"/>
        </w:rPr>
        <w:t>PFS</w:t>
      </w:r>
      <w:r w:rsidR="00771D58">
        <w:rPr>
          <w:szCs w:val="20"/>
          <w:lang w:val="en-GB"/>
        </w:rPr>
        <w:t>)</w:t>
      </w:r>
      <w:r w:rsidRPr="009B669B">
        <w:rPr>
          <w:szCs w:val="20"/>
          <w:lang w:val="en-GB"/>
        </w:rPr>
        <w:t xml:space="preserve"> was 5.9 months. The safety profile was manageable, and most CRS and </w:t>
      </w:r>
      <w:r w:rsidR="00771D58">
        <w:rPr>
          <w:szCs w:val="20"/>
          <w:lang w:val="en-GB"/>
        </w:rPr>
        <w:t>neurological events (</w:t>
      </w:r>
      <w:r w:rsidRPr="009B669B">
        <w:rPr>
          <w:szCs w:val="20"/>
          <w:lang w:val="en-GB"/>
        </w:rPr>
        <w:t>NE</w:t>
      </w:r>
      <w:r w:rsidR="00771D58">
        <w:rPr>
          <w:szCs w:val="20"/>
          <w:lang w:val="en-GB"/>
        </w:rPr>
        <w:t>)</w:t>
      </w:r>
      <w:r w:rsidRPr="009B669B">
        <w:rPr>
          <w:szCs w:val="20"/>
          <w:lang w:val="en-GB"/>
        </w:rPr>
        <w:t xml:space="preserve"> were reversible (Kite, 2017</w:t>
      </w:r>
      <w:r w:rsidR="00FA48AB">
        <w:rPr>
          <w:szCs w:val="20"/>
          <w:lang w:val="en-GB"/>
        </w:rPr>
        <w:t>A</w:t>
      </w:r>
      <w:r w:rsidRPr="009B669B">
        <w:rPr>
          <w:szCs w:val="20"/>
          <w:lang w:val="en-GB"/>
        </w:rPr>
        <w:t>).</w:t>
      </w:r>
    </w:p>
    <w:p w14:paraId="4EDBE2DA" w14:textId="77777777" w:rsidR="009B669B" w:rsidRDefault="00F373C0" w:rsidP="009B669B">
      <w:pPr>
        <w:ind w:left="426"/>
        <w:rPr>
          <w:szCs w:val="20"/>
          <w:lang w:val="en-GB"/>
        </w:rPr>
      </w:pPr>
      <w:r>
        <w:t>Redacted</w:t>
      </w:r>
      <w:r w:rsidR="009B669B" w:rsidRPr="009B669B">
        <w:rPr>
          <w:szCs w:val="20"/>
          <w:lang w:val="en-GB"/>
        </w:rPr>
        <w:t>. CT imaging also demonstrate</w:t>
      </w:r>
      <w:r w:rsidR="001503D2">
        <w:rPr>
          <w:szCs w:val="20"/>
          <w:lang w:val="en-GB"/>
        </w:rPr>
        <w:t>d</w:t>
      </w:r>
      <w:r w:rsidR="009B669B" w:rsidRPr="009B669B">
        <w:rPr>
          <w:szCs w:val="20"/>
          <w:lang w:val="en-GB"/>
        </w:rPr>
        <w:t xml:space="preserve"> that patients with </w:t>
      </w:r>
      <w:r w:rsidR="00771D58">
        <w:rPr>
          <w:szCs w:val="20"/>
          <w:lang w:val="en-GB"/>
        </w:rPr>
        <w:t>partial response (</w:t>
      </w:r>
      <w:r w:rsidR="009B669B" w:rsidRPr="009B669B">
        <w:rPr>
          <w:szCs w:val="20"/>
          <w:lang w:val="en-GB"/>
        </w:rPr>
        <w:t>PR</w:t>
      </w:r>
      <w:r w:rsidR="00771D58">
        <w:rPr>
          <w:szCs w:val="20"/>
          <w:lang w:val="en-GB"/>
        </w:rPr>
        <w:t>)</w:t>
      </w:r>
      <w:r w:rsidR="009B669B" w:rsidRPr="009B669B">
        <w:rPr>
          <w:szCs w:val="20"/>
          <w:lang w:val="en-GB"/>
        </w:rPr>
        <w:t xml:space="preserve">, </w:t>
      </w:r>
      <w:r w:rsidR="00771D58">
        <w:rPr>
          <w:szCs w:val="20"/>
          <w:lang w:val="en-GB"/>
        </w:rPr>
        <w:t>stable disease (</w:t>
      </w:r>
      <w:r w:rsidR="009B669B" w:rsidRPr="009B669B">
        <w:rPr>
          <w:szCs w:val="20"/>
          <w:lang w:val="en-GB"/>
        </w:rPr>
        <w:t>SD</w:t>
      </w:r>
      <w:r w:rsidR="00771D58">
        <w:rPr>
          <w:szCs w:val="20"/>
          <w:lang w:val="en-GB"/>
        </w:rPr>
        <w:t>)</w:t>
      </w:r>
      <w:r w:rsidR="009B669B" w:rsidRPr="009B669B">
        <w:rPr>
          <w:szCs w:val="20"/>
          <w:lang w:val="en-GB"/>
        </w:rPr>
        <w:t xml:space="preserve"> or </w:t>
      </w:r>
      <w:r w:rsidR="00771D58">
        <w:rPr>
          <w:szCs w:val="20"/>
          <w:lang w:val="en-GB"/>
        </w:rPr>
        <w:t>progressive disease (</w:t>
      </w:r>
      <w:r w:rsidR="009B669B" w:rsidRPr="009B669B">
        <w:rPr>
          <w:szCs w:val="20"/>
          <w:lang w:val="en-GB"/>
        </w:rPr>
        <w:t>PD</w:t>
      </w:r>
      <w:r w:rsidR="00771D58">
        <w:rPr>
          <w:szCs w:val="20"/>
          <w:lang w:val="en-GB"/>
        </w:rPr>
        <w:t>)</w:t>
      </w:r>
      <w:r w:rsidR="009B669B" w:rsidRPr="009B669B">
        <w:rPr>
          <w:szCs w:val="20"/>
          <w:lang w:val="en-GB"/>
        </w:rPr>
        <w:t xml:space="preserve"> following </w:t>
      </w:r>
      <w:r w:rsidR="009B669B">
        <w:rPr>
          <w:szCs w:val="20"/>
        </w:rPr>
        <w:t>a</w:t>
      </w:r>
      <w:r w:rsidR="009B669B" w:rsidRPr="000572D8">
        <w:rPr>
          <w:szCs w:val="20"/>
        </w:rPr>
        <w:t xml:space="preserve">xicabtagene </w:t>
      </w:r>
      <w:r w:rsidR="009B669B">
        <w:rPr>
          <w:szCs w:val="20"/>
        </w:rPr>
        <w:t>ciloleucel</w:t>
      </w:r>
      <w:r w:rsidR="009B669B" w:rsidRPr="009B669B">
        <w:rPr>
          <w:szCs w:val="20"/>
          <w:lang w:val="en-GB"/>
        </w:rPr>
        <w:t xml:space="preserve"> infusion still derive</w:t>
      </w:r>
      <w:r w:rsidR="001503D2">
        <w:rPr>
          <w:szCs w:val="20"/>
          <w:lang w:val="en-GB"/>
        </w:rPr>
        <w:t>d</w:t>
      </w:r>
      <w:r w:rsidR="009B669B" w:rsidRPr="009B669B">
        <w:rPr>
          <w:szCs w:val="20"/>
          <w:lang w:val="en-GB"/>
        </w:rPr>
        <w:t xml:space="preserve"> clinical benefit through improvements in symptoms, such as reductions in tumour load and improvements in skin lesions (Neelapu et al, 2017</w:t>
      </w:r>
      <w:r w:rsidR="00B002B3">
        <w:rPr>
          <w:szCs w:val="20"/>
          <w:lang w:val="en-GB"/>
        </w:rPr>
        <w:t>A</w:t>
      </w:r>
      <w:r w:rsidR="009B669B" w:rsidRPr="009B669B">
        <w:rPr>
          <w:szCs w:val="20"/>
          <w:lang w:val="en-GB"/>
        </w:rPr>
        <w:t>).</w:t>
      </w:r>
    </w:p>
    <w:p w14:paraId="649AB091" w14:textId="77777777" w:rsidR="004F32D8" w:rsidRPr="00CB467D" w:rsidRDefault="004F32D8" w:rsidP="00CB467D">
      <w:pPr>
        <w:ind w:left="426"/>
        <w:rPr>
          <w:szCs w:val="20"/>
        </w:rPr>
      </w:pPr>
      <w:r w:rsidRPr="007544FA">
        <w:rPr>
          <w:szCs w:val="20"/>
        </w:rPr>
        <w:t xml:space="preserve">Consistent response rates were observed in both Cohort 1 (DLBCL; n=77) and Cohort 2 (PMBCL or TFL; n=24) and across covariates including disease stage, age, International Prognostic Index scores, CD19 status, and refractory disease subset. </w:t>
      </w:r>
      <w:r w:rsidR="00F373C0">
        <w:t>Redacted</w:t>
      </w:r>
      <w:r w:rsidRPr="007544FA">
        <w:rPr>
          <w:szCs w:val="20"/>
        </w:rPr>
        <w:t xml:space="preserve">. </w:t>
      </w:r>
    </w:p>
    <w:p w14:paraId="1D748FAE" w14:textId="77777777" w:rsidR="00B002B3" w:rsidRDefault="009B669B" w:rsidP="00B002B3">
      <w:pPr>
        <w:ind w:left="426"/>
        <w:rPr>
          <w:szCs w:val="20"/>
          <w:lang w:val="en-GB"/>
        </w:rPr>
      </w:pPr>
      <w:r w:rsidRPr="009B669B">
        <w:rPr>
          <w:szCs w:val="20"/>
          <w:lang w:val="en-GB"/>
        </w:rPr>
        <w:t xml:space="preserve">An updated analysis was conducted after a median follow-up of 15.4 months after infusion of </w:t>
      </w:r>
      <w:r>
        <w:rPr>
          <w:szCs w:val="20"/>
        </w:rPr>
        <w:t>a</w:t>
      </w:r>
      <w:r w:rsidRPr="000572D8">
        <w:rPr>
          <w:szCs w:val="20"/>
        </w:rPr>
        <w:t xml:space="preserve">xicabtagene </w:t>
      </w:r>
      <w:r>
        <w:rPr>
          <w:szCs w:val="20"/>
        </w:rPr>
        <w:t>ciloleucel</w:t>
      </w:r>
      <w:r w:rsidRPr="009B669B">
        <w:rPr>
          <w:szCs w:val="20"/>
          <w:lang w:val="en-GB"/>
        </w:rPr>
        <w:t xml:space="preserve">, when the 108 patients in the Phase 1 and 2 portions of ZUMA-1 had been followed for a minimum of 1 year. At this time, 42% of patients remained in response and 40% were lymphoma-free. The median time that patients had been in response was now 11.1 months, and median DOR had still not been reached by patients who were lymphoma-free. The updated analysis also showed that 52% of patients were still alive at 18 months. Median OS still had not been reached and the lower </w:t>
      </w:r>
      <w:r w:rsidRPr="009B669B">
        <w:rPr>
          <w:szCs w:val="20"/>
          <w:lang w:val="en-GB"/>
        </w:rPr>
        <w:lastRenderedPageBreak/>
        <w:t xml:space="preserve">confidence interval was now up to 12 months. In addition, 41% of patients had no progression of disease at 15 months, with </w:t>
      </w:r>
      <w:r w:rsidR="004F32D8" w:rsidRPr="009B669B">
        <w:rPr>
          <w:szCs w:val="20"/>
          <w:lang w:val="en-GB"/>
        </w:rPr>
        <w:t>a median</w:t>
      </w:r>
      <w:r w:rsidRPr="009B669B">
        <w:rPr>
          <w:szCs w:val="20"/>
          <w:lang w:val="en-GB"/>
        </w:rPr>
        <w:t xml:space="preserve"> PFS of 5.8 months. The safety profile was again manageable, with no new </w:t>
      </w:r>
      <w:r>
        <w:rPr>
          <w:szCs w:val="20"/>
        </w:rPr>
        <w:t>a</w:t>
      </w:r>
      <w:r w:rsidRPr="000572D8">
        <w:rPr>
          <w:szCs w:val="20"/>
        </w:rPr>
        <w:t xml:space="preserve">xicabtagene </w:t>
      </w:r>
      <w:r>
        <w:rPr>
          <w:szCs w:val="20"/>
        </w:rPr>
        <w:t>ciloleucel</w:t>
      </w:r>
      <w:r w:rsidRPr="009B669B">
        <w:rPr>
          <w:szCs w:val="20"/>
          <w:lang w:val="en-GB"/>
        </w:rPr>
        <w:t>-related adverse events associated with CRS or NE, and there were no additional deaths from adverse events arising after the primary analysis (Neelapu et al, 2017B).</w:t>
      </w:r>
    </w:p>
    <w:p w14:paraId="1BB8DA5C" w14:textId="77777777" w:rsidR="000955BD" w:rsidRPr="000955BD" w:rsidRDefault="000955BD" w:rsidP="000955BD">
      <w:pPr>
        <w:ind w:left="426"/>
        <w:rPr>
          <w:szCs w:val="20"/>
        </w:rPr>
      </w:pPr>
      <w:r>
        <w:rPr>
          <w:szCs w:val="20"/>
        </w:rPr>
        <w:t xml:space="preserve">Furthermore, </w:t>
      </w:r>
      <w:r w:rsidR="00066DF9" w:rsidRPr="00E76171">
        <w:rPr>
          <w:rFonts w:ascii="Shaker2Lancet-Regular" w:hAnsi="Shaker2Lancet-Regular" w:cs="Shaker2Lancet-Regular"/>
          <w:szCs w:val="20"/>
        </w:rPr>
        <w:t>long term follow up out to 2 years is now available, extending the median follow up from 15</w:t>
      </w:r>
      <w:r w:rsidR="00F73B53">
        <w:rPr>
          <w:rFonts w:ascii="Shaker2Lancet-Regular" w:hAnsi="Shaker2Lancet-Regular" w:cs="Shaker2Lancet-Regular"/>
          <w:szCs w:val="20"/>
        </w:rPr>
        <w:t>.</w:t>
      </w:r>
      <w:r w:rsidR="00066DF9" w:rsidRPr="00E76171">
        <w:rPr>
          <w:rFonts w:ascii="Shaker2Lancet-Regular" w:hAnsi="Shaker2Lancet-Regular" w:cs="Shaker2Lancet-Regular"/>
          <w:szCs w:val="20"/>
        </w:rPr>
        <w:t>4 months to 27</w:t>
      </w:r>
      <w:r w:rsidR="00F73B53">
        <w:rPr>
          <w:rFonts w:ascii="Shaker2Lancet-Regular" w:hAnsi="Shaker2Lancet-Regular" w:cs="Shaker2Lancet-Regular"/>
          <w:szCs w:val="20"/>
        </w:rPr>
        <w:t>.</w:t>
      </w:r>
      <w:r w:rsidR="00066DF9" w:rsidRPr="00E76171">
        <w:rPr>
          <w:rFonts w:ascii="Shaker2Lancet-Regular" w:hAnsi="Shaker2Lancet-Regular" w:cs="Shaker2Lancet-Regular"/>
          <w:szCs w:val="20"/>
        </w:rPr>
        <w:t>1 months</w:t>
      </w:r>
      <w:r w:rsidR="00066DF9">
        <w:rPr>
          <w:rFonts w:ascii="Shaker2Lancet-Regular" w:hAnsi="Shaker2Lancet-Regular" w:cs="Shaker2Lancet-Regular"/>
          <w:szCs w:val="20"/>
        </w:rPr>
        <w:t xml:space="preserve"> (Locke et al, 2018)</w:t>
      </w:r>
      <w:r w:rsidR="00066DF9" w:rsidRPr="00E76171">
        <w:rPr>
          <w:rFonts w:ascii="Shaker2Lancet-Regular" w:hAnsi="Shaker2Lancet-Regular" w:cs="Shaker2Lancet-Regular"/>
          <w:szCs w:val="20"/>
        </w:rPr>
        <w:t xml:space="preserve">. </w:t>
      </w:r>
      <w:r w:rsidR="00066DF9">
        <w:rPr>
          <w:szCs w:val="20"/>
        </w:rPr>
        <w:t>Results indicate</w:t>
      </w:r>
      <w:r>
        <w:rPr>
          <w:szCs w:val="20"/>
        </w:rPr>
        <w:t xml:space="preserve"> that </w:t>
      </w:r>
      <w:r w:rsidRPr="000955BD">
        <w:rPr>
          <w:szCs w:val="20"/>
        </w:rPr>
        <w:t>single infusion of axicabtagene</w:t>
      </w:r>
      <w:r>
        <w:rPr>
          <w:szCs w:val="20"/>
        </w:rPr>
        <w:t xml:space="preserve"> </w:t>
      </w:r>
      <w:r w:rsidRPr="000955BD">
        <w:rPr>
          <w:szCs w:val="20"/>
        </w:rPr>
        <w:t>ciloleucel achieved durable responses lasting more than</w:t>
      </w:r>
      <w:r>
        <w:rPr>
          <w:szCs w:val="20"/>
        </w:rPr>
        <w:t xml:space="preserve"> </w:t>
      </w:r>
      <w:r w:rsidRPr="000955BD">
        <w:rPr>
          <w:szCs w:val="20"/>
        </w:rPr>
        <w:t>2 years and needed no further consolidation therapy.</w:t>
      </w:r>
      <w:r>
        <w:rPr>
          <w:szCs w:val="20"/>
        </w:rPr>
        <w:t xml:space="preserve"> </w:t>
      </w:r>
      <w:r w:rsidRPr="000955BD">
        <w:rPr>
          <w:szCs w:val="20"/>
        </w:rPr>
        <w:t>Additionally, in this population of patients refractory</w:t>
      </w:r>
      <w:r>
        <w:rPr>
          <w:szCs w:val="20"/>
        </w:rPr>
        <w:t xml:space="preserve"> </w:t>
      </w:r>
      <w:r w:rsidRPr="000955BD">
        <w:rPr>
          <w:szCs w:val="20"/>
        </w:rPr>
        <w:t>to several lines of treatment, which included a large</w:t>
      </w:r>
      <w:r>
        <w:rPr>
          <w:szCs w:val="20"/>
        </w:rPr>
        <w:t xml:space="preserve"> </w:t>
      </w:r>
      <w:r w:rsidRPr="000955BD">
        <w:rPr>
          <w:szCs w:val="20"/>
        </w:rPr>
        <w:t>proportion of patents with activated B-cell-like, double</w:t>
      </w:r>
      <w:r>
        <w:rPr>
          <w:szCs w:val="20"/>
        </w:rPr>
        <w:t xml:space="preserve"> </w:t>
      </w:r>
      <w:r w:rsidRPr="000955BD">
        <w:rPr>
          <w:szCs w:val="20"/>
        </w:rPr>
        <w:t>expressor, and high-grade B-cell lymphoma, outcomes</w:t>
      </w:r>
      <w:r>
        <w:rPr>
          <w:szCs w:val="20"/>
        </w:rPr>
        <w:t xml:space="preserve"> </w:t>
      </w:r>
      <w:r w:rsidRPr="000955BD">
        <w:rPr>
          <w:szCs w:val="20"/>
        </w:rPr>
        <w:t>were similar across all patient subgroups. Median overall</w:t>
      </w:r>
      <w:r>
        <w:rPr>
          <w:szCs w:val="20"/>
        </w:rPr>
        <w:t xml:space="preserve"> </w:t>
      </w:r>
      <w:r w:rsidRPr="000955BD">
        <w:rPr>
          <w:szCs w:val="20"/>
        </w:rPr>
        <w:t>survival was not yet reached at 2 years, with an estimated</w:t>
      </w:r>
      <w:r>
        <w:rPr>
          <w:szCs w:val="20"/>
        </w:rPr>
        <w:t xml:space="preserve"> </w:t>
      </w:r>
      <w:r w:rsidRPr="000955BD">
        <w:rPr>
          <w:szCs w:val="20"/>
        </w:rPr>
        <w:t>24-month survival proportion of 50</w:t>
      </w:r>
      <w:r w:rsidR="00F73B53">
        <w:rPr>
          <w:szCs w:val="20"/>
        </w:rPr>
        <w:t>.</w:t>
      </w:r>
      <w:r w:rsidRPr="000955BD">
        <w:rPr>
          <w:szCs w:val="20"/>
        </w:rPr>
        <w:t>5% (95% CI</w:t>
      </w:r>
      <w:r>
        <w:rPr>
          <w:szCs w:val="20"/>
        </w:rPr>
        <w:t xml:space="preserve"> </w:t>
      </w:r>
      <w:r w:rsidRPr="000955BD">
        <w:rPr>
          <w:szCs w:val="20"/>
        </w:rPr>
        <w:t>40</w:t>
      </w:r>
      <w:r w:rsidR="00F73B53">
        <w:rPr>
          <w:szCs w:val="20"/>
        </w:rPr>
        <w:t>.</w:t>
      </w:r>
      <w:r w:rsidRPr="000955BD">
        <w:rPr>
          <w:szCs w:val="20"/>
        </w:rPr>
        <w:t>2–59</w:t>
      </w:r>
      <w:r w:rsidR="00F73B53">
        <w:rPr>
          <w:szCs w:val="20"/>
        </w:rPr>
        <w:t>.</w:t>
      </w:r>
      <w:r w:rsidRPr="000955BD">
        <w:rPr>
          <w:szCs w:val="20"/>
        </w:rPr>
        <w:t>7)</w:t>
      </w:r>
      <w:r w:rsidR="00066DF9">
        <w:rPr>
          <w:szCs w:val="20"/>
        </w:rPr>
        <w:t xml:space="preserve"> (Locke et al, 2018)</w:t>
      </w:r>
      <w:r w:rsidRPr="000955BD">
        <w:rPr>
          <w:szCs w:val="20"/>
        </w:rPr>
        <w:t xml:space="preserve">. </w:t>
      </w:r>
    </w:p>
    <w:p w14:paraId="1D9DAE3A" w14:textId="77777777" w:rsidR="009B669B" w:rsidRDefault="009B669B" w:rsidP="009B669B">
      <w:pPr>
        <w:ind w:left="426"/>
        <w:rPr>
          <w:szCs w:val="20"/>
          <w:lang w:val="en-GB"/>
        </w:rPr>
      </w:pPr>
      <w:r w:rsidRPr="009B669B">
        <w:rPr>
          <w:szCs w:val="20"/>
          <w:lang w:val="en-GB"/>
        </w:rPr>
        <w:t xml:space="preserve">In contrast, the current standard of care in patients with relapsed/refractory DLBCL, PMBCL and TFL who are ineligible for ASCT affords a median OS of </w:t>
      </w:r>
      <w:r w:rsidR="00477CE0">
        <w:rPr>
          <w:szCs w:val="20"/>
          <w:lang w:val="en-GB"/>
        </w:rPr>
        <w:t>5.1</w:t>
      </w:r>
      <w:r w:rsidRPr="009B669B">
        <w:rPr>
          <w:szCs w:val="20"/>
          <w:lang w:val="en-GB"/>
        </w:rPr>
        <w:t xml:space="preserve"> months (Crump et al, 2017). </w:t>
      </w:r>
      <w:r w:rsidR="00477CE0">
        <w:rPr>
          <w:szCs w:val="20"/>
        </w:rPr>
        <w:t>A</w:t>
      </w:r>
      <w:r w:rsidRPr="000572D8">
        <w:rPr>
          <w:szCs w:val="20"/>
        </w:rPr>
        <w:t xml:space="preserve">xicabtagene </w:t>
      </w:r>
      <w:r>
        <w:rPr>
          <w:szCs w:val="20"/>
        </w:rPr>
        <w:t>ciloleucel</w:t>
      </w:r>
      <w:r w:rsidRPr="009B669B">
        <w:rPr>
          <w:szCs w:val="20"/>
          <w:lang w:val="en-GB"/>
        </w:rPr>
        <w:t xml:space="preserve"> therefore provides a significant step change improvement in survival of patients with relapsed/refractory DLBCL, PMBCL and TFL who are ineligible for ASCT, </w:t>
      </w:r>
      <w:r w:rsidR="00F373C0">
        <w:t>redacted</w:t>
      </w:r>
      <w:r w:rsidRPr="009B669B">
        <w:rPr>
          <w:szCs w:val="20"/>
          <w:lang w:val="en-GB"/>
        </w:rPr>
        <w:t>, and a lower confidence interval for OS that is already 5.7 months longer than that provided by the standard of care (Kite, 2017</w:t>
      </w:r>
      <w:r w:rsidR="00FA48AB">
        <w:rPr>
          <w:szCs w:val="20"/>
          <w:lang w:val="en-GB"/>
        </w:rPr>
        <w:t>A</w:t>
      </w:r>
      <w:r w:rsidRPr="009B669B">
        <w:rPr>
          <w:szCs w:val="20"/>
          <w:lang w:val="en-GB"/>
        </w:rPr>
        <w:t>; Neelapu et al, 2017B).</w:t>
      </w:r>
    </w:p>
    <w:p w14:paraId="4531A064" w14:textId="77777777" w:rsidR="004F32D8" w:rsidRDefault="004F32D8" w:rsidP="004F32D8">
      <w:pPr>
        <w:ind w:left="426"/>
        <w:rPr>
          <w:szCs w:val="20"/>
          <w:lang w:val="en-GB"/>
        </w:rPr>
      </w:pPr>
      <w:r w:rsidRPr="004F32D8">
        <w:rPr>
          <w:szCs w:val="20"/>
          <w:lang w:val="en-GB"/>
        </w:rPr>
        <w:t>The safety profile is well understood, with established protocols in place to manage adverse events, to ensure an acceptable risk-benefit ratio for the indicated population of already very ill patients (Kite, 2017</w:t>
      </w:r>
      <w:r w:rsidR="005401E8">
        <w:rPr>
          <w:szCs w:val="20"/>
          <w:lang w:val="en-GB"/>
        </w:rPr>
        <w:t>A</w:t>
      </w:r>
      <w:r w:rsidRPr="004F32D8">
        <w:rPr>
          <w:szCs w:val="20"/>
          <w:lang w:val="en-GB"/>
        </w:rPr>
        <w:t xml:space="preserve">; Neelapu et al, 2017B). </w:t>
      </w:r>
      <w:r w:rsidR="00F373C0">
        <w:t>Redacted</w:t>
      </w:r>
      <w:r w:rsidRPr="004F32D8">
        <w:rPr>
          <w:szCs w:val="20"/>
          <w:lang w:val="en-GB"/>
        </w:rPr>
        <w:t>.</w:t>
      </w:r>
    </w:p>
    <w:p w14:paraId="1BE2F472" w14:textId="77777777" w:rsidR="00066DF9" w:rsidRPr="0090748F" w:rsidRDefault="00066DF9" w:rsidP="0090748F">
      <w:pPr>
        <w:ind w:left="426"/>
        <w:rPr>
          <w:szCs w:val="20"/>
        </w:rPr>
      </w:pPr>
      <w:r>
        <w:rPr>
          <w:szCs w:val="20"/>
          <w:lang w:val="en-GB"/>
        </w:rPr>
        <w:t xml:space="preserve">The 2 year follow up study with </w:t>
      </w:r>
      <w:r w:rsidRPr="00E76171">
        <w:rPr>
          <w:rFonts w:ascii="Shaker2Lancet-Regular" w:hAnsi="Shaker2Lancet-Regular" w:cs="Shaker2Lancet-Regular"/>
          <w:szCs w:val="20"/>
        </w:rPr>
        <w:t xml:space="preserve">median follow up </w:t>
      </w:r>
      <w:r>
        <w:rPr>
          <w:rFonts w:ascii="Shaker2Lancet-Regular" w:hAnsi="Shaker2Lancet-Regular" w:cs="Shaker2Lancet-Regular"/>
          <w:szCs w:val="20"/>
        </w:rPr>
        <w:t xml:space="preserve">of </w:t>
      </w:r>
      <w:r w:rsidRPr="00E76171">
        <w:rPr>
          <w:rFonts w:ascii="Shaker2Lancet-Regular" w:hAnsi="Shaker2Lancet-Regular" w:cs="Shaker2Lancet-Regular"/>
          <w:szCs w:val="20"/>
        </w:rPr>
        <w:t>27</w:t>
      </w:r>
      <w:r w:rsidR="00F73B53">
        <w:rPr>
          <w:rFonts w:ascii="Shaker2Lancet-Regular" w:hAnsi="Shaker2Lancet-Regular" w:cs="Shaker2Lancet-Regular"/>
          <w:szCs w:val="20"/>
        </w:rPr>
        <w:t>.</w:t>
      </w:r>
      <w:r w:rsidRPr="00E76171">
        <w:rPr>
          <w:rFonts w:ascii="Shaker2Lancet-Regular" w:hAnsi="Shaker2Lancet-Regular" w:cs="Shaker2Lancet-Regular"/>
          <w:szCs w:val="20"/>
        </w:rPr>
        <w:t>1 months</w:t>
      </w:r>
      <w:r>
        <w:rPr>
          <w:rFonts w:ascii="Shaker2Lancet-Regular" w:hAnsi="Shaker2Lancet-Regular" w:cs="Shaker2Lancet-Regular"/>
          <w:szCs w:val="20"/>
        </w:rPr>
        <w:t xml:space="preserve"> </w:t>
      </w:r>
      <w:r>
        <w:rPr>
          <w:szCs w:val="20"/>
          <w:lang w:val="en-GB"/>
        </w:rPr>
        <w:t>showed that a</w:t>
      </w:r>
      <w:r w:rsidRPr="000955BD">
        <w:rPr>
          <w:szCs w:val="20"/>
        </w:rPr>
        <w:t>xicabtagene ciloleucel had a manageable 2-year safety</w:t>
      </w:r>
      <w:r>
        <w:rPr>
          <w:szCs w:val="20"/>
        </w:rPr>
        <w:t xml:space="preserve"> </w:t>
      </w:r>
      <w:r w:rsidRPr="000955BD">
        <w:rPr>
          <w:szCs w:val="20"/>
        </w:rPr>
        <w:t>profile, and late-onset serious adverse events were</w:t>
      </w:r>
      <w:r>
        <w:rPr>
          <w:szCs w:val="20"/>
        </w:rPr>
        <w:t xml:space="preserve"> </w:t>
      </w:r>
      <w:r w:rsidRPr="000955BD">
        <w:rPr>
          <w:szCs w:val="20"/>
        </w:rPr>
        <w:t>uncommon. Importantly, despite targeting of CD19 and</w:t>
      </w:r>
      <w:r>
        <w:rPr>
          <w:szCs w:val="20"/>
        </w:rPr>
        <w:t xml:space="preserve"> </w:t>
      </w:r>
      <w:r w:rsidRPr="000955BD">
        <w:rPr>
          <w:szCs w:val="20"/>
        </w:rPr>
        <w:t>the expected induction of B-cell aplasia, the frequency of</w:t>
      </w:r>
      <w:r>
        <w:rPr>
          <w:szCs w:val="20"/>
        </w:rPr>
        <w:t xml:space="preserve"> </w:t>
      </w:r>
      <w:r w:rsidRPr="000955BD">
        <w:rPr>
          <w:szCs w:val="20"/>
        </w:rPr>
        <w:t>late-onset grade 3 or worse serious infections was low</w:t>
      </w:r>
      <w:r>
        <w:rPr>
          <w:szCs w:val="20"/>
        </w:rPr>
        <w:t xml:space="preserve"> (Locke et al, 2018). </w:t>
      </w:r>
    </w:p>
    <w:p w14:paraId="6CC88444" w14:textId="77777777" w:rsidR="00477CE0" w:rsidRPr="007544FA" w:rsidRDefault="00477CE0" w:rsidP="00477CE0">
      <w:pPr>
        <w:ind w:left="426"/>
      </w:pPr>
      <w:r>
        <w:t>In terms of comparison with historical controls, t</w:t>
      </w:r>
      <w:r w:rsidRPr="007544FA">
        <w:t xml:space="preserve">o provide context to the interpretation of results from ZUMA-1, the results of ZUMA-1 are compared with the results of the aforementioned SCHOLAR-1 study (Crump et al, 2017), a patient-level pooled analysis of a population of refractory DLBCL/PMBCL/TFL patients. This population was chosen to match that of the ZUMA-1 patient population with the comparison conducted after adjusting for imbalances in a broader set of prognostic factors. </w:t>
      </w:r>
    </w:p>
    <w:p w14:paraId="63871026" w14:textId="77777777" w:rsidR="007544FA" w:rsidRPr="007544FA" w:rsidRDefault="004F32D8" w:rsidP="007544FA">
      <w:pPr>
        <w:ind w:left="426"/>
        <w:rPr>
          <w:szCs w:val="20"/>
        </w:rPr>
      </w:pPr>
      <w:r>
        <w:t>In summary, c</w:t>
      </w:r>
      <w:r w:rsidR="007544FA" w:rsidRPr="007544FA">
        <w:t xml:space="preserve">ompared with the historical standard of care, treatment with </w:t>
      </w:r>
      <w:r w:rsidR="007544FA" w:rsidRPr="007544FA">
        <w:rPr>
          <w:szCs w:val="20"/>
        </w:rPr>
        <w:t>axicabtagene ciloleucel was estimated to have:</w:t>
      </w:r>
    </w:p>
    <w:p w14:paraId="4F836DED" w14:textId="77777777" w:rsidR="007544FA" w:rsidRPr="007544FA" w:rsidRDefault="007544FA" w:rsidP="007544FA">
      <w:pPr>
        <w:pStyle w:val="ListParagraph"/>
        <w:numPr>
          <w:ilvl w:val="0"/>
          <w:numId w:val="39"/>
        </w:numPr>
        <w:rPr>
          <w:szCs w:val="20"/>
        </w:rPr>
      </w:pPr>
      <w:r w:rsidRPr="007544FA">
        <w:rPr>
          <w:szCs w:val="20"/>
        </w:rPr>
        <w:t xml:space="preserve">~5-fold increase in </w:t>
      </w:r>
      <w:r w:rsidR="00747B27">
        <w:rPr>
          <w:szCs w:val="20"/>
        </w:rPr>
        <w:t>complete response (</w:t>
      </w:r>
      <w:r w:rsidRPr="007544FA">
        <w:rPr>
          <w:szCs w:val="20"/>
        </w:rPr>
        <w:t>CR</w:t>
      </w:r>
      <w:r w:rsidR="00747B27">
        <w:rPr>
          <w:szCs w:val="20"/>
        </w:rPr>
        <w:t>)</w:t>
      </w:r>
      <w:r w:rsidRPr="007544FA">
        <w:rPr>
          <w:szCs w:val="20"/>
        </w:rPr>
        <w:t xml:space="preserve"> rate</w:t>
      </w:r>
    </w:p>
    <w:p w14:paraId="001CFB10" w14:textId="77777777" w:rsidR="007544FA" w:rsidRPr="007544FA" w:rsidRDefault="007544FA" w:rsidP="007544FA">
      <w:pPr>
        <w:pStyle w:val="ListParagraph"/>
        <w:numPr>
          <w:ilvl w:val="0"/>
          <w:numId w:val="39"/>
        </w:numPr>
        <w:rPr>
          <w:szCs w:val="20"/>
        </w:rPr>
      </w:pPr>
      <w:r w:rsidRPr="007544FA">
        <w:rPr>
          <w:szCs w:val="20"/>
        </w:rPr>
        <w:t>72% reduction in the risk of death</w:t>
      </w:r>
    </w:p>
    <w:p w14:paraId="72D83FBE" w14:textId="77777777" w:rsidR="007544FA" w:rsidRPr="00E76171" w:rsidRDefault="007544FA" w:rsidP="007544FA">
      <w:pPr>
        <w:pStyle w:val="ListParagraph"/>
        <w:numPr>
          <w:ilvl w:val="0"/>
          <w:numId w:val="39"/>
        </w:numPr>
      </w:pPr>
      <w:r w:rsidRPr="007544FA">
        <w:rPr>
          <w:szCs w:val="20"/>
        </w:rPr>
        <w:t xml:space="preserve">~3 fold higher </w:t>
      </w:r>
      <w:r w:rsidR="004C61D5" w:rsidRPr="007544FA">
        <w:rPr>
          <w:szCs w:val="20"/>
        </w:rPr>
        <w:t>12-month</w:t>
      </w:r>
      <w:r w:rsidRPr="007544FA">
        <w:rPr>
          <w:szCs w:val="20"/>
        </w:rPr>
        <w:t xml:space="preserve"> </w:t>
      </w:r>
      <w:r w:rsidR="00A03438">
        <w:rPr>
          <w:szCs w:val="20"/>
        </w:rPr>
        <w:t>overall response (</w:t>
      </w:r>
      <w:r w:rsidRPr="007544FA">
        <w:rPr>
          <w:szCs w:val="20"/>
        </w:rPr>
        <w:t>OS</w:t>
      </w:r>
      <w:r w:rsidR="00A03438">
        <w:rPr>
          <w:szCs w:val="20"/>
        </w:rPr>
        <w:t>)</w:t>
      </w:r>
      <w:r w:rsidRPr="007544FA">
        <w:rPr>
          <w:szCs w:val="20"/>
        </w:rPr>
        <w:t xml:space="preserve"> rate (Neelapu et al; 2017</w:t>
      </w:r>
      <w:r w:rsidR="00AF2219">
        <w:rPr>
          <w:szCs w:val="20"/>
        </w:rPr>
        <w:t>C</w:t>
      </w:r>
      <w:r w:rsidRPr="007544FA">
        <w:rPr>
          <w:szCs w:val="20"/>
        </w:rPr>
        <w:t>)</w:t>
      </w:r>
    </w:p>
    <w:p w14:paraId="6D125F4C"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4DED7D3" w14:textId="77777777" w:rsidR="001B29A1" w:rsidRPr="001B29A1" w:rsidRDefault="004B72CA" w:rsidP="001B29A1">
      <w:pPr>
        <w:spacing w:before="0" w:after="0"/>
        <w:ind w:left="426"/>
        <w:rPr>
          <w:szCs w:val="20"/>
        </w:rPr>
      </w:pPr>
      <w:r>
        <w:rPr>
          <w:szCs w:val="20"/>
        </w:rPr>
        <w:fldChar w:fldCharType="begin">
          <w:ffData>
            <w:name w:val=""/>
            <w:enabled/>
            <w:calcOnExit w:val="0"/>
            <w:checkBox>
              <w:sizeAuto/>
              <w:default w:val="1"/>
            </w:checkBox>
          </w:ffData>
        </w:fldChar>
      </w:r>
      <w:r w:rsidR="00402D6E">
        <w:rPr>
          <w:szCs w:val="20"/>
        </w:rPr>
        <w:instrText xml:space="preserve"> FORMCHECKBOX </w:instrText>
      </w:r>
      <w:r w:rsidR="003136F9">
        <w:rPr>
          <w:szCs w:val="20"/>
        </w:rPr>
      </w:r>
      <w:r w:rsidR="003136F9">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40AA52D" w14:textId="77777777" w:rsidR="004E3CC7" w:rsidRPr="001B29A1" w:rsidRDefault="004B72CA"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001B29A1"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1B29A1" w:rsidRPr="001B29A1">
        <w:rPr>
          <w:szCs w:val="20"/>
        </w:rPr>
        <w:t xml:space="preserve"> Non-inferiority</w:t>
      </w:r>
      <w:r w:rsidR="001B29A1" w:rsidRPr="001B29A1">
        <w:rPr>
          <w:szCs w:val="20"/>
        </w:rPr>
        <w:tab/>
      </w:r>
    </w:p>
    <w:p w14:paraId="476F7C00"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AF4DEE0" w14:textId="77777777" w:rsidR="001B29A1" w:rsidRDefault="001B29A1" w:rsidP="00DD3501">
      <w:pPr>
        <w:pBdr>
          <w:top w:val="single" w:sz="4" w:space="1" w:color="auto"/>
          <w:left w:val="single" w:sz="4" w:space="4" w:color="auto"/>
          <w:bottom w:val="single" w:sz="4" w:space="1" w:color="auto"/>
          <w:right w:val="single" w:sz="4" w:space="4" w:color="auto"/>
        </w:pBdr>
        <w:ind w:left="360"/>
      </w:pPr>
      <w:r w:rsidRPr="001B29A1">
        <w:rPr>
          <w:b/>
          <w:szCs w:val="20"/>
        </w:rPr>
        <w:t>Clinical Effectiveness Outcomes</w:t>
      </w:r>
      <w:r>
        <w:rPr>
          <w:b/>
          <w:szCs w:val="20"/>
        </w:rPr>
        <w:t xml:space="preserve">: </w:t>
      </w:r>
      <w:r w:rsidR="00AF421A">
        <w:t xml:space="preserve">Objective Response Rate (ORR), </w:t>
      </w:r>
      <w:r w:rsidR="00F3599B">
        <w:t xml:space="preserve">complete response (CR) rate, </w:t>
      </w:r>
      <w:r w:rsidR="00AF421A">
        <w:t>Progression Free Survival (PFS), Overall Survival (OS)</w:t>
      </w:r>
      <w:r w:rsidR="00925A93">
        <w:t xml:space="preserve">, duration of response (DOR) </w:t>
      </w:r>
    </w:p>
    <w:p w14:paraId="3F16E6CE" w14:textId="77777777" w:rsidR="005C0AB9" w:rsidRPr="001D4FA2" w:rsidRDefault="005C0AB9" w:rsidP="00DD3501">
      <w:pPr>
        <w:pBdr>
          <w:top w:val="single" w:sz="4" w:space="1" w:color="auto"/>
          <w:left w:val="single" w:sz="4" w:space="4" w:color="auto"/>
          <w:bottom w:val="single" w:sz="4" w:space="1" w:color="auto"/>
          <w:right w:val="single" w:sz="4" w:space="4" w:color="auto"/>
        </w:pBdr>
        <w:ind w:left="360"/>
        <w:rPr>
          <w:bCs/>
          <w:sz w:val="40"/>
          <w:szCs w:val="32"/>
        </w:rPr>
      </w:pPr>
      <w:r w:rsidRPr="001B29A1">
        <w:rPr>
          <w:b/>
          <w:szCs w:val="20"/>
        </w:rPr>
        <w:t>Safety Outcomes</w:t>
      </w:r>
      <w:r>
        <w:rPr>
          <w:b/>
          <w:szCs w:val="20"/>
        </w:rPr>
        <w:t xml:space="preserve">: </w:t>
      </w:r>
      <w:r>
        <w:t xml:space="preserve">Rate of adverse events (AEs) and serious adverse events (SAEs), events of special interest, AEs due to </w:t>
      </w:r>
      <w:r w:rsidRPr="001D4FA2">
        <w:t>medications, neurotoxicity, infections, secondary cancers</w:t>
      </w:r>
      <w:r w:rsidRPr="001D4FA2">
        <w:rPr>
          <w:shd w:val="clear" w:color="auto" w:fill="FFFFFF"/>
        </w:rPr>
        <w:t>, blood levels of CAR T-cells and serum cytokines.</w:t>
      </w:r>
    </w:p>
    <w:p w14:paraId="6CA145D9" w14:textId="77777777" w:rsidR="00DD3501" w:rsidRPr="001D4FA2" w:rsidRDefault="00DD3501">
      <w:pPr>
        <w:spacing w:before="0" w:after="200" w:line="276" w:lineRule="auto"/>
        <w:rPr>
          <w:bCs/>
          <w:sz w:val="40"/>
          <w:szCs w:val="32"/>
        </w:rPr>
      </w:pPr>
      <w:r w:rsidRPr="001D4FA2">
        <w:br w:type="page"/>
      </w:r>
    </w:p>
    <w:p w14:paraId="02018DF2" w14:textId="77777777" w:rsidR="00C776B1" w:rsidRPr="00C776B1" w:rsidRDefault="005C3AE7" w:rsidP="00092580">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0AF36FD"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2CDD32A0" w14:textId="77777777" w:rsidR="00D8133F" w:rsidRPr="00D8133F" w:rsidRDefault="00F373C0" w:rsidP="0090748F">
      <w:pPr>
        <w:ind w:left="284" w:firstLine="76"/>
        <w:rPr>
          <w:szCs w:val="20"/>
        </w:rPr>
      </w:pPr>
      <w:r>
        <w:t>Redacted</w:t>
      </w:r>
      <w:r w:rsidR="00D8133F">
        <w:rPr>
          <w:bCs/>
          <w:szCs w:val="20"/>
        </w:rPr>
        <w:t xml:space="preserve">. </w:t>
      </w:r>
    </w:p>
    <w:p w14:paraId="3CEBDCC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F8157B2" w14:textId="77777777" w:rsidR="00382407" w:rsidRPr="00154B00" w:rsidRDefault="00854720" w:rsidP="00175C5E">
      <w:pPr>
        <w:ind w:firstLine="360"/>
        <w:rPr>
          <w:szCs w:val="20"/>
        </w:rPr>
      </w:pPr>
      <w:r>
        <w:t>The proposed therapy is a single infusion per</w:t>
      </w:r>
      <w:r w:rsidR="00D05104">
        <w:t xml:space="preserve"> lifetime</w:t>
      </w:r>
      <w:r>
        <w:t>.</w:t>
      </w:r>
    </w:p>
    <w:p w14:paraId="600E113E"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6B85F9A" w14:textId="77777777" w:rsidR="00382407" w:rsidRPr="00154B00" w:rsidRDefault="00854720" w:rsidP="00175C5E">
      <w:pPr>
        <w:ind w:firstLine="357"/>
        <w:rPr>
          <w:b/>
          <w:szCs w:val="20"/>
        </w:rPr>
      </w:pPr>
      <w:r>
        <w:t>The proposed therapy is a single infusion per lifetime</w:t>
      </w:r>
      <w:r w:rsidR="004F32D8">
        <w:t>.</w:t>
      </w:r>
    </w:p>
    <w:p w14:paraId="3A3855E3" w14:textId="77777777" w:rsidR="00D970A6" w:rsidRPr="00D970A6" w:rsidRDefault="000E47E7" w:rsidP="00D970A6">
      <w:pPr>
        <w:pStyle w:val="Heading2"/>
        <w:ind w:left="357"/>
        <w:contextualSpacing w:val="0"/>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E43AF1F" w14:textId="77777777" w:rsidR="005C3079" w:rsidRDefault="00F373C0" w:rsidP="00D970A6">
      <w:pPr>
        <w:pStyle w:val="Heading2"/>
        <w:numPr>
          <w:ilvl w:val="0"/>
          <w:numId w:val="0"/>
        </w:numPr>
        <w:ind w:left="357"/>
        <w:contextualSpacing w:val="0"/>
      </w:pPr>
      <w:r w:rsidRPr="00613E1C">
        <w:rPr>
          <w:b w:val="0"/>
        </w:rPr>
        <w:t>Redacted</w:t>
      </w:r>
      <w:r w:rsidR="003F0323" w:rsidRPr="003F0323">
        <w:rPr>
          <w:b w:val="0"/>
          <w:szCs w:val="22"/>
        </w:rPr>
        <w:t xml:space="preserve">. </w:t>
      </w:r>
    </w:p>
    <w:p w14:paraId="25A200F2" w14:textId="77777777" w:rsidR="00974D50" w:rsidRPr="00154B00" w:rsidRDefault="005A58BA" w:rsidP="00B067FC">
      <w:pPr>
        <w:pStyle w:val="Heading2"/>
        <w:keepNext/>
        <w:keepLines/>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30AFEBB" w14:textId="77777777" w:rsidR="003433D1" w:rsidRDefault="00F373C0" w:rsidP="00B067FC">
      <w:pPr>
        <w:keepNext/>
        <w:keepLines/>
        <w:ind w:firstLine="360"/>
        <w:rPr>
          <w:b/>
          <w:sz w:val="32"/>
          <w:szCs w:val="32"/>
        </w:rPr>
      </w:pPr>
      <w:r>
        <w:t>Redacted</w:t>
      </w:r>
      <w:r w:rsidR="00E16596" w:rsidRPr="00DD3501">
        <w:rPr>
          <w:szCs w:val="32"/>
        </w:rPr>
        <w:t xml:space="preserve">. </w:t>
      </w:r>
      <w:r w:rsidR="003433D1">
        <w:rPr>
          <w:b/>
          <w:sz w:val="32"/>
          <w:szCs w:val="32"/>
        </w:rPr>
        <w:br w:type="page"/>
      </w:r>
    </w:p>
    <w:p w14:paraId="67DB3C53"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60A627AC"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14CE46C" w14:textId="77777777" w:rsidR="00422750" w:rsidRPr="00422750" w:rsidRDefault="00854720" w:rsidP="0090748F">
      <w:pPr>
        <w:ind w:left="360"/>
      </w:pPr>
      <w:r>
        <w:t xml:space="preserve">The cost of providing the proposed medical service is multi-factorial and not yet fully defined. Further information regarding </w:t>
      </w:r>
      <w:r w:rsidR="00415338">
        <w:t>costs</w:t>
      </w:r>
      <w:r>
        <w:t xml:space="preserve"> will be provided </w:t>
      </w:r>
      <w:r w:rsidR="00625BF8">
        <w:t>in the submission</w:t>
      </w:r>
      <w:r>
        <w:t>.</w:t>
      </w:r>
    </w:p>
    <w:p w14:paraId="5DE3F58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0D4E096B" w14:textId="77777777" w:rsidR="005653FD" w:rsidRDefault="00F373C0" w:rsidP="0090748F">
      <w:pPr>
        <w:ind w:firstLine="360"/>
        <w:rPr>
          <w:szCs w:val="20"/>
        </w:rPr>
      </w:pPr>
      <w:r>
        <w:t>Redacted</w:t>
      </w:r>
      <w:r w:rsidR="005653FD">
        <w:rPr>
          <w:szCs w:val="20"/>
        </w:rPr>
        <w:t>.</w:t>
      </w:r>
    </w:p>
    <w:p w14:paraId="05CC0027" w14:textId="77777777" w:rsidR="00707D4D" w:rsidRDefault="004C61D5" w:rsidP="00530204">
      <w:pPr>
        <w:pStyle w:val="Heading2"/>
      </w:pPr>
      <w:r>
        <w:t>I</w:t>
      </w:r>
      <w:r w:rsidR="0054192F">
        <w:t xml:space="preserve">f public funding is sought through the MBS, please draft a proposed MBS item descriptor to define the population and medical </w:t>
      </w:r>
      <w:r w:rsidR="0054192F" w:rsidRPr="00AE1188">
        <w:t>service</w:t>
      </w:r>
      <w:r w:rsidR="0054192F">
        <w:t xml:space="preserve"> usage characteristics that would define eligibility for MBS funding.</w:t>
      </w:r>
    </w:p>
    <w:p w14:paraId="7E2E8712" w14:textId="77777777" w:rsidR="00AE2DCC" w:rsidRPr="00AE2DCC" w:rsidRDefault="00AE2DCC" w:rsidP="0090748F">
      <w:pPr>
        <w:ind w:firstLine="360"/>
      </w:pPr>
      <w:r>
        <w:t xml:space="preserve">Not applicable. </w:t>
      </w:r>
    </w:p>
    <w:p w14:paraId="5A00B280" w14:textId="77777777" w:rsidR="00AE1188" w:rsidRPr="00AE1188" w:rsidRDefault="00AE1188" w:rsidP="0090748F">
      <w:pPr>
        <w:pBdr>
          <w:top w:val="single" w:sz="4" w:space="1" w:color="auto"/>
          <w:left w:val="single" w:sz="4" w:space="0" w:color="auto"/>
          <w:bottom w:val="single" w:sz="4" w:space="1" w:color="auto"/>
          <w:right w:val="single" w:sz="4" w:space="4" w:color="auto"/>
          <w:between w:val="single" w:sz="4" w:space="1" w:color="auto"/>
          <w:bar w:val="single" w:sz="4" w:color="auto"/>
        </w:pBdr>
        <w:rPr>
          <w:szCs w:val="20"/>
        </w:rPr>
      </w:pPr>
      <w:r>
        <w:rPr>
          <w:szCs w:val="20"/>
        </w:rPr>
        <w:t xml:space="preserve">Category </w:t>
      </w:r>
      <w:r w:rsidR="004B72CA">
        <w:fldChar w:fldCharType="begin">
          <w:ffData>
            <w:name w:val=""/>
            <w:enabled/>
            <w:calcOnExit w:val="0"/>
            <w:textInput>
              <w:default w:val="(insert proposed category number here)"/>
            </w:textInput>
          </w:ffData>
        </w:fldChar>
      </w:r>
      <w:r>
        <w:instrText xml:space="preserve"> FORMTEXT </w:instrText>
      </w:r>
      <w:r w:rsidR="004B72CA">
        <w:fldChar w:fldCharType="separate"/>
      </w:r>
      <w:r>
        <w:rPr>
          <w:noProof/>
        </w:rPr>
        <w:t>(insert proposed category number here)</w:t>
      </w:r>
      <w:r w:rsidR="004B72CA">
        <w:fldChar w:fldCharType="end"/>
      </w:r>
      <w:r w:rsidRPr="00AE1188">
        <w:rPr>
          <w:szCs w:val="20"/>
        </w:rPr>
        <w:t xml:space="preserve"> – </w:t>
      </w:r>
      <w:r w:rsidR="004B72CA">
        <w:fldChar w:fldCharType="begin">
          <w:ffData>
            <w:name w:val=""/>
            <w:enabled/>
            <w:calcOnExit w:val="0"/>
            <w:textInput>
              <w:default w:val="(insert proposed category description here)"/>
            </w:textInput>
          </w:ffData>
        </w:fldChar>
      </w:r>
      <w:r>
        <w:instrText xml:space="preserve"> FORMTEXT </w:instrText>
      </w:r>
      <w:r w:rsidR="004B72CA">
        <w:fldChar w:fldCharType="separate"/>
      </w:r>
      <w:r>
        <w:rPr>
          <w:noProof/>
        </w:rPr>
        <w:t>(insert proposed category description here)</w:t>
      </w:r>
      <w:r w:rsidR="004B72CA">
        <w:fldChar w:fldCharType="end"/>
      </w:r>
      <w:r w:rsidRPr="00AE1188">
        <w:rPr>
          <w:szCs w:val="20"/>
        </w:rPr>
        <w:t xml:space="preserve"> </w:t>
      </w:r>
    </w:p>
    <w:p w14:paraId="3601A153" w14:textId="77777777" w:rsidR="00AE1188" w:rsidRPr="00AE1188" w:rsidRDefault="00AE1188" w:rsidP="00194C97">
      <w:pPr>
        <w:pBdr>
          <w:top w:val="single" w:sz="4" w:space="1" w:color="auto"/>
          <w:left w:val="single" w:sz="4" w:space="0" w:color="auto"/>
          <w:bottom w:val="single" w:sz="4" w:space="1" w:color="auto"/>
          <w:right w:val="single" w:sz="4" w:space="4" w:color="auto"/>
        </w:pBdr>
        <w:spacing w:before="360"/>
        <w:rPr>
          <w:szCs w:val="20"/>
        </w:rPr>
      </w:pPr>
      <w:r w:rsidRPr="00AE1188">
        <w:rPr>
          <w:szCs w:val="20"/>
        </w:rPr>
        <w:t>Proposed item descriptor</w:t>
      </w:r>
      <w:r>
        <w:rPr>
          <w:szCs w:val="20"/>
        </w:rPr>
        <w:t xml:space="preserve">: </w:t>
      </w:r>
      <w:r w:rsidR="004B72CA">
        <w:fldChar w:fldCharType="begin">
          <w:ffData>
            <w:name w:val=""/>
            <w:enabled/>
            <w:calcOnExit w:val="0"/>
            <w:textInput>
              <w:default w:val="insert proposed item descriptor here"/>
            </w:textInput>
          </w:ffData>
        </w:fldChar>
      </w:r>
      <w:r>
        <w:instrText xml:space="preserve"> FORMTEXT </w:instrText>
      </w:r>
      <w:r w:rsidR="004B72CA">
        <w:fldChar w:fldCharType="separate"/>
      </w:r>
      <w:r>
        <w:rPr>
          <w:noProof/>
        </w:rPr>
        <w:t>insert proposed item descriptor here</w:t>
      </w:r>
      <w:r w:rsidR="004B72CA">
        <w:fldChar w:fldCharType="end"/>
      </w:r>
    </w:p>
    <w:p w14:paraId="7796CBC9" w14:textId="77777777" w:rsidR="00AE1188" w:rsidRPr="00AE1188" w:rsidRDefault="00AE1188" w:rsidP="0090748F">
      <w:pPr>
        <w:pBdr>
          <w:top w:val="single" w:sz="4" w:space="1" w:color="auto"/>
          <w:left w:val="single" w:sz="4" w:space="0" w:color="auto"/>
          <w:bottom w:val="single" w:sz="4" w:space="1" w:color="auto"/>
          <w:right w:val="single" w:sz="4" w:space="4" w:color="auto"/>
        </w:pBdr>
        <w:rPr>
          <w:szCs w:val="20"/>
        </w:rPr>
      </w:pPr>
      <w:r w:rsidRPr="00AE1188">
        <w:rPr>
          <w:szCs w:val="20"/>
        </w:rPr>
        <w:t>Fee:  $</w:t>
      </w:r>
      <w:r w:rsidR="004B72CA">
        <w:fldChar w:fldCharType="begin">
          <w:ffData>
            <w:name w:val=""/>
            <w:enabled/>
            <w:calcOnExit w:val="0"/>
            <w:textInput>
              <w:default w:val="(insert proposed fee here)"/>
            </w:textInput>
          </w:ffData>
        </w:fldChar>
      </w:r>
      <w:r>
        <w:instrText xml:space="preserve"> FORMTEXT </w:instrText>
      </w:r>
      <w:r w:rsidR="004B72CA">
        <w:fldChar w:fldCharType="separate"/>
      </w:r>
      <w:r>
        <w:rPr>
          <w:noProof/>
        </w:rPr>
        <w:t>(insert proposed fee here)</w:t>
      </w:r>
      <w:r w:rsidR="004B72CA">
        <w:fldChar w:fldCharType="end"/>
      </w:r>
    </w:p>
    <w:p w14:paraId="6F14C7AA" w14:textId="77777777" w:rsidR="00AE1188" w:rsidRDefault="00AE1188" w:rsidP="004A0BF4">
      <w:pPr>
        <w:pStyle w:val="Heading2"/>
        <w:numPr>
          <w:ilvl w:val="0"/>
          <w:numId w:val="0"/>
        </w:numPr>
        <w:ind w:left="360"/>
      </w:pPr>
      <w:r>
        <w:br w:type="page"/>
      </w:r>
    </w:p>
    <w:p w14:paraId="0B3CC976" w14:textId="77777777" w:rsidR="00E058F2" w:rsidRPr="00C776B1" w:rsidRDefault="001B5169" w:rsidP="00AE1188">
      <w:pPr>
        <w:pStyle w:val="Heading1"/>
      </w:pPr>
      <w:r>
        <w:lastRenderedPageBreak/>
        <w:t>PART 9</w:t>
      </w:r>
      <w:r w:rsidR="00F93784">
        <w:t xml:space="preserve"> – </w:t>
      </w:r>
      <w:r w:rsidR="00E058F2" w:rsidRPr="00C776B1">
        <w:t>FEEDBACK</w:t>
      </w:r>
    </w:p>
    <w:p w14:paraId="36095B5B" w14:textId="77777777" w:rsidR="005041A6" w:rsidRDefault="00E058F2" w:rsidP="00E058F2">
      <w:pPr>
        <w:rPr>
          <w:szCs w:val="20"/>
        </w:rPr>
      </w:pPr>
      <w:r w:rsidRPr="00154B00">
        <w:rPr>
          <w:szCs w:val="20"/>
        </w:rPr>
        <w:t>The Department</w:t>
      </w:r>
      <w:r w:rsidR="005A58BA">
        <w:rPr>
          <w:szCs w:val="20"/>
        </w:rPr>
        <w:t xml:space="preserve"> is interested in your feedback.</w:t>
      </w:r>
    </w:p>
    <w:p w14:paraId="20028156" w14:textId="77777777" w:rsidR="005041A6" w:rsidRPr="005041A6" w:rsidRDefault="005041A6" w:rsidP="00E058F2">
      <w:pPr>
        <w:rPr>
          <w:i/>
          <w:szCs w:val="20"/>
        </w:rPr>
      </w:pPr>
      <w:r w:rsidRPr="005041A6">
        <w:rPr>
          <w:i/>
          <w:szCs w:val="20"/>
        </w:rPr>
        <w:t>As this form was not intended for this application, Gilead has intentionally left this section blank.</w:t>
      </w:r>
    </w:p>
    <w:p w14:paraId="1B287A77" w14:textId="77777777" w:rsidR="00E058F2" w:rsidRPr="00AE1188" w:rsidRDefault="00E058F2" w:rsidP="001B5169">
      <w:pPr>
        <w:pStyle w:val="Heading2"/>
      </w:pPr>
      <w:r w:rsidRPr="00AE1188">
        <w:t>How long did it take to complete the Application Form?</w:t>
      </w:r>
    </w:p>
    <w:p w14:paraId="7AEEDFDF" w14:textId="77777777" w:rsidR="00E058F2" w:rsidRPr="00154B00" w:rsidRDefault="004B72CA" w:rsidP="00603D04">
      <w:pPr>
        <w:ind w:left="426"/>
        <w:rPr>
          <w:szCs w:val="20"/>
        </w:rPr>
      </w:pPr>
      <w:r>
        <w:fldChar w:fldCharType="begin">
          <w:ffData>
            <w:name w:val=""/>
            <w:enabled/>
            <w:calcOnExit w:val="0"/>
            <w:textInput>
              <w:default w:val="Insert approximate duration here"/>
            </w:textInput>
          </w:ffData>
        </w:fldChar>
      </w:r>
      <w:r w:rsidR="00603D04">
        <w:instrText xml:space="preserve"> FORMTEXT </w:instrText>
      </w:r>
      <w:r>
        <w:fldChar w:fldCharType="separate"/>
      </w:r>
      <w:r w:rsidR="00603D04">
        <w:rPr>
          <w:noProof/>
        </w:rPr>
        <w:t>Insert approximate duration here</w:t>
      </w:r>
      <w:r>
        <w:fldChar w:fldCharType="end"/>
      </w:r>
    </w:p>
    <w:p w14:paraId="390F7A81" w14:textId="77777777" w:rsidR="00415338" w:rsidRPr="00415338" w:rsidRDefault="001B5169" w:rsidP="00415338">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21DB7085" w14:textId="77777777" w:rsidR="00603D04" w:rsidRPr="001B29A1" w:rsidRDefault="004B72CA"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603D04" w:rsidRPr="001B29A1">
        <w:rPr>
          <w:szCs w:val="20"/>
        </w:rPr>
        <w:t xml:space="preserve"> </w:t>
      </w:r>
      <w:r w:rsidR="00603D04">
        <w:rPr>
          <w:szCs w:val="20"/>
        </w:rPr>
        <w:t>Yes</w:t>
      </w:r>
      <w:r w:rsidR="00603D04" w:rsidRPr="001B29A1">
        <w:rPr>
          <w:szCs w:val="20"/>
        </w:rPr>
        <w:tab/>
      </w:r>
    </w:p>
    <w:p w14:paraId="7A7866FE" w14:textId="77777777" w:rsidR="00603D04" w:rsidRPr="001B29A1" w:rsidRDefault="004B72CA"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603D04" w:rsidRPr="001B29A1">
        <w:rPr>
          <w:szCs w:val="20"/>
        </w:rPr>
        <w:t xml:space="preserve"> </w:t>
      </w:r>
      <w:r w:rsidR="00603D04">
        <w:rPr>
          <w:szCs w:val="20"/>
        </w:rPr>
        <w:t>No</w:t>
      </w:r>
    </w:p>
    <w:p w14:paraId="781425D1" w14:textId="77777777" w:rsidR="003D6DE1" w:rsidRPr="00154B00" w:rsidRDefault="00603D04" w:rsidP="001B5169">
      <w:pPr>
        <w:pStyle w:val="Heading2"/>
        <w:numPr>
          <w:ilvl w:val="0"/>
          <w:numId w:val="31"/>
        </w:numPr>
      </w:pPr>
      <w:r>
        <w:t>If no, provide areas of concern:</w:t>
      </w:r>
    </w:p>
    <w:p w14:paraId="37FBB365" w14:textId="77777777" w:rsidR="003D6DE1" w:rsidRPr="00154B00" w:rsidRDefault="004B72CA" w:rsidP="00603D04">
      <w:pPr>
        <w:ind w:left="426"/>
        <w:rPr>
          <w:szCs w:val="20"/>
        </w:rPr>
      </w:pPr>
      <w:r>
        <w:fldChar w:fldCharType="begin">
          <w:ffData>
            <w:name w:val=""/>
            <w:enabled/>
            <w:calcOnExit w:val="0"/>
            <w:textInput>
              <w:default w:val="Describe areas of concern here"/>
            </w:textInput>
          </w:ffData>
        </w:fldChar>
      </w:r>
      <w:r w:rsidR="00603D04">
        <w:instrText xml:space="preserve"> FORMTEXT </w:instrText>
      </w:r>
      <w:r>
        <w:fldChar w:fldCharType="separate"/>
      </w:r>
      <w:r w:rsidR="00603D04">
        <w:rPr>
          <w:noProof/>
        </w:rPr>
        <w:t>Describe areas of concern here</w:t>
      </w:r>
      <w:r>
        <w:fldChar w:fldCharType="end"/>
      </w:r>
    </w:p>
    <w:p w14:paraId="4E1DF5E5"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6E6F219D" w14:textId="77777777" w:rsidR="00603D04" w:rsidRPr="001B29A1" w:rsidRDefault="004B72CA"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603D04" w:rsidRPr="001B29A1">
        <w:rPr>
          <w:szCs w:val="20"/>
        </w:rPr>
        <w:t xml:space="preserve"> </w:t>
      </w:r>
      <w:r w:rsidR="00603D04">
        <w:rPr>
          <w:szCs w:val="20"/>
        </w:rPr>
        <w:t>Yes</w:t>
      </w:r>
      <w:r w:rsidR="00603D04" w:rsidRPr="001B29A1">
        <w:rPr>
          <w:szCs w:val="20"/>
        </w:rPr>
        <w:tab/>
      </w:r>
    </w:p>
    <w:p w14:paraId="3869728E" w14:textId="77777777" w:rsidR="00603D04" w:rsidRPr="001B29A1" w:rsidRDefault="004B72CA"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603D04" w:rsidRPr="001B29A1">
        <w:rPr>
          <w:szCs w:val="20"/>
        </w:rPr>
        <w:t xml:space="preserve"> </w:t>
      </w:r>
      <w:r w:rsidR="00603D04">
        <w:rPr>
          <w:szCs w:val="20"/>
        </w:rPr>
        <w:t>No</w:t>
      </w:r>
    </w:p>
    <w:p w14:paraId="405C886E" w14:textId="77777777" w:rsidR="003D6DE1" w:rsidRPr="00154B00" w:rsidRDefault="003D6DE1" w:rsidP="001B5169">
      <w:pPr>
        <w:pStyle w:val="Heading2"/>
        <w:numPr>
          <w:ilvl w:val="0"/>
          <w:numId w:val="32"/>
        </w:numPr>
      </w:pPr>
      <w:r>
        <w:t>If no, what areas did you find not to be useful?</w:t>
      </w:r>
    </w:p>
    <w:p w14:paraId="38EAAB71" w14:textId="77777777" w:rsidR="003D6DE1" w:rsidRPr="00154B00" w:rsidRDefault="004B72CA" w:rsidP="00603D04">
      <w:pPr>
        <w:ind w:left="426"/>
        <w:rPr>
          <w:szCs w:val="20"/>
        </w:rPr>
      </w:pPr>
      <w:r>
        <w:fldChar w:fldCharType="begin">
          <w:ffData>
            <w:name w:val=""/>
            <w:enabled/>
            <w:calcOnExit w:val="0"/>
            <w:textInput>
              <w:default w:val="Insert feedback here"/>
            </w:textInput>
          </w:ffData>
        </w:fldChar>
      </w:r>
      <w:r w:rsidR="00603D04">
        <w:instrText xml:space="preserve"> FORMTEXT </w:instrText>
      </w:r>
      <w:r>
        <w:fldChar w:fldCharType="separate"/>
      </w:r>
      <w:r w:rsidR="00603D04">
        <w:rPr>
          <w:noProof/>
        </w:rPr>
        <w:t>Insert feedback here</w:t>
      </w:r>
      <w:r>
        <w:fldChar w:fldCharType="end"/>
      </w:r>
    </w:p>
    <w:p w14:paraId="1DBFF2D5"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67D3949E" w14:textId="77777777" w:rsidR="00603D04" w:rsidRPr="001B29A1" w:rsidRDefault="004B72CA"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603D04" w:rsidRPr="001B29A1">
        <w:rPr>
          <w:szCs w:val="20"/>
        </w:rPr>
        <w:t xml:space="preserve"> </w:t>
      </w:r>
      <w:r w:rsidR="00603D04">
        <w:rPr>
          <w:szCs w:val="20"/>
        </w:rPr>
        <w:t>Yes</w:t>
      </w:r>
      <w:r w:rsidR="00603D04" w:rsidRPr="001B29A1">
        <w:rPr>
          <w:szCs w:val="20"/>
        </w:rPr>
        <w:tab/>
      </w:r>
    </w:p>
    <w:p w14:paraId="3AF956ED" w14:textId="77777777" w:rsidR="00603D04" w:rsidRPr="001B29A1" w:rsidRDefault="004B72CA"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00603D04" w:rsidRPr="001B29A1">
        <w:rPr>
          <w:szCs w:val="20"/>
        </w:rPr>
        <w:instrText xml:space="preserve"> FORMCHECKBOX </w:instrText>
      </w:r>
      <w:r w:rsidR="003136F9">
        <w:rPr>
          <w:szCs w:val="20"/>
        </w:rPr>
      </w:r>
      <w:r w:rsidR="003136F9">
        <w:rPr>
          <w:szCs w:val="20"/>
        </w:rPr>
        <w:fldChar w:fldCharType="separate"/>
      </w:r>
      <w:r w:rsidRPr="001B29A1">
        <w:rPr>
          <w:szCs w:val="20"/>
        </w:rPr>
        <w:fldChar w:fldCharType="end"/>
      </w:r>
      <w:r w:rsidR="00603D04" w:rsidRPr="001B29A1">
        <w:rPr>
          <w:szCs w:val="20"/>
        </w:rPr>
        <w:t xml:space="preserve"> </w:t>
      </w:r>
      <w:r w:rsidR="00603D04">
        <w:rPr>
          <w:szCs w:val="20"/>
        </w:rPr>
        <w:t>No</w:t>
      </w:r>
    </w:p>
    <w:p w14:paraId="0A88A0A9" w14:textId="77777777" w:rsidR="001845D9" w:rsidRPr="00154B00" w:rsidRDefault="001845D9" w:rsidP="001B5169">
      <w:pPr>
        <w:pStyle w:val="Heading2"/>
        <w:numPr>
          <w:ilvl w:val="0"/>
          <w:numId w:val="33"/>
        </w:numPr>
      </w:pPr>
      <w:r w:rsidRPr="00154B00">
        <w:t>If yes, please advise:</w:t>
      </w:r>
    </w:p>
    <w:p w14:paraId="219B3B6D" w14:textId="6CEA473B" w:rsidR="00A7420E" w:rsidRPr="00194C97" w:rsidRDefault="004B72CA" w:rsidP="00194C97">
      <w:pPr>
        <w:ind w:left="426"/>
      </w:pPr>
      <w:r>
        <w:fldChar w:fldCharType="begin">
          <w:ffData>
            <w:name w:val=""/>
            <w:enabled/>
            <w:calcOnExit w:val="0"/>
            <w:textInput>
              <w:default w:val="Insert feedback here"/>
            </w:textInput>
          </w:ffData>
        </w:fldChar>
      </w:r>
      <w:r w:rsidR="00603D04">
        <w:instrText xml:space="preserve"> FORMTEXT </w:instrText>
      </w:r>
      <w:r>
        <w:fldChar w:fldCharType="separate"/>
      </w:r>
      <w:r w:rsidR="00603D04">
        <w:rPr>
          <w:noProof/>
        </w:rPr>
        <w:t>Insert feedback here</w:t>
      </w:r>
      <w:r>
        <w:fldChar w:fldCharType="end"/>
      </w:r>
      <w:r w:rsidR="00A7420E">
        <w:br w:type="page"/>
      </w:r>
      <w:r w:rsidR="00A7420E" w:rsidRPr="004E6291">
        <w:rPr>
          <w:b/>
          <w:szCs w:val="20"/>
        </w:rPr>
        <w:lastRenderedPageBreak/>
        <w:t>A</w:t>
      </w:r>
      <w:r w:rsidR="00357418">
        <w:rPr>
          <w:b/>
          <w:szCs w:val="20"/>
        </w:rPr>
        <w:t>ppendix</w:t>
      </w:r>
      <w:r w:rsidR="00A7420E" w:rsidRPr="004E6291">
        <w:rPr>
          <w:b/>
          <w:szCs w:val="20"/>
        </w:rPr>
        <w:t xml:space="preserve"> A</w:t>
      </w:r>
    </w:p>
    <w:p w14:paraId="5B438410" w14:textId="77777777" w:rsidR="008C6CA4" w:rsidRPr="008C6CA4" w:rsidRDefault="00A7420E" w:rsidP="008C6CA4">
      <w:pPr>
        <w:pStyle w:val="Heading2"/>
        <w:numPr>
          <w:ilvl w:val="0"/>
          <w:numId w:val="0"/>
        </w:numPr>
        <w:ind w:left="360" w:hanging="360"/>
      </w:pPr>
      <w:r>
        <w:t>Figure 1: Current</w:t>
      </w:r>
      <w:r w:rsidR="008C6CA4">
        <w:t xml:space="preserve"> and proposed</w:t>
      </w:r>
      <w:r>
        <w:t xml:space="preserve"> clinical </w:t>
      </w:r>
      <w:r w:rsidR="008C6CA4">
        <w:t>algorithm</w:t>
      </w:r>
      <w:r>
        <w:t xml:space="preserve"> of the propose</w:t>
      </w:r>
      <w:r w:rsidR="00DD3501">
        <w:t>d</w:t>
      </w:r>
      <w:r>
        <w:t xml:space="preserve"> patient population</w:t>
      </w:r>
    </w:p>
    <w:p w14:paraId="482E2DE2" w14:textId="77777777" w:rsidR="00A7420E" w:rsidRDefault="00E30385" w:rsidP="009D412D">
      <w:pPr>
        <w:jc w:val="center"/>
        <w:rPr>
          <w:noProof/>
        </w:rPr>
      </w:pPr>
      <w:r>
        <w:rPr>
          <w:noProof/>
          <w:lang w:eastAsia="en-AU"/>
        </w:rPr>
        <w:drawing>
          <wp:inline distT="0" distB="0" distL="0" distR="0" wp14:anchorId="20ACE862" wp14:editId="245BBB57">
            <wp:extent cx="5524500" cy="7353300"/>
            <wp:effectExtent l="0" t="0" r="0" b="0"/>
            <wp:docPr id="5" name="Picture 5" descr="Current and proposed clinical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524500" cy="7353300"/>
                    </a:xfrm>
                    <a:prstGeom prst="rect">
                      <a:avLst/>
                    </a:prstGeom>
                  </pic:spPr>
                </pic:pic>
              </a:graphicData>
            </a:graphic>
          </wp:inline>
        </w:drawing>
      </w:r>
    </w:p>
    <w:p w14:paraId="2EA3094D" w14:textId="77777777" w:rsidR="008C6CA4" w:rsidRPr="008C6CA4" w:rsidRDefault="008C6CA4" w:rsidP="009D412D">
      <w:pPr>
        <w:tabs>
          <w:tab w:val="left" w:pos="3882"/>
        </w:tabs>
        <w:rPr>
          <w:sz w:val="16"/>
        </w:rPr>
      </w:pPr>
      <w:r w:rsidRPr="008C6CA4">
        <w:rPr>
          <w:sz w:val="16"/>
        </w:rPr>
        <w:t>Abbreviations:</w:t>
      </w:r>
      <w:r>
        <w:rPr>
          <w:sz w:val="16"/>
        </w:rPr>
        <w:t xml:space="preserve"> DLBCL = </w:t>
      </w:r>
      <w:r w:rsidRPr="008C6CA4">
        <w:rPr>
          <w:sz w:val="16"/>
        </w:rPr>
        <w:t>diffuse large B-cell lymphoma</w:t>
      </w:r>
      <w:r>
        <w:rPr>
          <w:sz w:val="16"/>
        </w:rPr>
        <w:t>;</w:t>
      </w:r>
      <w:r w:rsidR="009D412D">
        <w:rPr>
          <w:sz w:val="16"/>
        </w:rPr>
        <w:t xml:space="preserve"> PMBCL = p</w:t>
      </w:r>
      <w:r w:rsidR="009D412D" w:rsidRPr="009D412D">
        <w:rPr>
          <w:sz w:val="16"/>
        </w:rPr>
        <w:t xml:space="preserve">rimary </w:t>
      </w:r>
      <w:r w:rsidR="009D412D">
        <w:rPr>
          <w:sz w:val="16"/>
        </w:rPr>
        <w:t>m</w:t>
      </w:r>
      <w:r w:rsidR="009D412D" w:rsidRPr="009D412D">
        <w:rPr>
          <w:sz w:val="16"/>
        </w:rPr>
        <w:t xml:space="preserve">ediastinal </w:t>
      </w:r>
      <w:r w:rsidR="009D412D">
        <w:rPr>
          <w:sz w:val="16"/>
        </w:rPr>
        <w:t>l</w:t>
      </w:r>
      <w:r w:rsidR="009D412D" w:rsidRPr="009D412D">
        <w:rPr>
          <w:sz w:val="16"/>
        </w:rPr>
        <w:t xml:space="preserve">arge B-cell </w:t>
      </w:r>
      <w:r w:rsidR="009D412D">
        <w:rPr>
          <w:sz w:val="16"/>
        </w:rPr>
        <w:t>l</w:t>
      </w:r>
      <w:r w:rsidR="009D412D" w:rsidRPr="009D412D">
        <w:rPr>
          <w:sz w:val="16"/>
        </w:rPr>
        <w:t>ymphoma</w:t>
      </w:r>
      <w:r w:rsidR="009D412D">
        <w:rPr>
          <w:sz w:val="16"/>
        </w:rPr>
        <w:t xml:space="preserve">; TFL = transformed follicular lymphoma; </w:t>
      </w:r>
      <w:r>
        <w:rPr>
          <w:sz w:val="16"/>
        </w:rPr>
        <w:t>RCHOP=</w:t>
      </w:r>
      <w:r w:rsidRPr="008C6CA4">
        <w:rPr>
          <w:rFonts w:ascii="Calibri" w:eastAsia="Calibri" w:hAnsi="Calibri" w:cs="Times New Roman"/>
          <w:sz w:val="22"/>
        </w:rPr>
        <w:t xml:space="preserve"> </w:t>
      </w:r>
      <w:r w:rsidRPr="008C6CA4">
        <w:rPr>
          <w:sz w:val="16"/>
        </w:rPr>
        <w:t>Rituximab, cyclophosphamide, doxorubicin, vincristine, prednisolone</w:t>
      </w:r>
      <w:r>
        <w:rPr>
          <w:sz w:val="16"/>
        </w:rPr>
        <w:t xml:space="preserve">; </w:t>
      </w:r>
      <w:r w:rsidR="006A56F0">
        <w:rPr>
          <w:sz w:val="16"/>
        </w:rPr>
        <w:t xml:space="preserve">RT= radiotherapy; </w:t>
      </w:r>
      <w:r>
        <w:rPr>
          <w:sz w:val="16"/>
        </w:rPr>
        <w:t xml:space="preserve">SCT = </w:t>
      </w:r>
      <w:r w:rsidRPr="008C6CA4">
        <w:rPr>
          <w:sz w:val="16"/>
        </w:rPr>
        <w:t>Stem Cell Transplant</w:t>
      </w:r>
      <w:r>
        <w:rPr>
          <w:sz w:val="16"/>
        </w:rPr>
        <w:t>; HDT =</w:t>
      </w:r>
      <w:r w:rsidRPr="008C6CA4">
        <w:rPr>
          <w:rFonts w:ascii="Calibri" w:eastAsia="Calibri" w:hAnsi="Calibri" w:cs="Times New Roman"/>
          <w:sz w:val="22"/>
        </w:rPr>
        <w:t xml:space="preserve"> </w:t>
      </w:r>
      <w:r w:rsidRPr="008C6CA4">
        <w:rPr>
          <w:sz w:val="16"/>
        </w:rPr>
        <w:t>high-dose therapy</w:t>
      </w:r>
      <w:r>
        <w:rPr>
          <w:sz w:val="16"/>
        </w:rPr>
        <w:t>; BSC = best supportive care</w:t>
      </w:r>
    </w:p>
    <w:p w14:paraId="3FA88C6A" w14:textId="77777777" w:rsidR="001806C3" w:rsidRDefault="008C6CA4" w:rsidP="00974167">
      <w:pPr>
        <w:tabs>
          <w:tab w:val="left" w:pos="3882"/>
        </w:tabs>
      </w:pPr>
      <w:r>
        <w:t xml:space="preserve">The proposed clinical algorithm is depicted by the blue lines in Figure 1. The clinical algorithm was adapted from the PICO Confirmation of Kymriah. </w:t>
      </w:r>
    </w:p>
    <w:p w14:paraId="401F9640" w14:textId="77777777" w:rsidR="003A3D01" w:rsidRPr="00A73B98" w:rsidRDefault="003A3D01" w:rsidP="003A3D01">
      <w:pPr>
        <w:ind w:left="426"/>
        <w:rPr>
          <w:b/>
          <w:sz w:val="22"/>
        </w:rPr>
      </w:pPr>
      <w:r w:rsidRPr="00A73B98">
        <w:rPr>
          <w:b/>
          <w:sz w:val="22"/>
        </w:rPr>
        <w:lastRenderedPageBreak/>
        <w:t>References</w:t>
      </w:r>
    </w:p>
    <w:p w14:paraId="16D3E3A1" w14:textId="77777777" w:rsidR="007C4508" w:rsidRDefault="007C4508" w:rsidP="007C4508">
      <w:pPr>
        <w:ind w:left="426"/>
        <w:rPr>
          <w:rStyle w:val="Hyperlink"/>
          <w:sz w:val="22"/>
        </w:rPr>
      </w:pPr>
      <w:r w:rsidRPr="00A43D21">
        <w:rPr>
          <w:sz w:val="22"/>
        </w:rPr>
        <w:t xml:space="preserve">Australian Institute of Health and Welfare. Australian Cancer database, 2006-2010. Available from: </w:t>
      </w:r>
      <w:hyperlink r:id="rId28" w:tooltip="Link to AIHW website - Australian Cancer Database" w:history="1">
        <w:r w:rsidRPr="00A43D21">
          <w:rPr>
            <w:rStyle w:val="Hyperlink"/>
            <w:sz w:val="22"/>
          </w:rPr>
          <w:t>https://www.aihw.gov.au/about-our-data/our-data-collections/australian-cancer-database</w:t>
        </w:r>
      </w:hyperlink>
      <w:r w:rsidR="00DD3501">
        <w:rPr>
          <w:rStyle w:val="Hyperlink"/>
          <w:sz w:val="22"/>
        </w:rPr>
        <w:t>.</w:t>
      </w:r>
    </w:p>
    <w:p w14:paraId="59D04AD0" w14:textId="77777777" w:rsidR="00E744B4" w:rsidRDefault="00E744B4" w:rsidP="00E744B4">
      <w:pPr>
        <w:ind w:left="426"/>
        <w:rPr>
          <w:rStyle w:val="Hyperlink"/>
          <w:sz w:val="22"/>
        </w:rPr>
      </w:pPr>
      <w:r w:rsidRPr="00A43D21">
        <w:rPr>
          <w:sz w:val="22"/>
        </w:rPr>
        <w:t xml:space="preserve">Australian Institute of Health and Welfare. </w:t>
      </w:r>
      <w:r w:rsidRPr="00E744B4">
        <w:rPr>
          <w:bCs/>
          <w:sz w:val="22"/>
        </w:rPr>
        <w:t>Cancer in Aboriginal &amp; Torres Strait Islander people of Australia</w:t>
      </w:r>
      <w:r>
        <w:rPr>
          <w:bCs/>
          <w:sz w:val="22"/>
        </w:rPr>
        <w:t xml:space="preserve"> 201</w:t>
      </w:r>
      <w:r w:rsidR="00586F95">
        <w:rPr>
          <w:bCs/>
          <w:sz w:val="22"/>
        </w:rPr>
        <w:t>8</w:t>
      </w:r>
      <w:r w:rsidRPr="00A43D21">
        <w:rPr>
          <w:sz w:val="22"/>
        </w:rPr>
        <w:t>. Available from:</w:t>
      </w:r>
      <w:r w:rsidRPr="00E744B4">
        <w:rPr>
          <w:sz w:val="24"/>
        </w:rPr>
        <w:t xml:space="preserve"> </w:t>
      </w:r>
      <w:hyperlink r:id="rId29" w:tooltip="Link to AIHW website - Cancer in Aboriginal &amp; Torres Strait Islander people of Australia" w:history="1">
        <w:r w:rsidRPr="00E744B4">
          <w:rPr>
            <w:rStyle w:val="Hyperlink"/>
            <w:sz w:val="22"/>
          </w:rPr>
          <w:t>https://www.aihw.gov.au/reports/cancer/cancer-in-indigenous-australians/contents/cancer-type/non-hodgkin-lymphoma-c82-c86</w:t>
        </w:r>
      </w:hyperlink>
    </w:p>
    <w:p w14:paraId="26D2F7AA" w14:textId="77777777" w:rsidR="00525700" w:rsidRDefault="00525700" w:rsidP="00525700">
      <w:pPr>
        <w:ind w:left="426"/>
        <w:rPr>
          <w:sz w:val="22"/>
        </w:rPr>
      </w:pPr>
      <w:r w:rsidRPr="00525700">
        <w:rPr>
          <w:sz w:val="22"/>
        </w:rPr>
        <w:t>Australian Institute of Health and Welfare (AIHW) 2017. Australian Cancer Incidence and Mortality (ACIM) books: Non-Hodgkin lymphoma. Canberra: AIHW. &lt;http://www.aihw.gov.au/acim-books&gt;.</w:t>
      </w:r>
    </w:p>
    <w:p w14:paraId="0673F008" w14:textId="77777777" w:rsidR="007C4508" w:rsidRDefault="007C4508" w:rsidP="00525700">
      <w:pPr>
        <w:ind w:left="426"/>
        <w:rPr>
          <w:sz w:val="22"/>
        </w:rPr>
      </w:pPr>
      <w:r w:rsidRPr="00A43D21">
        <w:rPr>
          <w:sz w:val="22"/>
        </w:rPr>
        <w:t xml:space="preserve">Australian </w:t>
      </w:r>
      <w:r w:rsidR="00A43D21" w:rsidRPr="00A43D21">
        <w:rPr>
          <w:sz w:val="22"/>
        </w:rPr>
        <w:t>Government</w:t>
      </w:r>
      <w:r w:rsidRPr="00A43D21">
        <w:rPr>
          <w:sz w:val="22"/>
        </w:rPr>
        <w:t xml:space="preserve"> Cancer A</w:t>
      </w:r>
      <w:r w:rsidR="00A43D21" w:rsidRPr="00A43D21">
        <w:rPr>
          <w:sz w:val="22"/>
        </w:rPr>
        <w:t>u</w:t>
      </w:r>
      <w:r w:rsidRPr="00A43D21">
        <w:rPr>
          <w:sz w:val="22"/>
        </w:rPr>
        <w:t>stralia</w:t>
      </w:r>
      <w:r w:rsidR="00A43D21" w:rsidRPr="00A43D21">
        <w:rPr>
          <w:sz w:val="22"/>
        </w:rPr>
        <w:t xml:space="preserve">. </w:t>
      </w:r>
      <w:r w:rsidR="00B127CA">
        <w:rPr>
          <w:sz w:val="22"/>
        </w:rPr>
        <w:t>non-Hodgkin</w:t>
      </w:r>
      <w:r w:rsidR="00A43D21" w:rsidRPr="00A43D21">
        <w:rPr>
          <w:sz w:val="22"/>
        </w:rPr>
        <w:t xml:space="preserve"> lymphoma (C82-C85). 2011. Available from: </w:t>
      </w:r>
      <w:hyperlink r:id="rId30" w:tooltip="Link to Cancer Australia website - Non-Hodgkin lymphoma statistics" w:history="1">
        <w:r w:rsidR="00A43D21" w:rsidRPr="00A43D21">
          <w:rPr>
            <w:rStyle w:val="Hyperlink"/>
            <w:sz w:val="22"/>
          </w:rPr>
          <w:t>https://canceraustralia.gov.au/affected-cancer/cancer-types/lymphoma/non-hodgkin-lymphoma-statistics</w:t>
        </w:r>
      </w:hyperlink>
      <w:r w:rsidR="00DD3501">
        <w:rPr>
          <w:rStyle w:val="Hyperlink"/>
          <w:sz w:val="22"/>
        </w:rPr>
        <w:t>.</w:t>
      </w:r>
    </w:p>
    <w:p w14:paraId="28CC0A05" w14:textId="77777777" w:rsidR="003A3D01" w:rsidRPr="00A73B98" w:rsidRDefault="003A3D01" w:rsidP="003A3D01">
      <w:pPr>
        <w:ind w:left="426"/>
      </w:pPr>
      <w:r w:rsidRPr="00A73B98">
        <w:rPr>
          <w:sz w:val="22"/>
        </w:rPr>
        <w:t>Bhatt VR, Mourya R, Shrestha R, Armitage JO. Primary mediastinal large B-cell lymphoma. Cancer Treat Rev. 2015;41(6):476-85.</w:t>
      </w:r>
    </w:p>
    <w:p w14:paraId="36A9349D" w14:textId="77777777" w:rsidR="003A3D01" w:rsidRDefault="003A3D01" w:rsidP="003A3D01">
      <w:pPr>
        <w:ind w:left="426"/>
        <w:rPr>
          <w:sz w:val="22"/>
        </w:rPr>
      </w:pPr>
      <w:r w:rsidRPr="00A73B98">
        <w:rPr>
          <w:sz w:val="22"/>
        </w:rPr>
        <w:t>Casulo C, Burack WR, Friedberg JW. Transformed follicular non-Hodgkin lymphoma. Blood. 2015;125(1):40-7.</w:t>
      </w:r>
    </w:p>
    <w:p w14:paraId="145439DD" w14:textId="77777777" w:rsidR="00947167" w:rsidRPr="00947167" w:rsidRDefault="00947167" w:rsidP="00947167">
      <w:pPr>
        <w:ind w:left="426"/>
        <w:rPr>
          <w:sz w:val="22"/>
        </w:rPr>
      </w:pPr>
      <w:r w:rsidRPr="00947167">
        <w:rPr>
          <w:sz w:val="22"/>
          <w:lang w:val="en-GB"/>
        </w:rPr>
        <w:t xml:space="preserve">Casulo, C., Nastoupil, L., Fowler, N., Friedberg, J. and Flowers, C. (2017). Unmet needs in the first-line treatment of follicular lymphoma. </w:t>
      </w:r>
      <w:r w:rsidRPr="00947167">
        <w:rPr>
          <w:i/>
          <w:iCs/>
          <w:sz w:val="22"/>
          <w:lang w:val="en-GB"/>
        </w:rPr>
        <w:t>Annals of Oncology</w:t>
      </w:r>
      <w:r w:rsidRPr="00947167">
        <w:rPr>
          <w:sz w:val="22"/>
          <w:lang w:val="en-GB"/>
        </w:rPr>
        <w:t>.</w:t>
      </w:r>
    </w:p>
    <w:p w14:paraId="7E3C8A0E" w14:textId="77777777" w:rsidR="003A3D01" w:rsidRPr="00A73B98" w:rsidRDefault="003A3D01" w:rsidP="003A3D01">
      <w:pPr>
        <w:ind w:left="426"/>
      </w:pPr>
      <w:r w:rsidRPr="00A73B98">
        <w:rPr>
          <w:sz w:val="22"/>
        </w:rPr>
        <w:t>Cazals-Hatem D, Lepage E, Brice P, Ferrant A, d'Agay MF, Baumelou E, et al. Primary mediastinal large B-cell lymphoma. A clinicopathologic study of 141 cases compared with 916 nonmediastinal large B-cell lymphomas, a GELA ("Groupe d'Etude des Lymphomes de l'Adulte") study. Am J Surg Pathol. 1996;20(7):877-88.</w:t>
      </w:r>
    </w:p>
    <w:p w14:paraId="738932D2" w14:textId="77777777" w:rsidR="003A3D01" w:rsidRDefault="003A3D01" w:rsidP="003A3D01">
      <w:pPr>
        <w:ind w:left="426"/>
        <w:rPr>
          <w:sz w:val="22"/>
        </w:rPr>
      </w:pPr>
      <w:r w:rsidRPr="00A73B98">
        <w:rPr>
          <w:sz w:val="22"/>
        </w:rPr>
        <w:t>Chaganti S, Illidge T, Barrington S, McKay P, Linton K, Cwynarski K, et al. Guidelines for the management of diffuse large B-cell lymphoma. Br J Haematol. 2016;174(1):43-56.</w:t>
      </w:r>
    </w:p>
    <w:p w14:paraId="716F8651" w14:textId="77777777" w:rsidR="008237F5" w:rsidRDefault="008237F5" w:rsidP="003A3D01">
      <w:pPr>
        <w:ind w:left="426"/>
        <w:rPr>
          <w:sz w:val="22"/>
        </w:rPr>
      </w:pPr>
      <w:r w:rsidRPr="008237F5">
        <w:rPr>
          <w:sz w:val="22"/>
          <w:lang w:val="en-GB"/>
        </w:rPr>
        <w:t xml:space="preserve">Colosia, A., Njue, A., Trask, P., Olivares, R., Khan, S., Abbe, A., Police, R., Wang, J., Ruiz-Soto, R., Kaye, J. and Awan, F. (2014). Clinical Efficacy and Safety in Relapsed/Refractory Diffuse Large B-Cell Lymphoma: A Systematic Literature Review. </w:t>
      </w:r>
      <w:r w:rsidRPr="008237F5">
        <w:rPr>
          <w:i/>
          <w:iCs/>
          <w:sz w:val="22"/>
          <w:lang w:val="en-GB"/>
        </w:rPr>
        <w:t>Clinical Lymphoma Myeloma and Leukemia</w:t>
      </w:r>
      <w:r w:rsidRPr="008237F5">
        <w:rPr>
          <w:sz w:val="22"/>
          <w:lang w:val="en-GB"/>
        </w:rPr>
        <w:t>, 14(5), pp.343-355.e6.</w:t>
      </w:r>
    </w:p>
    <w:p w14:paraId="5E80BE25" w14:textId="77777777" w:rsidR="003A3D01" w:rsidRDefault="003A3D01" w:rsidP="003A3D01">
      <w:pPr>
        <w:ind w:left="426"/>
        <w:rPr>
          <w:sz w:val="22"/>
        </w:rPr>
      </w:pPr>
      <w:r w:rsidRPr="00A73B98">
        <w:rPr>
          <w:sz w:val="22"/>
        </w:rPr>
        <w:t xml:space="preserve">Crump M, Kuruvilla J, Couban S, MacDonald DA, Kukreti V, Kouroukis CT, et al. Randomized comparison of gemcitabine, dexamethasone, and cisplatin versus dexamethasone, cytarabine, and cisplatin chemotherapy before autologous stem-cell transplantation for relapsed and refractory aggressive lymphomas: NCIC-CTG LY.12. J Clin Oncol. 2014;32(31):3490-6. </w:t>
      </w:r>
    </w:p>
    <w:p w14:paraId="0C0B80DD" w14:textId="77777777" w:rsidR="008237F5" w:rsidRDefault="008237F5" w:rsidP="003A3D01">
      <w:pPr>
        <w:ind w:left="426"/>
        <w:rPr>
          <w:sz w:val="22"/>
        </w:rPr>
      </w:pPr>
      <w:r w:rsidRPr="008237F5">
        <w:rPr>
          <w:sz w:val="22"/>
          <w:lang w:val="en-GB"/>
        </w:rPr>
        <w:t xml:space="preserve">Crump, M., Neelapu, S., Farooq, U., Van Den Neste, E., Kuruvilla, J., Westin, J., Link, B., Hay, A., Cerhan, J., Zhu, L., Boussetta, S., Feng, L., Maurer, M., Navale, L., Wiezorek, J., Go, W. and Gisselbrecht, C. . Outcomes in refractory diffuse large B-cell lymphoma: results from the international SCHOLAR-1 study. </w:t>
      </w:r>
      <w:r w:rsidRPr="005401E8">
        <w:rPr>
          <w:iCs/>
          <w:sz w:val="22"/>
          <w:lang w:val="en-GB"/>
        </w:rPr>
        <w:t>Blood</w:t>
      </w:r>
      <w:r w:rsidR="005401E8" w:rsidRPr="005401E8">
        <w:rPr>
          <w:iCs/>
          <w:sz w:val="22"/>
          <w:lang w:val="en-GB"/>
        </w:rPr>
        <w:t xml:space="preserve"> (2017)</w:t>
      </w:r>
      <w:r w:rsidRPr="005401E8">
        <w:rPr>
          <w:sz w:val="22"/>
          <w:lang w:val="en-GB"/>
        </w:rPr>
        <w:t>,</w:t>
      </w:r>
      <w:r w:rsidRPr="008237F5">
        <w:rPr>
          <w:sz w:val="22"/>
          <w:lang w:val="en-GB"/>
        </w:rPr>
        <w:t xml:space="preserve"> 130(16), pp.1800-1808.</w:t>
      </w:r>
    </w:p>
    <w:p w14:paraId="305B5595" w14:textId="77777777" w:rsidR="003A3D01" w:rsidRDefault="003A3D01" w:rsidP="003A3D01">
      <w:pPr>
        <w:ind w:left="426"/>
        <w:rPr>
          <w:sz w:val="22"/>
        </w:rPr>
      </w:pPr>
      <w:r w:rsidRPr="00A73B98">
        <w:rPr>
          <w:sz w:val="22"/>
        </w:rPr>
        <w:t>Dabrowska-Iwanicka A, Walewski JA. Primary mediastinal large B-cell lymphoma. Curr Hematol Malig Rep. 2014;9(3):273-83.</w:t>
      </w:r>
    </w:p>
    <w:p w14:paraId="3AEF10EB" w14:textId="77777777" w:rsidR="00947167" w:rsidRPr="00A73B98" w:rsidRDefault="00947167" w:rsidP="003A3D01">
      <w:pPr>
        <w:ind w:left="426"/>
        <w:rPr>
          <w:sz w:val="22"/>
        </w:rPr>
      </w:pPr>
      <w:r w:rsidRPr="00947167">
        <w:rPr>
          <w:sz w:val="22"/>
        </w:rPr>
        <w:t>Ekström-Smedby, K. (2006). Epidemiology and etiology of non-Hodgkin lymphoma – a review. Acta Oncologica, 45(3), pp.258-271.</w:t>
      </w:r>
    </w:p>
    <w:p w14:paraId="0068CE68" w14:textId="77777777" w:rsidR="003A3D01" w:rsidRDefault="003A3D01" w:rsidP="003A3D01">
      <w:pPr>
        <w:ind w:left="426"/>
        <w:rPr>
          <w:sz w:val="22"/>
        </w:rPr>
      </w:pPr>
      <w:r w:rsidRPr="00A73B98">
        <w:rPr>
          <w:sz w:val="22"/>
        </w:rPr>
        <w:t>Falini B, Venturi S, Martelli M, Santucci A, Pileri S, Pescarmona E, et al. Mediastinal large B-cell lymphoma: clinical and immunohistological findings in 18 patients treated with different third-generation regimens. Br J Haematol. 1995;89(4):780-9.</w:t>
      </w:r>
    </w:p>
    <w:p w14:paraId="4FC326C0" w14:textId="77777777" w:rsidR="00CF3776" w:rsidRPr="00A73B98" w:rsidRDefault="00CF3776" w:rsidP="00CF3776">
      <w:pPr>
        <w:ind w:left="426"/>
        <w:rPr>
          <w:sz w:val="22"/>
        </w:rPr>
      </w:pPr>
      <w:r w:rsidRPr="00CF3776">
        <w:rPr>
          <w:sz w:val="22"/>
        </w:rPr>
        <w:lastRenderedPageBreak/>
        <w:t>Finney HM, Lawson AD, Bebbington CR, Weir AN. Chimeric receptors providing both primary</w:t>
      </w:r>
      <w:r>
        <w:rPr>
          <w:sz w:val="22"/>
        </w:rPr>
        <w:t xml:space="preserve"> </w:t>
      </w:r>
      <w:r w:rsidRPr="00CF3776">
        <w:rPr>
          <w:sz w:val="22"/>
        </w:rPr>
        <w:t>and costimulatory signaling in T cells from a single gene product. J Immunol. 1998;161(6):27917.</w:t>
      </w:r>
    </w:p>
    <w:p w14:paraId="0CB26BB9" w14:textId="77777777" w:rsidR="003A3D01" w:rsidRDefault="003A3D01" w:rsidP="003A3D01">
      <w:pPr>
        <w:ind w:left="426"/>
        <w:rPr>
          <w:sz w:val="22"/>
        </w:rPr>
      </w:pPr>
      <w:r w:rsidRPr="00A73B98">
        <w:rPr>
          <w:sz w:val="22"/>
        </w:rPr>
        <w:t>Flowers CR, Sinha R, Vose JM. Improving outcomes for patients with diffuse large B-cell lymphoma. CA: A Cancer Journal for Clinicians. 2010;60(6):393-408.</w:t>
      </w:r>
    </w:p>
    <w:p w14:paraId="33DB3D26" w14:textId="77777777" w:rsidR="00E744B4" w:rsidRPr="00A73B98" w:rsidRDefault="00E744B4" w:rsidP="003A3D01">
      <w:pPr>
        <w:ind w:left="426"/>
        <w:rPr>
          <w:sz w:val="22"/>
        </w:rPr>
      </w:pPr>
      <w:r w:rsidRPr="00E744B4">
        <w:rPr>
          <w:sz w:val="22"/>
          <w:lang w:val="en-GB"/>
        </w:rPr>
        <w:t xml:space="preserve">Freedman, A., Friedberg, J., Lister, A. and Rosmarin, A. (2015). </w:t>
      </w:r>
      <w:r w:rsidRPr="00E744B4">
        <w:rPr>
          <w:i/>
          <w:iCs/>
          <w:sz w:val="22"/>
          <w:lang w:val="en-GB"/>
        </w:rPr>
        <w:t>Diffuse large B cell lymphoma in adults</w:t>
      </w:r>
      <w:r w:rsidRPr="00E744B4">
        <w:rPr>
          <w:sz w:val="22"/>
          <w:lang w:val="en-GB"/>
        </w:rPr>
        <w:t xml:space="preserve">. [online] Uptodate.com. Available at: </w:t>
      </w:r>
      <w:hyperlink r:id="rId31" w:tooltip="Link to UpToDate website - Patient education: Diffuse large B cell lymphoma in adults (Beyond the Basics)" w:history="1">
        <w:r w:rsidRPr="00E744B4">
          <w:rPr>
            <w:rStyle w:val="Hyperlink"/>
            <w:sz w:val="22"/>
            <w:lang w:val="en-GB"/>
          </w:rPr>
          <w:t>http://www.uptodate.com/contents/diffuse-large-b-cell-lymphoma-in-adults-beyond-the-basics</w:t>
        </w:r>
      </w:hyperlink>
    </w:p>
    <w:p w14:paraId="7CC5A355" w14:textId="77777777" w:rsidR="00947167" w:rsidRPr="00947167" w:rsidRDefault="00947167" w:rsidP="003A3D01">
      <w:pPr>
        <w:ind w:left="426"/>
        <w:rPr>
          <w:sz w:val="22"/>
        </w:rPr>
      </w:pPr>
      <w:r w:rsidRPr="00947167">
        <w:rPr>
          <w:sz w:val="22"/>
          <w:lang w:val="en-GB"/>
        </w:rPr>
        <w:t xml:space="preserve">Friedberg, J. and Fisher, R. (2008). Diffuse Large B-Cell Lymphoma. </w:t>
      </w:r>
      <w:r w:rsidRPr="00947167">
        <w:rPr>
          <w:iCs/>
          <w:sz w:val="22"/>
          <w:lang w:val="en-GB"/>
        </w:rPr>
        <w:t>Hematology/Oncology Clinics of North America</w:t>
      </w:r>
      <w:r w:rsidRPr="00947167">
        <w:rPr>
          <w:sz w:val="22"/>
          <w:lang w:val="en-GB"/>
        </w:rPr>
        <w:t>, 22(5), pp.941-952.</w:t>
      </w:r>
    </w:p>
    <w:p w14:paraId="4517ED7D" w14:textId="77777777" w:rsidR="003A3D01" w:rsidRPr="00A73B98" w:rsidRDefault="003A3D01" w:rsidP="003A3D01">
      <w:pPr>
        <w:ind w:left="426"/>
        <w:rPr>
          <w:sz w:val="22"/>
        </w:rPr>
      </w:pPr>
      <w:r w:rsidRPr="00A73B98">
        <w:rPr>
          <w:sz w:val="22"/>
        </w:rPr>
        <w:t xml:space="preserve">Friedberg JW. Relapsed/refractory diffuse large B-cell lymphoma. Hematology Am Soc Hematol Educ Program. 2011;2011:498-505. </w:t>
      </w:r>
    </w:p>
    <w:p w14:paraId="41FEA6C2" w14:textId="77777777" w:rsidR="003A3D01" w:rsidRDefault="003A3D01" w:rsidP="003A3D01">
      <w:pPr>
        <w:ind w:left="426"/>
        <w:rPr>
          <w:sz w:val="22"/>
        </w:rPr>
      </w:pPr>
      <w:r w:rsidRPr="00A73B98">
        <w:rPr>
          <w:sz w:val="22"/>
        </w:rPr>
        <w:t xml:space="preserve">Gisselbrecht C, Schmitz N, Mounier N, Singh Gill D, Linch DC, Trneny M, et al. Rituximab maintenance therapy after autologous stem-cell transplantation in patients with relapsed CD20(+) diffuse large B-cell lymphoma: final analysis of the collaborative trial in relapsed aggressive lymphoma. J Clin Oncol. 2012;30(36):4462-9. </w:t>
      </w:r>
    </w:p>
    <w:p w14:paraId="61502BDA" w14:textId="77777777" w:rsidR="00586F95" w:rsidRDefault="00586F95" w:rsidP="003A3D01">
      <w:pPr>
        <w:ind w:left="426"/>
        <w:rPr>
          <w:sz w:val="22"/>
          <w:lang w:val="en-GB"/>
        </w:rPr>
      </w:pPr>
      <w:r w:rsidRPr="00586F95">
        <w:rPr>
          <w:sz w:val="22"/>
          <w:lang w:val="en-GB"/>
        </w:rPr>
        <w:t>Hutchinson, C.B., Wang, E. (2011). Primary mediastinal (thymic) large B-cell lymphoma: a short review with brief discussion of mediastinal gray zone lymphoma. Archives of Pathology &amp; Laboratory Medicine. 135(3), pp.394-398.</w:t>
      </w:r>
    </w:p>
    <w:p w14:paraId="5BAF400E" w14:textId="77777777" w:rsidR="008237F5" w:rsidRDefault="008237F5" w:rsidP="00947167">
      <w:pPr>
        <w:ind w:left="426"/>
        <w:rPr>
          <w:sz w:val="22"/>
          <w:lang w:val="en-GB"/>
        </w:rPr>
      </w:pPr>
      <w:r w:rsidRPr="008237F5">
        <w:rPr>
          <w:sz w:val="22"/>
          <w:lang w:val="en-GB"/>
        </w:rPr>
        <w:t xml:space="preserve">Kansara, R., Savage, K., Villa, D., Shenkier, T., Gerrie, A., Klasa, R., Hitz, F., Scott, D. W., Slack, G., Gascoyne, R., Connors, J., &amp; Sehn, L. (2014). Outcome in Unselected Patients with Relapsed/Refractory Diffuse Large B-Cell Lymphoma (DLBCL) Following R-CHOP When Stem Cell Transplantation Is Not Feasible. </w:t>
      </w:r>
      <w:r w:rsidRPr="008237F5">
        <w:rPr>
          <w:i/>
          <w:sz w:val="22"/>
          <w:lang w:val="en-GB"/>
        </w:rPr>
        <w:t>Blood</w:t>
      </w:r>
      <w:r w:rsidRPr="008237F5">
        <w:rPr>
          <w:sz w:val="22"/>
          <w:lang w:val="en-GB"/>
        </w:rPr>
        <w:t>, 124(21), p.3069.</w:t>
      </w:r>
    </w:p>
    <w:p w14:paraId="6D394E92" w14:textId="77777777" w:rsidR="00947167" w:rsidRDefault="003811DE" w:rsidP="00947167">
      <w:pPr>
        <w:ind w:left="426"/>
        <w:rPr>
          <w:sz w:val="22"/>
          <w:lang w:val="en-GB"/>
        </w:rPr>
      </w:pPr>
      <w:r w:rsidRPr="003811DE">
        <w:rPr>
          <w:sz w:val="22"/>
          <w:lang w:val="en-GB"/>
        </w:rPr>
        <w:t>(Kite, 2017</w:t>
      </w:r>
      <w:r w:rsidR="005401E8">
        <w:rPr>
          <w:sz w:val="22"/>
          <w:lang w:val="en-GB"/>
        </w:rPr>
        <w:t>A</w:t>
      </w:r>
      <w:r w:rsidRPr="003811DE">
        <w:rPr>
          <w:sz w:val="22"/>
          <w:lang w:val="en-GB"/>
        </w:rPr>
        <w:t>):</w:t>
      </w:r>
      <w:r>
        <w:rPr>
          <w:sz w:val="22"/>
          <w:lang w:val="en-GB"/>
        </w:rPr>
        <w:t xml:space="preserve"> </w:t>
      </w:r>
      <w:r w:rsidR="00947167" w:rsidRPr="00947167">
        <w:rPr>
          <w:sz w:val="22"/>
          <w:lang w:val="en-GB"/>
        </w:rPr>
        <w:t>Kite Pharma. (2017). Data on File (Clinical Study Report): KTE-C19-101 A Phase 1/2 Multicenter Study Evaluating the Safety and Efficacy of KTE-C19 in Subjects with Refractory Aggressive non-Hodgkin Lymphoma (ZUMA-1). Santa Monica (CA) USA.</w:t>
      </w:r>
      <w:r w:rsidRPr="003811DE">
        <w:rPr>
          <w:rFonts w:ascii="Arial" w:eastAsia="Calibri" w:hAnsi="Arial" w:cs="Arial"/>
          <w:sz w:val="18"/>
          <w:szCs w:val="18"/>
          <w:lang w:val="en-GB"/>
        </w:rPr>
        <w:t xml:space="preserve"> </w:t>
      </w:r>
    </w:p>
    <w:p w14:paraId="4A88300C" w14:textId="77777777" w:rsidR="008237F5" w:rsidRDefault="003E75DC" w:rsidP="00947167">
      <w:pPr>
        <w:ind w:left="426"/>
        <w:rPr>
          <w:sz w:val="22"/>
          <w:lang w:val="en-GB"/>
        </w:rPr>
      </w:pPr>
      <w:r w:rsidRPr="003E75DC">
        <w:rPr>
          <w:sz w:val="22"/>
          <w:szCs w:val="20"/>
          <w:lang w:val="en-GB"/>
        </w:rPr>
        <w:t>(Kite, 2017</w:t>
      </w:r>
      <w:r w:rsidR="005401E8">
        <w:rPr>
          <w:sz w:val="22"/>
          <w:szCs w:val="20"/>
          <w:lang w:val="en-GB"/>
        </w:rPr>
        <w:t>B</w:t>
      </w:r>
      <w:r w:rsidRPr="003E75DC">
        <w:rPr>
          <w:sz w:val="22"/>
          <w:szCs w:val="20"/>
          <w:lang w:val="en-GB"/>
        </w:rPr>
        <w:t xml:space="preserve">): </w:t>
      </w:r>
      <w:r w:rsidR="008237F5" w:rsidRPr="008237F5">
        <w:rPr>
          <w:sz w:val="22"/>
          <w:lang w:val="en-GB"/>
        </w:rPr>
        <w:t>Kite Pharma. (2017</w:t>
      </w:r>
      <w:r w:rsidR="00525700">
        <w:rPr>
          <w:sz w:val="22"/>
          <w:lang w:val="en-GB"/>
        </w:rPr>
        <w:t>C</w:t>
      </w:r>
      <w:r w:rsidR="008237F5" w:rsidRPr="008237F5">
        <w:rPr>
          <w:sz w:val="22"/>
          <w:lang w:val="en-GB"/>
        </w:rPr>
        <w:t xml:space="preserve">). </w:t>
      </w:r>
      <w:r w:rsidR="008237F5" w:rsidRPr="008237F5">
        <w:rPr>
          <w:i/>
          <w:sz w:val="22"/>
          <w:lang w:val="en-GB"/>
        </w:rPr>
        <w:t>Data on File: KTE-C19 Clinical data – 5 April.</w:t>
      </w:r>
      <w:r w:rsidR="008237F5" w:rsidRPr="008237F5">
        <w:rPr>
          <w:sz w:val="22"/>
          <w:lang w:val="en-GB"/>
        </w:rPr>
        <w:t xml:space="preserve"> Santa Monica (CA) </w:t>
      </w:r>
      <w:r>
        <w:rPr>
          <w:sz w:val="22"/>
          <w:lang w:val="en-GB"/>
        </w:rPr>
        <w:t>USA</w:t>
      </w:r>
    </w:p>
    <w:p w14:paraId="65A823AF" w14:textId="77777777" w:rsidR="00947167" w:rsidRDefault="00947167" w:rsidP="00947167">
      <w:pPr>
        <w:ind w:left="426"/>
        <w:rPr>
          <w:sz w:val="22"/>
        </w:rPr>
      </w:pPr>
      <w:r w:rsidRPr="00E744B4">
        <w:rPr>
          <w:sz w:val="22"/>
        </w:rPr>
        <w:t xml:space="preserve">Leukaemia Foundation Australia. Follicular lymphoma. Available at: http://www.leukaemia.org.au/blood-cancers/lymphomas/non-hodgkin-lymphomanhl/follicular-lymphoma/follicular-lymphoma. </w:t>
      </w:r>
    </w:p>
    <w:p w14:paraId="7E6DDCEB" w14:textId="77777777" w:rsidR="008237F5" w:rsidRDefault="008237F5" w:rsidP="008237F5">
      <w:pPr>
        <w:ind w:left="426"/>
        <w:rPr>
          <w:sz w:val="22"/>
        </w:rPr>
      </w:pPr>
      <w:r w:rsidRPr="008237F5">
        <w:rPr>
          <w:sz w:val="22"/>
        </w:rPr>
        <w:t>Locke FL, Ghobadi A, Jacobson CA, Miklos DB, Lekakis LJ, Oluwole OO, Lin Y,</w:t>
      </w:r>
      <w:r>
        <w:rPr>
          <w:sz w:val="22"/>
        </w:rPr>
        <w:t xml:space="preserve"> </w:t>
      </w:r>
      <w:r w:rsidRPr="008237F5">
        <w:rPr>
          <w:sz w:val="22"/>
        </w:rPr>
        <w:t>Braunschweig I, Hill BT, Timmerman JM, Deol A, Reagan PM, Stiff P, Flinn IW,</w:t>
      </w:r>
      <w:r>
        <w:rPr>
          <w:sz w:val="22"/>
        </w:rPr>
        <w:t xml:space="preserve"> </w:t>
      </w:r>
      <w:r w:rsidRPr="008237F5">
        <w:rPr>
          <w:sz w:val="22"/>
        </w:rPr>
        <w:t>Farooq U, Goy A, McSweeney PA, Munoz J, Siddiqi T, Chavez JC, Herrera AF,</w:t>
      </w:r>
      <w:r>
        <w:rPr>
          <w:sz w:val="22"/>
        </w:rPr>
        <w:t xml:space="preserve"> </w:t>
      </w:r>
      <w:r w:rsidRPr="008237F5">
        <w:rPr>
          <w:sz w:val="22"/>
        </w:rPr>
        <w:t>Bartlett NL, Wiezorek JS, Navale L, Xue A, Jiang Y, Bot A, Rossi JM, Kim JJ, Go</w:t>
      </w:r>
      <w:r>
        <w:rPr>
          <w:sz w:val="22"/>
        </w:rPr>
        <w:t xml:space="preserve"> </w:t>
      </w:r>
      <w:r w:rsidRPr="008237F5">
        <w:rPr>
          <w:sz w:val="22"/>
        </w:rPr>
        <w:t>WY, Neelapu SS. Long-term safety and activity of axicabtagene ciloleucel in</w:t>
      </w:r>
      <w:r>
        <w:rPr>
          <w:sz w:val="22"/>
        </w:rPr>
        <w:t xml:space="preserve"> </w:t>
      </w:r>
      <w:r w:rsidRPr="008237F5">
        <w:rPr>
          <w:sz w:val="22"/>
        </w:rPr>
        <w:t>refractory large B-cell lymphoma (ZUMA-1): a single-arm, multicentre, phase 1-2</w:t>
      </w:r>
      <w:r>
        <w:rPr>
          <w:sz w:val="22"/>
        </w:rPr>
        <w:t xml:space="preserve"> </w:t>
      </w:r>
      <w:r w:rsidRPr="008237F5">
        <w:rPr>
          <w:sz w:val="22"/>
        </w:rPr>
        <w:t>trial. Lancet Oncol. 201</w:t>
      </w:r>
      <w:r>
        <w:rPr>
          <w:sz w:val="22"/>
        </w:rPr>
        <w:t>8</w:t>
      </w:r>
      <w:r w:rsidRPr="008237F5">
        <w:rPr>
          <w:sz w:val="22"/>
        </w:rPr>
        <w:t xml:space="preserve"> Jan;20(1):31-42. doi: 10.1016/S1470-2045(18)30864-7.</w:t>
      </w:r>
      <w:r>
        <w:rPr>
          <w:sz w:val="22"/>
        </w:rPr>
        <w:t xml:space="preserve"> </w:t>
      </w:r>
    </w:p>
    <w:p w14:paraId="57C1163C" w14:textId="77777777" w:rsidR="00947167" w:rsidRDefault="00947167" w:rsidP="00947167">
      <w:pPr>
        <w:ind w:left="426"/>
        <w:rPr>
          <w:sz w:val="22"/>
        </w:rPr>
      </w:pPr>
      <w:r w:rsidRPr="00960736">
        <w:rPr>
          <w:sz w:val="22"/>
        </w:rPr>
        <w:t>Lossos, I. and Gascoyne, R. (2011). Transformation of follicular lymphoma. Best Practice &amp; Research Clinical Haematology, 24(2), pp.147-163.</w:t>
      </w:r>
    </w:p>
    <w:p w14:paraId="257EE72C" w14:textId="6D439849" w:rsidR="00CD5E13" w:rsidRDefault="00947167" w:rsidP="001B2923">
      <w:pPr>
        <w:spacing w:after="0"/>
        <w:ind w:left="425"/>
        <w:rPr>
          <w:rStyle w:val="Hyperlink"/>
          <w:sz w:val="22"/>
          <w:lang w:val="en-GB"/>
        </w:rPr>
      </w:pPr>
      <w:r w:rsidRPr="00947167">
        <w:rPr>
          <w:sz w:val="22"/>
          <w:lang w:val="en-GB"/>
        </w:rPr>
        <w:t xml:space="preserve">Lymphoma Association. (2016). </w:t>
      </w:r>
      <w:r w:rsidRPr="00947167">
        <w:rPr>
          <w:i/>
          <w:iCs/>
          <w:sz w:val="22"/>
          <w:lang w:val="en-GB"/>
        </w:rPr>
        <w:t>Diffuse large B-cell lymphoma</w:t>
      </w:r>
      <w:r w:rsidRPr="00947167">
        <w:rPr>
          <w:sz w:val="22"/>
          <w:lang w:val="en-GB"/>
        </w:rPr>
        <w:t xml:space="preserve">. [online] Available at: </w:t>
      </w:r>
    </w:p>
    <w:p w14:paraId="107741A1" w14:textId="04E581F4" w:rsidR="00E521E9" w:rsidRDefault="00CB0916" w:rsidP="001B2923">
      <w:pPr>
        <w:spacing w:before="0"/>
        <w:ind w:left="425"/>
        <w:rPr>
          <w:rStyle w:val="Hyperlink"/>
          <w:sz w:val="22"/>
          <w:lang w:val="en-GB"/>
        </w:rPr>
      </w:pPr>
      <w:hyperlink r:id="rId32" w:tooltip="Link to Lymphoma action website - Diffuse large B-cell lymphoma" w:history="1">
        <w:r w:rsidRPr="00E30F68">
          <w:rPr>
            <w:rStyle w:val="Hyperlink"/>
            <w:sz w:val="22"/>
            <w:lang w:val="en-GB"/>
          </w:rPr>
          <w:t>https://lymphoma-action.org.uk/types-lym</w:t>
        </w:r>
        <w:r w:rsidRPr="00E30F68">
          <w:rPr>
            <w:rStyle w:val="Hyperlink"/>
            <w:sz w:val="22"/>
            <w:lang w:val="en-GB"/>
          </w:rPr>
          <w:t>p</w:t>
        </w:r>
        <w:r w:rsidRPr="00E30F68">
          <w:rPr>
            <w:rStyle w:val="Hyperlink"/>
            <w:sz w:val="22"/>
            <w:lang w:val="en-GB"/>
          </w:rPr>
          <w:t>homa-non-hodgkin-lymphoma/diffuse-large-b-cell-lymphoma</w:t>
        </w:r>
      </w:hyperlink>
    </w:p>
    <w:p w14:paraId="4A1D6B45" w14:textId="77777777" w:rsidR="00525700" w:rsidRPr="00947167" w:rsidRDefault="00525700" w:rsidP="00947167">
      <w:pPr>
        <w:ind w:left="426"/>
        <w:rPr>
          <w:sz w:val="22"/>
        </w:rPr>
      </w:pPr>
      <w:r w:rsidRPr="00525700">
        <w:rPr>
          <w:sz w:val="22"/>
          <w:lang w:val="en-GB"/>
        </w:rPr>
        <w:t xml:space="preserve">Lymphoma Research Foundation (LRF). (2016). Diffuse Large B-Cell Lymphoma (DLBCL). [online] Available at: </w:t>
      </w:r>
      <w:hyperlink r:id="rId33" w:tooltip="Link to Lymphoma Research Foundation website" w:history="1">
        <w:r w:rsidRPr="00525700">
          <w:rPr>
            <w:rStyle w:val="Hyperlink"/>
            <w:sz w:val="22"/>
            <w:lang w:val="en-GB"/>
          </w:rPr>
          <w:t>http://www.lymphoma.org</w:t>
        </w:r>
      </w:hyperlink>
      <w:r w:rsidRPr="00525700">
        <w:rPr>
          <w:sz w:val="22"/>
          <w:lang w:val="en-GB"/>
        </w:rPr>
        <w:t xml:space="preserve">. </w:t>
      </w:r>
    </w:p>
    <w:p w14:paraId="65A90F3B" w14:textId="77777777" w:rsidR="00960736" w:rsidRPr="00A73B98" w:rsidRDefault="00960736" w:rsidP="003A3D01">
      <w:pPr>
        <w:ind w:left="426"/>
        <w:rPr>
          <w:sz w:val="22"/>
        </w:rPr>
      </w:pPr>
      <w:r w:rsidRPr="00960736">
        <w:rPr>
          <w:sz w:val="22"/>
          <w:lang w:val="en-GB"/>
        </w:rPr>
        <w:lastRenderedPageBreak/>
        <w:t xml:space="preserve">Martelli, M., Ferreri, A., Agostinelli, C., Di Rocco, A., Pfreundschuh, M. and Pileri, S. (2013). Diffuse large B-cell lymphoma. </w:t>
      </w:r>
      <w:r w:rsidRPr="00960736">
        <w:rPr>
          <w:i/>
          <w:iCs/>
          <w:sz w:val="22"/>
          <w:lang w:val="en-GB"/>
        </w:rPr>
        <w:t>Critical Reviews in Oncology/Hematology</w:t>
      </w:r>
      <w:r w:rsidRPr="00960736">
        <w:rPr>
          <w:sz w:val="22"/>
          <w:lang w:val="en-GB"/>
        </w:rPr>
        <w:t>, 87(2), pp.146-171.</w:t>
      </w:r>
    </w:p>
    <w:p w14:paraId="21BA2A1F" w14:textId="77777777" w:rsidR="003A3D01" w:rsidRPr="00A73B98" w:rsidRDefault="003A3D01" w:rsidP="003A3D01">
      <w:pPr>
        <w:ind w:left="426"/>
        <w:rPr>
          <w:sz w:val="22"/>
        </w:rPr>
      </w:pPr>
      <w:r w:rsidRPr="00A73B98">
        <w:rPr>
          <w:sz w:val="22"/>
        </w:rPr>
        <w:t>Morton LM, Wang SS, Devesa SS, Hartge P, Weisenburger DD, Linet MS. Lymphoma incidence patterns by WHO subtype in the United States, 1992-2001. Blood. 2006;107(1):265-76.</w:t>
      </w:r>
    </w:p>
    <w:p w14:paraId="7DEE9903" w14:textId="77777777" w:rsidR="00A43D21" w:rsidRDefault="003A3D01" w:rsidP="001806C3">
      <w:pPr>
        <w:ind w:left="426"/>
        <w:rPr>
          <w:sz w:val="22"/>
        </w:rPr>
      </w:pPr>
      <w:r w:rsidRPr="00A73B98">
        <w:rPr>
          <w:sz w:val="22"/>
        </w:rPr>
        <w:t xml:space="preserve">Moskowitz CH, Bertino JR, Glassman JR, Hedrick EE, Hunte S, Coady-Lyons N, et al. Ifosfamide, carboplatin, and etoposide: a highly effective cytoreduction and peripheral-blood progenitor-cell mobilization regimen for transplant-eligible patients with non-Hodgkin's lymphoma. J Clin Oncol. 1999;17(12):3776-85. </w:t>
      </w:r>
    </w:p>
    <w:p w14:paraId="4570F94E" w14:textId="77777777" w:rsidR="00A43D21" w:rsidRDefault="00A43D21" w:rsidP="00A43D21">
      <w:pPr>
        <w:ind w:left="426"/>
        <w:rPr>
          <w:sz w:val="22"/>
        </w:rPr>
      </w:pPr>
      <w:r w:rsidRPr="00A43D21">
        <w:rPr>
          <w:sz w:val="22"/>
        </w:rPr>
        <w:t>Nagle SJ, Woo K, Schuster SJ, Nasta SD, Stadtmauer E, Mick R, Svoboda J. Outcomes of</w:t>
      </w:r>
      <w:r>
        <w:rPr>
          <w:sz w:val="22"/>
        </w:rPr>
        <w:t xml:space="preserve"> </w:t>
      </w:r>
      <w:r w:rsidRPr="00A43D21">
        <w:rPr>
          <w:sz w:val="22"/>
        </w:rPr>
        <w:t>patient</w:t>
      </w:r>
      <w:r>
        <w:rPr>
          <w:sz w:val="22"/>
        </w:rPr>
        <w:t xml:space="preserve"> </w:t>
      </w:r>
      <w:r w:rsidRPr="00A43D21">
        <w:rPr>
          <w:sz w:val="22"/>
        </w:rPr>
        <w:t>with relapsed/refractory diffuse large B-cell lymphoma with progression of lymphoma</w:t>
      </w:r>
      <w:r>
        <w:rPr>
          <w:sz w:val="22"/>
        </w:rPr>
        <w:t xml:space="preserve"> </w:t>
      </w:r>
      <w:r w:rsidRPr="00A43D21">
        <w:rPr>
          <w:sz w:val="22"/>
        </w:rPr>
        <w:t>after autologous stem cell transplantation in the rituximab era. American Journal of Hematology.</w:t>
      </w:r>
      <w:r>
        <w:rPr>
          <w:sz w:val="22"/>
        </w:rPr>
        <w:t xml:space="preserve"> </w:t>
      </w:r>
      <w:r w:rsidRPr="00A43D21">
        <w:rPr>
          <w:sz w:val="22"/>
        </w:rPr>
        <w:t>2013;88(10):890-4.</w:t>
      </w:r>
      <w:r>
        <w:rPr>
          <w:sz w:val="22"/>
        </w:rPr>
        <w:t xml:space="preserve"> </w:t>
      </w:r>
      <w:r w:rsidRPr="00A43D21">
        <w:rPr>
          <w:sz w:val="22"/>
        </w:rPr>
        <w:t>NCCN. Clinical Practice</w:t>
      </w:r>
      <w:r w:rsidR="00DD3501">
        <w:rPr>
          <w:sz w:val="22"/>
        </w:rPr>
        <w:t>.</w:t>
      </w:r>
    </w:p>
    <w:p w14:paraId="1A1910DC" w14:textId="77777777" w:rsidR="003A3D01" w:rsidRDefault="003A3D01" w:rsidP="003A3D01">
      <w:pPr>
        <w:ind w:left="426"/>
        <w:rPr>
          <w:rStyle w:val="Hyperlink"/>
          <w:sz w:val="22"/>
        </w:rPr>
      </w:pPr>
      <w:r w:rsidRPr="00A73B98">
        <w:rPr>
          <w:sz w:val="22"/>
        </w:rPr>
        <w:t xml:space="preserve">National Comprehensive Cancer Network. Clinical Practice Guidelines in Oncology; Non-Hodkin’s Lymphomas, Version 1. 2014. Available from: </w:t>
      </w:r>
      <w:hyperlink r:id="rId34" w:tooltip="Link to National Comprehensive Cancer Network website - NCCN Guidelines" w:history="1">
        <w:r w:rsidRPr="00A73B98">
          <w:rPr>
            <w:rStyle w:val="Hyperlink"/>
            <w:sz w:val="22"/>
          </w:rPr>
          <w:t>https://www.nccn.org/professionals/physician_gls/default.aspx</w:t>
        </w:r>
      </w:hyperlink>
    </w:p>
    <w:p w14:paraId="4EA8947F" w14:textId="77777777" w:rsidR="00960736" w:rsidRPr="00C13BF8" w:rsidRDefault="00960736" w:rsidP="00C13BF8">
      <w:pPr>
        <w:ind w:left="426"/>
        <w:rPr>
          <w:sz w:val="22"/>
          <w:lang w:val="en-GB"/>
        </w:rPr>
      </w:pPr>
      <w:r w:rsidRPr="00960736">
        <w:rPr>
          <w:sz w:val="22"/>
          <w:lang w:val="en-GB"/>
        </w:rPr>
        <w:t xml:space="preserve">National Cancer Institute (NCI). (2017). Adult non-Hodgkin lymphoma treatment (PDQ®) – Professional Version. [online] Available at: </w:t>
      </w:r>
      <w:hyperlink r:id="rId35" w:tooltip="Link to National Cancer Institute website - Adult Non-Hodgkin Lymphoma Treatment - Health Professional Version" w:history="1">
        <w:r w:rsidRPr="00960736">
          <w:rPr>
            <w:rStyle w:val="Hyperlink"/>
            <w:color w:val="auto"/>
            <w:sz w:val="22"/>
            <w:u w:val="none"/>
            <w:lang w:val="en-GB"/>
          </w:rPr>
          <w:t>www.cancer.gov/types/lymphoma/hp/adult-nhl-treatment-pdq</w:t>
        </w:r>
      </w:hyperlink>
      <w:r w:rsidRPr="00960736">
        <w:rPr>
          <w:sz w:val="22"/>
          <w:lang w:val="en-GB"/>
        </w:rPr>
        <w:t>.</w:t>
      </w:r>
    </w:p>
    <w:p w14:paraId="3455BE67" w14:textId="77777777" w:rsidR="00B002B3" w:rsidRDefault="00B002B3" w:rsidP="00586F95">
      <w:pPr>
        <w:ind w:left="426"/>
        <w:rPr>
          <w:sz w:val="22"/>
          <w:lang w:val="en-GB"/>
        </w:rPr>
      </w:pPr>
      <w:r w:rsidRPr="00B002B3">
        <w:rPr>
          <w:sz w:val="22"/>
          <w:szCs w:val="20"/>
          <w:lang w:val="en-GB"/>
        </w:rPr>
        <w:t>(Neelapu et al, 2017A)</w:t>
      </w:r>
      <w:r>
        <w:rPr>
          <w:szCs w:val="20"/>
          <w:lang w:val="en-GB"/>
        </w:rPr>
        <w:t xml:space="preserve">: </w:t>
      </w:r>
      <w:r w:rsidRPr="00B002B3">
        <w:rPr>
          <w:sz w:val="22"/>
          <w:lang w:val="en-GB"/>
        </w:rPr>
        <w:t>Neelapu, S., Locke, F., Bartlett, N., Lekakis, L., Miklos, D., Jacobson, C., Braunschweig, I., Oluwole, O., Siddiqi, T., Lin, Y., Timmerman, J., Reagan, P., Navale, L., Jiang, Y., Aycock, J., Elias, M., Wiezorek, J., Go, W. (2017). Axicabtagene Ciloleucel (axi-cel; KTE-C19) in Patients With Refractory Aggressive Non-Hodgkin Lymphoma (NHL): Primary Results of the Pivotal Trial ZUMA-1. International Conference on Malignant Lymphoma (Oral Presentation). 14 June 2017.</w:t>
      </w:r>
    </w:p>
    <w:p w14:paraId="58764F55" w14:textId="77777777" w:rsidR="003811DE" w:rsidRPr="00A73B98" w:rsidRDefault="003811DE" w:rsidP="00586F95">
      <w:pPr>
        <w:ind w:left="426"/>
        <w:rPr>
          <w:sz w:val="22"/>
        </w:rPr>
      </w:pPr>
      <w:r w:rsidRPr="003811DE">
        <w:rPr>
          <w:sz w:val="22"/>
          <w:szCs w:val="20"/>
          <w:lang w:val="en-GB"/>
        </w:rPr>
        <w:t xml:space="preserve">(Neelapu et al, 2017B): </w:t>
      </w:r>
      <w:r w:rsidRPr="003811DE">
        <w:rPr>
          <w:sz w:val="22"/>
        </w:rPr>
        <w:t xml:space="preserve">Neelapu, S., Locke, F., Bartlett, N., Lekakis, L., Miklos, D., Jacobson, C., Braunschweig, I., Oluwole, O., Siddiqi, T., Lin, Y., Timmerman, J., Stiff, P., Friedberg, J., Flinn, I., Goy, A., Hill, B., Smith, M., Deol, A., Farooq, U., McSweeney, P., Munoz, J., Avivi, I., Castro, J., Westin, J., Chavez, J., Ghobadi, A., Komanduri, K., Levy, R., Jacobsen, E., Witzig, T., Reagan, P., Bot, A., Rossi, J., Navale, L., Jiang, Y., Aycock, J., Elias, M., Chang, D., Wiezorek, J. and Go, W. (2017). Axicabtagene Ciloleucel CAR T-Cell Therapy in Refractory Large B-Cell Lymphoma. New England Journal of Medicine. </w:t>
      </w:r>
    </w:p>
    <w:p w14:paraId="4DCE4885" w14:textId="77777777" w:rsidR="003A3D01" w:rsidRDefault="00AF2219" w:rsidP="003A3D01">
      <w:pPr>
        <w:ind w:left="426"/>
        <w:rPr>
          <w:sz w:val="22"/>
        </w:rPr>
      </w:pPr>
      <w:r w:rsidRPr="00590BBC">
        <w:rPr>
          <w:sz w:val="22"/>
          <w:szCs w:val="20"/>
        </w:rPr>
        <w:t>(Neelapu et al; 2017C):</w:t>
      </w:r>
      <w:r w:rsidR="00590BBC" w:rsidRPr="00590BBC">
        <w:rPr>
          <w:sz w:val="22"/>
          <w:szCs w:val="20"/>
        </w:rPr>
        <w:t xml:space="preserve"> </w:t>
      </w:r>
      <w:r w:rsidR="003A3D01" w:rsidRPr="00A73B98">
        <w:rPr>
          <w:sz w:val="22"/>
        </w:rPr>
        <w:t xml:space="preserve">Neelapu SS, Locke FL, Bartlett NL, Lekakis LJ, Reagan PM, Miklos DB et al. A Comparison of one year outcomes in ZUMA-1 (Axicabtagene Ciloceucel) and SCHOLAR-1 in patients with refractory, aggressive </w:t>
      </w:r>
      <w:r w:rsidR="00B127CA">
        <w:rPr>
          <w:sz w:val="22"/>
        </w:rPr>
        <w:t>non-Hodgkin</w:t>
      </w:r>
      <w:r w:rsidR="003A3D01" w:rsidRPr="00A73B98">
        <w:rPr>
          <w:sz w:val="22"/>
        </w:rPr>
        <w:t xml:space="preserve"> Lymphoma. Presentation, American Society of Haematology Annual meeting, Atlanta, Georgia, December 2017.</w:t>
      </w:r>
    </w:p>
    <w:p w14:paraId="7DC0EB95" w14:textId="77777777" w:rsidR="003A3D01" w:rsidRDefault="003A3D01" w:rsidP="003A3D01">
      <w:pPr>
        <w:ind w:left="426"/>
        <w:rPr>
          <w:sz w:val="22"/>
        </w:rPr>
      </w:pPr>
      <w:r w:rsidRPr="00A73B98">
        <w:rPr>
          <w:sz w:val="22"/>
        </w:rPr>
        <w:t xml:space="preserve">Philip T, Guglielmi C, Hagenbeek A, Somers R, Van der Lelie H, Bron D, et al. Autologous bone marrow transplantation as compared with salvage chemotherapy in relapses of chemotherapy-sensitive non-Hodgkin's lymphoma. N Engl J Med. 1995;333(23):1540-5. </w:t>
      </w:r>
    </w:p>
    <w:p w14:paraId="6D1AA817" w14:textId="77777777" w:rsidR="00CF3776" w:rsidRPr="00CF3776" w:rsidRDefault="00CF3776" w:rsidP="00CF3776">
      <w:pPr>
        <w:ind w:left="426"/>
        <w:rPr>
          <w:sz w:val="22"/>
        </w:rPr>
      </w:pPr>
      <w:r w:rsidRPr="00CF3776">
        <w:rPr>
          <w:sz w:val="22"/>
        </w:rPr>
        <w:t>Restifo NP, Dudley ME, Rosenberg SA. Adoptive immunotherapy for cancer: harnessing the T</w:t>
      </w:r>
      <w:r>
        <w:rPr>
          <w:sz w:val="22"/>
        </w:rPr>
        <w:t xml:space="preserve"> </w:t>
      </w:r>
      <w:r w:rsidRPr="00CF3776">
        <w:rPr>
          <w:sz w:val="22"/>
        </w:rPr>
        <w:t>cell response. Nat Rev Immunol. 2012;12(4):269-81.</w:t>
      </w:r>
    </w:p>
    <w:p w14:paraId="32AF6907" w14:textId="77777777" w:rsidR="003A3D01" w:rsidRPr="00A73B98" w:rsidRDefault="003A3D01" w:rsidP="003A3D01">
      <w:pPr>
        <w:ind w:left="426"/>
        <w:rPr>
          <w:sz w:val="22"/>
        </w:rPr>
      </w:pPr>
      <w:r w:rsidRPr="00A73B98">
        <w:rPr>
          <w:sz w:val="22"/>
        </w:rPr>
        <w:t>Savage KJ. Favorable outcome of primary mediastinal large B-cell lymphoma in a single institution: the British Columbia experience. Annals of Oncology. 2006;17(1):123-30.</w:t>
      </w:r>
    </w:p>
    <w:p w14:paraId="0E5CEFF6" w14:textId="77777777" w:rsidR="003A3D01" w:rsidRPr="00A73B98" w:rsidRDefault="003A3D01" w:rsidP="003A3D01">
      <w:pPr>
        <w:ind w:left="426"/>
        <w:rPr>
          <w:sz w:val="22"/>
        </w:rPr>
      </w:pPr>
      <w:r w:rsidRPr="00A73B98">
        <w:rPr>
          <w:sz w:val="22"/>
        </w:rPr>
        <w:t>Sehn LH, Antin JH, Shulman LN, Mauch P, Elias A, Kadin ME, Wheeler C. Primary diffuse large B-cell lymphoma of the mediastinum: outcome following high-dose chemotherapy and autologous hematopoietic cell transplantation. Blood. 1998;91(2):717-23.</w:t>
      </w:r>
    </w:p>
    <w:p w14:paraId="1E6E6F9C" w14:textId="77777777" w:rsidR="003A3D01" w:rsidRPr="00A73B98" w:rsidRDefault="003A3D01" w:rsidP="003A3D01">
      <w:pPr>
        <w:ind w:left="426"/>
        <w:rPr>
          <w:sz w:val="22"/>
        </w:rPr>
      </w:pPr>
      <w:r w:rsidRPr="00A73B98">
        <w:rPr>
          <w:sz w:val="22"/>
        </w:rPr>
        <w:lastRenderedPageBreak/>
        <w:t>Sehn LH, Gascoyne RD. Diffuse large B-cell lymphoma: optimizing outcome in the context of clinical and biologic heterogeneity. Blood. 2015;125(1):22-32.</w:t>
      </w:r>
    </w:p>
    <w:p w14:paraId="0DBC72D7" w14:textId="77777777" w:rsidR="003A3D01" w:rsidRPr="00A43D21" w:rsidRDefault="003A3D01" w:rsidP="003A3D01">
      <w:pPr>
        <w:ind w:left="426"/>
        <w:rPr>
          <w:sz w:val="22"/>
        </w:rPr>
      </w:pPr>
      <w:r w:rsidRPr="00A73B98">
        <w:rPr>
          <w:sz w:val="22"/>
        </w:rPr>
        <w:t xml:space="preserve">Tilly H, Vitolo U, Walewski J, da Silva MG, Shpilberg O, Andr M, Pfreundschuh M, Dreyling M. Diffuse large B-cell lymphoma (DLBCL): ESMO Clinical Practice Guidelines for diagnosis, </w:t>
      </w:r>
      <w:r w:rsidRPr="00A43D21">
        <w:rPr>
          <w:sz w:val="22"/>
        </w:rPr>
        <w:t>treatment and follow-up. Annals of Oncology. 2012;23(Suppl 7):vii78-vii82.</w:t>
      </w:r>
    </w:p>
    <w:p w14:paraId="118E5A4E" w14:textId="77777777" w:rsidR="00A43D21" w:rsidRPr="00A43D21" w:rsidRDefault="00A43D21" w:rsidP="00A43D21">
      <w:pPr>
        <w:ind w:left="426"/>
        <w:rPr>
          <w:sz w:val="22"/>
        </w:rPr>
      </w:pPr>
      <w:r w:rsidRPr="00A43D21">
        <w:rPr>
          <w:sz w:val="22"/>
        </w:rPr>
        <w:t>Tilly H, Gomes da Silva M, Vitolo U, Jack A, Meignan M, Lopez-Guillermo A, et al. Diffuse large B-cell lymphoma (DLBCL): ESMO Clinical Practice Guidelines for diagnosis, treatment and follow-up. Ann Oncol. 2015;26 Suppl 5:v116-25.</w:t>
      </w:r>
    </w:p>
    <w:p w14:paraId="1A43CEFA" w14:textId="2CCCECFD" w:rsidR="003A3D01" w:rsidRPr="001806C3" w:rsidRDefault="00A43D21" w:rsidP="00CB0916">
      <w:pPr>
        <w:ind w:left="426"/>
        <w:rPr>
          <w:sz w:val="22"/>
        </w:rPr>
      </w:pPr>
      <w:r w:rsidRPr="001806C3">
        <w:rPr>
          <w:sz w:val="22"/>
        </w:rPr>
        <w:t>Van Den Neste E, Schmitz N, Mounier N, Gill D, Linch D, Trneny M, et al. Outcome of patients</w:t>
      </w:r>
      <w:r w:rsidR="006D022E" w:rsidRPr="001806C3">
        <w:rPr>
          <w:sz w:val="22"/>
        </w:rPr>
        <w:t xml:space="preserve"> </w:t>
      </w:r>
      <w:r w:rsidRPr="001806C3">
        <w:rPr>
          <w:sz w:val="22"/>
        </w:rPr>
        <w:t>with relapsed diffuse large B-cell lymphoma who fail second-line salvage regimens in the</w:t>
      </w:r>
      <w:r w:rsidR="006D022E" w:rsidRPr="001806C3">
        <w:rPr>
          <w:sz w:val="22"/>
        </w:rPr>
        <w:t xml:space="preserve"> </w:t>
      </w:r>
      <w:r w:rsidRPr="001806C3">
        <w:rPr>
          <w:sz w:val="22"/>
        </w:rPr>
        <w:t>International CORAL study. Bone Marrow Transplant. 2016;51(1):51-7.</w:t>
      </w:r>
    </w:p>
    <w:sectPr w:rsidR="003A3D01" w:rsidRPr="001806C3"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A90EA" w14:textId="77777777" w:rsidR="00D4288A" w:rsidRDefault="00D4288A" w:rsidP="00CF2DFA">
      <w:pPr>
        <w:spacing w:after="0"/>
      </w:pPr>
      <w:r>
        <w:separator/>
      </w:r>
    </w:p>
  </w:endnote>
  <w:endnote w:type="continuationSeparator" w:id="0">
    <w:p w14:paraId="282DC2B0" w14:textId="77777777" w:rsidR="00D4288A" w:rsidRDefault="00D4288A"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haker2Lance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F75D" w14:textId="77777777" w:rsidR="003136F9" w:rsidRDefault="00313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82DE2D5" w14:textId="68F98B1F" w:rsidR="00D4288A" w:rsidRDefault="00D4288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136F9" w:rsidRPr="003136F9">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363EE80" w14:textId="77777777" w:rsidR="00D4288A" w:rsidRPr="003F7CB9" w:rsidRDefault="00D4288A"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E4FB" w14:textId="77777777" w:rsidR="003136F9" w:rsidRDefault="0031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90FF" w14:textId="77777777" w:rsidR="00D4288A" w:rsidRDefault="00D4288A" w:rsidP="00CF2DFA">
      <w:pPr>
        <w:spacing w:after="0"/>
      </w:pPr>
      <w:r>
        <w:separator/>
      </w:r>
    </w:p>
  </w:footnote>
  <w:footnote w:type="continuationSeparator" w:id="0">
    <w:p w14:paraId="0ACBA51A" w14:textId="77777777" w:rsidR="00D4288A" w:rsidRDefault="00D4288A"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D64F" w14:textId="77777777" w:rsidR="003136F9" w:rsidRDefault="00313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116A" w14:textId="77777777" w:rsidR="003136F9" w:rsidRDefault="0031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2DE6" w14:textId="77777777" w:rsidR="003136F9" w:rsidRDefault="00313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644" w:hanging="720"/>
      </w:pPr>
      <w:rPr>
        <w:rFonts w:hint="default"/>
        <w:b w:val="0"/>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D2BE8"/>
    <w:multiLevelType w:val="hybridMultilevel"/>
    <w:tmpl w:val="570031CC"/>
    <w:lvl w:ilvl="0" w:tplc="58DEC1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246A2C18"/>
    <w:multiLevelType w:val="hybridMultilevel"/>
    <w:tmpl w:val="8482E626"/>
    <w:lvl w:ilvl="0" w:tplc="CBCE4E7A">
      <w:start w:val="1"/>
      <w:numFmt w:val="bullet"/>
      <w:lvlText w:val="•"/>
      <w:lvlJc w:val="left"/>
      <w:pPr>
        <w:tabs>
          <w:tab w:val="num" w:pos="720"/>
        </w:tabs>
        <w:ind w:left="720" w:hanging="360"/>
      </w:pPr>
      <w:rPr>
        <w:rFonts w:ascii="Arial" w:hAnsi="Arial" w:hint="default"/>
      </w:rPr>
    </w:lvl>
    <w:lvl w:ilvl="1" w:tplc="0750CFEA" w:tentative="1">
      <w:start w:val="1"/>
      <w:numFmt w:val="bullet"/>
      <w:lvlText w:val="•"/>
      <w:lvlJc w:val="left"/>
      <w:pPr>
        <w:tabs>
          <w:tab w:val="num" w:pos="1440"/>
        </w:tabs>
        <w:ind w:left="1440" w:hanging="360"/>
      </w:pPr>
      <w:rPr>
        <w:rFonts w:ascii="Arial" w:hAnsi="Arial" w:hint="default"/>
      </w:rPr>
    </w:lvl>
    <w:lvl w:ilvl="2" w:tplc="FCE6CFF4" w:tentative="1">
      <w:start w:val="1"/>
      <w:numFmt w:val="bullet"/>
      <w:lvlText w:val="•"/>
      <w:lvlJc w:val="left"/>
      <w:pPr>
        <w:tabs>
          <w:tab w:val="num" w:pos="2160"/>
        </w:tabs>
        <w:ind w:left="2160" w:hanging="360"/>
      </w:pPr>
      <w:rPr>
        <w:rFonts w:ascii="Arial" w:hAnsi="Arial" w:hint="default"/>
      </w:rPr>
    </w:lvl>
    <w:lvl w:ilvl="3" w:tplc="7DA00858" w:tentative="1">
      <w:start w:val="1"/>
      <w:numFmt w:val="bullet"/>
      <w:lvlText w:val="•"/>
      <w:lvlJc w:val="left"/>
      <w:pPr>
        <w:tabs>
          <w:tab w:val="num" w:pos="2880"/>
        </w:tabs>
        <w:ind w:left="2880" w:hanging="360"/>
      </w:pPr>
      <w:rPr>
        <w:rFonts w:ascii="Arial" w:hAnsi="Arial" w:hint="default"/>
      </w:rPr>
    </w:lvl>
    <w:lvl w:ilvl="4" w:tplc="7B0ACFBC" w:tentative="1">
      <w:start w:val="1"/>
      <w:numFmt w:val="bullet"/>
      <w:lvlText w:val="•"/>
      <w:lvlJc w:val="left"/>
      <w:pPr>
        <w:tabs>
          <w:tab w:val="num" w:pos="3600"/>
        </w:tabs>
        <w:ind w:left="3600" w:hanging="360"/>
      </w:pPr>
      <w:rPr>
        <w:rFonts w:ascii="Arial" w:hAnsi="Arial" w:hint="default"/>
      </w:rPr>
    </w:lvl>
    <w:lvl w:ilvl="5" w:tplc="EBD4E518" w:tentative="1">
      <w:start w:val="1"/>
      <w:numFmt w:val="bullet"/>
      <w:lvlText w:val="•"/>
      <w:lvlJc w:val="left"/>
      <w:pPr>
        <w:tabs>
          <w:tab w:val="num" w:pos="4320"/>
        </w:tabs>
        <w:ind w:left="4320" w:hanging="360"/>
      </w:pPr>
      <w:rPr>
        <w:rFonts w:ascii="Arial" w:hAnsi="Arial" w:hint="default"/>
      </w:rPr>
    </w:lvl>
    <w:lvl w:ilvl="6" w:tplc="639248BC" w:tentative="1">
      <w:start w:val="1"/>
      <w:numFmt w:val="bullet"/>
      <w:lvlText w:val="•"/>
      <w:lvlJc w:val="left"/>
      <w:pPr>
        <w:tabs>
          <w:tab w:val="num" w:pos="5040"/>
        </w:tabs>
        <w:ind w:left="5040" w:hanging="360"/>
      </w:pPr>
      <w:rPr>
        <w:rFonts w:ascii="Arial" w:hAnsi="Arial" w:hint="default"/>
      </w:rPr>
    </w:lvl>
    <w:lvl w:ilvl="7" w:tplc="C6C27330" w:tentative="1">
      <w:start w:val="1"/>
      <w:numFmt w:val="bullet"/>
      <w:lvlText w:val="•"/>
      <w:lvlJc w:val="left"/>
      <w:pPr>
        <w:tabs>
          <w:tab w:val="num" w:pos="5760"/>
        </w:tabs>
        <w:ind w:left="5760" w:hanging="360"/>
      </w:pPr>
      <w:rPr>
        <w:rFonts w:ascii="Arial" w:hAnsi="Arial" w:hint="default"/>
      </w:rPr>
    </w:lvl>
    <w:lvl w:ilvl="8" w:tplc="94EA6D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3B4B73"/>
    <w:multiLevelType w:val="hybridMultilevel"/>
    <w:tmpl w:val="84DA2A0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7D36A0D"/>
    <w:multiLevelType w:val="hybridMultilevel"/>
    <w:tmpl w:val="FFE46A94"/>
    <w:lvl w:ilvl="0" w:tplc="91367026">
      <w:start w:val="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58459B"/>
    <w:multiLevelType w:val="hybridMultilevel"/>
    <w:tmpl w:val="3FB450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6F27EBA"/>
    <w:multiLevelType w:val="hybridMultilevel"/>
    <w:tmpl w:val="F3D49508"/>
    <w:lvl w:ilvl="0" w:tplc="BFB2B278">
      <w:start w:val="1"/>
      <w:numFmt w:val="bullet"/>
      <w:lvlText w:val="•"/>
      <w:lvlJc w:val="left"/>
      <w:pPr>
        <w:tabs>
          <w:tab w:val="num" w:pos="720"/>
        </w:tabs>
        <w:ind w:left="720" w:hanging="360"/>
      </w:pPr>
      <w:rPr>
        <w:rFonts w:ascii="Arial" w:hAnsi="Arial" w:hint="default"/>
      </w:rPr>
    </w:lvl>
    <w:lvl w:ilvl="1" w:tplc="5890E366" w:tentative="1">
      <w:start w:val="1"/>
      <w:numFmt w:val="bullet"/>
      <w:lvlText w:val="•"/>
      <w:lvlJc w:val="left"/>
      <w:pPr>
        <w:tabs>
          <w:tab w:val="num" w:pos="1440"/>
        </w:tabs>
        <w:ind w:left="1440" w:hanging="360"/>
      </w:pPr>
      <w:rPr>
        <w:rFonts w:ascii="Arial" w:hAnsi="Arial" w:hint="default"/>
      </w:rPr>
    </w:lvl>
    <w:lvl w:ilvl="2" w:tplc="6C1E2552" w:tentative="1">
      <w:start w:val="1"/>
      <w:numFmt w:val="bullet"/>
      <w:lvlText w:val="•"/>
      <w:lvlJc w:val="left"/>
      <w:pPr>
        <w:tabs>
          <w:tab w:val="num" w:pos="2160"/>
        </w:tabs>
        <w:ind w:left="2160" w:hanging="360"/>
      </w:pPr>
      <w:rPr>
        <w:rFonts w:ascii="Arial" w:hAnsi="Arial" w:hint="default"/>
      </w:rPr>
    </w:lvl>
    <w:lvl w:ilvl="3" w:tplc="21704AD0" w:tentative="1">
      <w:start w:val="1"/>
      <w:numFmt w:val="bullet"/>
      <w:lvlText w:val="•"/>
      <w:lvlJc w:val="left"/>
      <w:pPr>
        <w:tabs>
          <w:tab w:val="num" w:pos="2880"/>
        </w:tabs>
        <w:ind w:left="2880" w:hanging="360"/>
      </w:pPr>
      <w:rPr>
        <w:rFonts w:ascii="Arial" w:hAnsi="Arial" w:hint="default"/>
      </w:rPr>
    </w:lvl>
    <w:lvl w:ilvl="4" w:tplc="73A05E1E" w:tentative="1">
      <w:start w:val="1"/>
      <w:numFmt w:val="bullet"/>
      <w:lvlText w:val="•"/>
      <w:lvlJc w:val="left"/>
      <w:pPr>
        <w:tabs>
          <w:tab w:val="num" w:pos="3600"/>
        </w:tabs>
        <w:ind w:left="3600" w:hanging="360"/>
      </w:pPr>
      <w:rPr>
        <w:rFonts w:ascii="Arial" w:hAnsi="Arial" w:hint="default"/>
      </w:rPr>
    </w:lvl>
    <w:lvl w:ilvl="5" w:tplc="3DCE8D18" w:tentative="1">
      <w:start w:val="1"/>
      <w:numFmt w:val="bullet"/>
      <w:lvlText w:val="•"/>
      <w:lvlJc w:val="left"/>
      <w:pPr>
        <w:tabs>
          <w:tab w:val="num" w:pos="4320"/>
        </w:tabs>
        <w:ind w:left="4320" w:hanging="360"/>
      </w:pPr>
      <w:rPr>
        <w:rFonts w:ascii="Arial" w:hAnsi="Arial" w:hint="default"/>
      </w:rPr>
    </w:lvl>
    <w:lvl w:ilvl="6" w:tplc="44C25934" w:tentative="1">
      <w:start w:val="1"/>
      <w:numFmt w:val="bullet"/>
      <w:lvlText w:val="•"/>
      <w:lvlJc w:val="left"/>
      <w:pPr>
        <w:tabs>
          <w:tab w:val="num" w:pos="5040"/>
        </w:tabs>
        <w:ind w:left="5040" w:hanging="360"/>
      </w:pPr>
      <w:rPr>
        <w:rFonts w:ascii="Arial" w:hAnsi="Arial" w:hint="default"/>
      </w:rPr>
    </w:lvl>
    <w:lvl w:ilvl="7" w:tplc="AD8076AA" w:tentative="1">
      <w:start w:val="1"/>
      <w:numFmt w:val="bullet"/>
      <w:lvlText w:val="•"/>
      <w:lvlJc w:val="left"/>
      <w:pPr>
        <w:tabs>
          <w:tab w:val="num" w:pos="5760"/>
        </w:tabs>
        <w:ind w:left="5760" w:hanging="360"/>
      </w:pPr>
      <w:rPr>
        <w:rFonts w:ascii="Arial" w:hAnsi="Arial" w:hint="default"/>
      </w:rPr>
    </w:lvl>
    <w:lvl w:ilvl="8" w:tplc="BA666C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510F6FAE"/>
    <w:multiLevelType w:val="multilevel"/>
    <w:tmpl w:val="40EE46D0"/>
    <w:lvl w:ilvl="0">
      <w:start w:val="1"/>
      <w:numFmt w:val="decimal"/>
      <w:pStyle w:val="Heading2"/>
      <w:lvlText w:val="%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0A5D53"/>
    <w:multiLevelType w:val="hybridMultilevel"/>
    <w:tmpl w:val="769EF7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6375D6"/>
    <w:multiLevelType w:val="hybridMultilevel"/>
    <w:tmpl w:val="4D08C4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A62D19"/>
    <w:multiLevelType w:val="hybridMultilevel"/>
    <w:tmpl w:val="CBA055A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7"/>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24"/>
  </w:num>
  <w:num w:numId="26">
    <w:abstractNumId w:val="4"/>
  </w:num>
  <w:num w:numId="27">
    <w:abstractNumId w:val="20"/>
  </w:num>
  <w:num w:numId="28">
    <w:abstractNumId w:val="13"/>
  </w:num>
  <w:num w:numId="29">
    <w:abstractNumId w:val="25"/>
  </w:num>
  <w:num w:numId="30">
    <w:abstractNumId w:val="3"/>
  </w:num>
  <w:num w:numId="31">
    <w:abstractNumId w:val="23"/>
  </w:num>
  <w:num w:numId="32">
    <w:abstractNumId w:val="7"/>
  </w:num>
  <w:num w:numId="33">
    <w:abstractNumId w:val="22"/>
  </w:num>
  <w:num w:numId="34">
    <w:abstractNumId w:val="6"/>
  </w:num>
  <w:num w:numId="35">
    <w:abstractNumId w:val="16"/>
  </w:num>
  <w:num w:numId="36">
    <w:abstractNumId w:val="0"/>
  </w:num>
  <w:num w:numId="37">
    <w:abstractNumId w:val="12"/>
  </w:num>
  <w:num w:numId="38">
    <w:abstractNumId w:val="2"/>
  </w:num>
  <w:num w:numId="39">
    <w:abstractNumId w:val="27"/>
  </w:num>
  <w:num w:numId="40">
    <w:abstractNumId w:val="14"/>
  </w:num>
  <w:num w:numId="41">
    <w:abstractNumId w:val="21"/>
  </w:num>
  <w:num w:numId="42">
    <w:abstractNumId w:val="15"/>
  </w:num>
  <w:num w:numId="43">
    <w:abstractNumId w:val="18"/>
  </w:num>
  <w:num w:numId="44">
    <w:abstractNumId w:val="9"/>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2D82"/>
    <w:rsid w:val="000158AA"/>
    <w:rsid w:val="000159B9"/>
    <w:rsid w:val="00016B6E"/>
    <w:rsid w:val="00021CF1"/>
    <w:rsid w:val="00022153"/>
    <w:rsid w:val="00023E21"/>
    <w:rsid w:val="00024D52"/>
    <w:rsid w:val="00025ABC"/>
    <w:rsid w:val="00026412"/>
    <w:rsid w:val="00026CD1"/>
    <w:rsid w:val="00031F6F"/>
    <w:rsid w:val="00034D6E"/>
    <w:rsid w:val="0004609C"/>
    <w:rsid w:val="0005089D"/>
    <w:rsid w:val="000525BC"/>
    <w:rsid w:val="0006683A"/>
    <w:rsid w:val="00066DF9"/>
    <w:rsid w:val="000709DE"/>
    <w:rsid w:val="00073222"/>
    <w:rsid w:val="000742C0"/>
    <w:rsid w:val="00076658"/>
    <w:rsid w:val="000770BA"/>
    <w:rsid w:val="0008789F"/>
    <w:rsid w:val="00092580"/>
    <w:rsid w:val="0009332D"/>
    <w:rsid w:val="000955BD"/>
    <w:rsid w:val="000955E7"/>
    <w:rsid w:val="00095DD9"/>
    <w:rsid w:val="000A110D"/>
    <w:rsid w:val="000A478F"/>
    <w:rsid w:val="000A5B32"/>
    <w:rsid w:val="000B202F"/>
    <w:rsid w:val="000B3CD0"/>
    <w:rsid w:val="000C35BF"/>
    <w:rsid w:val="000C3852"/>
    <w:rsid w:val="000C3DFD"/>
    <w:rsid w:val="000C6B8B"/>
    <w:rsid w:val="000D066E"/>
    <w:rsid w:val="000D0831"/>
    <w:rsid w:val="000D0D13"/>
    <w:rsid w:val="000D1461"/>
    <w:rsid w:val="000D2BF0"/>
    <w:rsid w:val="000E47E7"/>
    <w:rsid w:val="000E5439"/>
    <w:rsid w:val="000E7A13"/>
    <w:rsid w:val="000F4071"/>
    <w:rsid w:val="000F4C4E"/>
    <w:rsid w:val="00102686"/>
    <w:rsid w:val="0011036E"/>
    <w:rsid w:val="00112A1A"/>
    <w:rsid w:val="001130B0"/>
    <w:rsid w:val="0011369B"/>
    <w:rsid w:val="0011590F"/>
    <w:rsid w:val="0011742E"/>
    <w:rsid w:val="00123D10"/>
    <w:rsid w:val="0012508A"/>
    <w:rsid w:val="00126B33"/>
    <w:rsid w:val="00135B50"/>
    <w:rsid w:val="0014068D"/>
    <w:rsid w:val="00141CCC"/>
    <w:rsid w:val="00143482"/>
    <w:rsid w:val="001503D2"/>
    <w:rsid w:val="0015057F"/>
    <w:rsid w:val="001514EF"/>
    <w:rsid w:val="00154B00"/>
    <w:rsid w:val="001550DF"/>
    <w:rsid w:val="0016215E"/>
    <w:rsid w:val="001644E9"/>
    <w:rsid w:val="001741C6"/>
    <w:rsid w:val="0017528C"/>
    <w:rsid w:val="00175C5E"/>
    <w:rsid w:val="001806C3"/>
    <w:rsid w:val="001845D9"/>
    <w:rsid w:val="00185483"/>
    <w:rsid w:val="0018630F"/>
    <w:rsid w:val="001906CD"/>
    <w:rsid w:val="00191B99"/>
    <w:rsid w:val="00194C97"/>
    <w:rsid w:val="0019694B"/>
    <w:rsid w:val="00197D29"/>
    <w:rsid w:val="001A02E3"/>
    <w:rsid w:val="001A1ADF"/>
    <w:rsid w:val="001A365C"/>
    <w:rsid w:val="001A4B67"/>
    <w:rsid w:val="001B0646"/>
    <w:rsid w:val="001B171D"/>
    <w:rsid w:val="001B2923"/>
    <w:rsid w:val="001B29A1"/>
    <w:rsid w:val="001B3665"/>
    <w:rsid w:val="001B375E"/>
    <w:rsid w:val="001B5169"/>
    <w:rsid w:val="001B6164"/>
    <w:rsid w:val="001C5FEC"/>
    <w:rsid w:val="001D0635"/>
    <w:rsid w:val="001D3AF0"/>
    <w:rsid w:val="001D4FA2"/>
    <w:rsid w:val="001D54A9"/>
    <w:rsid w:val="001D6129"/>
    <w:rsid w:val="001D77ED"/>
    <w:rsid w:val="001E1180"/>
    <w:rsid w:val="001E23EA"/>
    <w:rsid w:val="001E6919"/>
    <w:rsid w:val="001E6958"/>
    <w:rsid w:val="00201924"/>
    <w:rsid w:val="00202473"/>
    <w:rsid w:val="002053F2"/>
    <w:rsid w:val="00206D63"/>
    <w:rsid w:val="0021185D"/>
    <w:rsid w:val="002216D9"/>
    <w:rsid w:val="00226777"/>
    <w:rsid w:val="00226DEA"/>
    <w:rsid w:val="00234DD3"/>
    <w:rsid w:val="00235BD1"/>
    <w:rsid w:val="00235FFD"/>
    <w:rsid w:val="00241186"/>
    <w:rsid w:val="00242B0E"/>
    <w:rsid w:val="00244CB2"/>
    <w:rsid w:val="00245B98"/>
    <w:rsid w:val="00247DF0"/>
    <w:rsid w:val="00254813"/>
    <w:rsid w:val="00256C35"/>
    <w:rsid w:val="00257FF2"/>
    <w:rsid w:val="00264322"/>
    <w:rsid w:val="00265822"/>
    <w:rsid w:val="00267958"/>
    <w:rsid w:val="0027105F"/>
    <w:rsid w:val="002711FB"/>
    <w:rsid w:val="002721A0"/>
    <w:rsid w:val="00274659"/>
    <w:rsid w:val="002832D3"/>
    <w:rsid w:val="00283318"/>
    <w:rsid w:val="0028368F"/>
    <w:rsid w:val="00284D07"/>
    <w:rsid w:val="00285525"/>
    <w:rsid w:val="00294CD8"/>
    <w:rsid w:val="00296806"/>
    <w:rsid w:val="002A270B"/>
    <w:rsid w:val="002A50FD"/>
    <w:rsid w:val="002A6753"/>
    <w:rsid w:val="002B28D7"/>
    <w:rsid w:val="002B7EB6"/>
    <w:rsid w:val="002C0B61"/>
    <w:rsid w:val="002C15E6"/>
    <w:rsid w:val="002C247D"/>
    <w:rsid w:val="002C3345"/>
    <w:rsid w:val="002C62F5"/>
    <w:rsid w:val="002C717E"/>
    <w:rsid w:val="002D409A"/>
    <w:rsid w:val="002E1706"/>
    <w:rsid w:val="002E5298"/>
    <w:rsid w:val="002F30E7"/>
    <w:rsid w:val="002F5158"/>
    <w:rsid w:val="00300EEB"/>
    <w:rsid w:val="003013A9"/>
    <w:rsid w:val="003020B5"/>
    <w:rsid w:val="003027BB"/>
    <w:rsid w:val="00302B26"/>
    <w:rsid w:val="003055D7"/>
    <w:rsid w:val="00310A10"/>
    <w:rsid w:val="00312053"/>
    <w:rsid w:val="003136F9"/>
    <w:rsid w:val="00320BAC"/>
    <w:rsid w:val="00321EDF"/>
    <w:rsid w:val="0032552D"/>
    <w:rsid w:val="0032788B"/>
    <w:rsid w:val="00327D25"/>
    <w:rsid w:val="00330C6C"/>
    <w:rsid w:val="003319A7"/>
    <w:rsid w:val="00334033"/>
    <w:rsid w:val="00334FE3"/>
    <w:rsid w:val="00340B06"/>
    <w:rsid w:val="00341EF7"/>
    <w:rsid w:val="003421AE"/>
    <w:rsid w:val="003425A1"/>
    <w:rsid w:val="003433D1"/>
    <w:rsid w:val="00344B24"/>
    <w:rsid w:val="00345247"/>
    <w:rsid w:val="003456B9"/>
    <w:rsid w:val="00347F4B"/>
    <w:rsid w:val="00350635"/>
    <w:rsid w:val="0035067D"/>
    <w:rsid w:val="00352840"/>
    <w:rsid w:val="00353A16"/>
    <w:rsid w:val="00357418"/>
    <w:rsid w:val="0035776D"/>
    <w:rsid w:val="00357EA8"/>
    <w:rsid w:val="00362164"/>
    <w:rsid w:val="00364FD9"/>
    <w:rsid w:val="00367C1B"/>
    <w:rsid w:val="00375D29"/>
    <w:rsid w:val="00376B61"/>
    <w:rsid w:val="003811DE"/>
    <w:rsid w:val="00382407"/>
    <w:rsid w:val="00386A64"/>
    <w:rsid w:val="00386FA1"/>
    <w:rsid w:val="00390142"/>
    <w:rsid w:val="00392F00"/>
    <w:rsid w:val="00393AA5"/>
    <w:rsid w:val="003952F9"/>
    <w:rsid w:val="00397377"/>
    <w:rsid w:val="003A22DE"/>
    <w:rsid w:val="003A2860"/>
    <w:rsid w:val="003A3C35"/>
    <w:rsid w:val="003A3D01"/>
    <w:rsid w:val="003A7D30"/>
    <w:rsid w:val="003B2EF8"/>
    <w:rsid w:val="003B3C5C"/>
    <w:rsid w:val="003B7206"/>
    <w:rsid w:val="003C06D6"/>
    <w:rsid w:val="003C47CA"/>
    <w:rsid w:val="003C7607"/>
    <w:rsid w:val="003D0A86"/>
    <w:rsid w:val="003D3AB6"/>
    <w:rsid w:val="003D6DE1"/>
    <w:rsid w:val="003D795C"/>
    <w:rsid w:val="003E1C64"/>
    <w:rsid w:val="003E30FB"/>
    <w:rsid w:val="003E341E"/>
    <w:rsid w:val="003E75DC"/>
    <w:rsid w:val="003F0323"/>
    <w:rsid w:val="003F2711"/>
    <w:rsid w:val="003F2B5C"/>
    <w:rsid w:val="003F6C70"/>
    <w:rsid w:val="003F7CB9"/>
    <w:rsid w:val="00402D6E"/>
    <w:rsid w:val="00403333"/>
    <w:rsid w:val="0040797B"/>
    <w:rsid w:val="00411735"/>
    <w:rsid w:val="0041261B"/>
    <w:rsid w:val="00415338"/>
    <w:rsid w:val="00415C74"/>
    <w:rsid w:val="00415E87"/>
    <w:rsid w:val="0041732D"/>
    <w:rsid w:val="00417346"/>
    <w:rsid w:val="00422750"/>
    <w:rsid w:val="0042481F"/>
    <w:rsid w:val="004269BE"/>
    <w:rsid w:val="004312BC"/>
    <w:rsid w:val="0043654D"/>
    <w:rsid w:val="00441447"/>
    <w:rsid w:val="0044518F"/>
    <w:rsid w:val="0045083F"/>
    <w:rsid w:val="00451840"/>
    <w:rsid w:val="00451CFC"/>
    <w:rsid w:val="00453CB1"/>
    <w:rsid w:val="00455699"/>
    <w:rsid w:val="00460C9A"/>
    <w:rsid w:val="0046428E"/>
    <w:rsid w:val="00464924"/>
    <w:rsid w:val="00465CB7"/>
    <w:rsid w:val="0046600B"/>
    <w:rsid w:val="00472F30"/>
    <w:rsid w:val="0047581D"/>
    <w:rsid w:val="00477CE0"/>
    <w:rsid w:val="00480289"/>
    <w:rsid w:val="00481279"/>
    <w:rsid w:val="00483368"/>
    <w:rsid w:val="00483B70"/>
    <w:rsid w:val="0048720F"/>
    <w:rsid w:val="00490B25"/>
    <w:rsid w:val="004924CA"/>
    <w:rsid w:val="00494011"/>
    <w:rsid w:val="004A0306"/>
    <w:rsid w:val="004A0BF4"/>
    <w:rsid w:val="004A263B"/>
    <w:rsid w:val="004B3782"/>
    <w:rsid w:val="004B68AE"/>
    <w:rsid w:val="004B72CA"/>
    <w:rsid w:val="004B7933"/>
    <w:rsid w:val="004C35B0"/>
    <w:rsid w:val="004C49EF"/>
    <w:rsid w:val="004C4A19"/>
    <w:rsid w:val="004C5570"/>
    <w:rsid w:val="004C61D5"/>
    <w:rsid w:val="004D00C9"/>
    <w:rsid w:val="004D11B3"/>
    <w:rsid w:val="004D2CA8"/>
    <w:rsid w:val="004D34E8"/>
    <w:rsid w:val="004D3932"/>
    <w:rsid w:val="004D6C8A"/>
    <w:rsid w:val="004E16F5"/>
    <w:rsid w:val="004E1EC6"/>
    <w:rsid w:val="004E3CC7"/>
    <w:rsid w:val="004E5215"/>
    <w:rsid w:val="004E559F"/>
    <w:rsid w:val="004E5B69"/>
    <w:rsid w:val="004E6291"/>
    <w:rsid w:val="004F2A87"/>
    <w:rsid w:val="004F32D8"/>
    <w:rsid w:val="004F44C2"/>
    <w:rsid w:val="00502097"/>
    <w:rsid w:val="005027BB"/>
    <w:rsid w:val="005041A6"/>
    <w:rsid w:val="00505FEC"/>
    <w:rsid w:val="00507825"/>
    <w:rsid w:val="00507C56"/>
    <w:rsid w:val="005123FB"/>
    <w:rsid w:val="0051591D"/>
    <w:rsid w:val="00515A10"/>
    <w:rsid w:val="0052344E"/>
    <w:rsid w:val="00524A17"/>
    <w:rsid w:val="00525700"/>
    <w:rsid w:val="00526478"/>
    <w:rsid w:val="00530204"/>
    <w:rsid w:val="00533690"/>
    <w:rsid w:val="00534C5F"/>
    <w:rsid w:val="0053555E"/>
    <w:rsid w:val="005401E8"/>
    <w:rsid w:val="00540257"/>
    <w:rsid w:val="0054192F"/>
    <w:rsid w:val="00544EB3"/>
    <w:rsid w:val="0054564F"/>
    <w:rsid w:val="005457AB"/>
    <w:rsid w:val="0054594B"/>
    <w:rsid w:val="0054662F"/>
    <w:rsid w:val="0054749B"/>
    <w:rsid w:val="00551CC6"/>
    <w:rsid w:val="0056047A"/>
    <w:rsid w:val="00560541"/>
    <w:rsid w:val="005653FD"/>
    <w:rsid w:val="005672D0"/>
    <w:rsid w:val="00572CEB"/>
    <w:rsid w:val="0057316F"/>
    <w:rsid w:val="005741D8"/>
    <w:rsid w:val="00574FD4"/>
    <w:rsid w:val="005834C9"/>
    <w:rsid w:val="00586F95"/>
    <w:rsid w:val="00587C8D"/>
    <w:rsid w:val="00590BBC"/>
    <w:rsid w:val="005A112F"/>
    <w:rsid w:val="005A4556"/>
    <w:rsid w:val="005A58BA"/>
    <w:rsid w:val="005A5D30"/>
    <w:rsid w:val="005A6AB9"/>
    <w:rsid w:val="005B206E"/>
    <w:rsid w:val="005B5ACC"/>
    <w:rsid w:val="005B5CE2"/>
    <w:rsid w:val="005C0AB9"/>
    <w:rsid w:val="005C3079"/>
    <w:rsid w:val="005C333E"/>
    <w:rsid w:val="005C3AE7"/>
    <w:rsid w:val="005C50AC"/>
    <w:rsid w:val="005C7292"/>
    <w:rsid w:val="005D0677"/>
    <w:rsid w:val="005D61A6"/>
    <w:rsid w:val="005D7E9B"/>
    <w:rsid w:val="005E294C"/>
    <w:rsid w:val="005E2CE3"/>
    <w:rsid w:val="005E7FB6"/>
    <w:rsid w:val="005F3F07"/>
    <w:rsid w:val="005F4548"/>
    <w:rsid w:val="0060365C"/>
    <w:rsid w:val="00603D04"/>
    <w:rsid w:val="00606857"/>
    <w:rsid w:val="00607F3B"/>
    <w:rsid w:val="00611FF9"/>
    <w:rsid w:val="0061273A"/>
    <w:rsid w:val="00613E1C"/>
    <w:rsid w:val="00615F42"/>
    <w:rsid w:val="006258C2"/>
    <w:rsid w:val="00625BF8"/>
    <w:rsid w:val="00626365"/>
    <w:rsid w:val="0063030B"/>
    <w:rsid w:val="00630E22"/>
    <w:rsid w:val="00634CB8"/>
    <w:rsid w:val="00635FC7"/>
    <w:rsid w:val="0064168C"/>
    <w:rsid w:val="006458A0"/>
    <w:rsid w:val="006555E5"/>
    <w:rsid w:val="00657B46"/>
    <w:rsid w:val="00660CCF"/>
    <w:rsid w:val="006618F7"/>
    <w:rsid w:val="0067118F"/>
    <w:rsid w:val="006764EC"/>
    <w:rsid w:val="00676E85"/>
    <w:rsid w:val="00680342"/>
    <w:rsid w:val="00683030"/>
    <w:rsid w:val="006835FE"/>
    <w:rsid w:val="00693BFD"/>
    <w:rsid w:val="00695065"/>
    <w:rsid w:val="006A1038"/>
    <w:rsid w:val="006A291B"/>
    <w:rsid w:val="006A56F0"/>
    <w:rsid w:val="006A649A"/>
    <w:rsid w:val="006B0D80"/>
    <w:rsid w:val="006B1B49"/>
    <w:rsid w:val="006B4F08"/>
    <w:rsid w:val="006B6390"/>
    <w:rsid w:val="006C0051"/>
    <w:rsid w:val="006C0356"/>
    <w:rsid w:val="006C0843"/>
    <w:rsid w:val="006C74B1"/>
    <w:rsid w:val="006D022E"/>
    <w:rsid w:val="006D3084"/>
    <w:rsid w:val="006D3497"/>
    <w:rsid w:val="006D72E7"/>
    <w:rsid w:val="006D7428"/>
    <w:rsid w:val="006E37CD"/>
    <w:rsid w:val="006E57AA"/>
    <w:rsid w:val="006F20CF"/>
    <w:rsid w:val="006F38ED"/>
    <w:rsid w:val="006F4086"/>
    <w:rsid w:val="006F5F43"/>
    <w:rsid w:val="00707D4D"/>
    <w:rsid w:val="007134C8"/>
    <w:rsid w:val="007145EC"/>
    <w:rsid w:val="00722C2C"/>
    <w:rsid w:val="00723503"/>
    <w:rsid w:val="00726DC5"/>
    <w:rsid w:val="00730C04"/>
    <w:rsid w:val="0073414E"/>
    <w:rsid w:val="00734804"/>
    <w:rsid w:val="0073597B"/>
    <w:rsid w:val="007378F6"/>
    <w:rsid w:val="0074334F"/>
    <w:rsid w:val="0074545D"/>
    <w:rsid w:val="00747B27"/>
    <w:rsid w:val="007522E3"/>
    <w:rsid w:val="0075335B"/>
    <w:rsid w:val="00753C44"/>
    <w:rsid w:val="00754383"/>
    <w:rsid w:val="007544FA"/>
    <w:rsid w:val="007564D1"/>
    <w:rsid w:val="00757232"/>
    <w:rsid w:val="00760679"/>
    <w:rsid w:val="0076304D"/>
    <w:rsid w:val="00763628"/>
    <w:rsid w:val="007651B1"/>
    <w:rsid w:val="00767E99"/>
    <w:rsid w:val="00771D58"/>
    <w:rsid w:val="00771D8D"/>
    <w:rsid w:val="007725B6"/>
    <w:rsid w:val="00772E62"/>
    <w:rsid w:val="007735C4"/>
    <w:rsid w:val="00775261"/>
    <w:rsid w:val="0077789B"/>
    <w:rsid w:val="00780D29"/>
    <w:rsid w:val="007835A9"/>
    <w:rsid w:val="00786AF5"/>
    <w:rsid w:val="00787E9C"/>
    <w:rsid w:val="00791C8D"/>
    <w:rsid w:val="00791EB6"/>
    <w:rsid w:val="00794181"/>
    <w:rsid w:val="007A1E4C"/>
    <w:rsid w:val="007A3FC2"/>
    <w:rsid w:val="007A486B"/>
    <w:rsid w:val="007A7B06"/>
    <w:rsid w:val="007A7F6F"/>
    <w:rsid w:val="007B1655"/>
    <w:rsid w:val="007B4C76"/>
    <w:rsid w:val="007C2260"/>
    <w:rsid w:val="007C2DD0"/>
    <w:rsid w:val="007C4508"/>
    <w:rsid w:val="007D1A99"/>
    <w:rsid w:val="007D1E52"/>
    <w:rsid w:val="007D2358"/>
    <w:rsid w:val="007E39E4"/>
    <w:rsid w:val="007E6FB3"/>
    <w:rsid w:val="007E70BF"/>
    <w:rsid w:val="007F21B4"/>
    <w:rsid w:val="007F474D"/>
    <w:rsid w:val="007F5C00"/>
    <w:rsid w:val="007F5DC7"/>
    <w:rsid w:val="00802553"/>
    <w:rsid w:val="00803EAB"/>
    <w:rsid w:val="008046B5"/>
    <w:rsid w:val="00805036"/>
    <w:rsid w:val="00806222"/>
    <w:rsid w:val="00811928"/>
    <w:rsid w:val="008127C0"/>
    <w:rsid w:val="00812EDD"/>
    <w:rsid w:val="00813755"/>
    <w:rsid w:val="008139C5"/>
    <w:rsid w:val="0081650F"/>
    <w:rsid w:val="008237F5"/>
    <w:rsid w:val="00823FA6"/>
    <w:rsid w:val="00824E27"/>
    <w:rsid w:val="0082615F"/>
    <w:rsid w:val="00826C39"/>
    <w:rsid w:val="00832B31"/>
    <w:rsid w:val="00836717"/>
    <w:rsid w:val="008403E0"/>
    <w:rsid w:val="0084091A"/>
    <w:rsid w:val="0084242D"/>
    <w:rsid w:val="0084657B"/>
    <w:rsid w:val="00854720"/>
    <w:rsid w:val="00855944"/>
    <w:rsid w:val="00863217"/>
    <w:rsid w:val="00864A18"/>
    <w:rsid w:val="0086580C"/>
    <w:rsid w:val="00870833"/>
    <w:rsid w:val="00874571"/>
    <w:rsid w:val="00881F93"/>
    <w:rsid w:val="00882176"/>
    <w:rsid w:val="00882CB5"/>
    <w:rsid w:val="00883641"/>
    <w:rsid w:val="00884479"/>
    <w:rsid w:val="00884E69"/>
    <w:rsid w:val="00886236"/>
    <w:rsid w:val="008867E3"/>
    <w:rsid w:val="00890082"/>
    <w:rsid w:val="00893627"/>
    <w:rsid w:val="0089647D"/>
    <w:rsid w:val="008A48D2"/>
    <w:rsid w:val="008A4DC3"/>
    <w:rsid w:val="008B2610"/>
    <w:rsid w:val="008B471D"/>
    <w:rsid w:val="008B49E4"/>
    <w:rsid w:val="008B729C"/>
    <w:rsid w:val="008C4A93"/>
    <w:rsid w:val="008C6CA4"/>
    <w:rsid w:val="008E0E49"/>
    <w:rsid w:val="008E35FD"/>
    <w:rsid w:val="008E4CF7"/>
    <w:rsid w:val="008E5CDD"/>
    <w:rsid w:val="008E6227"/>
    <w:rsid w:val="008E78B9"/>
    <w:rsid w:val="008F5EC9"/>
    <w:rsid w:val="008F77A7"/>
    <w:rsid w:val="009012ED"/>
    <w:rsid w:val="00901605"/>
    <w:rsid w:val="00901BB5"/>
    <w:rsid w:val="00903492"/>
    <w:rsid w:val="0090543D"/>
    <w:rsid w:val="009056C5"/>
    <w:rsid w:val="00905E2F"/>
    <w:rsid w:val="0090724E"/>
    <w:rsid w:val="0090748F"/>
    <w:rsid w:val="009167DF"/>
    <w:rsid w:val="00925A93"/>
    <w:rsid w:val="009262F2"/>
    <w:rsid w:val="00926C9D"/>
    <w:rsid w:val="00931A5A"/>
    <w:rsid w:val="00937791"/>
    <w:rsid w:val="00947167"/>
    <w:rsid w:val="00950D6C"/>
    <w:rsid w:val="00951933"/>
    <w:rsid w:val="00954343"/>
    <w:rsid w:val="00955271"/>
    <w:rsid w:val="00957B86"/>
    <w:rsid w:val="009601D0"/>
    <w:rsid w:val="00960736"/>
    <w:rsid w:val="00963C9C"/>
    <w:rsid w:val="00965B6B"/>
    <w:rsid w:val="009669FF"/>
    <w:rsid w:val="00971EDB"/>
    <w:rsid w:val="00974167"/>
    <w:rsid w:val="00974B8C"/>
    <w:rsid w:val="00974D50"/>
    <w:rsid w:val="00987ABE"/>
    <w:rsid w:val="00987FF9"/>
    <w:rsid w:val="00991DCB"/>
    <w:rsid w:val="00991EE4"/>
    <w:rsid w:val="009939DC"/>
    <w:rsid w:val="00993B9C"/>
    <w:rsid w:val="009A3436"/>
    <w:rsid w:val="009A3732"/>
    <w:rsid w:val="009A3A57"/>
    <w:rsid w:val="009B167C"/>
    <w:rsid w:val="009B4E1E"/>
    <w:rsid w:val="009B53D5"/>
    <w:rsid w:val="009B669B"/>
    <w:rsid w:val="009C03FB"/>
    <w:rsid w:val="009C0FFF"/>
    <w:rsid w:val="009C262E"/>
    <w:rsid w:val="009C431A"/>
    <w:rsid w:val="009C4B4F"/>
    <w:rsid w:val="009D412D"/>
    <w:rsid w:val="009D565B"/>
    <w:rsid w:val="009D795D"/>
    <w:rsid w:val="009F0756"/>
    <w:rsid w:val="009F0B27"/>
    <w:rsid w:val="009F0C02"/>
    <w:rsid w:val="009F5758"/>
    <w:rsid w:val="00A0283F"/>
    <w:rsid w:val="00A02C5C"/>
    <w:rsid w:val="00A03438"/>
    <w:rsid w:val="00A04F4A"/>
    <w:rsid w:val="00A12500"/>
    <w:rsid w:val="00A17EC3"/>
    <w:rsid w:val="00A26343"/>
    <w:rsid w:val="00A35D2A"/>
    <w:rsid w:val="00A35DBD"/>
    <w:rsid w:val="00A408B5"/>
    <w:rsid w:val="00A43D21"/>
    <w:rsid w:val="00A45404"/>
    <w:rsid w:val="00A46845"/>
    <w:rsid w:val="00A529E2"/>
    <w:rsid w:val="00A539F8"/>
    <w:rsid w:val="00A55C49"/>
    <w:rsid w:val="00A60616"/>
    <w:rsid w:val="00A6083C"/>
    <w:rsid w:val="00A6491A"/>
    <w:rsid w:val="00A6594E"/>
    <w:rsid w:val="00A727B6"/>
    <w:rsid w:val="00A73B98"/>
    <w:rsid w:val="00A7420E"/>
    <w:rsid w:val="00A7505F"/>
    <w:rsid w:val="00A81B57"/>
    <w:rsid w:val="00A81CC6"/>
    <w:rsid w:val="00A82901"/>
    <w:rsid w:val="00A83686"/>
    <w:rsid w:val="00A83BC4"/>
    <w:rsid w:val="00A83EC6"/>
    <w:rsid w:val="00A8688E"/>
    <w:rsid w:val="00A8732C"/>
    <w:rsid w:val="00A9062D"/>
    <w:rsid w:val="00A909D2"/>
    <w:rsid w:val="00A93B0B"/>
    <w:rsid w:val="00A93F58"/>
    <w:rsid w:val="00A96329"/>
    <w:rsid w:val="00AA02BC"/>
    <w:rsid w:val="00AA04F8"/>
    <w:rsid w:val="00AA134B"/>
    <w:rsid w:val="00AA2CFE"/>
    <w:rsid w:val="00AA44F0"/>
    <w:rsid w:val="00AA4B7D"/>
    <w:rsid w:val="00AA5FDA"/>
    <w:rsid w:val="00AA6291"/>
    <w:rsid w:val="00AA7199"/>
    <w:rsid w:val="00AA7FA9"/>
    <w:rsid w:val="00AB4684"/>
    <w:rsid w:val="00AC0C91"/>
    <w:rsid w:val="00AC25EE"/>
    <w:rsid w:val="00AC32C5"/>
    <w:rsid w:val="00AD2BD9"/>
    <w:rsid w:val="00AD2EB6"/>
    <w:rsid w:val="00AD37D4"/>
    <w:rsid w:val="00AD7986"/>
    <w:rsid w:val="00AE1188"/>
    <w:rsid w:val="00AE2595"/>
    <w:rsid w:val="00AE2DCC"/>
    <w:rsid w:val="00AE738C"/>
    <w:rsid w:val="00AF1046"/>
    <w:rsid w:val="00AF2219"/>
    <w:rsid w:val="00AF421A"/>
    <w:rsid w:val="00AF4466"/>
    <w:rsid w:val="00AF5D1E"/>
    <w:rsid w:val="00B002B3"/>
    <w:rsid w:val="00B03A6D"/>
    <w:rsid w:val="00B040A9"/>
    <w:rsid w:val="00B067FC"/>
    <w:rsid w:val="00B06E82"/>
    <w:rsid w:val="00B127CA"/>
    <w:rsid w:val="00B1711E"/>
    <w:rsid w:val="00B17985"/>
    <w:rsid w:val="00B17CBE"/>
    <w:rsid w:val="00B17E26"/>
    <w:rsid w:val="00B231A4"/>
    <w:rsid w:val="00B25D20"/>
    <w:rsid w:val="00B31BA3"/>
    <w:rsid w:val="00B31C99"/>
    <w:rsid w:val="00B33DCA"/>
    <w:rsid w:val="00B34E1F"/>
    <w:rsid w:val="00B4452B"/>
    <w:rsid w:val="00B529E5"/>
    <w:rsid w:val="00B53BA6"/>
    <w:rsid w:val="00B5731D"/>
    <w:rsid w:val="00B6378B"/>
    <w:rsid w:val="00B63E3A"/>
    <w:rsid w:val="00B63F29"/>
    <w:rsid w:val="00B65655"/>
    <w:rsid w:val="00B67B8C"/>
    <w:rsid w:val="00B75965"/>
    <w:rsid w:val="00B771AD"/>
    <w:rsid w:val="00B814CB"/>
    <w:rsid w:val="00B81FA9"/>
    <w:rsid w:val="00B849D4"/>
    <w:rsid w:val="00B85E20"/>
    <w:rsid w:val="00B9101C"/>
    <w:rsid w:val="00B92762"/>
    <w:rsid w:val="00B92D73"/>
    <w:rsid w:val="00BA0CF8"/>
    <w:rsid w:val="00BA11FF"/>
    <w:rsid w:val="00BA1ADF"/>
    <w:rsid w:val="00BA51FC"/>
    <w:rsid w:val="00BA7234"/>
    <w:rsid w:val="00BA7C1B"/>
    <w:rsid w:val="00BB003A"/>
    <w:rsid w:val="00BB0A93"/>
    <w:rsid w:val="00BB3358"/>
    <w:rsid w:val="00BB3382"/>
    <w:rsid w:val="00BB3643"/>
    <w:rsid w:val="00BB4442"/>
    <w:rsid w:val="00BB58A4"/>
    <w:rsid w:val="00BC3DA0"/>
    <w:rsid w:val="00BC424B"/>
    <w:rsid w:val="00BD3C1A"/>
    <w:rsid w:val="00BD44C6"/>
    <w:rsid w:val="00BD78EE"/>
    <w:rsid w:val="00BE0951"/>
    <w:rsid w:val="00BE0FDE"/>
    <w:rsid w:val="00BE3218"/>
    <w:rsid w:val="00BF3C5E"/>
    <w:rsid w:val="00BF6AC5"/>
    <w:rsid w:val="00C01121"/>
    <w:rsid w:val="00C030A5"/>
    <w:rsid w:val="00C034A3"/>
    <w:rsid w:val="00C05A45"/>
    <w:rsid w:val="00C05E23"/>
    <w:rsid w:val="00C05F22"/>
    <w:rsid w:val="00C0796F"/>
    <w:rsid w:val="00C1051A"/>
    <w:rsid w:val="00C11B34"/>
    <w:rsid w:val="00C12C5C"/>
    <w:rsid w:val="00C13BF8"/>
    <w:rsid w:val="00C1701E"/>
    <w:rsid w:val="00C171FB"/>
    <w:rsid w:val="00C209C2"/>
    <w:rsid w:val="00C2267F"/>
    <w:rsid w:val="00C22AD8"/>
    <w:rsid w:val="00C3557E"/>
    <w:rsid w:val="00C3594B"/>
    <w:rsid w:val="00C35A20"/>
    <w:rsid w:val="00C42DD3"/>
    <w:rsid w:val="00C43102"/>
    <w:rsid w:val="00C4696B"/>
    <w:rsid w:val="00C47F81"/>
    <w:rsid w:val="00C50513"/>
    <w:rsid w:val="00C52FA0"/>
    <w:rsid w:val="00C54503"/>
    <w:rsid w:val="00C56825"/>
    <w:rsid w:val="00C62242"/>
    <w:rsid w:val="00C63055"/>
    <w:rsid w:val="00C63EBC"/>
    <w:rsid w:val="00C67F2F"/>
    <w:rsid w:val="00C73B62"/>
    <w:rsid w:val="00C76929"/>
    <w:rsid w:val="00C776B1"/>
    <w:rsid w:val="00C815FE"/>
    <w:rsid w:val="00C8473C"/>
    <w:rsid w:val="00C847AE"/>
    <w:rsid w:val="00C86CEC"/>
    <w:rsid w:val="00C91AD8"/>
    <w:rsid w:val="00C945AE"/>
    <w:rsid w:val="00CA04C6"/>
    <w:rsid w:val="00CA26DD"/>
    <w:rsid w:val="00CA6377"/>
    <w:rsid w:val="00CB0916"/>
    <w:rsid w:val="00CB12EC"/>
    <w:rsid w:val="00CB34E3"/>
    <w:rsid w:val="00CB467D"/>
    <w:rsid w:val="00CC09D7"/>
    <w:rsid w:val="00CC12B8"/>
    <w:rsid w:val="00CC1A72"/>
    <w:rsid w:val="00CC59CF"/>
    <w:rsid w:val="00CC7F0E"/>
    <w:rsid w:val="00CD22E3"/>
    <w:rsid w:val="00CD4E44"/>
    <w:rsid w:val="00CD5AE4"/>
    <w:rsid w:val="00CD5E13"/>
    <w:rsid w:val="00CD7A7D"/>
    <w:rsid w:val="00CE7FA4"/>
    <w:rsid w:val="00CF2D8E"/>
    <w:rsid w:val="00CF2DFA"/>
    <w:rsid w:val="00CF3776"/>
    <w:rsid w:val="00CF426C"/>
    <w:rsid w:val="00CF5005"/>
    <w:rsid w:val="00CF5AD8"/>
    <w:rsid w:val="00CF65A6"/>
    <w:rsid w:val="00D00122"/>
    <w:rsid w:val="00D019CA"/>
    <w:rsid w:val="00D01D2A"/>
    <w:rsid w:val="00D05104"/>
    <w:rsid w:val="00D056E7"/>
    <w:rsid w:val="00D0595B"/>
    <w:rsid w:val="00D10B47"/>
    <w:rsid w:val="00D11D01"/>
    <w:rsid w:val="00D11E65"/>
    <w:rsid w:val="00D11EB1"/>
    <w:rsid w:val="00D14D7C"/>
    <w:rsid w:val="00D17F17"/>
    <w:rsid w:val="00D226B0"/>
    <w:rsid w:val="00D23597"/>
    <w:rsid w:val="00D23CF7"/>
    <w:rsid w:val="00D23D15"/>
    <w:rsid w:val="00D30A44"/>
    <w:rsid w:val="00D30BDC"/>
    <w:rsid w:val="00D328B5"/>
    <w:rsid w:val="00D4288A"/>
    <w:rsid w:val="00D4370F"/>
    <w:rsid w:val="00D507FC"/>
    <w:rsid w:val="00D57F88"/>
    <w:rsid w:val="00D7105C"/>
    <w:rsid w:val="00D73646"/>
    <w:rsid w:val="00D751FF"/>
    <w:rsid w:val="00D777B4"/>
    <w:rsid w:val="00D77A90"/>
    <w:rsid w:val="00D8133F"/>
    <w:rsid w:val="00D82171"/>
    <w:rsid w:val="00D8346F"/>
    <w:rsid w:val="00D8360B"/>
    <w:rsid w:val="00D85676"/>
    <w:rsid w:val="00D86648"/>
    <w:rsid w:val="00D933CB"/>
    <w:rsid w:val="00D93832"/>
    <w:rsid w:val="00D96ADA"/>
    <w:rsid w:val="00D970A6"/>
    <w:rsid w:val="00DA0AB4"/>
    <w:rsid w:val="00DA2886"/>
    <w:rsid w:val="00DA5E50"/>
    <w:rsid w:val="00DA7D0C"/>
    <w:rsid w:val="00DB311C"/>
    <w:rsid w:val="00DB41E0"/>
    <w:rsid w:val="00DB432D"/>
    <w:rsid w:val="00DB519B"/>
    <w:rsid w:val="00DB6C6C"/>
    <w:rsid w:val="00DC2442"/>
    <w:rsid w:val="00DC336E"/>
    <w:rsid w:val="00DC7694"/>
    <w:rsid w:val="00DC7FBE"/>
    <w:rsid w:val="00DD130E"/>
    <w:rsid w:val="00DD308E"/>
    <w:rsid w:val="00DD32A1"/>
    <w:rsid w:val="00DD3501"/>
    <w:rsid w:val="00DF0C51"/>
    <w:rsid w:val="00DF0D47"/>
    <w:rsid w:val="00DF1652"/>
    <w:rsid w:val="00DF36DB"/>
    <w:rsid w:val="00DF5F86"/>
    <w:rsid w:val="00DF6D37"/>
    <w:rsid w:val="00E048ED"/>
    <w:rsid w:val="00E04FB3"/>
    <w:rsid w:val="00E058F2"/>
    <w:rsid w:val="00E05D9C"/>
    <w:rsid w:val="00E06102"/>
    <w:rsid w:val="00E07ED7"/>
    <w:rsid w:val="00E10395"/>
    <w:rsid w:val="00E16596"/>
    <w:rsid w:val="00E23E71"/>
    <w:rsid w:val="00E24B3B"/>
    <w:rsid w:val="00E277E2"/>
    <w:rsid w:val="00E30385"/>
    <w:rsid w:val="00E30F19"/>
    <w:rsid w:val="00E3174E"/>
    <w:rsid w:val="00E33C4A"/>
    <w:rsid w:val="00E357B9"/>
    <w:rsid w:val="00E4321E"/>
    <w:rsid w:val="00E44B80"/>
    <w:rsid w:val="00E47623"/>
    <w:rsid w:val="00E51E08"/>
    <w:rsid w:val="00E521E9"/>
    <w:rsid w:val="00E578A4"/>
    <w:rsid w:val="00E60529"/>
    <w:rsid w:val="00E66AB0"/>
    <w:rsid w:val="00E70D86"/>
    <w:rsid w:val="00E71644"/>
    <w:rsid w:val="00E744B4"/>
    <w:rsid w:val="00E76171"/>
    <w:rsid w:val="00E7628E"/>
    <w:rsid w:val="00E82F54"/>
    <w:rsid w:val="00E8393C"/>
    <w:rsid w:val="00E8581D"/>
    <w:rsid w:val="00E8649B"/>
    <w:rsid w:val="00E871CD"/>
    <w:rsid w:val="00E90990"/>
    <w:rsid w:val="00E92E45"/>
    <w:rsid w:val="00E95D3D"/>
    <w:rsid w:val="00E973E3"/>
    <w:rsid w:val="00EA0E25"/>
    <w:rsid w:val="00EA173C"/>
    <w:rsid w:val="00EA5294"/>
    <w:rsid w:val="00EB0261"/>
    <w:rsid w:val="00EB5F1C"/>
    <w:rsid w:val="00EC0C4C"/>
    <w:rsid w:val="00EC127A"/>
    <w:rsid w:val="00EC1FF9"/>
    <w:rsid w:val="00EC2737"/>
    <w:rsid w:val="00EC5F1D"/>
    <w:rsid w:val="00ED3E64"/>
    <w:rsid w:val="00EE0962"/>
    <w:rsid w:val="00EE2716"/>
    <w:rsid w:val="00EE45A2"/>
    <w:rsid w:val="00EE6450"/>
    <w:rsid w:val="00EF6102"/>
    <w:rsid w:val="00EF7B19"/>
    <w:rsid w:val="00F00C59"/>
    <w:rsid w:val="00F00DD1"/>
    <w:rsid w:val="00F01C2C"/>
    <w:rsid w:val="00F10ED8"/>
    <w:rsid w:val="00F11121"/>
    <w:rsid w:val="00F127AA"/>
    <w:rsid w:val="00F217F5"/>
    <w:rsid w:val="00F222BE"/>
    <w:rsid w:val="00F24179"/>
    <w:rsid w:val="00F301F1"/>
    <w:rsid w:val="00F30C22"/>
    <w:rsid w:val="00F33039"/>
    <w:rsid w:val="00F334F6"/>
    <w:rsid w:val="00F33F1A"/>
    <w:rsid w:val="00F3599B"/>
    <w:rsid w:val="00F373C0"/>
    <w:rsid w:val="00F40495"/>
    <w:rsid w:val="00F444D8"/>
    <w:rsid w:val="00F50E10"/>
    <w:rsid w:val="00F547F7"/>
    <w:rsid w:val="00F54CCF"/>
    <w:rsid w:val="00F61D7A"/>
    <w:rsid w:val="00F637B3"/>
    <w:rsid w:val="00F66CF7"/>
    <w:rsid w:val="00F67BCB"/>
    <w:rsid w:val="00F73B53"/>
    <w:rsid w:val="00F7661C"/>
    <w:rsid w:val="00F7717F"/>
    <w:rsid w:val="00F77C57"/>
    <w:rsid w:val="00F813C7"/>
    <w:rsid w:val="00F82174"/>
    <w:rsid w:val="00F83566"/>
    <w:rsid w:val="00F83A9D"/>
    <w:rsid w:val="00F906B5"/>
    <w:rsid w:val="00F93784"/>
    <w:rsid w:val="00F950EA"/>
    <w:rsid w:val="00F969BF"/>
    <w:rsid w:val="00F971CC"/>
    <w:rsid w:val="00FA1069"/>
    <w:rsid w:val="00FA2A52"/>
    <w:rsid w:val="00FA2CAA"/>
    <w:rsid w:val="00FA3DA1"/>
    <w:rsid w:val="00FA48AB"/>
    <w:rsid w:val="00FA6554"/>
    <w:rsid w:val="00FB43A9"/>
    <w:rsid w:val="00FB7305"/>
    <w:rsid w:val="00FD0721"/>
    <w:rsid w:val="00FE01EC"/>
    <w:rsid w:val="00FE16C1"/>
    <w:rsid w:val="00FE19FF"/>
    <w:rsid w:val="00FE33A6"/>
    <w:rsid w:val="00FE5452"/>
    <w:rsid w:val="00FF199F"/>
    <w:rsid w:val="00FF2E25"/>
    <w:rsid w:val="00FF59A8"/>
    <w:rsid w:val="00FF6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84E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E8"/>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4D2C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Default">
    <w:name w:val="Default"/>
    <w:rsid w:val="00AF421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F421A"/>
    <w:rPr>
      <w:color w:val="800080" w:themeColor="followedHyperlink"/>
      <w:u w:val="single"/>
    </w:rPr>
  </w:style>
  <w:style w:type="character" w:customStyle="1" w:styleId="UnresolvedMention1">
    <w:name w:val="Unresolved Mention1"/>
    <w:basedOn w:val="DefaultParagraphFont"/>
    <w:uiPriority w:val="99"/>
    <w:semiHidden/>
    <w:unhideWhenUsed/>
    <w:rsid w:val="00357EA8"/>
    <w:rPr>
      <w:color w:val="605E5C"/>
      <w:shd w:val="clear" w:color="auto" w:fill="E1DFDD"/>
    </w:rPr>
  </w:style>
  <w:style w:type="paragraph" w:styleId="FootnoteText">
    <w:name w:val="footnote text"/>
    <w:basedOn w:val="Normal"/>
    <w:link w:val="FootnoteTextChar"/>
    <w:uiPriority w:val="99"/>
    <w:semiHidden/>
    <w:unhideWhenUsed/>
    <w:rsid w:val="004A0306"/>
    <w:pPr>
      <w:spacing w:before="0" w:after="0"/>
    </w:pPr>
    <w:rPr>
      <w:rFonts w:ascii="Calibri" w:eastAsia="Calibri" w:hAnsi="Calibri" w:cs="Times New Roman"/>
      <w:szCs w:val="20"/>
    </w:rPr>
  </w:style>
  <w:style w:type="character" w:customStyle="1" w:styleId="FootnoteTextChar">
    <w:name w:val="Footnote Text Char"/>
    <w:basedOn w:val="DefaultParagraphFont"/>
    <w:link w:val="FootnoteText"/>
    <w:uiPriority w:val="99"/>
    <w:semiHidden/>
    <w:rsid w:val="004A03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A0306"/>
    <w:rPr>
      <w:vertAlign w:val="superscript"/>
    </w:rPr>
  </w:style>
  <w:style w:type="character" w:customStyle="1" w:styleId="Heading3Char">
    <w:name w:val="Heading 3 Char"/>
    <w:basedOn w:val="DefaultParagraphFont"/>
    <w:link w:val="Heading3"/>
    <w:uiPriority w:val="9"/>
    <w:rsid w:val="004D2CA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12500"/>
    <w:pPr>
      <w:spacing w:after="0" w:line="240" w:lineRule="auto"/>
    </w:pPr>
    <w:rPr>
      <w:sz w:val="20"/>
    </w:rPr>
  </w:style>
  <w:style w:type="paragraph" w:styleId="NormalWeb">
    <w:name w:val="Normal (Web)"/>
    <w:basedOn w:val="Normal"/>
    <w:uiPriority w:val="99"/>
    <w:semiHidden/>
    <w:unhideWhenUsed/>
    <w:rsid w:val="00DB6C6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7C4508"/>
    <w:rPr>
      <w:color w:val="605E5C"/>
      <w:shd w:val="clear" w:color="auto" w:fill="E1DFDD"/>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826C39"/>
    <w:pPr>
      <w:keepNext/>
      <w:spacing w:before="0" w:after="40"/>
      <w:ind w:left="709" w:hanging="709"/>
    </w:pPr>
    <w:rPr>
      <w:rFonts w:ascii="Arial Narrow" w:eastAsia="Times New Roman" w:hAnsi="Arial Narrow" w:cs="Tahoma"/>
      <w:b/>
      <w:szCs w:val="20"/>
      <w:lang w:val="en-GB" w:eastAsia="ja-JP"/>
    </w:rPr>
  </w:style>
  <w:style w:type="character" w:customStyle="1" w:styleId="UnresolvedMention3">
    <w:name w:val="Unresolved Mention3"/>
    <w:basedOn w:val="DefaultParagraphFont"/>
    <w:uiPriority w:val="99"/>
    <w:semiHidden/>
    <w:unhideWhenUsed/>
    <w:rsid w:val="00960736"/>
    <w:rPr>
      <w:color w:val="605E5C"/>
      <w:shd w:val="clear" w:color="auto" w:fill="E1DFDD"/>
    </w:rPr>
  </w:style>
  <w:style w:type="paragraph" w:customStyle="1" w:styleId="xmsolistparagraph">
    <w:name w:val="x_msolistparagraph"/>
    <w:basedOn w:val="Normal"/>
    <w:rsid w:val="001D4FA2"/>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392">
      <w:bodyDiv w:val="1"/>
      <w:marLeft w:val="0"/>
      <w:marRight w:val="0"/>
      <w:marTop w:val="0"/>
      <w:marBottom w:val="0"/>
      <w:divBdr>
        <w:top w:val="none" w:sz="0" w:space="0" w:color="auto"/>
        <w:left w:val="none" w:sz="0" w:space="0" w:color="auto"/>
        <w:bottom w:val="none" w:sz="0" w:space="0" w:color="auto"/>
        <w:right w:val="none" w:sz="0" w:space="0" w:color="auto"/>
      </w:divBdr>
    </w:div>
    <w:div w:id="22706841">
      <w:bodyDiv w:val="1"/>
      <w:marLeft w:val="0"/>
      <w:marRight w:val="0"/>
      <w:marTop w:val="0"/>
      <w:marBottom w:val="0"/>
      <w:divBdr>
        <w:top w:val="none" w:sz="0" w:space="0" w:color="auto"/>
        <w:left w:val="none" w:sz="0" w:space="0" w:color="auto"/>
        <w:bottom w:val="none" w:sz="0" w:space="0" w:color="auto"/>
        <w:right w:val="none" w:sz="0" w:space="0" w:color="auto"/>
      </w:divBdr>
    </w:div>
    <w:div w:id="43794637">
      <w:bodyDiv w:val="1"/>
      <w:marLeft w:val="0"/>
      <w:marRight w:val="0"/>
      <w:marTop w:val="0"/>
      <w:marBottom w:val="0"/>
      <w:divBdr>
        <w:top w:val="none" w:sz="0" w:space="0" w:color="auto"/>
        <w:left w:val="none" w:sz="0" w:space="0" w:color="auto"/>
        <w:bottom w:val="none" w:sz="0" w:space="0" w:color="auto"/>
        <w:right w:val="none" w:sz="0" w:space="0" w:color="auto"/>
      </w:divBdr>
    </w:div>
    <w:div w:id="92239344">
      <w:bodyDiv w:val="1"/>
      <w:marLeft w:val="0"/>
      <w:marRight w:val="0"/>
      <w:marTop w:val="0"/>
      <w:marBottom w:val="0"/>
      <w:divBdr>
        <w:top w:val="none" w:sz="0" w:space="0" w:color="auto"/>
        <w:left w:val="none" w:sz="0" w:space="0" w:color="auto"/>
        <w:bottom w:val="none" w:sz="0" w:space="0" w:color="auto"/>
        <w:right w:val="none" w:sz="0" w:space="0" w:color="auto"/>
      </w:divBdr>
    </w:div>
    <w:div w:id="141241132">
      <w:bodyDiv w:val="1"/>
      <w:marLeft w:val="0"/>
      <w:marRight w:val="0"/>
      <w:marTop w:val="0"/>
      <w:marBottom w:val="0"/>
      <w:divBdr>
        <w:top w:val="none" w:sz="0" w:space="0" w:color="auto"/>
        <w:left w:val="none" w:sz="0" w:space="0" w:color="auto"/>
        <w:bottom w:val="none" w:sz="0" w:space="0" w:color="auto"/>
        <w:right w:val="none" w:sz="0" w:space="0" w:color="auto"/>
      </w:divBdr>
    </w:div>
    <w:div w:id="23718140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34844866">
      <w:bodyDiv w:val="1"/>
      <w:marLeft w:val="0"/>
      <w:marRight w:val="0"/>
      <w:marTop w:val="0"/>
      <w:marBottom w:val="0"/>
      <w:divBdr>
        <w:top w:val="none" w:sz="0" w:space="0" w:color="auto"/>
        <w:left w:val="none" w:sz="0" w:space="0" w:color="auto"/>
        <w:bottom w:val="none" w:sz="0" w:space="0" w:color="auto"/>
        <w:right w:val="none" w:sz="0" w:space="0" w:color="auto"/>
      </w:divBdr>
    </w:div>
    <w:div w:id="348260426">
      <w:bodyDiv w:val="1"/>
      <w:marLeft w:val="0"/>
      <w:marRight w:val="0"/>
      <w:marTop w:val="0"/>
      <w:marBottom w:val="0"/>
      <w:divBdr>
        <w:top w:val="none" w:sz="0" w:space="0" w:color="auto"/>
        <w:left w:val="none" w:sz="0" w:space="0" w:color="auto"/>
        <w:bottom w:val="none" w:sz="0" w:space="0" w:color="auto"/>
        <w:right w:val="none" w:sz="0" w:space="0" w:color="auto"/>
      </w:divBdr>
    </w:div>
    <w:div w:id="381104327">
      <w:bodyDiv w:val="1"/>
      <w:marLeft w:val="0"/>
      <w:marRight w:val="0"/>
      <w:marTop w:val="0"/>
      <w:marBottom w:val="0"/>
      <w:divBdr>
        <w:top w:val="none" w:sz="0" w:space="0" w:color="auto"/>
        <w:left w:val="none" w:sz="0" w:space="0" w:color="auto"/>
        <w:bottom w:val="none" w:sz="0" w:space="0" w:color="auto"/>
        <w:right w:val="none" w:sz="0" w:space="0" w:color="auto"/>
      </w:divBdr>
    </w:div>
    <w:div w:id="431433237">
      <w:bodyDiv w:val="1"/>
      <w:marLeft w:val="0"/>
      <w:marRight w:val="0"/>
      <w:marTop w:val="0"/>
      <w:marBottom w:val="0"/>
      <w:divBdr>
        <w:top w:val="none" w:sz="0" w:space="0" w:color="auto"/>
        <w:left w:val="none" w:sz="0" w:space="0" w:color="auto"/>
        <w:bottom w:val="none" w:sz="0" w:space="0" w:color="auto"/>
        <w:right w:val="none" w:sz="0" w:space="0" w:color="auto"/>
      </w:divBdr>
    </w:div>
    <w:div w:id="599677541">
      <w:bodyDiv w:val="1"/>
      <w:marLeft w:val="0"/>
      <w:marRight w:val="0"/>
      <w:marTop w:val="0"/>
      <w:marBottom w:val="0"/>
      <w:divBdr>
        <w:top w:val="none" w:sz="0" w:space="0" w:color="auto"/>
        <w:left w:val="none" w:sz="0" w:space="0" w:color="auto"/>
        <w:bottom w:val="none" w:sz="0" w:space="0" w:color="auto"/>
        <w:right w:val="none" w:sz="0" w:space="0" w:color="auto"/>
      </w:divBdr>
    </w:div>
    <w:div w:id="604776328">
      <w:bodyDiv w:val="1"/>
      <w:marLeft w:val="0"/>
      <w:marRight w:val="0"/>
      <w:marTop w:val="0"/>
      <w:marBottom w:val="0"/>
      <w:divBdr>
        <w:top w:val="none" w:sz="0" w:space="0" w:color="auto"/>
        <w:left w:val="none" w:sz="0" w:space="0" w:color="auto"/>
        <w:bottom w:val="none" w:sz="0" w:space="0" w:color="auto"/>
        <w:right w:val="none" w:sz="0" w:space="0" w:color="auto"/>
      </w:divBdr>
    </w:div>
    <w:div w:id="610861706">
      <w:bodyDiv w:val="1"/>
      <w:marLeft w:val="0"/>
      <w:marRight w:val="0"/>
      <w:marTop w:val="0"/>
      <w:marBottom w:val="0"/>
      <w:divBdr>
        <w:top w:val="none" w:sz="0" w:space="0" w:color="auto"/>
        <w:left w:val="none" w:sz="0" w:space="0" w:color="auto"/>
        <w:bottom w:val="none" w:sz="0" w:space="0" w:color="auto"/>
        <w:right w:val="none" w:sz="0" w:space="0" w:color="auto"/>
      </w:divBdr>
    </w:div>
    <w:div w:id="643971339">
      <w:bodyDiv w:val="1"/>
      <w:marLeft w:val="0"/>
      <w:marRight w:val="0"/>
      <w:marTop w:val="0"/>
      <w:marBottom w:val="0"/>
      <w:divBdr>
        <w:top w:val="none" w:sz="0" w:space="0" w:color="auto"/>
        <w:left w:val="none" w:sz="0" w:space="0" w:color="auto"/>
        <w:bottom w:val="none" w:sz="0" w:space="0" w:color="auto"/>
        <w:right w:val="none" w:sz="0" w:space="0" w:color="auto"/>
      </w:divBdr>
    </w:div>
    <w:div w:id="652683114">
      <w:bodyDiv w:val="1"/>
      <w:marLeft w:val="0"/>
      <w:marRight w:val="0"/>
      <w:marTop w:val="0"/>
      <w:marBottom w:val="0"/>
      <w:divBdr>
        <w:top w:val="none" w:sz="0" w:space="0" w:color="auto"/>
        <w:left w:val="none" w:sz="0" w:space="0" w:color="auto"/>
        <w:bottom w:val="none" w:sz="0" w:space="0" w:color="auto"/>
        <w:right w:val="none" w:sz="0" w:space="0" w:color="auto"/>
      </w:divBdr>
    </w:div>
    <w:div w:id="657542280">
      <w:bodyDiv w:val="1"/>
      <w:marLeft w:val="0"/>
      <w:marRight w:val="0"/>
      <w:marTop w:val="0"/>
      <w:marBottom w:val="0"/>
      <w:divBdr>
        <w:top w:val="none" w:sz="0" w:space="0" w:color="auto"/>
        <w:left w:val="none" w:sz="0" w:space="0" w:color="auto"/>
        <w:bottom w:val="none" w:sz="0" w:space="0" w:color="auto"/>
        <w:right w:val="none" w:sz="0" w:space="0" w:color="auto"/>
      </w:divBdr>
    </w:div>
    <w:div w:id="854151839">
      <w:bodyDiv w:val="1"/>
      <w:marLeft w:val="0"/>
      <w:marRight w:val="0"/>
      <w:marTop w:val="0"/>
      <w:marBottom w:val="0"/>
      <w:divBdr>
        <w:top w:val="none" w:sz="0" w:space="0" w:color="auto"/>
        <w:left w:val="none" w:sz="0" w:space="0" w:color="auto"/>
        <w:bottom w:val="none" w:sz="0" w:space="0" w:color="auto"/>
        <w:right w:val="none" w:sz="0" w:space="0" w:color="auto"/>
      </w:divBdr>
    </w:div>
    <w:div w:id="876357017">
      <w:bodyDiv w:val="1"/>
      <w:marLeft w:val="0"/>
      <w:marRight w:val="0"/>
      <w:marTop w:val="0"/>
      <w:marBottom w:val="0"/>
      <w:divBdr>
        <w:top w:val="none" w:sz="0" w:space="0" w:color="auto"/>
        <w:left w:val="none" w:sz="0" w:space="0" w:color="auto"/>
        <w:bottom w:val="none" w:sz="0" w:space="0" w:color="auto"/>
        <w:right w:val="none" w:sz="0" w:space="0" w:color="auto"/>
      </w:divBdr>
    </w:div>
    <w:div w:id="890772766">
      <w:bodyDiv w:val="1"/>
      <w:marLeft w:val="0"/>
      <w:marRight w:val="0"/>
      <w:marTop w:val="0"/>
      <w:marBottom w:val="0"/>
      <w:divBdr>
        <w:top w:val="none" w:sz="0" w:space="0" w:color="auto"/>
        <w:left w:val="none" w:sz="0" w:space="0" w:color="auto"/>
        <w:bottom w:val="none" w:sz="0" w:space="0" w:color="auto"/>
        <w:right w:val="none" w:sz="0" w:space="0" w:color="auto"/>
      </w:divBdr>
    </w:div>
    <w:div w:id="907574183">
      <w:bodyDiv w:val="1"/>
      <w:marLeft w:val="0"/>
      <w:marRight w:val="0"/>
      <w:marTop w:val="0"/>
      <w:marBottom w:val="0"/>
      <w:divBdr>
        <w:top w:val="none" w:sz="0" w:space="0" w:color="auto"/>
        <w:left w:val="none" w:sz="0" w:space="0" w:color="auto"/>
        <w:bottom w:val="none" w:sz="0" w:space="0" w:color="auto"/>
        <w:right w:val="none" w:sz="0" w:space="0" w:color="auto"/>
      </w:divBdr>
    </w:div>
    <w:div w:id="918366130">
      <w:bodyDiv w:val="1"/>
      <w:marLeft w:val="0"/>
      <w:marRight w:val="0"/>
      <w:marTop w:val="0"/>
      <w:marBottom w:val="0"/>
      <w:divBdr>
        <w:top w:val="none" w:sz="0" w:space="0" w:color="auto"/>
        <w:left w:val="none" w:sz="0" w:space="0" w:color="auto"/>
        <w:bottom w:val="none" w:sz="0" w:space="0" w:color="auto"/>
        <w:right w:val="none" w:sz="0" w:space="0" w:color="auto"/>
      </w:divBdr>
    </w:div>
    <w:div w:id="944923173">
      <w:bodyDiv w:val="1"/>
      <w:marLeft w:val="0"/>
      <w:marRight w:val="0"/>
      <w:marTop w:val="0"/>
      <w:marBottom w:val="0"/>
      <w:divBdr>
        <w:top w:val="none" w:sz="0" w:space="0" w:color="auto"/>
        <w:left w:val="none" w:sz="0" w:space="0" w:color="auto"/>
        <w:bottom w:val="none" w:sz="0" w:space="0" w:color="auto"/>
        <w:right w:val="none" w:sz="0" w:space="0" w:color="auto"/>
      </w:divBdr>
    </w:div>
    <w:div w:id="984705075">
      <w:bodyDiv w:val="1"/>
      <w:marLeft w:val="0"/>
      <w:marRight w:val="0"/>
      <w:marTop w:val="0"/>
      <w:marBottom w:val="0"/>
      <w:divBdr>
        <w:top w:val="none" w:sz="0" w:space="0" w:color="auto"/>
        <w:left w:val="none" w:sz="0" w:space="0" w:color="auto"/>
        <w:bottom w:val="none" w:sz="0" w:space="0" w:color="auto"/>
        <w:right w:val="none" w:sz="0" w:space="0" w:color="auto"/>
      </w:divBdr>
    </w:div>
    <w:div w:id="1016999856">
      <w:bodyDiv w:val="1"/>
      <w:marLeft w:val="0"/>
      <w:marRight w:val="0"/>
      <w:marTop w:val="0"/>
      <w:marBottom w:val="0"/>
      <w:divBdr>
        <w:top w:val="none" w:sz="0" w:space="0" w:color="auto"/>
        <w:left w:val="none" w:sz="0" w:space="0" w:color="auto"/>
        <w:bottom w:val="none" w:sz="0" w:space="0" w:color="auto"/>
        <w:right w:val="none" w:sz="0" w:space="0" w:color="auto"/>
      </w:divBdr>
    </w:div>
    <w:div w:id="1134517075">
      <w:bodyDiv w:val="1"/>
      <w:marLeft w:val="0"/>
      <w:marRight w:val="0"/>
      <w:marTop w:val="0"/>
      <w:marBottom w:val="0"/>
      <w:divBdr>
        <w:top w:val="none" w:sz="0" w:space="0" w:color="auto"/>
        <w:left w:val="none" w:sz="0" w:space="0" w:color="auto"/>
        <w:bottom w:val="none" w:sz="0" w:space="0" w:color="auto"/>
        <w:right w:val="none" w:sz="0" w:space="0" w:color="auto"/>
      </w:divBdr>
    </w:div>
    <w:div w:id="1271817701">
      <w:bodyDiv w:val="1"/>
      <w:marLeft w:val="0"/>
      <w:marRight w:val="0"/>
      <w:marTop w:val="0"/>
      <w:marBottom w:val="0"/>
      <w:divBdr>
        <w:top w:val="none" w:sz="0" w:space="0" w:color="auto"/>
        <w:left w:val="none" w:sz="0" w:space="0" w:color="auto"/>
        <w:bottom w:val="none" w:sz="0" w:space="0" w:color="auto"/>
        <w:right w:val="none" w:sz="0" w:space="0" w:color="auto"/>
      </w:divBdr>
      <w:divsChild>
        <w:div w:id="1513469">
          <w:marLeft w:val="446"/>
          <w:marRight w:val="0"/>
          <w:marTop w:val="0"/>
          <w:marBottom w:val="80"/>
          <w:divBdr>
            <w:top w:val="none" w:sz="0" w:space="0" w:color="auto"/>
            <w:left w:val="none" w:sz="0" w:space="0" w:color="auto"/>
            <w:bottom w:val="none" w:sz="0" w:space="0" w:color="auto"/>
            <w:right w:val="none" w:sz="0" w:space="0" w:color="auto"/>
          </w:divBdr>
        </w:div>
      </w:divsChild>
    </w:div>
    <w:div w:id="1272586378">
      <w:bodyDiv w:val="1"/>
      <w:marLeft w:val="0"/>
      <w:marRight w:val="0"/>
      <w:marTop w:val="0"/>
      <w:marBottom w:val="0"/>
      <w:divBdr>
        <w:top w:val="none" w:sz="0" w:space="0" w:color="auto"/>
        <w:left w:val="none" w:sz="0" w:space="0" w:color="auto"/>
        <w:bottom w:val="none" w:sz="0" w:space="0" w:color="auto"/>
        <w:right w:val="none" w:sz="0" w:space="0" w:color="auto"/>
      </w:divBdr>
    </w:div>
    <w:div w:id="1507356964">
      <w:bodyDiv w:val="1"/>
      <w:marLeft w:val="0"/>
      <w:marRight w:val="0"/>
      <w:marTop w:val="0"/>
      <w:marBottom w:val="0"/>
      <w:divBdr>
        <w:top w:val="none" w:sz="0" w:space="0" w:color="auto"/>
        <w:left w:val="none" w:sz="0" w:space="0" w:color="auto"/>
        <w:bottom w:val="none" w:sz="0" w:space="0" w:color="auto"/>
        <w:right w:val="none" w:sz="0" w:space="0" w:color="auto"/>
      </w:divBdr>
    </w:div>
    <w:div w:id="152582927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12">
          <w:marLeft w:val="533"/>
          <w:marRight w:val="0"/>
          <w:marTop w:val="80"/>
          <w:marBottom w:val="0"/>
          <w:divBdr>
            <w:top w:val="none" w:sz="0" w:space="0" w:color="auto"/>
            <w:left w:val="none" w:sz="0" w:space="0" w:color="auto"/>
            <w:bottom w:val="none" w:sz="0" w:space="0" w:color="auto"/>
            <w:right w:val="none" w:sz="0" w:space="0" w:color="auto"/>
          </w:divBdr>
        </w:div>
        <w:div w:id="2136168250">
          <w:marLeft w:val="533"/>
          <w:marRight w:val="0"/>
          <w:marTop w:val="80"/>
          <w:marBottom w:val="0"/>
          <w:divBdr>
            <w:top w:val="none" w:sz="0" w:space="0" w:color="auto"/>
            <w:left w:val="none" w:sz="0" w:space="0" w:color="auto"/>
            <w:bottom w:val="none" w:sz="0" w:space="0" w:color="auto"/>
            <w:right w:val="none" w:sz="0" w:space="0" w:color="auto"/>
          </w:divBdr>
        </w:div>
        <w:div w:id="539634094">
          <w:marLeft w:val="533"/>
          <w:marRight w:val="0"/>
          <w:marTop w:val="80"/>
          <w:marBottom w:val="0"/>
          <w:divBdr>
            <w:top w:val="none" w:sz="0" w:space="0" w:color="auto"/>
            <w:left w:val="none" w:sz="0" w:space="0" w:color="auto"/>
            <w:bottom w:val="none" w:sz="0" w:space="0" w:color="auto"/>
            <w:right w:val="none" w:sz="0" w:space="0" w:color="auto"/>
          </w:divBdr>
        </w:div>
        <w:div w:id="539636655">
          <w:marLeft w:val="533"/>
          <w:marRight w:val="0"/>
          <w:marTop w:val="80"/>
          <w:marBottom w:val="0"/>
          <w:divBdr>
            <w:top w:val="none" w:sz="0" w:space="0" w:color="auto"/>
            <w:left w:val="none" w:sz="0" w:space="0" w:color="auto"/>
            <w:bottom w:val="none" w:sz="0" w:space="0" w:color="auto"/>
            <w:right w:val="none" w:sz="0" w:space="0" w:color="auto"/>
          </w:divBdr>
        </w:div>
      </w:divsChild>
    </w:div>
    <w:div w:id="1536190453">
      <w:bodyDiv w:val="1"/>
      <w:marLeft w:val="0"/>
      <w:marRight w:val="0"/>
      <w:marTop w:val="0"/>
      <w:marBottom w:val="0"/>
      <w:divBdr>
        <w:top w:val="none" w:sz="0" w:space="0" w:color="auto"/>
        <w:left w:val="none" w:sz="0" w:space="0" w:color="auto"/>
        <w:bottom w:val="none" w:sz="0" w:space="0" w:color="auto"/>
        <w:right w:val="none" w:sz="0" w:space="0" w:color="auto"/>
      </w:divBdr>
    </w:div>
    <w:div w:id="1540044421">
      <w:bodyDiv w:val="1"/>
      <w:marLeft w:val="0"/>
      <w:marRight w:val="0"/>
      <w:marTop w:val="0"/>
      <w:marBottom w:val="0"/>
      <w:divBdr>
        <w:top w:val="none" w:sz="0" w:space="0" w:color="auto"/>
        <w:left w:val="none" w:sz="0" w:space="0" w:color="auto"/>
        <w:bottom w:val="none" w:sz="0" w:space="0" w:color="auto"/>
        <w:right w:val="none" w:sz="0" w:space="0" w:color="auto"/>
      </w:divBdr>
    </w:div>
    <w:div w:id="1585719083">
      <w:bodyDiv w:val="1"/>
      <w:marLeft w:val="0"/>
      <w:marRight w:val="0"/>
      <w:marTop w:val="0"/>
      <w:marBottom w:val="0"/>
      <w:divBdr>
        <w:top w:val="none" w:sz="0" w:space="0" w:color="auto"/>
        <w:left w:val="none" w:sz="0" w:space="0" w:color="auto"/>
        <w:bottom w:val="none" w:sz="0" w:space="0" w:color="auto"/>
        <w:right w:val="none" w:sz="0" w:space="0" w:color="auto"/>
      </w:divBdr>
    </w:div>
    <w:div w:id="1605576621">
      <w:bodyDiv w:val="1"/>
      <w:marLeft w:val="0"/>
      <w:marRight w:val="0"/>
      <w:marTop w:val="0"/>
      <w:marBottom w:val="0"/>
      <w:divBdr>
        <w:top w:val="none" w:sz="0" w:space="0" w:color="auto"/>
        <w:left w:val="none" w:sz="0" w:space="0" w:color="auto"/>
        <w:bottom w:val="none" w:sz="0" w:space="0" w:color="auto"/>
        <w:right w:val="none" w:sz="0" w:space="0" w:color="auto"/>
      </w:divBdr>
    </w:div>
    <w:div w:id="1630552515">
      <w:bodyDiv w:val="1"/>
      <w:marLeft w:val="0"/>
      <w:marRight w:val="0"/>
      <w:marTop w:val="0"/>
      <w:marBottom w:val="0"/>
      <w:divBdr>
        <w:top w:val="none" w:sz="0" w:space="0" w:color="auto"/>
        <w:left w:val="none" w:sz="0" w:space="0" w:color="auto"/>
        <w:bottom w:val="none" w:sz="0" w:space="0" w:color="auto"/>
        <w:right w:val="none" w:sz="0" w:space="0" w:color="auto"/>
      </w:divBdr>
    </w:div>
    <w:div w:id="1635286956">
      <w:bodyDiv w:val="1"/>
      <w:marLeft w:val="0"/>
      <w:marRight w:val="0"/>
      <w:marTop w:val="0"/>
      <w:marBottom w:val="0"/>
      <w:divBdr>
        <w:top w:val="none" w:sz="0" w:space="0" w:color="auto"/>
        <w:left w:val="none" w:sz="0" w:space="0" w:color="auto"/>
        <w:bottom w:val="none" w:sz="0" w:space="0" w:color="auto"/>
        <w:right w:val="none" w:sz="0" w:space="0" w:color="auto"/>
      </w:divBdr>
    </w:div>
    <w:div w:id="1655138085">
      <w:bodyDiv w:val="1"/>
      <w:marLeft w:val="0"/>
      <w:marRight w:val="0"/>
      <w:marTop w:val="0"/>
      <w:marBottom w:val="0"/>
      <w:divBdr>
        <w:top w:val="none" w:sz="0" w:space="0" w:color="auto"/>
        <w:left w:val="none" w:sz="0" w:space="0" w:color="auto"/>
        <w:bottom w:val="none" w:sz="0" w:space="0" w:color="auto"/>
        <w:right w:val="none" w:sz="0" w:space="0" w:color="auto"/>
      </w:divBdr>
    </w:div>
    <w:div w:id="1687101154">
      <w:bodyDiv w:val="1"/>
      <w:marLeft w:val="0"/>
      <w:marRight w:val="0"/>
      <w:marTop w:val="0"/>
      <w:marBottom w:val="0"/>
      <w:divBdr>
        <w:top w:val="none" w:sz="0" w:space="0" w:color="auto"/>
        <w:left w:val="none" w:sz="0" w:space="0" w:color="auto"/>
        <w:bottom w:val="none" w:sz="0" w:space="0" w:color="auto"/>
        <w:right w:val="none" w:sz="0" w:space="0" w:color="auto"/>
      </w:divBdr>
    </w:div>
    <w:div w:id="1708482591">
      <w:bodyDiv w:val="1"/>
      <w:marLeft w:val="0"/>
      <w:marRight w:val="0"/>
      <w:marTop w:val="0"/>
      <w:marBottom w:val="0"/>
      <w:divBdr>
        <w:top w:val="none" w:sz="0" w:space="0" w:color="auto"/>
        <w:left w:val="none" w:sz="0" w:space="0" w:color="auto"/>
        <w:bottom w:val="none" w:sz="0" w:space="0" w:color="auto"/>
        <w:right w:val="none" w:sz="0" w:space="0" w:color="auto"/>
      </w:divBdr>
    </w:div>
    <w:div w:id="1733037418">
      <w:bodyDiv w:val="1"/>
      <w:marLeft w:val="0"/>
      <w:marRight w:val="0"/>
      <w:marTop w:val="0"/>
      <w:marBottom w:val="0"/>
      <w:divBdr>
        <w:top w:val="none" w:sz="0" w:space="0" w:color="auto"/>
        <w:left w:val="none" w:sz="0" w:space="0" w:color="auto"/>
        <w:bottom w:val="none" w:sz="0" w:space="0" w:color="auto"/>
        <w:right w:val="none" w:sz="0" w:space="0" w:color="auto"/>
      </w:divBdr>
    </w:div>
    <w:div w:id="1758860506">
      <w:bodyDiv w:val="1"/>
      <w:marLeft w:val="0"/>
      <w:marRight w:val="0"/>
      <w:marTop w:val="0"/>
      <w:marBottom w:val="0"/>
      <w:divBdr>
        <w:top w:val="none" w:sz="0" w:space="0" w:color="auto"/>
        <w:left w:val="none" w:sz="0" w:space="0" w:color="auto"/>
        <w:bottom w:val="none" w:sz="0" w:space="0" w:color="auto"/>
        <w:right w:val="none" w:sz="0" w:space="0" w:color="auto"/>
      </w:divBdr>
      <w:divsChild>
        <w:div w:id="1105735519">
          <w:marLeft w:val="274"/>
          <w:marRight w:val="0"/>
          <w:marTop w:val="0"/>
          <w:marBottom w:val="120"/>
          <w:divBdr>
            <w:top w:val="none" w:sz="0" w:space="0" w:color="auto"/>
            <w:left w:val="none" w:sz="0" w:space="0" w:color="auto"/>
            <w:bottom w:val="none" w:sz="0" w:space="0" w:color="auto"/>
            <w:right w:val="none" w:sz="0" w:space="0" w:color="auto"/>
          </w:divBdr>
        </w:div>
      </w:divsChild>
    </w:div>
    <w:div w:id="1797988762">
      <w:bodyDiv w:val="1"/>
      <w:marLeft w:val="0"/>
      <w:marRight w:val="0"/>
      <w:marTop w:val="0"/>
      <w:marBottom w:val="0"/>
      <w:divBdr>
        <w:top w:val="none" w:sz="0" w:space="0" w:color="auto"/>
        <w:left w:val="none" w:sz="0" w:space="0" w:color="auto"/>
        <w:bottom w:val="none" w:sz="0" w:space="0" w:color="auto"/>
        <w:right w:val="none" w:sz="0" w:space="0" w:color="auto"/>
      </w:divBdr>
      <w:divsChild>
        <w:div w:id="1050543114">
          <w:marLeft w:val="446"/>
          <w:marRight w:val="0"/>
          <w:marTop w:val="0"/>
          <w:marBottom w:val="80"/>
          <w:divBdr>
            <w:top w:val="none" w:sz="0" w:space="0" w:color="auto"/>
            <w:left w:val="none" w:sz="0" w:space="0" w:color="auto"/>
            <w:bottom w:val="none" w:sz="0" w:space="0" w:color="auto"/>
            <w:right w:val="none" w:sz="0" w:space="0" w:color="auto"/>
          </w:divBdr>
        </w:div>
      </w:divsChild>
    </w:div>
    <w:div w:id="1849900508">
      <w:bodyDiv w:val="1"/>
      <w:marLeft w:val="0"/>
      <w:marRight w:val="0"/>
      <w:marTop w:val="0"/>
      <w:marBottom w:val="0"/>
      <w:divBdr>
        <w:top w:val="none" w:sz="0" w:space="0" w:color="auto"/>
        <w:left w:val="none" w:sz="0" w:space="0" w:color="auto"/>
        <w:bottom w:val="none" w:sz="0" w:space="0" w:color="auto"/>
        <w:right w:val="none" w:sz="0" w:space="0" w:color="auto"/>
      </w:divBdr>
    </w:div>
    <w:div w:id="1925335287">
      <w:bodyDiv w:val="1"/>
      <w:marLeft w:val="0"/>
      <w:marRight w:val="0"/>
      <w:marTop w:val="0"/>
      <w:marBottom w:val="0"/>
      <w:divBdr>
        <w:top w:val="none" w:sz="0" w:space="0" w:color="auto"/>
        <w:left w:val="none" w:sz="0" w:space="0" w:color="auto"/>
        <w:bottom w:val="none" w:sz="0" w:space="0" w:color="auto"/>
        <w:right w:val="none" w:sz="0" w:space="0" w:color="auto"/>
      </w:divBdr>
    </w:div>
    <w:div w:id="2007438372">
      <w:bodyDiv w:val="1"/>
      <w:marLeft w:val="0"/>
      <w:marRight w:val="0"/>
      <w:marTop w:val="0"/>
      <w:marBottom w:val="0"/>
      <w:divBdr>
        <w:top w:val="none" w:sz="0" w:space="0" w:color="auto"/>
        <w:left w:val="none" w:sz="0" w:space="0" w:color="auto"/>
        <w:bottom w:val="none" w:sz="0" w:space="0" w:color="auto"/>
        <w:right w:val="none" w:sz="0" w:space="0" w:color="auto"/>
      </w:divBdr>
    </w:div>
    <w:div w:id="2059894755">
      <w:bodyDiv w:val="1"/>
      <w:marLeft w:val="0"/>
      <w:marRight w:val="0"/>
      <w:marTop w:val="0"/>
      <w:marBottom w:val="0"/>
      <w:divBdr>
        <w:top w:val="none" w:sz="0" w:space="0" w:color="auto"/>
        <w:left w:val="none" w:sz="0" w:space="0" w:color="auto"/>
        <w:bottom w:val="none" w:sz="0" w:space="0" w:color="auto"/>
        <w:right w:val="none" w:sz="0" w:space="0" w:color="auto"/>
      </w:divBdr>
    </w:div>
    <w:div w:id="206767686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0906754">
      <w:bodyDiv w:val="1"/>
      <w:marLeft w:val="0"/>
      <w:marRight w:val="0"/>
      <w:marTop w:val="0"/>
      <w:marBottom w:val="0"/>
      <w:divBdr>
        <w:top w:val="none" w:sz="0" w:space="0" w:color="auto"/>
        <w:left w:val="none" w:sz="0" w:space="0" w:color="auto"/>
        <w:bottom w:val="none" w:sz="0" w:space="0" w:color="auto"/>
        <w:right w:val="none" w:sz="0" w:space="0" w:color="auto"/>
      </w:divBdr>
    </w:div>
    <w:div w:id="21406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ncbi.nlm.nih.gov/pubmed/?term=Locke%20FL%5BAuthor%5D&amp;cauthor=true&amp;cauthor_uid=29226797"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cbi.nlm.nih.gov/pubmed/?term=Miklos%20DB%5BAuthor%5D&amp;cauthor=true&amp;cauthor_uid=29226797" TargetMode="External"/><Relationship Id="rId34" Type="http://schemas.openxmlformats.org/officeDocument/2006/relationships/hyperlink" Target="https://www.nccn.org/professionals/physician_gls/default.asp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pubmed/?term=Neelapu%20SS%5BAuthor%5D&amp;cauthor=true&amp;cauthor_uid=29226797" TargetMode="External"/><Relationship Id="rId25" Type="http://schemas.openxmlformats.org/officeDocument/2006/relationships/hyperlink" Target="https://www.ncbi.nlm.nih.gov/pmc/articles/PMC5363293/" TargetMode="External"/><Relationship Id="rId33" Type="http://schemas.openxmlformats.org/officeDocument/2006/relationships/hyperlink" Target="http://www.lymphoma.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ubmed/?term=Lekakis%20LJ%5BAuthor%5D&amp;cauthor=true&amp;cauthor_uid=29226797" TargetMode="External"/><Relationship Id="rId29" Type="http://schemas.openxmlformats.org/officeDocument/2006/relationships/hyperlink" Target="https://www.aihw.gov.au/reports/cancer/cancer-in-indigenous-australians/contents/cancer-type/non-hodgkin-lymphoma-c82-c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30518502" TargetMode="External"/><Relationship Id="rId32" Type="http://schemas.openxmlformats.org/officeDocument/2006/relationships/hyperlink" Target="https://lymphoma-action.org.uk/types-lymphoma-non-hodgkin-lymphoma/diffuse-large-b-cell-lymphom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29226797?dopt=Abstract" TargetMode="External"/><Relationship Id="rId28" Type="http://schemas.openxmlformats.org/officeDocument/2006/relationships/hyperlink" Target="https://www.aihw.gov.au/about-our-data/our-data-collections/australian-cancer-database" TargetMode="External"/><Relationship Id="rId36"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www.ncbi.nlm.nih.gov/pubmed/?term=Bartlett%20NL%5BAuthor%5D&amp;cauthor=true&amp;cauthor_uid=29226797" TargetMode="External"/><Relationship Id="rId31" Type="http://schemas.openxmlformats.org/officeDocument/2006/relationships/hyperlink" Target="http://www.uptodate.com/contents/diffuse-large-b-cell-lymphoma-in-adults-beyond-the-basics"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term=Jacobson%20CA%5BAuthor%5D&amp;cauthor=true&amp;cauthor_uid=29226797" TargetMode="External"/><Relationship Id="rId27" Type="http://schemas.openxmlformats.org/officeDocument/2006/relationships/image" Target="media/image3.png"/><Relationship Id="rId30" Type="http://schemas.openxmlformats.org/officeDocument/2006/relationships/hyperlink" Target="https://canceraustralia.gov.au/affected-cancer/cancer-types/lymphoma/non-hodgkin-lymphoma-statistics" TargetMode="External"/><Relationship Id="rId35" Type="http://schemas.openxmlformats.org/officeDocument/2006/relationships/hyperlink" Target="http://www.cancer.gov/types/lymphoma/hp/adult-nhl-treatment-p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EF0B-E112-48EC-B271-CC4FFA47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9495</Words>
  <Characters>54123</Characters>
  <Application>Microsoft Office Word</Application>
  <DocSecurity>0</DocSecurity>
  <Lines>451</Lines>
  <Paragraphs>126</Paragraphs>
  <ScaleCrop>false</ScaleCrop>
  <Company/>
  <LinksUpToDate>false</LinksUpToDate>
  <CharactersWithSpaces>63492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1587 MSAC Application Form_redcated_Final</dc:title>
  <dc:creator/>
  <cp:lastModifiedBy/>
  <cp:revision>1</cp:revision>
  <dcterms:created xsi:type="dcterms:W3CDTF">2019-08-13T00:32:00Z</dcterms:created>
  <dcterms:modified xsi:type="dcterms:W3CDTF">2019-08-13T00:33:00Z</dcterms:modified>
</cp:coreProperties>
</file>