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A42E"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28279BC0" wp14:editId="128EEB38">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BAC570C"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3D943523" w14:textId="77777777" w:rsidR="00BC1364" w:rsidRPr="00F715D1" w:rsidRDefault="00BC1364" w:rsidP="00F715D1">
      <w:pPr>
        <w:pStyle w:val="Subtitle"/>
      </w:pPr>
      <w:r w:rsidRPr="00F715D1">
        <w:t xml:space="preserve">Application No. </w:t>
      </w:r>
      <w:r w:rsidR="00B628E3" w:rsidRPr="00625EC8">
        <w:rPr>
          <w:szCs w:val="24"/>
        </w:rPr>
        <w:t>1374.1 – Subcutaneous implantable cardioverter defibrillator therapy for prevention of sudden cardiac death</w:t>
      </w:r>
    </w:p>
    <w:p w14:paraId="79C74804" w14:textId="5A058B63" w:rsidR="00BC1364" w:rsidRPr="00F715D1" w:rsidRDefault="00B35595" w:rsidP="00A20241">
      <w:pPr>
        <w:tabs>
          <w:tab w:val="left" w:pos="3686"/>
        </w:tabs>
        <w:spacing w:before="360"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B628E3" w:rsidRPr="00B628E3">
        <w:rPr>
          <w:rFonts w:ascii="Arial" w:hAnsi="Arial" w:cs="Arial"/>
          <w:b/>
          <w:szCs w:val="24"/>
        </w:rPr>
        <w:t>Boston Scientific</w:t>
      </w:r>
      <w:r w:rsidR="00F705E6">
        <w:rPr>
          <w:rFonts w:ascii="Arial" w:hAnsi="Arial" w:cs="Arial"/>
          <w:b/>
          <w:szCs w:val="24"/>
        </w:rPr>
        <w:t xml:space="preserve"> Pty Ltd</w:t>
      </w:r>
    </w:p>
    <w:p w14:paraId="6D22CC85"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628E3">
        <w:rPr>
          <w:rFonts w:ascii="Arial" w:hAnsi="Arial" w:cs="Arial"/>
          <w:b/>
          <w:szCs w:val="24"/>
        </w:rPr>
        <w:t>81</w:t>
      </w:r>
      <w:r w:rsidR="00B628E3">
        <w:rPr>
          <w:rFonts w:ascii="Arial" w:hAnsi="Arial" w:cs="Arial"/>
          <w:b/>
          <w:szCs w:val="24"/>
          <w:vertAlign w:val="superscript"/>
        </w:rPr>
        <w:t>st</w:t>
      </w:r>
      <w:r w:rsidR="00EB6B6F" w:rsidRPr="00F715D1">
        <w:rPr>
          <w:rFonts w:ascii="Arial" w:hAnsi="Arial" w:cs="Arial"/>
          <w:b/>
          <w:szCs w:val="24"/>
        </w:rPr>
        <w:t xml:space="preserve"> </w:t>
      </w:r>
      <w:r w:rsidRPr="00F715D1">
        <w:rPr>
          <w:rFonts w:ascii="Arial" w:hAnsi="Arial" w:cs="Arial"/>
          <w:b/>
          <w:szCs w:val="24"/>
        </w:rPr>
        <w:t xml:space="preserve">Meeting, </w:t>
      </w:r>
      <w:r w:rsidR="00B628E3">
        <w:rPr>
          <w:rFonts w:ascii="Arial" w:hAnsi="Arial" w:cs="Arial"/>
          <w:b/>
          <w:szCs w:val="24"/>
        </w:rPr>
        <w:t>31 March – 1 April 2021</w:t>
      </w:r>
    </w:p>
    <w:p w14:paraId="6B0CE8F3" w14:textId="41FE294B"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69519C00" w14:textId="77777777" w:rsidR="003D7F29" w:rsidRPr="00F715D1" w:rsidRDefault="003D7F29" w:rsidP="00F715D1">
      <w:pPr>
        <w:pStyle w:val="Heading1"/>
      </w:pPr>
      <w:r w:rsidRPr="00F715D1">
        <w:t>Purpose of application</w:t>
      </w:r>
      <w:r w:rsidR="00822C7E" w:rsidRPr="00F715D1">
        <w:t xml:space="preserve"> </w:t>
      </w:r>
    </w:p>
    <w:p w14:paraId="7ADA913A" w14:textId="081E3FD5" w:rsidR="00C204FB" w:rsidRPr="00485984" w:rsidRDefault="00485984" w:rsidP="00485984">
      <w:pPr>
        <w:spacing w:after="240"/>
        <w:rPr>
          <w:i/>
          <w:szCs w:val="24"/>
        </w:rPr>
      </w:pPr>
      <w:r>
        <w:t>A resubmission requesting Medicare Benefits Schedule (</w:t>
      </w:r>
      <w:r w:rsidRPr="00BA6264">
        <w:t>MBS) listing</w:t>
      </w:r>
      <w:r>
        <w:t xml:space="preserve"> for the insertion of</w:t>
      </w:r>
      <w:r w:rsidR="005F2EDA">
        <w:t xml:space="preserve"> a</w:t>
      </w:r>
      <w:r>
        <w:t xml:space="preserve"> subcutaneous implantable cardioverter defibrillator (S-ICD) lead</w:t>
      </w:r>
      <w:r w:rsidR="00A455C5">
        <w:t xml:space="preserve"> (electrode)</w:t>
      </w:r>
      <w:r>
        <w:t xml:space="preserve"> for the prevention of sudden cardiac death (SCD) was received from Boston Scientific by the Department of Health. </w:t>
      </w:r>
    </w:p>
    <w:p w14:paraId="2E02471F" w14:textId="77777777" w:rsidR="00E977EE" w:rsidRPr="00F715D1" w:rsidRDefault="00E977EE" w:rsidP="00F715D1">
      <w:pPr>
        <w:pStyle w:val="Heading1"/>
      </w:pPr>
      <w:r w:rsidRPr="00F715D1">
        <w:t>MSAC’s advice to the Minister</w:t>
      </w:r>
    </w:p>
    <w:p w14:paraId="362F9075" w14:textId="63427058" w:rsidR="00CF7307" w:rsidRDefault="00E35815" w:rsidP="00F715D1">
      <w:pPr>
        <w:pStyle w:val="Default"/>
        <w:spacing w:after="240"/>
        <w:rPr>
          <w:i/>
          <w:color w:val="auto"/>
        </w:rPr>
      </w:pPr>
      <w:r w:rsidRPr="001342D1">
        <w:t xml:space="preserve">After considering the strength of the available evidence in relation to comparative safety, </w:t>
      </w:r>
      <w:r>
        <w:t xml:space="preserve">clinical </w:t>
      </w:r>
      <w:proofErr w:type="gramStart"/>
      <w:r>
        <w:t>effectiveness</w:t>
      </w:r>
      <w:proofErr w:type="gramEnd"/>
      <w:r>
        <w:t xml:space="preserve"> and cost-</w:t>
      </w:r>
      <w:r w:rsidRPr="001342D1">
        <w:t xml:space="preserve">effectiveness, </w:t>
      </w:r>
      <w:r>
        <w:t xml:space="preserve">MSAC deferred its advice on the creation of a new MBS item for </w:t>
      </w:r>
      <w:r w:rsidR="005F2EDA">
        <w:t xml:space="preserve">the </w:t>
      </w:r>
      <w:r>
        <w:t xml:space="preserve">insertion of </w:t>
      </w:r>
      <w:r w:rsidR="00DC7AE4">
        <w:t>an</w:t>
      </w:r>
      <w:r>
        <w:t xml:space="preserve"> S-ICD </w:t>
      </w:r>
      <w:r w:rsidR="005F2EDA">
        <w:t>lead</w:t>
      </w:r>
      <w:r>
        <w:t xml:space="preserve"> for </w:t>
      </w:r>
      <w:r w:rsidR="005F2EDA">
        <w:t xml:space="preserve">the </w:t>
      </w:r>
      <w:r>
        <w:t xml:space="preserve">prevention of </w:t>
      </w:r>
      <w:r w:rsidR="005F2EDA">
        <w:t>SCD</w:t>
      </w:r>
      <w:r>
        <w:t xml:space="preserve">. MSAC considered the evidence demonstrated </w:t>
      </w:r>
      <w:r w:rsidR="00A455C5">
        <w:t xml:space="preserve">that </w:t>
      </w:r>
      <w:r>
        <w:t>S-ICD</w:t>
      </w:r>
      <w:r w:rsidR="005F2EDA">
        <w:t xml:space="preserve"> </w:t>
      </w:r>
      <w:r w:rsidR="00A455C5">
        <w:t>therapy</w:t>
      </w:r>
      <w:r>
        <w:t xml:space="preserve"> had a different safety profile to the comparator transvenous ICD (TV-ICD)</w:t>
      </w:r>
      <w:r w:rsidR="005F2EDA">
        <w:t xml:space="preserve"> </w:t>
      </w:r>
      <w:r w:rsidR="00A455C5">
        <w:t>therapy</w:t>
      </w:r>
      <w:r>
        <w:t xml:space="preserve">. MSAC was inclined to accept that S-ICD had similar clinical effectiveness, but noted longer-term data </w:t>
      </w:r>
      <w:r w:rsidR="00CF2A2B">
        <w:t xml:space="preserve">remains </w:t>
      </w:r>
      <w:r>
        <w:t xml:space="preserve">lacking. MSAC anticipated there may be a subpopulation of patients with a high clinical need who would benefit from the device – however, considered that this subpopulation </w:t>
      </w:r>
      <w:r w:rsidR="00CF2A2B">
        <w:t>needs to be</w:t>
      </w:r>
      <w:r>
        <w:t xml:space="preserve"> clearly defined </w:t>
      </w:r>
      <w:r w:rsidR="00CF2A2B">
        <w:t xml:space="preserve">in an MBS descriptor </w:t>
      </w:r>
      <w:r>
        <w:t xml:space="preserve">and that data for effectiveness in this subpopulation were lacking. MSAC also noted issues with the economic modelling </w:t>
      </w:r>
      <w:r w:rsidR="0092625E">
        <w:t>that resulted in uncertain cost</w:t>
      </w:r>
      <w:r w:rsidR="0092625E">
        <w:noBreakHyphen/>
      </w:r>
      <w:r>
        <w:t>effectiveness. MSAC considered that additional clinical data and revised economic analysis should be provided via ESC.</w:t>
      </w:r>
    </w:p>
    <w:tbl>
      <w:tblPr>
        <w:tblStyle w:val="TableGrid"/>
        <w:tblW w:w="0" w:type="auto"/>
        <w:tblLook w:val="04A0" w:firstRow="1" w:lastRow="0" w:firstColumn="1" w:lastColumn="0" w:noHBand="0" w:noVBand="1"/>
        <w:tblDescription w:val="Consumer summary of MSAC consideration"/>
      </w:tblPr>
      <w:tblGrid>
        <w:gridCol w:w="9016"/>
      </w:tblGrid>
      <w:tr w:rsidR="000663AA" w14:paraId="10774A39" w14:textId="77777777" w:rsidTr="00E35815">
        <w:trPr>
          <w:trHeight w:val="2074"/>
          <w:tblHeader/>
        </w:trPr>
        <w:tc>
          <w:tcPr>
            <w:tcW w:w="9016" w:type="dxa"/>
            <w:tcBorders>
              <w:bottom w:val="single" w:sz="4" w:space="0" w:color="auto"/>
            </w:tcBorders>
          </w:tcPr>
          <w:p w14:paraId="425966AD" w14:textId="77777777" w:rsidR="00E35815" w:rsidRPr="00C06B0B" w:rsidRDefault="000663AA" w:rsidP="000663AA">
            <w:pPr>
              <w:pStyle w:val="Default"/>
              <w:spacing w:before="120" w:after="120"/>
              <w:rPr>
                <w:b/>
                <w:color w:val="auto"/>
              </w:rPr>
            </w:pPr>
            <w:r w:rsidRPr="00C06B0B">
              <w:rPr>
                <w:b/>
                <w:color w:val="auto"/>
              </w:rPr>
              <w:lastRenderedPageBreak/>
              <w:t>Consumer summary</w:t>
            </w:r>
          </w:p>
          <w:p w14:paraId="640AA2CE" w14:textId="6E8D1D64" w:rsidR="00E35815" w:rsidRDefault="00E35815" w:rsidP="00F715D1">
            <w:pPr>
              <w:pStyle w:val="Default"/>
              <w:spacing w:after="240"/>
            </w:pPr>
            <w:r>
              <w:t xml:space="preserve">This application </w:t>
            </w:r>
            <w:r w:rsidRPr="00845D61">
              <w:t>from</w:t>
            </w:r>
            <w:r>
              <w:t xml:space="preserve"> </w:t>
            </w:r>
            <w:r w:rsidRPr="007E463F">
              <w:t xml:space="preserve">Boston Scientific </w:t>
            </w:r>
            <w:r w:rsidR="00F705E6">
              <w:t xml:space="preserve">Pty Ltd </w:t>
            </w:r>
            <w:r>
              <w:t xml:space="preserve">seeks to create a new </w:t>
            </w:r>
            <w:r w:rsidRPr="000B7C35">
              <w:t>Medicare Benefits Schedule (</w:t>
            </w:r>
            <w:r>
              <w:t xml:space="preserve">MBS) item </w:t>
            </w:r>
            <w:r w:rsidRPr="00233303">
              <w:t xml:space="preserve">for </w:t>
            </w:r>
            <w:r>
              <w:t>the</w:t>
            </w:r>
            <w:r w:rsidRPr="007E463F">
              <w:t xml:space="preserve"> insertion, </w:t>
            </w:r>
            <w:proofErr w:type="gramStart"/>
            <w:r w:rsidRPr="007E463F">
              <w:t>removal</w:t>
            </w:r>
            <w:proofErr w:type="gramEnd"/>
            <w:r w:rsidRPr="007E463F">
              <w:t xml:space="preserve"> or replacement of</w:t>
            </w:r>
            <w:r>
              <w:t xml:space="preserve"> a</w:t>
            </w:r>
            <w:r w:rsidRPr="007E463F">
              <w:t xml:space="preserve"> subcutaneous implantable </w:t>
            </w:r>
            <w:r w:rsidR="006434EF">
              <w:t>cardioverter</w:t>
            </w:r>
            <w:r w:rsidR="006434EF" w:rsidRPr="007E463F">
              <w:t xml:space="preserve"> </w:t>
            </w:r>
            <w:r w:rsidRPr="007E463F">
              <w:t xml:space="preserve">defibrillator </w:t>
            </w:r>
            <w:r>
              <w:t xml:space="preserve">(S-ICD) </w:t>
            </w:r>
            <w:r w:rsidRPr="007E463F">
              <w:t>lead</w:t>
            </w:r>
            <w:r>
              <w:t xml:space="preserve"> to prevent</w:t>
            </w:r>
            <w:r w:rsidR="00DD5BAE">
              <w:t xml:space="preserve"> an event known as sudden cardiac</w:t>
            </w:r>
            <w:r>
              <w:t xml:space="preserve"> death</w:t>
            </w:r>
            <w:r w:rsidR="006434EF">
              <w:t xml:space="preserve"> </w:t>
            </w:r>
            <w:r w:rsidR="00DD5BAE">
              <w:t>(SCD)</w:t>
            </w:r>
            <w:r>
              <w:t>.</w:t>
            </w:r>
            <w:r w:rsidR="00DD5BAE">
              <w:t xml:space="preserve"> SCD is an unexpected death due to sudden loss of heart function</w:t>
            </w:r>
            <w:r w:rsidR="00393CC4">
              <w:t xml:space="preserve">. It is mainly caused by </w:t>
            </w:r>
            <w:r w:rsidR="006434EF">
              <w:t xml:space="preserve">irregularity in the </w:t>
            </w:r>
            <w:r w:rsidR="00F705E6">
              <w:t xml:space="preserve">body’s </w:t>
            </w:r>
            <w:r w:rsidR="006434EF">
              <w:t xml:space="preserve">electrical signals that trigger the heart to </w:t>
            </w:r>
            <w:r w:rsidR="00393CC4">
              <w:t>beat normally</w:t>
            </w:r>
            <w:r w:rsidR="00DD5BAE">
              <w:t xml:space="preserve">. </w:t>
            </w:r>
          </w:p>
          <w:p w14:paraId="7DE10995" w14:textId="14255436" w:rsidR="00E377CD" w:rsidRDefault="00AF09CA" w:rsidP="00F715D1">
            <w:pPr>
              <w:pStyle w:val="Default"/>
              <w:spacing w:after="240"/>
            </w:pPr>
            <w:r>
              <w:t>I</w:t>
            </w:r>
            <w:r w:rsidR="00E35815" w:rsidRPr="00AD7B39">
              <w:t>mplantable cardioverter</w:t>
            </w:r>
            <w:r w:rsidR="00393CC4">
              <w:t xml:space="preserve"> </w:t>
            </w:r>
            <w:r w:rsidR="00E35815" w:rsidRPr="00AD7B39">
              <w:t xml:space="preserve">defibrillator (ICD) </w:t>
            </w:r>
            <w:r>
              <w:t>thera</w:t>
            </w:r>
            <w:r w:rsidR="00C91CCE">
              <w:t>p</w:t>
            </w:r>
            <w:r>
              <w:t xml:space="preserve">y uses </w:t>
            </w:r>
            <w:r w:rsidR="00E35815" w:rsidRPr="00AD7B39">
              <w:t xml:space="preserve">a </w:t>
            </w:r>
            <w:r w:rsidR="00393CC4">
              <w:t>device to monitor a patient’s heart function</w:t>
            </w:r>
            <w:r w:rsidR="00E377CD">
              <w:t>:</w:t>
            </w:r>
            <w:r w:rsidR="00CA6371">
              <w:t xml:space="preserve"> if it detects irregularities in heartbeat</w:t>
            </w:r>
            <w:r w:rsidR="003E4D2B">
              <w:t>,</w:t>
            </w:r>
            <w:r w:rsidR="00CA6371">
              <w:t xml:space="preserve"> it will electrically shock (defibrillate) the heart to correct it</w:t>
            </w:r>
            <w:r w:rsidR="00393CC4">
              <w:t>. Irregular</w:t>
            </w:r>
            <w:r w:rsidR="00393CC4" w:rsidRPr="00AD7B39">
              <w:t xml:space="preserve"> heartbeat</w:t>
            </w:r>
            <w:r w:rsidR="00393CC4">
              <w:t>s can lead to the heart not pumping properly or not at all, which will result in death unless treated quickly.</w:t>
            </w:r>
            <w:r w:rsidR="00C91CCE">
              <w:t xml:space="preserve"> The device used for</w:t>
            </w:r>
            <w:r w:rsidR="00393CC4">
              <w:t xml:space="preserve"> </w:t>
            </w:r>
            <w:r>
              <w:t>ICD therapy consist</w:t>
            </w:r>
            <w:r w:rsidR="00C91CCE">
              <w:t>s</w:t>
            </w:r>
            <w:r>
              <w:t xml:space="preserve"> of two </w:t>
            </w:r>
            <w:r w:rsidR="00DC2724">
              <w:t>parts</w:t>
            </w:r>
            <w:r>
              <w:t xml:space="preserve">, an ICD </w:t>
            </w:r>
            <w:proofErr w:type="gramStart"/>
            <w:r>
              <w:t>generator</w:t>
            </w:r>
            <w:proofErr w:type="gramEnd"/>
            <w:r>
              <w:t xml:space="preserve"> and a</w:t>
            </w:r>
            <w:r w:rsidR="00C91CCE">
              <w:t>n ICD</w:t>
            </w:r>
            <w:r>
              <w:t xml:space="preserve"> lead (electrode) that are </w:t>
            </w:r>
            <w:r w:rsidR="00926893">
              <w:t xml:space="preserve">both </w:t>
            </w:r>
            <w:r w:rsidR="00393CC4">
              <w:t xml:space="preserve">inserted into </w:t>
            </w:r>
            <w:r w:rsidR="00E35815">
              <w:t>the</w:t>
            </w:r>
            <w:r w:rsidR="00E35815" w:rsidRPr="00AD7B39">
              <w:t xml:space="preserve"> chest</w:t>
            </w:r>
            <w:r w:rsidR="00393CC4">
              <w:t>.</w:t>
            </w:r>
            <w:r w:rsidR="00E35815" w:rsidRPr="00AD7B39">
              <w:t xml:space="preserve"> </w:t>
            </w:r>
            <w:r w:rsidR="00C91CCE">
              <w:t xml:space="preserve">The ICD generator and lead </w:t>
            </w:r>
            <w:r w:rsidR="00CA6371">
              <w:t>detect the heart function</w:t>
            </w:r>
            <w:r w:rsidR="00E377CD">
              <w:t>. W</w:t>
            </w:r>
            <w:r w:rsidR="00C91CCE">
              <w:t>hen required</w:t>
            </w:r>
            <w:r w:rsidR="00E377CD">
              <w:t>,</w:t>
            </w:r>
            <w:r w:rsidR="00C91CCE">
              <w:t xml:space="preserve"> the ICD generator </w:t>
            </w:r>
            <w:r w:rsidR="00212232">
              <w:t>creates</w:t>
            </w:r>
            <w:r w:rsidR="00C91CCE">
              <w:t xml:space="preserve"> the electric shock</w:t>
            </w:r>
            <w:r w:rsidR="00B91E82">
              <w:t>,</w:t>
            </w:r>
            <w:r w:rsidR="00C91CCE">
              <w:t xml:space="preserve"> which is delivered to the heart via the ICD lead</w:t>
            </w:r>
            <w:r w:rsidR="00CA6371">
              <w:t xml:space="preserve">. </w:t>
            </w:r>
          </w:p>
          <w:p w14:paraId="33F1EDC3" w14:textId="21A2CEB7" w:rsidR="00E35815" w:rsidRDefault="00E35815" w:rsidP="00F715D1">
            <w:pPr>
              <w:pStyle w:val="Default"/>
              <w:spacing w:after="240"/>
            </w:pPr>
            <w:r>
              <w:t>There are two types of ICD</w:t>
            </w:r>
            <w:r w:rsidR="00CA6371">
              <w:t xml:space="preserve"> therapies</w:t>
            </w:r>
            <w:r>
              <w:t xml:space="preserve">. One is called a transvenous ICD (TV-ICD), where </w:t>
            </w:r>
            <w:r w:rsidR="00CA6371">
              <w:t>the</w:t>
            </w:r>
            <w:r>
              <w:t xml:space="preserve"> lead is inserted into the heart. The other type is called a subcutaneous ICD (S-ICD), where </w:t>
            </w:r>
            <w:r w:rsidR="00CA6371">
              <w:t>the</w:t>
            </w:r>
            <w:r>
              <w:t xml:space="preserve"> lead is placed under the skin </w:t>
            </w:r>
            <w:r w:rsidR="00F55679">
              <w:t>in the middle of the</w:t>
            </w:r>
            <w:r>
              <w:t xml:space="preserve"> patient’s chest.</w:t>
            </w:r>
          </w:p>
          <w:p w14:paraId="3C7E0478" w14:textId="5110E6DE" w:rsidR="00E377CD" w:rsidRDefault="00E35815" w:rsidP="00F715D1">
            <w:pPr>
              <w:pStyle w:val="Default"/>
              <w:spacing w:after="240"/>
            </w:pPr>
            <w:r>
              <w:t xml:space="preserve">The advantage of the S-ICD </w:t>
            </w:r>
            <w:r w:rsidR="00F55679">
              <w:t xml:space="preserve">lead </w:t>
            </w:r>
            <w:r>
              <w:t xml:space="preserve">is that it </w:t>
            </w:r>
            <w:r w:rsidR="00F55679">
              <w:t xml:space="preserve">is less invasive because it </w:t>
            </w:r>
            <w:r>
              <w:t>does not need to be put into the heart</w:t>
            </w:r>
            <w:r w:rsidR="00E377CD">
              <w:t xml:space="preserve">. This </w:t>
            </w:r>
            <w:r w:rsidR="008272F4">
              <w:t xml:space="preserve">means there is less </w:t>
            </w:r>
            <w:r w:rsidR="00F55679">
              <w:t xml:space="preserve">risk for infection and </w:t>
            </w:r>
            <w:r w:rsidR="00A056A2">
              <w:t xml:space="preserve">less risk for patients </w:t>
            </w:r>
            <w:r w:rsidR="00E377CD">
              <w:t xml:space="preserve">where it is difficult to reach the heart because of the shape of their </w:t>
            </w:r>
            <w:r w:rsidR="00A056A2">
              <w:t>blood vessel</w:t>
            </w:r>
            <w:r w:rsidR="00E377CD">
              <w:t>s, or the shape of the heart itself.</w:t>
            </w:r>
            <w:r>
              <w:t xml:space="preserve"> However, unlike TV-ICD, S-ICD cannot regulate the speed of the heartbeat</w:t>
            </w:r>
            <w:r w:rsidR="00DC2724">
              <w:t>. This means it</w:t>
            </w:r>
            <w:r w:rsidR="00F55679">
              <w:t xml:space="preserve"> cannot be used for pacing</w:t>
            </w:r>
            <w:r w:rsidR="00F719C6">
              <w:t xml:space="preserve"> </w:t>
            </w:r>
            <w:r w:rsidR="00F719C6" w:rsidRPr="00F719C6">
              <w:t>like a pacemaker</w:t>
            </w:r>
            <w:r w:rsidR="00F719C6">
              <w:t xml:space="preserve"> to deliver</w:t>
            </w:r>
            <w:r w:rsidR="00F719C6" w:rsidRPr="00F719C6">
              <w:t xml:space="preserve"> constant electrical </w:t>
            </w:r>
            <w:r w:rsidR="00846B1E">
              <w:t>impulses</w:t>
            </w:r>
            <w:r w:rsidR="00EA439E" w:rsidRPr="00F719C6">
              <w:t xml:space="preserve"> </w:t>
            </w:r>
            <w:r w:rsidR="00F719C6" w:rsidRPr="00F719C6">
              <w:t xml:space="preserve">to </w:t>
            </w:r>
            <w:r w:rsidR="00846B1E">
              <w:t xml:space="preserve">stimulate the heart and </w:t>
            </w:r>
            <w:r w:rsidR="00F719C6" w:rsidRPr="00F719C6">
              <w:t xml:space="preserve">maintain constant heartbeats if </w:t>
            </w:r>
            <w:r w:rsidR="00DC2724">
              <w:t>the heart is</w:t>
            </w:r>
            <w:r w:rsidR="00F719C6" w:rsidRPr="00F719C6">
              <w:t xml:space="preserve"> pumping too </w:t>
            </w:r>
            <w:r w:rsidR="000F7CD2" w:rsidRPr="00F719C6">
              <w:t>slowly</w:t>
            </w:r>
            <w:r>
              <w:t xml:space="preserve">. </w:t>
            </w:r>
          </w:p>
          <w:p w14:paraId="5D2BBE08" w14:textId="77777777" w:rsidR="00E377CD" w:rsidRDefault="00F719C6" w:rsidP="00F715D1">
            <w:pPr>
              <w:pStyle w:val="Default"/>
              <w:spacing w:after="240"/>
            </w:pPr>
            <w:r w:rsidRPr="00F719C6">
              <w:t xml:space="preserve">A side effect of </w:t>
            </w:r>
            <w:r w:rsidR="00DC2724">
              <w:t xml:space="preserve">all </w:t>
            </w:r>
            <w:r w:rsidRPr="00F719C6">
              <w:t xml:space="preserve">ICDs is that sometimes they can ‘over sense’ and deliver an electrical shock when it isn’t required, called an ‘inappropriate shock’. MSAC </w:t>
            </w:r>
            <w:r>
              <w:t>noted</w:t>
            </w:r>
            <w:r w:rsidRPr="00F719C6">
              <w:t xml:space="preserve"> that patients can be left psychologically affected by these experiences and the trial result</w:t>
            </w:r>
            <w:r>
              <w:t>s indicated</w:t>
            </w:r>
            <w:r w:rsidRPr="00F719C6">
              <w:t xml:space="preserve"> that patients with S-ICD experienced more</w:t>
            </w:r>
            <w:r w:rsidR="00DC2724">
              <w:t xml:space="preserve"> of these</w:t>
            </w:r>
            <w:r w:rsidRPr="00F719C6">
              <w:t xml:space="preserve"> </w:t>
            </w:r>
            <w:r w:rsidR="00DC2724">
              <w:t>‘</w:t>
            </w:r>
            <w:r w:rsidRPr="00F719C6">
              <w:t>inappropriate shocks</w:t>
            </w:r>
            <w:r w:rsidR="00DC2724">
              <w:t>’</w:t>
            </w:r>
            <w:r w:rsidRPr="00F719C6">
              <w:t xml:space="preserve"> than </w:t>
            </w:r>
            <w:r w:rsidR="00DC2724">
              <w:t xml:space="preserve">people with a </w:t>
            </w:r>
            <w:r w:rsidRPr="00F719C6">
              <w:t xml:space="preserve">TV-ICD. </w:t>
            </w:r>
          </w:p>
          <w:p w14:paraId="5EFEFB44" w14:textId="11D6A4DC" w:rsidR="00E35815" w:rsidRDefault="00E35815" w:rsidP="00F715D1">
            <w:pPr>
              <w:pStyle w:val="Default"/>
              <w:spacing w:after="240"/>
            </w:pPr>
            <w:r>
              <w:t xml:space="preserve">The S-ICD </w:t>
            </w:r>
            <w:r w:rsidR="001149C5">
              <w:t xml:space="preserve">procedure </w:t>
            </w:r>
            <w:r>
              <w:t xml:space="preserve">costs more than the TV-ICD </w:t>
            </w:r>
            <w:r w:rsidR="001149C5">
              <w:t xml:space="preserve">procedure, </w:t>
            </w:r>
            <w:r w:rsidR="00F719C6">
              <w:t>and</w:t>
            </w:r>
            <w:r w:rsidR="001149C5">
              <w:t xml:space="preserve"> </w:t>
            </w:r>
            <w:r w:rsidR="009647A2">
              <w:t xml:space="preserve">the S-ICD generator </w:t>
            </w:r>
            <w:r w:rsidR="001149C5">
              <w:t>has</w:t>
            </w:r>
            <w:r>
              <w:t xml:space="preserve"> a shorter battery life</w:t>
            </w:r>
            <w:r w:rsidR="009647A2">
              <w:t xml:space="preserve"> than the TV-ICD generator</w:t>
            </w:r>
            <w:r>
              <w:t>.</w:t>
            </w:r>
            <w:r w:rsidR="003F2500">
              <w:t xml:space="preserve"> </w:t>
            </w:r>
          </w:p>
          <w:p w14:paraId="4B6718C4" w14:textId="0A1D861D" w:rsidR="00E35815" w:rsidRPr="000663AA" w:rsidRDefault="00E35815" w:rsidP="00F715D1">
            <w:pPr>
              <w:pStyle w:val="Default"/>
              <w:spacing w:after="240"/>
              <w:rPr>
                <w:i/>
                <w:color w:val="auto"/>
              </w:rPr>
            </w:pPr>
            <w:r>
              <w:t xml:space="preserve">MSAC accepted that </w:t>
            </w:r>
            <w:r w:rsidR="00AB6370">
              <w:t xml:space="preserve">there </w:t>
            </w:r>
            <w:r w:rsidR="00212232">
              <w:t>appears to be</w:t>
            </w:r>
            <w:r>
              <w:t xml:space="preserve"> a small group of patients</w:t>
            </w:r>
            <w:r w:rsidR="00A6381E">
              <w:t>,</w:t>
            </w:r>
            <w:r>
              <w:t xml:space="preserve"> </w:t>
            </w:r>
            <w:r w:rsidR="00A6381E">
              <w:t>with a high need to avoid the risks associated with implanting a TV-ICD lead in the heart, who</w:t>
            </w:r>
            <w:r w:rsidR="00F55679">
              <w:t xml:space="preserve"> would </w:t>
            </w:r>
            <w:r>
              <w:t>benefit from th</w:t>
            </w:r>
            <w:r w:rsidR="00DC2724">
              <w:t>e</w:t>
            </w:r>
            <w:r w:rsidR="000F7CD2">
              <w:t xml:space="preserve"> </w:t>
            </w:r>
            <w:r w:rsidR="00DC2724">
              <w:t>S-ICD</w:t>
            </w:r>
            <w:r>
              <w:t xml:space="preserve">. </w:t>
            </w:r>
            <w:r w:rsidR="00212232">
              <w:t>However</w:t>
            </w:r>
            <w:r>
              <w:t xml:space="preserve">, MSAC </w:t>
            </w:r>
            <w:r w:rsidR="00AB6370">
              <w:t>considered</w:t>
            </w:r>
            <w:r w:rsidR="00212232">
              <w:t xml:space="preserve"> </w:t>
            </w:r>
            <w:r>
              <w:t xml:space="preserve">that more information is required from experts who use this technology </w:t>
            </w:r>
            <w:r w:rsidR="00212232">
              <w:t xml:space="preserve">to </w:t>
            </w:r>
            <w:proofErr w:type="gramStart"/>
            <w:r w:rsidR="00DC2724">
              <w:t xml:space="preserve">more </w:t>
            </w:r>
            <w:r w:rsidR="00212232">
              <w:t xml:space="preserve">clearly define </w:t>
            </w:r>
            <w:r w:rsidR="00DC2724">
              <w:t xml:space="preserve">which </w:t>
            </w:r>
            <w:r w:rsidR="00212232">
              <w:t>patients</w:t>
            </w:r>
            <w:proofErr w:type="gramEnd"/>
            <w:r w:rsidR="00212232">
              <w:t xml:space="preserve"> would benefit from S-ICD and </w:t>
            </w:r>
            <w:r w:rsidR="00AB6370">
              <w:t xml:space="preserve">to confirm the comparative effectiveness and cost-effectiveness of S-ICD </w:t>
            </w:r>
            <w:r w:rsidR="00DC2724">
              <w:t>for</w:t>
            </w:r>
            <w:r w:rsidR="00AB6370">
              <w:t xml:space="preserve"> these patients</w:t>
            </w:r>
            <w:r>
              <w:t>.</w:t>
            </w:r>
          </w:p>
          <w:p w14:paraId="4D2DE98D" w14:textId="77777777" w:rsidR="00E35815" w:rsidRDefault="00E35815" w:rsidP="00D7648E">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59C5B32A" w14:textId="4CE2D500" w:rsidR="000663AA" w:rsidRPr="000663AA" w:rsidRDefault="00E35815" w:rsidP="00311A94">
            <w:pPr>
              <w:pStyle w:val="Default"/>
              <w:spacing w:after="240"/>
              <w:rPr>
                <w:b/>
                <w:color w:val="auto"/>
              </w:rPr>
            </w:pPr>
            <w:r w:rsidRPr="00233303">
              <w:t xml:space="preserve">MSAC </w:t>
            </w:r>
            <w:r>
              <w:t>deferred its advice on creating a new MBS item for insertion of a subcutaneous lead for S-ICD therapy for prevention of sudden cardiac death. This is because there was not enough evidence to be certain that</w:t>
            </w:r>
            <w:r w:rsidR="00311A94">
              <w:t xml:space="preserve"> S-ICD therapy</w:t>
            </w:r>
            <w:r>
              <w:t xml:space="preserve"> is at least as clinically effective as a TV-ICD </w:t>
            </w:r>
            <w:r w:rsidR="00311A94">
              <w:t xml:space="preserve">therapy </w:t>
            </w:r>
            <w:r>
              <w:t xml:space="preserve">and the economic impact was also uncertain. MSAC has asked the applicant to provide more data so that MSAC can </w:t>
            </w:r>
            <w:proofErr w:type="gramStart"/>
            <w:r>
              <w:t>make a decision</w:t>
            </w:r>
            <w:proofErr w:type="gramEnd"/>
            <w:r>
              <w:t xml:space="preserve"> in the future.</w:t>
            </w:r>
          </w:p>
        </w:tc>
      </w:tr>
    </w:tbl>
    <w:p w14:paraId="22A5349E" w14:textId="77777777" w:rsidR="00550354" w:rsidRPr="00F715D1" w:rsidRDefault="00550354" w:rsidP="00F715D1">
      <w:pPr>
        <w:pStyle w:val="Heading1"/>
      </w:pPr>
      <w:r w:rsidRPr="00F715D1">
        <w:lastRenderedPageBreak/>
        <w:t xml:space="preserve">Summary of consideration and rationale for MSAC’s advice </w:t>
      </w:r>
    </w:p>
    <w:p w14:paraId="42914672" w14:textId="12D1136E" w:rsidR="000A1A71" w:rsidRDefault="00E35815" w:rsidP="00E35815">
      <w:pPr>
        <w:spacing w:after="240"/>
        <w:rPr>
          <w:color w:val="000000"/>
        </w:rPr>
      </w:pPr>
      <w:r w:rsidRPr="00E35815">
        <w:rPr>
          <w:color w:val="000000"/>
        </w:rPr>
        <w:t>MSAC noted that this application</w:t>
      </w:r>
      <w:r w:rsidR="00143C77">
        <w:rPr>
          <w:color w:val="000000"/>
        </w:rPr>
        <w:t xml:space="preserve"> is</w:t>
      </w:r>
      <w:r w:rsidRPr="00E35815">
        <w:rPr>
          <w:color w:val="000000"/>
        </w:rPr>
        <w:t xml:space="preserve"> </w:t>
      </w:r>
      <w:r w:rsidR="00A03B0C">
        <w:rPr>
          <w:color w:val="000000"/>
        </w:rPr>
        <w:t>a resubmission requesting</w:t>
      </w:r>
      <w:r w:rsidRPr="00E35815">
        <w:rPr>
          <w:color w:val="000000"/>
        </w:rPr>
        <w:t xml:space="preserve"> a new MBS item for the insertion, </w:t>
      </w:r>
      <w:proofErr w:type="gramStart"/>
      <w:r w:rsidRPr="00E35815">
        <w:rPr>
          <w:color w:val="000000"/>
        </w:rPr>
        <w:t>removal</w:t>
      </w:r>
      <w:proofErr w:type="gramEnd"/>
      <w:r w:rsidRPr="00E35815">
        <w:rPr>
          <w:color w:val="000000"/>
        </w:rPr>
        <w:t xml:space="preserve"> or replacement of S-ICD lead for the prevention of </w:t>
      </w:r>
      <w:r w:rsidR="00311A94">
        <w:rPr>
          <w:color w:val="000000"/>
        </w:rPr>
        <w:t>SCD</w:t>
      </w:r>
      <w:r w:rsidRPr="00E35815">
        <w:rPr>
          <w:color w:val="000000"/>
        </w:rPr>
        <w:t>.</w:t>
      </w:r>
      <w:r w:rsidR="00841887">
        <w:rPr>
          <w:color w:val="000000"/>
        </w:rPr>
        <w:t xml:space="preserve"> </w:t>
      </w:r>
      <w:r w:rsidRPr="00E35815">
        <w:rPr>
          <w:color w:val="000000"/>
        </w:rPr>
        <w:t xml:space="preserve">MSAC </w:t>
      </w:r>
      <w:r w:rsidR="00143C77">
        <w:rPr>
          <w:color w:val="000000"/>
        </w:rPr>
        <w:t>recalled</w:t>
      </w:r>
      <w:r w:rsidR="00143C77" w:rsidRPr="00E35815">
        <w:rPr>
          <w:color w:val="000000"/>
        </w:rPr>
        <w:t xml:space="preserve"> </w:t>
      </w:r>
      <w:r w:rsidRPr="00E35815">
        <w:rPr>
          <w:color w:val="000000"/>
        </w:rPr>
        <w:t xml:space="preserve">that this application </w:t>
      </w:r>
      <w:r w:rsidR="009E5C95">
        <w:rPr>
          <w:color w:val="000000"/>
        </w:rPr>
        <w:t xml:space="preserve">was </w:t>
      </w:r>
      <w:r w:rsidRPr="00E35815">
        <w:rPr>
          <w:color w:val="000000"/>
        </w:rPr>
        <w:t>previously considered by MSAC in November 2014 but was not supported for public funding because of uncertain comparative long-term safety</w:t>
      </w:r>
      <w:r w:rsidR="00A03B0C">
        <w:rPr>
          <w:color w:val="000000"/>
        </w:rPr>
        <w:t xml:space="preserve"> and clinical</w:t>
      </w:r>
      <w:r w:rsidRPr="00E35815">
        <w:rPr>
          <w:color w:val="000000"/>
        </w:rPr>
        <w:t xml:space="preserve"> effectiveness </w:t>
      </w:r>
      <w:r w:rsidR="00A03B0C">
        <w:rPr>
          <w:color w:val="000000"/>
        </w:rPr>
        <w:t>which translated into uncertain cost-effectiveness.</w:t>
      </w:r>
      <w:r w:rsidR="00966FE1">
        <w:rPr>
          <w:color w:val="000000"/>
        </w:rPr>
        <w:t xml:space="preserve"> </w:t>
      </w:r>
    </w:p>
    <w:p w14:paraId="3AFB32D6" w14:textId="5AFB8578" w:rsidR="003850EC" w:rsidRDefault="00E35815" w:rsidP="00531EA2">
      <w:pPr>
        <w:spacing w:after="240"/>
        <w:rPr>
          <w:color w:val="000000"/>
        </w:rPr>
      </w:pPr>
      <w:r w:rsidRPr="00E35815">
        <w:rPr>
          <w:color w:val="000000"/>
        </w:rPr>
        <w:t xml:space="preserve">MSAC noted </w:t>
      </w:r>
      <w:r w:rsidR="003602D0">
        <w:rPr>
          <w:color w:val="000000"/>
        </w:rPr>
        <w:t xml:space="preserve">the </w:t>
      </w:r>
      <w:r w:rsidR="00133F1F">
        <w:rPr>
          <w:color w:val="000000"/>
        </w:rPr>
        <w:t xml:space="preserve">proposed </w:t>
      </w:r>
      <w:r w:rsidR="004F6D41">
        <w:rPr>
          <w:color w:val="000000"/>
        </w:rPr>
        <w:t xml:space="preserve">population </w:t>
      </w:r>
      <w:r w:rsidR="00B10FF5">
        <w:rPr>
          <w:color w:val="000000"/>
        </w:rPr>
        <w:t xml:space="preserve">is </w:t>
      </w:r>
      <w:r w:rsidR="00531EA2">
        <w:rPr>
          <w:color w:val="000000"/>
        </w:rPr>
        <w:t>patients who</w:t>
      </w:r>
      <w:r w:rsidR="00531EA2" w:rsidRPr="00531EA2">
        <w:t xml:space="preserve"> </w:t>
      </w:r>
      <w:r w:rsidR="00531EA2">
        <w:rPr>
          <w:color w:val="000000"/>
        </w:rPr>
        <w:t>r</w:t>
      </w:r>
      <w:r w:rsidR="00531EA2" w:rsidRPr="00531EA2">
        <w:rPr>
          <w:color w:val="000000"/>
        </w:rPr>
        <w:t>equire treatment</w:t>
      </w:r>
      <w:r w:rsidR="00531EA2">
        <w:rPr>
          <w:color w:val="000000"/>
        </w:rPr>
        <w:t xml:space="preserve"> </w:t>
      </w:r>
      <w:r w:rsidR="00531EA2" w:rsidRPr="00531EA2">
        <w:rPr>
          <w:color w:val="000000"/>
        </w:rPr>
        <w:t>of life-threatening ventricular arrhythmia</w:t>
      </w:r>
      <w:r w:rsidR="003602D0">
        <w:rPr>
          <w:color w:val="000000"/>
        </w:rPr>
        <w:t xml:space="preserve"> </w:t>
      </w:r>
      <w:r w:rsidR="00531EA2" w:rsidRPr="00531EA2">
        <w:rPr>
          <w:color w:val="000000"/>
        </w:rPr>
        <w:t>and who do not require pacing therapy</w:t>
      </w:r>
      <w:r w:rsidR="003602D0">
        <w:rPr>
          <w:color w:val="000000"/>
        </w:rPr>
        <w:t xml:space="preserve">. MSAC noted </w:t>
      </w:r>
      <w:r w:rsidR="001001F2">
        <w:rPr>
          <w:color w:val="000000"/>
        </w:rPr>
        <w:t xml:space="preserve">that these patients are currently treated with TV-ICD therapy and </w:t>
      </w:r>
      <w:r w:rsidR="003602D0">
        <w:rPr>
          <w:color w:val="000000"/>
        </w:rPr>
        <w:t>that the claim</w:t>
      </w:r>
      <w:r w:rsidR="001001F2">
        <w:rPr>
          <w:color w:val="000000"/>
        </w:rPr>
        <w:t xml:space="preserve">ed clinical need </w:t>
      </w:r>
      <w:r w:rsidR="00907561">
        <w:rPr>
          <w:color w:val="000000"/>
        </w:rPr>
        <w:t xml:space="preserve">for </w:t>
      </w:r>
      <w:r w:rsidR="0054403F">
        <w:rPr>
          <w:color w:val="000000"/>
        </w:rPr>
        <w:t>S</w:t>
      </w:r>
      <w:r w:rsidR="0054403F">
        <w:rPr>
          <w:color w:val="000000"/>
        </w:rPr>
        <w:noBreakHyphen/>
      </w:r>
      <w:r w:rsidR="00133F1F">
        <w:rPr>
          <w:color w:val="000000"/>
        </w:rPr>
        <w:t xml:space="preserve">ICD </w:t>
      </w:r>
      <w:r w:rsidR="001001F2">
        <w:rPr>
          <w:color w:val="000000"/>
        </w:rPr>
        <w:t xml:space="preserve">is </w:t>
      </w:r>
      <w:r w:rsidR="00907561">
        <w:rPr>
          <w:color w:val="000000"/>
        </w:rPr>
        <w:t>in</w:t>
      </w:r>
      <w:r w:rsidR="00133F1F">
        <w:rPr>
          <w:color w:val="000000"/>
        </w:rPr>
        <w:t xml:space="preserve"> a </w:t>
      </w:r>
      <w:r w:rsidR="009341BB">
        <w:rPr>
          <w:color w:val="000000"/>
        </w:rPr>
        <w:t>s</w:t>
      </w:r>
      <w:r w:rsidR="00133F1F">
        <w:rPr>
          <w:color w:val="000000"/>
        </w:rPr>
        <w:t xml:space="preserve">ubpopulation of </w:t>
      </w:r>
      <w:r w:rsidR="001001F2">
        <w:rPr>
          <w:color w:val="000000"/>
        </w:rPr>
        <w:t xml:space="preserve">the proposed population, </w:t>
      </w:r>
      <w:r w:rsidR="00311A94">
        <w:rPr>
          <w:color w:val="000000"/>
        </w:rPr>
        <w:t>e.g</w:t>
      </w:r>
      <w:r w:rsidR="001001F2">
        <w:rPr>
          <w:color w:val="000000"/>
        </w:rPr>
        <w:t xml:space="preserve">. </w:t>
      </w:r>
      <w:r w:rsidR="00133F1F">
        <w:rPr>
          <w:color w:val="000000"/>
        </w:rPr>
        <w:t>p</w:t>
      </w:r>
      <w:r w:rsidR="0054403F">
        <w:rPr>
          <w:color w:val="000000"/>
        </w:rPr>
        <w:t>atients who are eligible for TV</w:t>
      </w:r>
      <w:r w:rsidR="0054403F">
        <w:rPr>
          <w:color w:val="000000"/>
        </w:rPr>
        <w:noBreakHyphen/>
      </w:r>
      <w:r w:rsidR="00133F1F">
        <w:rPr>
          <w:color w:val="000000"/>
        </w:rPr>
        <w:t>ICD</w:t>
      </w:r>
      <w:r w:rsidR="00BD6DBF">
        <w:rPr>
          <w:color w:val="000000"/>
        </w:rPr>
        <w:t xml:space="preserve"> (with</w:t>
      </w:r>
      <w:r w:rsidR="00AB0BE8">
        <w:rPr>
          <w:color w:val="000000"/>
        </w:rPr>
        <w:t xml:space="preserve"> no</w:t>
      </w:r>
      <w:r w:rsidRPr="00E35815">
        <w:rPr>
          <w:color w:val="000000"/>
        </w:rPr>
        <w:t xml:space="preserve"> indication for pacing</w:t>
      </w:r>
      <w:r w:rsidR="00BD6DBF">
        <w:rPr>
          <w:color w:val="000000"/>
        </w:rPr>
        <w:t>) who</w:t>
      </w:r>
      <w:r w:rsidR="00AB0BE8" w:rsidRPr="00E35815">
        <w:rPr>
          <w:color w:val="000000"/>
        </w:rPr>
        <w:t xml:space="preserve"> </w:t>
      </w:r>
      <w:r w:rsidR="00907561">
        <w:rPr>
          <w:color w:val="000000"/>
        </w:rPr>
        <w:t>are reluctant to attempt or re-attempt TV-ICD due to</w:t>
      </w:r>
      <w:r w:rsidRPr="00E35815">
        <w:rPr>
          <w:color w:val="000000"/>
        </w:rPr>
        <w:t xml:space="preserve"> </w:t>
      </w:r>
      <w:r w:rsidR="009341BB">
        <w:rPr>
          <w:color w:val="000000"/>
        </w:rPr>
        <w:t>the risks</w:t>
      </w:r>
      <w:r w:rsidR="00907561">
        <w:rPr>
          <w:color w:val="000000"/>
        </w:rPr>
        <w:t xml:space="preserve"> associated with</w:t>
      </w:r>
      <w:r w:rsidR="009341BB">
        <w:rPr>
          <w:color w:val="000000"/>
        </w:rPr>
        <w:t xml:space="preserve"> TV-ICD lead insertion </w:t>
      </w:r>
      <w:r w:rsidRPr="00E35815">
        <w:rPr>
          <w:color w:val="000000"/>
        </w:rPr>
        <w:t>(e.g. difficult venous anatomy</w:t>
      </w:r>
      <w:r w:rsidR="00907561">
        <w:rPr>
          <w:color w:val="000000"/>
        </w:rPr>
        <w:t>,</w:t>
      </w:r>
      <w:r w:rsidRPr="00E35815">
        <w:rPr>
          <w:color w:val="000000"/>
        </w:rPr>
        <w:t xml:space="preserve"> a high risk of infection</w:t>
      </w:r>
      <w:r w:rsidR="00907561">
        <w:rPr>
          <w:color w:val="000000"/>
        </w:rPr>
        <w:t>, paediatric</w:t>
      </w:r>
      <w:r w:rsidRPr="00E35815">
        <w:rPr>
          <w:color w:val="000000"/>
        </w:rPr>
        <w:t>).</w:t>
      </w:r>
      <w:r w:rsidR="00907561">
        <w:rPr>
          <w:color w:val="000000"/>
        </w:rPr>
        <w:t xml:space="preserve"> </w:t>
      </w:r>
      <w:r w:rsidR="003850EC" w:rsidRPr="00E35815">
        <w:rPr>
          <w:color w:val="000000"/>
        </w:rPr>
        <w:t>MSAC</w:t>
      </w:r>
      <w:r w:rsidR="003850EC">
        <w:rPr>
          <w:color w:val="000000"/>
        </w:rPr>
        <w:t xml:space="preserve"> </w:t>
      </w:r>
      <w:r w:rsidR="003850EC" w:rsidRPr="00E35815">
        <w:rPr>
          <w:color w:val="000000"/>
        </w:rPr>
        <w:t>noted that</w:t>
      </w:r>
      <w:r w:rsidR="003850EC">
        <w:rPr>
          <w:color w:val="000000"/>
        </w:rPr>
        <w:t xml:space="preserve"> </w:t>
      </w:r>
      <w:r w:rsidR="003850EC" w:rsidRPr="00E35815">
        <w:rPr>
          <w:color w:val="000000"/>
        </w:rPr>
        <w:t xml:space="preserve">the </w:t>
      </w:r>
      <w:r w:rsidR="003850EC">
        <w:rPr>
          <w:color w:val="000000"/>
        </w:rPr>
        <w:t>main source of evidence to support this resubmission,</w:t>
      </w:r>
      <w:r w:rsidR="003850EC" w:rsidRPr="00E35815">
        <w:rPr>
          <w:color w:val="000000"/>
        </w:rPr>
        <w:t xml:space="preserve"> </w:t>
      </w:r>
      <w:r w:rsidR="003850EC">
        <w:rPr>
          <w:color w:val="000000"/>
        </w:rPr>
        <w:t xml:space="preserve">the </w:t>
      </w:r>
      <w:r w:rsidR="003850EC" w:rsidRPr="00E35815">
        <w:rPr>
          <w:color w:val="000000"/>
        </w:rPr>
        <w:t>PRAETORIAN</w:t>
      </w:r>
      <w:r w:rsidR="003850EC">
        <w:rPr>
          <w:rStyle w:val="FootnoteReference"/>
          <w:color w:val="000000"/>
        </w:rPr>
        <w:footnoteReference w:id="1"/>
      </w:r>
      <w:r w:rsidR="003850EC">
        <w:rPr>
          <w:color w:val="000000"/>
        </w:rPr>
        <w:t xml:space="preserve"> </w:t>
      </w:r>
      <w:r w:rsidR="003850EC" w:rsidRPr="00E35815">
        <w:rPr>
          <w:color w:val="000000"/>
        </w:rPr>
        <w:t xml:space="preserve"> trial</w:t>
      </w:r>
      <w:r w:rsidR="00926893">
        <w:rPr>
          <w:color w:val="000000"/>
        </w:rPr>
        <w:t>,</w:t>
      </w:r>
      <w:r w:rsidR="003850EC" w:rsidRPr="00E35815">
        <w:rPr>
          <w:color w:val="000000"/>
        </w:rPr>
        <w:t xml:space="preserve"> excluded </w:t>
      </w:r>
      <w:r w:rsidR="003850EC">
        <w:rPr>
          <w:color w:val="000000"/>
        </w:rPr>
        <w:t xml:space="preserve">this subpopulation of </w:t>
      </w:r>
      <w:r w:rsidR="003850EC" w:rsidRPr="00E35815">
        <w:rPr>
          <w:color w:val="000000"/>
        </w:rPr>
        <w:t>patients</w:t>
      </w:r>
      <w:r w:rsidR="003850EC">
        <w:rPr>
          <w:color w:val="000000"/>
        </w:rPr>
        <w:t xml:space="preserve"> but MSAC considered the PRAETORIAN trial </w:t>
      </w:r>
      <w:r w:rsidR="00926893">
        <w:rPr>
          <w:color w:val="000000"/>
        </w:rPr>
        <w:t>results are</w:t>
      </w:r>
      <w:r w:rsidR="003850EC">
        <w:rPr>
          <w:color w:val="000000"/>
        </w:rPr>
        <w:t xml:space="preserve"> likely to be </w:t>
      </w:r>
      <w:r w:rsidR="00926893">
        <w:rPr>
          <w:color w:val="000000"/>
        </w:rPr>
        <w:t xml:space="preserve">generalisable </w:t>
      </w:r>
      <w:r w:rsidR="003850EC">
        <w:rPr>
          <w:color w:val="000000"/>
        </w:rPr>
        <w:t>to this subpopulation of patients.</w:t>
      </w:r>
    </w:p>
    <w:p w14:paraId="555608C3" w14:textId="423DB293" w:rsidR="00E36BAE" w:rsidRDefault="001001F2" w:rsidP="00531EA2">
      <w:pPr>
        <w:spacing w:after="240"/>
        <w:rPr>
          <w:color w:val="000000"/>
        </w:rPr>
      </w:pPr>
      <w:r>
        <w:rPr>
          <w:color w:val="000000"/>
        </w:rPr>
        <w:t xml:space="preserve">MSAC noted that S-ICD therapy is currently provided </w:t>
      </w:r>
      <w:r w:rsidR="00EF2BBC">
        <w:rPr>
          <w:color w:val="000000"/>
        </w:rPr>
        <w:t xml:space="preserve">in public hospitals </w:t>
      </w:r>
      <w:r>
        <w:rPr>
          <w:color w:val="000000"/>
        </w:rPr>
        <w:t>to this subpopulation</w:t>
      </w:r>
      <w:r w:rsidR="00EF2BBC">
        <w:rPr>
          <w:color w:val="000000"/>
        </w:rPr>
        <w:t>, generally young patients who do not require pacing and have no evidence of T</w:t>
      </w:r>
      <w:r w:rsidR="00D15D39">
        <w:rPr>
          <w:color w:val="000000"/>
        </w:rPr>
        <w:t> </w:t>
      </w:r>
      <w:r w:rsidR="00EF2BBC">
        <w:rPr>
          <w:color w:val="000000"/>
        </w:rPr>
        <w:t xml:space="preserve">wave over-sensing. MSAC noted </w:t>
      </w:r>
      <w:r w:rsidR="00311A94">
        <w:rPr>
          <w:color w:val="000000"/>
        </w:rPr>
        <w:t xml:space="preserve">local experience is </w:t>
      </w:r>
      <w:r w:rsidR="00EF2BBC">
        <w:rPr>
          <w:color w:val="000000"/>
        </w:rPr>
        <w:t>that approximately 30% of patients undergo exercise stress testing to screen for T wave over-sensing as this can increase the chance of inappropriate shocks.</w:t>
      </w:r>
      <w:r w:rsidR="00841887">
        <w:rPr>
          <w:color w:val="000000"/>
        </w:rPr>
        <w:t xml:space="preserve"> </w:t>
      </w:r>
      <w:r w:rsidR="000750B8">
        <w:rPr>
          <w:color w:val="000000"/>
        </w:rPr>
        <w:t>MSAC considered that data on the utilisation o</w:t>
      </w:r>
      <w:r w:rsidR="00EA439E">
        <w:rPr>
          <w:color w:val="000000"/>
        </w:rPr>
        <w:t>f</w:t>
      </w:r>
      <w:r w:rsidR="000750B8">
        <w:rPr>
          <w:color w:val="000000"/>
        </w:rPr>
        <w:t xml:space="preserve"> S-ICD from public hospitals should be sought. </w:t>
      </w:r>
      <w:r w:rsidR="00E36BAE">
        <w:rPr>
          <w:color w:val="000000"/>
        </w:rPr>
        <w:t xml:space="preserve">MSAC also noted that </w:t>
      </w:r>
      <w:r w:rsidR="00841887">
        <w:rPr>
          <w:color w:val="000000"/>
        </w:rPr>
        <w:t>international Clinical Practice Guidelines</w:t>
      </w:r>
      <w:r w:rsidR="00841887">
        <w:rPr>
          <w:rStyle w:val="FootnoteReference"/>
          <w:color w:val="000000"/>
        </w:rPr>
        <w:footnoteReference w:id="2"/>
      </w:r>
      <w:r w:rsidR="00841887">
        <w:rPr>
          <w:color w:val="000000"/>
        </w:rPr>
        <w:t xml:space="preserve"> recommend S-ICD therapy in </w:t>
      </w:r>
      <w:r w:rsidR="00841887" w:rsidRPr="00841887">
        <w:rPr>
          <w:color w:val="000000"/>
        </w:rPr>
        <w:t>patients who meet criteria for an ICD who have inadequate vascular access or are at high risk for infection, and in whom pacing for bradycardia or VT termination or as part of CRT is neither needed nor anticipated</w:t>
      </w:r>
      <w:r w:rsidR="00841887">
        <w:rPr>
          <w:color w:val="000000"/>
        </w:rPr>
        <w:t>.</w:t>
      </w:r>
      <w:r w:rsidR="003850EC">
        <w:rPr>
          <w:color w:val="000000"/>
        </w:rPr>
        <w:t xml:space="preserve"> </w:t>
      </w:r>
      <w:r w:rsidR="009211EA">
        <w:rPr>
          <w:color w:val="000000"/>
        </w:rPr>
        <w:t>MSAC considered that the population in the proposed MBS item descriptor required revision to restrict the population to the subpopulation with high clinical need for S-ICD and should specify inclusion</w:t>
      </w:r>
      <w:r w:rsidR="000750B8">
        <w:rPr>
          <w:color w:val="000000"/>
        </w:rPr>
        <w:t>/</w:t>
      </w:r>
      <w:r w:rsidR="009211EA">
        <w:rPr>
          <w:color w:val="000000"/>
        </w:rPr>
        <w:t xml:space="preserve">exclusion </w:t>
      </w:r>
      <w:r w:rsidR="00013317">
        <w:rPr>
          <w:color w:val="000000"/>
        </w:rPr>
        <w:t xml:space="preserve">criteria and align with </w:t>
      </w:r>
      <w:r w:rsidR="00013317" w:rsidRPr="00013317">
        <w:rPr>
          <w:color w:val="000000"/>
        </w:rPr>
        <w:t>recommendations of the MBS Review Taskforce</w:t>
      </w:r>
      <w:r w:rsidR="00013317">
        <w:rPr>
          <w:rStyle w:val="FootnoteReference"/>
          <w:color w:val="000000"/>
        </w:rPr>
        <w:footnoteReference w:id="3"/>
      </w:r>
      <w:r w:rsidR="009211EA">
        <w:rPr>
          <w:color w:val="000000"/>
        </w:rPr>
        <w:t>.</w:t>
      </w:r>
      <w:r w:rsidR="00C07FC7">
        <w:rPr>
          <w:color w:val="000000"/>
        </w:rPr>
        <w:t xml:space="preserve"> MSAC also suggested the item </w:t>
      </w:r>
      <w:r w:rsidR="000750B8">
        <w:rPr>
          <w:color w:val="000000"/>
        </w:rPr>
        <w:t>c</w:t>
      </w:r>
      <w:r w:rsidR="00C07FC7">
        <w:rPr>
          <w:color w:val="000000"/>
        </w:rPr>
        <w:t>ould specify</w:t>
      </w:r>
      <w:r w:rsidR="00C07FC7" w:rsidRPr="00E35815">
        <w:rPr>
          <w:color w:val="000000"/>
        </w:rPr>
        <w:t xml:space="preserve"> patients who have no anticipated need for pacing within the next 10 years.</w:t>
      </w:r>
    </w:p>
    <w:p w14:paraId="740CAB42" w14:textId="7FF4D087" w:rsidR="009211EA" w:rsidRDefault="009211EA" w:rsidP="00531EA2">
      <w:pPr>
        <w:spacing w:after="240"/>
        <w:rPr>
          <w:color w:val="000000"/>
        </w:rPr>
      </w:pPr>
      <w:r>
        <w:rPr>
          <w:color w:val="000000"/>
        </w:rPr>
        <w:t>MSAC noted that a separate item descriptor for removal of the S-ICD lead had not been proposed. MSAC noted th</w:t>
      </w:r>
      <w:r w:rsidR="00CD678E">
        <w:rPr>
          <w:color w:val="000000"/>
        </w:rPr>
        <w:t xml:space="preserve">at a separate item descriptor for removal of an TV-ICD lead is in recognition of the complexity and risks of the procedure to remove the TV-ICD lead that is implanted in the right ventricle, </w:t>
      </w:r>
      <w:r w:rsidR="000750B8">
        <w:rPr>
          <w:color w:val="000000"/>
        </w:rPr>
        <w:t>e.g</w:t>
      </w:r>
      <w:r w:rsidR="00CD678E">
        <w:rPr>
          <w:color w:val="000000"/>
        </w:rPr>
        <w:t xml:space="preserve">. risk of cardiac </w:t>
      </w:r>
      <w:r w:rsidR="00333FBD">
        <w:rPr>
          <w:color w:val="000000"/>
        </w:rPr>
        <w:t>perforation</w:t>
      </w:r>
      <w:r w:rsidR="00A04E2D">
        <w:rPr>
          <w:color w:val="000000"/>
        </w:rPr>
        <w:t xml:space="preserve"> </w:t>
      </w:r>
      <w:r w:rsidR="00CD678E">
        <w:rPr>
          <w:color w:val="000000"/>
        </w:rPr>
        <w:t>and need</w:t>
      </w:r>
      <w:r w:rsidR="00EA439E">
        <w:rPr>
          <w:color w:val="000000"/>
        </w:rPr>
        <w:t xml:space="preserve"> for</w:t>
      </w:r>
      <w:r w:rsidR="00CD678E">
        <w:rPr>
          <w:color w:val="000000"/>
        </w:rPr>
        <w:t xml:space="preserve"> cardiac surgical support, which do not apply to S-ICD. MSAC noted, in the pre-MSAC response, the applicant indicated their willingness to work with the Department to develop a revised item descriptor that is restricted to the high need clinical subpopulation and provides clarity reg</w:t>
      </w:r>
      <w:r w:rsidR="00D15D39">
        <w:rPr>
          <w:color w:val="000000"/>
        </w:rPr>
        <w:t xml:space="preserve">arding replacement procedures. </w:t>
      </w:r>
      <w:r w:rsidR="00C15803" w:rsidRPr="00E35815">
        <w:rPr>
          <w:color w:val="000000"/>
        </w:rPr>
        <w:t xml:space="preserve">MSAC recommended </w:t>
      </w:r>
      <w:r w:rsidR="00C15803">
        <w:rPr>
          <w:color w:val="000000"/>
        </w:rPr>
        <w:t xml:space="preserve">that clinical </w:t>
      </w:r>
      <w:r w:rsidR="00C07FC7">
        <w:rPr>
          <w:color w:val="000000"/>
        </w:rPr>
        <w:t>societies</w:t>
      </w:r>
      <w:r w:rsidR="00C15803">
        <w:rPr>
          <w:color w:val="000000"/>
        </w:rPr>
        <w:t xml:space="preserve"> such as</w:t>
      </w:r>
      <w:r w:rsidR="00C15803" w:rsidRPr="00C15803">
        <w:t xml:space="preserve"> </w:t>
      </w:r>
      <w:r w:rsidR="00C15803" w:rsidRPr="00C15803">
        <w:rPr>
          <w:color w:val="000000"/>
        </w:rPr>
        <w:t>the Cardiac Society of Australia and New Zealand</w:t>
      </w:r>
      <w:r w:rsidR="000750B8">
        <w:rPr>
          <w:color w:val="000000"/>
        </w:rPr>
        <w:t xml:space="preserve"> should be</w:t>
      </w:r>
      <w:r w:rsidR="00C15803">
        <w:rPr>
          <w:color w:val="000000"/>
        </w:rPr>
        <w:t xml:space="preserve"> consulted </w:t>
      </w:r>
      <w:r w:rsidR="00C07FC7">
        <w:rPr>
          <w:color w:val="000000"/>
        </w:rPr>
        <w:t>during the revision of the MBS item descriptor.</w:t>
      </w:r>
      <w:r w:rsidR="00C15803">
        <w:rPr>
          <w:color w:val="000000"/>
        </w:rPr>
        <w:t xml:space="preserve"> </w:t>
      </w:r>
    </w:p>
    <w:p w14:paraId="4CA172AF" w14:textId="3F8F02A0" w:rsidR="008602D2" w:rsidRPr="00E35815" w:rsidRDefault="008602D2" w:rsidP="008602D2">
      <w:pPr>
        <w:spacing w:after="240"/>
        <w:rPr>
          <w:color w:val="000000"/>
        </w:rPr>
      </w:pPr>
      <w:r>
        <w:rPr>
          <w:color w:val="000000"/>
        </w:rPr>
        <w:t xml:space="preserve">MSAC noted </w:t>
      </w:r>
      <w:r w:rsidR="00D647AB">
        <w:rPr>
          <w:color w:val="000000"/>
        </w:rPr>
        <w:t xml:space="preserve">the </w:t>
      </w:r>
      <w:r w:rsidR="00FA10C0">
        <w:rPr>
          <w:color w:val="000000"/>
        </w:rPr>
        <w:t xml:space="preserve">clinical evidence presented in the </w:t>
      </w:r>
      <w:r w:rsidR="00D15D39">
        <w:rPr>
          <w:color w:val="000000"/>
        </w:rPr>
        <w:t>applicant developed assessment report (</w:t>
      </w:r>
      <w:r w:rsidR="00FA10C0">
        <w:rPr>
          <w:color w:val="000000"/>
        </w:rPr>
        <w:t>ADAR</w:t>
      </w:r>
      <w:r w:rsidR="00D15D39">
        <w:rPr>
          <w:color w:val="000000"/>
        </w:rPr>
        <w:t>)</w:t>
      </w:r>
      <w:r w:rsidR="00FA10C0">
        <w:rPr>
          <w:color w:val="000000"/>
        </w:rPr>
        <w:t xml:space="preserve"> consisted of one o</w:t>
      </w:r>
      <w:r w:rsidR="00C07FC7">
        <w:rPr>
          <w:color w:val="000000"/>
        </w:rPr>
        <w:t>pen</w:t>
      </w:r>
      <w:r w:rsidR="00FA10C0">
        <w:rPr>
          <w:color w:val="000000"/>
        </w:rPr>
        <w:t xml:space="preserve">-label non-inferiority randomised clinical trial (RCT; </w:t>
      </w:r>
      <w:r>
        <w:rPr>
          <w:color w:val="000000"/>
        </w:rPr>
        <w:lastRenderedPageBreak/>
        <w:t>PRAETORIAN</w:t>
      </w:r>
      <w:r>
        <w:rPr>
          <w:rStyle w:val="FootnoteReference"/>
          <w:color w:val="000000"/>
        </w:rPr>
        <w:footnoteReference w:id="4"/>
      </w:r>
      <w:r>
        <w:rPr>
          <w:color w:val="000000"/>
        </w:rPr>
        <w:t xml:space="preserve"> trial</w:t>
      </w:r>
      <w:r w:rsidR="00FA10C0">
        <w:rPr>
          <w:color w:val="000000"/>
        </w:rPr>
        <w:t>). MSAC also noted that there were plans for future data (recurrent event analysis and quality of life) to be published from this trial and that all participants have been invited to participate in the PRAETORIAN XL</w:t>
      </w:r>
      <w:r w:rsidR="000750B8">
        <w:rPr>
          <w:color w:val="000000"/>
        </w:rPr>
        <w:t xml:space="preserve"> study</w:t>
      </w:r>
      <w:r w:rsidR="00FA10C0">
        <w:rPr>
          <w:color w:val="000000"/>
        </w:rPr>
        <w:t>, an observation</w:t>
      </w:r>
      <w:r w:rsidR="000750B8">
        <w:rPr>
          <w:color w:val="000000"/>
        </w:rPr>
        <w:t>al</w:t>
      </w:r>
      <w:r w:rsidR="00FA10C0">
        <w:rPr>
          <w:color w:val="000000"/>
        </w:rPr>
        <w:t xml:space="preserve"> sub-study extending the follow-up and planning to report on in-appropriate shocks, lead-related complications and the development of an indication for pacing. </w:t>
      </w:r>
      <w:r w:rsidR="00CD678E">
        <w:rPr>
          <w:color w:val="000000"/>
        </w:rPr>
        <w:t xml:space="preserve"> </w:t>
      </w:r>
    </w:p>
    <w:p w14:paraId="047C3512" w14:textId="33704F55" w:rsidR="00E35815" w:rsidRDefault="00D647AB" w:rsidP="00E35815">
      <w:pPr>
        <w:spacing w:after="240"/>
        <w:rPr>
          <w:color w:val="000000"/>
        </w:rPr>
      </w:pPr>
      <w:r>
        <w:rPr>
          <w:color w:val="000000"/>
        </w:rPr>
        <w:t xml:space="preserve">In regard to </w:t>
      </w:r>
      <w:r w:rsidR="00FA7E10">
        <w:rPr>
          <w:color w:val="000000"/>
        </w:rPr>
        <w:t xml:space="preserve">comparative </w:t>
      </w:r>
      <w:r>
        <w:rPr>
          <w:color w:val="000000"/>
        </w:rPr>
        <w:t xml:space="preserve">safety, </w:t>
      </w:r>
      <w:r w:rsidR="00E35815" w:rsidRPr="00E35815">
        <w:rPr>
          <w:color w:val="000000"/>
        </w:rPr>
        <w:t xml:space="preserve">MSAC noted the </w:t>
      </w:r>
      <w:r w:rsidR="00B77F71">
        <w:rPr>
          <w:color w:val="000000"/>
        </w:rPr>
        <w:t xml:space="preserve">ADAR </w:t>
      </w:r>
      <w:r w:rsidR="00E35815" w:rsidRPr="00E35815">
        <w:rPr>
          <w:color w:val="000000"/>
        </w:rPr>
        <w:t>claim</w:t>
      </w:r>
      <w:r w:rsidR="00924A69">
        <w:rPr>
          <w:color w:val="000000"/>
        </w:rPr>
        <w:t>ed</w:t>
      </w:r>
      <w:r w:rsidR="00E35815" w:rsidRPr="00E35815">
        <w:rPr>
          <w:color w:val="000000"/>
        </w:rPr>
        <w:t xml:space="preserve"> S-ICD has non-inferior safety</w:t>
      </w:r>
      <w:r w:rsidR="00924A69">
        <w:rPr>
          <w:color w:val="000000"/>
        </w:rPr>
        <w:t xml:space="preserve"> compared</w:t>
      </w:r>
      <w:r w:rsidR="00E35815" w:rsidRPr="00E35815">
        <w:rPr>
          <w:color w:val="000000"/>
        </w:rPr>
        <w:t xml:space="preserve"> to TV-ICD. However, </w:t>
      </w:r>
      <w:r>
        <w:rPr>
          <w:color w:val="000000"/>
        </w:rPr>
        <w:t xml:space="preserve">MSAC noted </w:t>
      </w:r>
      <w:r w:rsidR="00E35815" w:rsidRPr="00E35815">
        <w:rPr>
          <w:color w:val="000000"/>
        </w:rPr>
        <w:t>there were wide confidence intervals for the primary outcome</w:t>
      </w:r>
      <w:r w:rsidR="00B77F71">
        <w:rPr>
          <w:color w:val="000000"/>
        </w:rPr>
        <w:t xml:space="preserve"> in the PRAETORIAN trial</w:t>
      </w:r>
      <w:r w:rsidR="00E35815" w:rsidRPr="00E35815">
        <w:rPr>
          <w:color w:val="000000"/>
        </w:rPr>
        <w:t xml:space="preserve">, so MSAC </w:t>
      </w:r>
      <w:r w:rsidR="00B77F71">
        <w:rPr>
          <w:color w:val="000000"/>
        </w:rPr>
        <w:t xml:space="preserve">considered that </w:t>
      </w:r>
      <w:r w:rsidR="00E35815" w:rsidRPr="00E35815">
        <w:rPr>
          <w:color w:val="000000"/>
        </w:rPr>
        <w:t>either substantial benefit or harm</w:t>
      </w:r>
      <w:r w:rsidR="00B77F71" w:rsidRPr="00B77F71">
        <w:rPr>
          <w:color w:val="000000"/>
        </w:rPr>
        <w:t xml:space="preserve"> </w:t>
      </w:r>
      <w:r w:rsidR="00B77F71" w:rsidRPr="00E35815">
        <w:rPr>
          <w:color w:val="000000"/>
        </w:rPr>
        <w:t xml:space="preserve">could not </w:t>
      </w:r>
      <w:r w:rsidR="00B77F71">
        <w:rPr>
          <w:color w:val="000000"/>
        </w:rPr>
        <w:t xml:space="preserve">be </w:t>
      </w:r>
      <w:r w:rsidR="00B77F71" w:rsidRPr="00E35815">
        <w:rPr>
          <w:color w:val="000000"/>
        </w:rPr>
        <w:t>rule</w:t>
      </w:r>
      <w:r w:rsidR="00B77F71">
        <w:rPr>
          <w:color w:val="000000"/>
        </w:rPr>
        <w:t>d</w:t>
      </w:r>
      <w:r w:rsidR="00B77F71" w:rsidRPr="00E35815">
        <w:rPr>
          <w:color w:val="000000"/>
        </w:rPr>
        <w:t xml:space="preserve"> out</w:t>
      </w:r>
      <w:r w:rsidR="00E35815" w:rsidRPr="00E35815">
        <w:rPr>
          <w:color w:val="000000"/>
        </w:rPr>
        <w:t>. In addition, some patients will require multiple replacements</w:t>
      </w:r>
      <w:r w:rsidR="00226ADA">
        <w:rPr>
          <w:color w:val="000000"/>
        </w:rPr>
        <w:t>,</w:t>
      </w:r>
      <w:r w:rsidR="00E35815" w:rsidRPr="00E35815">
        <w:rPr>
          <w:color w:val="000000"/>
        </w:rPr>
        <w:t xml:space="preserve"> but there were no data on safety of replacement procedures. </w:t>
      </w:r>
    </w:p>
    <w:p w14:paraId="646FD3B9" w14:textId="7F2FA993" w:rsidR="00D647AB" w:rsidRDefault="00D647AB" w:rsidP="00E35815">
      <w:pPr>
        <w:spacing w:after="240"/>
        <w:rPr>
          <w:color w:val="000000"/>
        </w:rPr>
      </w:pPr>
      <w:r>
        <w:rPr>
          <w:color w:val="000000"/>
        </w:rPr>
        <w:t xml:space="preserve">MSAC also noted that the pre-MSAC response provided further data, including a systematic review by </w:t>
      </w:r>
      <w:proofErr w:type="spellStart"/>
      <w:r>
        <w:rPr>
          <w:color w:val="000000"/>
        </w:rPr>
        <w:t>Rordorf</w:t>
      </w:r>
      <w:proofErr w:type="spellEnd"/>
      <w:r>
        <w:rPr>
          <w:color w:val="000000"/>
        </w:rPr>
        <w:t xml:space="preserve"> (2021)</w:t>
      </w:r>
      <w:r>
        <w:rPr>
          <w:rStyle w:val="FootnoteReference"/>
          <w:color w:val="000000"/>
        </w:rPr>
        <w:footnoteReference w:id="5"/>
      </w:r>
      <w:r>
        <w:rPr>
          <w:color w:val="000000"/>
        </w:rPr>
        <w:t xml:space="preserve"> which included 13 studies (1 randomised controlled trial (RCT) and 12 observational, N = 9073 patients). MSAC noted that the authors concluded that </w:t>
      </w:r>
      <w:r w:rsidRPr="00E426FB">
        <w:rPr>
          <w:color w:val="000000"/>
        </w:rPr>
        <w:t>TV</w:t>
      </w:r>
      <w:r w:rsidR="00970610">
        <w:rPr>
          <w:color w:val="000000"/>
        </w:rPr>
        <w:noBreakHyphen/>
      </w:r>
      <w:r w:rsidRPr="00E426FB">
        <w:rPr>
          <w:color w:val="000000"/>
        </w:rPr>
        <w:t xml:space="preserve">ICD and S-ICD </w:t>
      </w:r>
      <w:r>
        <w:rPr>
          <w:color w:val="000000"/>
        </w:rPr>
        <w:t>were</w:t>
      </w:r>
      <w:r w:rsidRPr="00E426FB">
        <w:rPr>
          <w:color w:val="000000"/>
        </w:rPr>
        <w:t xml:space="preserve"> overall comparable in terms of the composite of clinically relevant device-related complications and inappropriate shock</w:t>
      </w:r>
      <w:r>
        <w:rPr>
          <w:color w:val="000000"/>
        </w:rPr>
        <w:t xml:space="preserve"> in patients </w:t>
      </w:r>
      <w:r w:rsidRPr="009F0105">
        <w:rPr>
          <w:color w:val="000000"/>
        </w:rPr>
        <w:t>with an indication for ICD without the need for pacing</w:t>
      </w:r>
      <w:r>
        <w:rPr>
          <w:color w:val="000000"/>
        </w:rPr>
        <w:t xml:space="preserve">. </w:t>
      </w:r>
      <w:r w:rsidR="00587AF6">
        <w:rPr>
          <w:color w:val="000000"/>
        </w:rPr>
        <w:t xml:space="preserve">However, MSAC noted that the safety profile of S-ICD is different to TV-ICD. There were more lead-related complications with TV-ICD but more </w:t>
      </w:r>
      <w:r w:rsidR="00587AF6" w:rsidRPr="00333FBD">
        <w:rPr>
          <w:color w:val="000000"/>
        </w:rPr>
        <w:t>pocket</w:t>
      </w:r>
      <w:r w:rsidR="00587AF6">
        <w:rPr>
          <w:color w:val="000000"/>
        </w:rPr>
        <w:t xml:space="preserve"> related complications with S-ICD. </w:t>
      </w:r>
      <w:r w:rsidR="00924A69">
        <w:rPr>
          <w:color w:val="000000"/>
        </w:rPr>
        <w:t>Further, while the rate of inappropriate shocks appeared the same, there were more inappropriate shocks due to over-sensing with S-ICD.</w:t>
      </w:r>
      <w:r w:rsidR="00FA7E10">
        <w:rPr>
          <w:color w:val="000000"/>
        </w:rPr>
        <w:t xml:space="preserve"> </w:t>
      </w:r>
      <w:r w:rsidR="00304A3C">
        <w:rPr>
          <w:color w:val="000000"/>
        </w:rPr>
        <w:t xml:space="preserve">MSAC </w:t>
      </w:r>
      <w:r w:rsidR="002C7BAD">
        <w:rPr>
          <w:color w:val="000000"/>
        </w:rPr>
        <w:t>noted the</w:t>
      </w:r>
      <w:r w:rsidR="00304A3C">
        <w:rPr>
          <w:color w:val="000000"/>
        </w:rPr>
        <w:t xml:space="preserve"> inappropriate shocks due to </w:t>
      </w:r>
      <w:r w:rsidR="00304A3C" w:rsidRPr="00E35815">
        <w:rPr>
          <w:color w:val="000000"/>
        </w:rPr>
        <w:t xml:space="preserve">over sensing </w:t>
      </w:r>
      <w:r w:rsidR="00304A3C">
        <w:rPr>
          <w:color w:val="000000"/>
        </w:rPr>
        <w:t>a</w:t>
      </w:r>
      <w:r w:rsidR="002C7BAD">
        <w:rPr>
          <w:color w:val="000000"/>
        </w:rPr>
        <w:t>s an</w:t>
      </w:r>
      <w:r w:rsidR="00304A3C">
        <w:rPr>
          <w:color w:val="000000"/>
        </w:rPr>
        <w:t xml:space="preserve"> important issue, noting that inappropriate sho</w:t>
      </w:r>
      <w:r w:rsidR="002C7BAD">
        <w:rPr>
          <w:color w:val="000000"/>
        </w:rPr>
        <w:t>cks</w:t>
      </w:r>
      <w:r w:rsidR="00304A3C">
        <w:rPr>
          <w:color w:val="000000"/>
        </w:rPr>
        <w:t xml:space="preserve"> can</w:t>
      </w:r>
      <w:r w:rsidR="00304A3C" w:rsidRPr="00E35815">
        <w:rPr>
          <w:color w:val="000000"/>
        </w:rPr>
        <w:t xml:space="preserve"> </w:t>
      </w:r>
      <w:r w:rsidR="002C7BAD">
        <w:rPr>
          <w:color w:val="000000"/>
        </w:rPr>
        <w:t xml:space="preserve">traumatise very young people. MSAC noted new generations of the S-ICD device include a high-pass sensing filter </w:t>
      </w:r>
      <w:r w:rsidR="001E26AB">
        <w:rPr>
          <w:color w:val="000000"/>
        </w:rPr>
        <w:t xml:space="preserve">(SMART Pass) </w:t>
      </w:r>
      <w:r w:rsidR="002C7BAD">
        <w:rPr>
          <w:color w:val="000000"/>
        </w:rPr>
        <w:t xml:space="preserve">that aims to reduce cardiac over-sensing. </w:t>
      </w:r>
      <w:r w:rsidR="000750B8">
        <w:rPr>
          <w:color w:val="000000"/>
        </w:rPr>
        <w:t>T</w:t>
      </w:r>
      <w:r w:rsidR="001E26AB">
        <w:rPr>
          <w:color w:val="000000"/>
        </w:rPr>
        <w:t>he pre-MSAC response presented a cohort study</w:t>
      </w:r>
      <w:r w:rsidR="002C7BAD">
        <w:rPr>
          <w:color w:val="000000"/>
        </w:rPr>
        <w:t xml:space="preserve"> by </w:t>
      </w:r>
      <w:proofErr w:type="spellStart"/>
      <w:r w:rsidR="002C7BAD">
        <w:rPr>
          <w:color w:val="000000"/>
        </w:rPr>
        <w:t>Theuns</w:t>
      </w:r>
      <w:proofErr w:type="spellEnd"/>
      <w:r w:rsidR="002C7BAD">
        <w:rPr>
          <w:color w:val="000000"/>
        </w:rPr>
        <w:t xml:space="preserve"> (2018)</w:t>
      </w:r>
      <w:r w:rsidR="001E26AB">
        <w:rPr>
          <w:rStyle w:val="FootnoteReference"/>
          <w:color w:val="000000"/>
        </w:rPr>
        <w:footnoteReference w:id="6"/>
      </w:r>
      <w:r w:rsidR="002C7BAD">
        <w:rPr>
          <w:color w:val="000000"/>
        </w:rPr>
        <w:t xml:space="preserve"> </w:t>
      </w:r>
      <w:r w:rsidR="000750B8">
        <w:rPr>
          <w:color w:val="000000"/>
        </w:rPr>
        <w:t>that concluded</w:t>
      </w:r>
      <w:r w:rsidR="002C7BAD">
        <w:rPr>
          <w:color w:val="000000"/>
        </w:rPr>
        <w:t xml:space="preserve"> the</w:t>
      </w:r>
      <w:r w:rsidR="000750B8">
        <w:rPr>
          <w:color w:val="000000"/>
        </w:rPr>
        <w:t xml:space="preserve"> SMART Pass</w:t>
      </w:r>
      <w:r w:rsidR="002C7BAD">
        <w:rPr>
          <w:color w:val="000000"/>
        </w:rPr>
        <w:t xml:space="preserve"> filter reduced the rate of </w:t>
      </w:r>
      <w:r w:rsidR="001E26AB">
        <w:rPr>
          <w:color w:val="000000"/>
        </w:rPr>
        <w:t xml:space="preserve">inappropriate shocks with S-ICD. MSAC noted that this was not a RCT but does suggest the SMART </w:t>
      </w:r>
      <w:r w:rsidR="000750B8">
        <w:rPr>
          <w:color w:val="000000"/>
        </w:rPr>
        <w:t>P</w:t>
      </w:r>
      <w:r w:rsidR="001E26AB">
        <w:rPr>
          <w:color w:val="000000"/>
        </w:rPr>
        <w:t>ass reduces inappropriate shocks.</w:t>
      </w:r>
    </w:p>
    <w:p w14:paraId="579954BE" w14:textId="596B5ADB" w:rsidR="00AB6370" w:rsidRDefault="00AB6370" w:rsidP="00E35815">
      <w:pPr>
        <w:spacing w:after="240"/>
        <w:rPr>
          <w:color w:val="000000"/>
        </w:rPr>
      </w:pPr>
      <w:r w:rsidRPr="00E35815">
        <w:rPr>
          <w:color w:val="000000"/>
        </w:rPr>
        <w:t xml:space="preserve">MSAC </w:t>
      </w:r>
      <w:r>
        <w:rPr>
          <w:color w:val="000000"/>
        </w:rPr>
        <w:t xml:space="preserve">also </w:t>
      </w:r>
      <w:r w:rsidRPr="00E35815">
        <w:rPr>
          <w:color w:val="000000"/>
        </w:rPr>
        <w:t xml:space="preserve">noted that </w:t>
      </w:r>
      <w:r>
        <w:rPr>
          <w:color w:val="000000"/>
        </w:rPr>
        <w:t xml:space="preserve">in December 2020, the </w:t>
      </w:r>
      <w:r>
        <w:t xml:space="preserve">Therapeutic Goods Administration (TGA) issued a Class I hazard alert for the </w:t>
      </w:r>
      <w:r w:rsidRPr="00191C16">
        <w:t>EMBLEM S-ICD subcutaneous electrode (Model 3501)</w:t>
      </w:r>
      <w:r>
        <w:t xml:space="preserve"> regarding potential issues with</w:t>
      </w:r>
      <w:r w:rsidRPr="009E5C95">
        <w:t xml:space="preserve"> </w:t>
      </w:r>
      <w:r w:rsidRPr="00EF78C6">
        <w:t>electrode body fracture</w:t>
      </w:r>
      <w:r>
        <w:t xml:space="preserve">s (i.e. a crack in the lead). MSAC noted </w:t>
      </w:r>
      <w:r w:rsidRPr="00E35815">
        <w:rPr>
          <w:color w:val="000000"/>
        </w:rPr>
        <w:t>that</w:t>
      </w:r>
      <w:r>
        <w:rPr>
          <w:color w:val="000000"/>
        </w:rPr>
        <w:t xml:space="preserve"> the product remains on the </w:t>
      </w:r>
      <w:r w:rsidRPr="00E35815">
        <w:rPr>
          <w:color w:val="000000"/>
        </w:rPr>
        <w:t>Australian Register of Therapeutic Goods</w:t>
      </w:r>
      <w:r>
        <w:rPr>
          <w:color w:val="000000"/>
        </w:rPr>
        <w:t xml:space="preserve"> (ARTG)</w:t>
      </w:r>
      <w:r w:rsidRPr="00E35815">
        <w:rPr>
          <w:color w:val="000000"/>
        </w:rPr>
        <w:t xml:space="preserve"> </w:t>
      </w:r>
      <w:r>
        <w:rPr>
          <w:color w:val="000000"/>
        </w:rPr>
        <w:t>(i.e.</w:t>
      </w:r>
      <w:r w:rsidR="00FD01B0">
        <w:rPr>
          <w:color w:val="000000"/>
        </w:rPr>
        <w:t> </w:t>
      </w:r>
      <w:r>
        <w:rPr>
          <w:color w:val="000000"/>
        </w:rPr>
        <w:t xml:space="preserve">the hazard alert is not a full product recall), and that as per the hazard alert instructions, </w:t>
      </w:r>
      <w:r>
        <w:t>Boston Scientific</w:t>
      </w:r>
      <w:r w:rsidRPr="00E35815">
        <w:rPr>
          <w:color w:val="000000"/>
        </w:rPr>
        <w:t xml:space="preserve"> </w:t>
      </w:r>
      <w:r>
        <w:rPr>
          <w:color w:val="000000"/>
        </w:rPr>
        <w:t>has issued</w:t>
      </w:r>
      <w:r w:rsidRPr="00E35815">
        <w:rPr>
          <w:color w:val="000000"/>
        </w:rPr>
        <w:t xml:space="preserve"> advice to </w:t>
      </w:r>
      <w:r>
        <w:rPr>
          <w:color w:val="000000"/>
        </w:rPr>
        <w:t xml:space="preserve">healthcare professionals to be aware of this potential issue. Information issued to healthcare professionals included </w:t>
      </w:r>
      <w:r w:rsidRPr="00191C16">
        <w:rPr>
          <w:color w:val="000000"/>
        </w:rPr>
        <w:t>rec</w:t>
      </w:r>
      <w:r>
        <w:rPr>
          <w:color w:val="000000"/>
        </w:rPr>
        <w:t>ommendations for the</w:t>
      </w:r>
      <w:r w:rsidRPr="00191C16">
        <w:rPr>
          <w:color w:val="000000"/>
        </w:rPr>
        <w:t xml:space="preserve"> prompt identification of a potential electrode body fracture, as well as in evaluating the competing risks of alternative treatment</w:t>
      </w:r>
      <w:r>
        <w:rPr>
          <w:color w:val="000000"/>
        </w:rPr>
        <w:t xml:space="preserve">s </w:t>
      </w:r>
      <w:r w:rsidR="00451C58">
        <w:rPr>
          <w:color w:val="000000"/>
        </w:rPr>
        <w:t>for</w:t>
      </w:r>
      <w:r>
        <w:rPr>
          <w:color w:val="000000"/>
        </w:rPr>
        <w:t xml:space="preserve"> </w:t>
      </w:r>
      <w:r w:rsidR="00451C58">
        <w:rPr>
          <w:color w:val="000000"/>
        </w:rPr>
        <w:t xml:space="preserve">preventing </w:t>
      </w:r>
      <w:r>
        <w:rPr>
          <w:color w:val="000000"/>
        </w:rPr>
        <w:t>SCD</w:t>
      </w:r>
      <w:r w:rsidRPr="00E35815">
        <w:rPr>
          <w:color w:val="000000"/>
        </w:rPr>
        <w:t xml:space="preserve">. MSAC advised that the Department </w:t>
      </w:r>
      <w:r>
        <w:rPr>
          <w:color w:val="000000"/>
        </w:rPr>
        <w:t>follow up with the TGA to confirm resolution of this matter and request the applicant to provide any updated data/information that contributes to the resolution of this matter.</w:t>
      </w:r>
      <w:r w:rsidRPr="00E35815">
        <w:rPr>
          <w:color w:val="000000"/>
        </w:rPr>
        <w:t xml:space="preserve"> </w:t>
      </w:r>
    </w:p>
    <w:p w14:paraId="5A3D14EB" w14:textId="75C6841F" w:rsidR="009A16C6" w:rsidRDefault="009A16C6" w:rsidP="009A16C6">
      <w:pPr>
        <w:spacing w:after="240"/>
        <w:rPr>
          <w:color w:val="000000"/>
        </w:rPr>
      </w:pPr>
      <w:r>
        <w:rPr>
          <w:color w:val="000000"/>
        </w:rPr>
        <w:t xml:space="preserve">Overall, </w:t>
      </w:r>
      <w:r w:rsidRPr="00E35815">
        <w:rPr>
          <w:color w:val="000000"/>
        </w:rPr>
        <w:t xml:space="preserve">MSAC </w:t>
      </w:r>
      <w:r>
        <w:rPr>
          <w:color w:val="000000"/>
        </w:rPr>
        <w:t>considered</w:t>
      </w:r>
      <w:r w:rsidRPr="00E35815">
        <w:rPr>
          <w:color w:val="000000"/>
        </w:rPr>
        <w:t xml:space="preserve"> that </w:t>
      </w:r>
      <w:r>
        <w:rPr>
          <w:color w:val="000000"/>
        </w:rPr>
        <w:t>S-ICD had a different saf</w:t>
      </w:r>
      <w:r w:rsidR="000750B8">
        <w:rPr>
          <w:color w:val="000000"/>
        </w:rPr>
        <w:t>ety profile to TV-ICD, that the</w:t>
      </w:r>
      <w:r w:rsidRPr="00E35815">
        <w:rPr>
          <w:color w:val="000000"/>
        </w:rPr>
        <w:t xml:space="preserve"> </w:t>
      </w:r>
      <w:r>
        <w:rPr>
          <w:color w:val="000000"/>
        </w:rPr>
        <w:t>non</w:t>
      </w:r>
      <w:r w:rsidR="00A73110">
        <w:rPr>
          <w:color w:val="000000"/>
        </w:rPr>
        <w:noBreakHyphen/>
      </w:r>
      <w:r>
        <w:rPr>
          <w:color w:val="000000"/>
        </w:rPr>
        <w:t xml:space="preserve">inferior </w:t>
      </w:r>
      <w:r w:rsidRPr="00E35815">
        <w:rPr>
          <w:color w:val="000000"/>
        </w:rPr>
        <w:t xml:space="preserve">safety claim was not </w:t>
      </w:r>
      <w:r w:rsidR="00924A69">
        <w:rPr>
          <w:color w:val="000000"/>
        </w:rPr>
        <w:t xml:space="preserve">fully </w:t>
      </w:r>
      <w:r w:rsidRPr="00E35815">
        <w:rPr>
          <w:color w:val="000000"/>
        </w:rPr>
        <w:t xml:space="preserve">supported </w:t>
      </w:r>
      <w:r w:rsidR="00FA7E10">
        <w:rPr>
          <w:color w:val="000000"/>
        </w:rPr>
        <w:t>and that longer-term</w:t>
      </w:r>
      <w:r w:rsidR="00924A69">
        <w:rPr>
          <w:color w:val="000000"/>
        </w:rPr>
        <w:t xml:space="preserve"> data</w:t>
      </w:r>
      <w:r w:rsidR="00FA7E10">
        <w:rPr>
          <w:color w:val="000000"/>
        </w:rPr>
        <w:t xml:space="preserve"> on lead complications, all shocks and battery life</w:t>
      </w:r>
      <w:r w:rsidR="00924A69">
        <w:rPr>
          <w:color w:val="000000"/>
        </w:rPr>
        <w:t xml:space="preserve"> is required.</w:t>
      </w:r>
    </w:p>
    <w:p w14:paraId="09B5C828" w14:textId="7E8CBD62" w:rsidR="00924A69" w:rsidRDefault="00924A69" w:rsidP="00924A69">
      <w:pPr>
        <w:spacing w:after="240"/>
        <w:rPr>
          <w:color w:val="000000"/>
        </w:rPr>
      </w:pPr>
      <w:r>
        <w:rPr>
          <w:color w:val="000000"/>
        </w:rPr>
        <w:t xml:space="preserve">In regard to </w:t>
      </w:r>
      <w:r w:rsidR="00FA7E10">
        <w:rPr>
          <w:color w:val="000000"/>
        </w:rPr>
        <w:t xml:space="preserve">comparative </w:t>
      </w:r>
      <w:r>
        <w:rPr>
          <w:color w:val="000000"/>
        </w:rPr>
        <w:t xml:space="preserve">effectiveness, </w:t>
      </w:r>
      <w:r w:rsidR="00E35815" w:rsidRPr="00E35815">
        <w:rPr>
          <w:color w:val="000000"/>
        </w:rPr>
        <w:t xml:space="preserve">MSAC noted the </w:t>
      </w:r>
      <w:r w:rsidR="00B77F71">
        <w:rPr>
          <w:color w:val="000000"/>
        </w:rPr>
        <w:t xml:space="preserve">ADAR’s </w:t>
      </w:r>
      <w:r w:rsidR="00E35815" w:rsidRPr="00E35815">
        <w:rPr>
          <w:color w:val="000000"/>
        </w:rPr>
        <w:t xml:space="preserve">claim of non-inferior clinical effectiveness for </w:t>
      </w:r>
      <w:r w:rsidR="00451C58">
        <w:rPr>
          <w:color w:val="000000"/>
        </w:rPr>
        <w:t xml:space="preserve">preventing </w:t>
      </w:r>
      <w:r w:rsidR="00B77F71">
        <w:rPr>
          <w:color w:val="000000"/>
        </w:rPr>
        <w:t>SCD</w:t>
      </w:r>
      <w:r w:rsidR="00E35815" w:rsidRPr="00E35815">
        <w:rPr>
          <w:color w:val="000000"/>
        </w:rPr>
        <w:t xml:space="preserve">. MSAC noted </w:t>
      </w:r>
      <w:r w:rsidR="00340DCA">
        <w:rPr>
          <w:color w:val="000000"/>
        </w:rPr>
        <w:t xml:space="preserve">that the PRAETORIAN trial reported </w:t>
      </w:r>
      <w:r w:rsidR="00340DCA">
        <w:rPr>
          <w:color w:val="000000"/>
        </w:rPr>
        <w:lastRenderedPageBreak/>
        <w:t>that there w</w:t>
      </w:r>
      <w:r w:rsidR="00926893">
        <w:rPr>
          <w:color w:val="000000"/>
        </w:rPr>
        <w:t>as</w:t>
      </w:r>
      <w:r w:rsidR="00340DCA">
        <w:rPr>
          <w:color w:val="000000"/>
        </w:rPr>
        <w:t xml:space="preserve"> no difference in the deaths for all-cause or</w:t>
      </w:r>
      <w:r w:rsidR="00A73110">
        <w:rPr>
          <w:color w:val="000000"/>
        </w:rPr>
        <w:t xml:space="preserve"> for SCD between S-ICD and TV</w:t>
      </w:r>
      <w:r w:rsidR="00A73110">
        <w:rPr>
          <w:color w:val="000000"/>
        </w:rPr>
        <w:noBreakHyphen/>
      </w:r>
      <w:r w:rsidR="002729B7">
        <w:rPr>
          <w:color w:val="000000"/>
        </w:rPr>
        <w:t>I</w:t>
      </w:r>
      <w:r w:rsidR="00340DCA">
        <w:rPr>
          <w:color w:val="000000"/>
        </w:rPr>
        <w:t xml:space="preserve">CD. However, MSAC noted that these outcomes were </w:t>
      </w:r>
      <w:r w:rsidR="00E35815" w:rsidRPr="00E35815">
        <w:rPr>
          <w:color w:val="000000"/>
        </w:rPr>
        <w:t xml:space="preserve">secondary endpoints </w:t>
      </w:r>
      <w:r w:rsidR="00FA7E10">
        <w:rPr>
          <w:color w:val="000000"/>
        </w:rPr>
        <w:t xml:space="preserve">that </w:t>
      </w:r>
      <w:r w:rsidR="00E35815" w:rsidRPr="00E35815">
        <w:rPr>
          <w:color w:val="000000"/>
        </w:rPr>
        <w:t xml:space="preserve">were </w:t>
      </w:r>
      <w:r w:rsidR="00FA7E10">
        <w:rPr>
          <w:color w:val="000000"/>
        </w:rPr>
        <w:t>under-</w:t>
      </w:r>
      <w:r w:rsidR="00E35815" w:rsidRPr="00E35815">
        <w:rPr>
          <w:color w:val="000000"/>
        </w:rPr>
        <w:t xml:space="preserve">powered. </w:t>
      </w:r>
      <w:r w:rsidR="00340DCA">
        <w:rPr>
          <w:color w:val="000000"/>
        </w:rPr>
        <w:t xml:space="preserve">MSAC also noted that more patients crossed-over from S-ICD to TV-ICD than vice versa, suggesting patients cross over </w:t>
      </w:r>
      <w:r w:rsidR="009A1F84">
        <w:rPr>
          <w:color w:val="000000"/>
        </w:rPr>
        <w:t>to TV-ICD due to developing an indication for pacing</w:t>
      </w:r>
      <w:r w:rsidR="00340DCA">
        <w:rPr>
          <w:color w:val="000000"/>
        </w:rPr>
        <w:t xml:space="preserve">. MSAC noted </w:t>
      </w:r>
      <w:r w:rsidR="002729B7">
        <w:rPr>
          <w:color w:val="000000"/>
        </w:rPr>
        <w:t>the pre-MSAC response presented a propensity score matched study using patients from the MIDAS TV-ICD</w:t>
      </w:r>
      <w:r w:rsidR="00FA7E10">
        <w:rPr>
          <w:color w:val="000000"/>
        </w:rPr>
        <w:t xml:space="preserve"> study</w:t>
      </w:r>
      <w:r w:rsidR="002729B7">
        <w:rPr>
          <w:color w:val="000000"/>
        </w:rPr>
        <w:t xml:space="preserve"> and EFFORTLESS S-ICD registry which indicated that there </w:t>
      </w:r>
      <w:r w:rsidR="00274085">
        <w:rPr>
          <w:color w:val="000000"/>
        </w:rPr>
        <w:t>we</w:t>
      </w:r>
      <w:r w:rsidR="002729B7">
        <w:rPr>
          <w:color w:val="000000"/>
        </w:rPr>
        <w:t>re no difference</w:t>
      </w:r>
      <w:r w:rsidR="00274085">
        <w:rPr>
          <w:color w:val="000000"/>
        </w:rPr>
        <w:t>s</w:t>
      </w:r>
      <w:r w:rsidR="002729B7">
        <w:rPr>
          <w:color w:val="000000"/>
        </w:rPr>
        <w:t xml:space="preserve"> in physical or mental QoL up to 6 months (Pederson 2016</w:t>
      </w:r>
      <w:r w:rsidR="002729B7">
        <w:rPr>
          <w:rStyle w:val="FootnoteReference"/>
          <w:color w:val="000000"/>
        </w:rPr>
        <w:footnoteReference w:id="7"/>
      </w:r>
      <w:r w:rsidR="002729B7">
        <w:rPr>
          <w:color w:val="000000"/>
        </w:rPr>
        <w:t xml:space="preserve">). </w:t>
      </w:r>
      <w:r w:rsidR="00340DCA">
        <w:rPr>
          <w:color w:val="000000"/>
        </w:rPr>
        <w:t xml:space="preserve">Overall, MSAC considered that S-ICD probably has similar comparative clinical effectiveness to TV-ICD but that further data </w:t>
      </w:r>
      <w:r w:rsidR="00274085">
        <w:rPr>
          <w:color w:val="000000"/>
        </w:rPr>
        <w:t>are</w:t>
      </w:r>
      <w:r w:rsidR="00340DCA">
        <w:rPr>
          <w:color w:val="000000"/>
        </w:rPr>
        <w:t xml:space="preserve"> required, in particular data on patient quality of life and </w:t>
      </w:r>
      <w:proofErr w:type="gramStart"/>
      <w:r w:rsidR="00340DCA">
        <w:rPr>
          <w:color w:val="000000"/>
        </w:rPr>
        <w:t>long term</w:t>
      </w:r>
      <w:proofErr w:type="gramEnd"/>
      <w:r w:rsidR="00340DCA">
        <w:rPr>
          <w:color w:val="000000"/>
        </w:rPr>
        <w:t xml:space="preserve"> data on the conversion to TV-ICD.</w:t>
      </w:r>
    </w:p>
    <w:p w14:paraId="718F171F" w14:textId="2B9BF6FC" w:rsidR="00AD14FB" w:rsidRPr="00E35815" w:rsidRDefault="00E35815" w:rsidP="000750B8">
      <w:pPr>
        <w:spacing w:after="240"/>
        <w:rPr>
          <w:color w:val="000000"/>
        </w:rPr>
      </w:pPr>
      <w:r w:rsidRPr="00E35815">
        <w:rPr>
          <w:color w:val="000000"/>
        </w:rPr>
        <w:t xml:space="preserve">MSAC noted </w:t>
      </w:r>
      <w:r w:rsidR="004A3087">
        <w:rPr>
          <w:color w:val="000000"/>
        </w:rPr>
        <w:t>the ADAR presented a cost-</w:t>
      </w:r>
      <w:r w:rsidR="00DB7EF0">
        <w:rPr>
          <w:color w:val="000000"/>
        </w:rPr>
        <w:t>minimisation</w:t>
      </w:r>
      <w:r w:rsidR="004A3087">
        <w:rPr>
          <w:color w:val="000000"/>
        </w:rPr>
        <w:t xml:space="preserve"> analysis</w:t>
      </w:r>
      <w:r w:rsidRPr="00E35815">
        <w:rPr>
          <w:color w:val="000000"/>
        </w:rPr>
        <w:t xml:space="preserve"> </w:t>
      </w:r>
      <w:r w:rsidR="00EA6F5E">
        <w:rPr>
          <w:color w:val="000000"/>
        </w:rPr>
        <w:t>comparing S-ICD with</w:t>
      </w:r>
      <w:r w:rsidR="00EA6F5E">
        <w:rPr>
          <w:color w:val="000000"/>
        </w:rPr>
        <w:br/>
      </w:r>
      <w:r w:rsidR="00DB7EF0">
        <w:rPr>
          <w:color w:val="000000"/>
        </w:rPr>
        <w:t>TV-ICD</w:t>
      </w:r>
      <w:r w:rsidR="000750B8">
        <w:rPr>
          <w:color w:val="000000"/>
        </w:rPr>
        <w:t>,</w:t>
      </w:r>
      <w:r w:rsidR="00DB7EF0">
        <w:rPr>
          <w:color w:val="000000"/>
        </w:rPr>
        <w:t xml:space="preserve"> which was revised in the pre-ESC response to </w:t>
      </w:r>
      <w:r w:rsidR="000C494D">
        <w:rPr>
          <w:color w:val="000000"/>
        </w:rPr>
        <w:t>apply defibrillation</w:t>
      </w:r>
      <w:r w:rsidR="00DB7EF0">
        <w:rPr>
          <w:color w:val="000000"/>
        </w:rPr>
        <w:t xml:space="preserve"> testing (</w:t>
      </w:r>
      <w:r w:rsidRPr="00E35815">
        <w:rPr>
          <w:color w:val="000000"/>
        </w:rPr>
        <w:t>DFT</w:t>
      </w:r>
      <w:r w:rsidR="00DB7EF0">
        <w:rPr>
          <w:color w:val="000000"/>
        </w:rPr>
        <w:t>)</w:t>
      </w:r>
      <w:r w:rsidRPr="00E35815">
        <w:rPr>
          <w:color w:val="000000"/>
        </w:rPr>
        <w:t xml:space="preserve"> costs based on MBS item 38212 and DFT rates from th</w:t>
      </w:r>
      <w:r w:rsidR="00A73110">
        <w:rPr>
          <w:color w:val="000000"/>
        </w:rPr>
        <w:t>e PRAETORIAN trial: 90.4% for S</w:t>
      </w:r>
      <w:r w:rsidR="00A73110">
        <w:rPr>
          <w:color w:val="000000"/>
        </w:rPr>
        <w:noBreakHyphen/>
      </w:r>
      <w:r w:rsidRPr="00E35815">
        <w:rPr>
          <w:color w:val="000000"/>
        </w:rPr>
        <w:t>ICD and 46.1% for TV-ICD. This showed a</w:t>
      </w:r>
      <w:r w:rsidR="00637874">
        <w:rPr>
          <w:color w:val="000000"/>
        </w:rPr>
        <w:t xml:space="preserve"> revised</w:t>
      </w:r>
      <w:r w:rsidRPr="00E35815">
        <w:rPr>
          <w:color w:val="000000"/>
        </w:rPr>
        <w:t xml:space="preserve"> cost saving of </w:t>
      </w:r>
      <w:r w:rsidRPr="003D4190">
        <w:rPr>
          <w:color w:val="000000"/>
        </w:rPr>
        <w:t>$</w:t>
      </w:r>
      <w:r w:rsidR="00403187" w:rsidRPr="00403187">
        <w:rPr>
          <w:b/>
          <w:bCs/>
          <w:color w:val="000000"/>
        </w:rPr>
        <w:t>redacted</w:t>
      </w:r>
      <w:r w:rsidRPr="00E35815">
        <w:rPr>
          <w:color w:val="000000"/>
        </w:rPr>
        <w:t>.</w:t>
      </w:r>
      <w:r w:rsidR="00DB7EF0">
        <w:rPr>
          <w:color w:val="000000"/>
        </w:rPr>
        <w:t xml:space="preserve"> However, MSAC agreed with ESC that</w:t>
      </w:r>
      <w:r w:rsidR="000C494D">
        <w:rPr>
          <w:color w:val="000000"/>
        </w:rPr>
        <w:t xml:space="preserve"> it was</w:t>
      </w:r>
      <w:r w:rsidR="00DB7EF0">
        <w:rPr>
          <w:color w:val="000000"/>
        </w:rPr>
        <w:t xml:space="preserve"> </w:t>
      </w:r>
      <w:r w:rsidR="00DB7EF0" w:rsidRPr="00DB7EF0">
        <w:rPr>
          <w:color w:val="000000"/>
        </w:rPr>
        <w:t>inappropriate that the model assumed a similar battery length between the S-ICD and TV-ICD and did not include any costs for battery replacement.</w:t>
      </w:r>
      <w:r w:rsidR="00DB7EF0">
        <w:rPr>
          <w:color w:val="000000"/>
        </w:rPr>
        <w:t xml:space="preserve"> </w:t>
      </w:r>
      <w:r w:rsidR="00DB7EF0" w:rsidRPr="00E35815">
        <w:rPr>
          <w:color w:val="000000"/>
        </w:rPr>
        <w:t>MSAC noted that t</w:t>
      </w:r>
      <w:r w:rsidR="00EA6F5E">
        <w:rPr>
          <w:color w:val="000000"/>
        </w:rPr>
        <w:t>he sensitivity analysis in the C</w:t>
      </w:r>
      <w:r w:rsidR="00DB7EF0" w:rsidRPr="00E35815">
        <w:rPr>
          <w:color w:val="000000"/>
        </w:rPr>
        <w:t xml:space="preserve">ommentary </w:t>
      </w:r>
      <w:r w:rsidR="00304A3C">
        <w:rPr>
          <w:color w:val="000000"/>
        </w:rPr>
        <w:t>tested different battery life assumptions,</w:t>
      </w:r>
      <w:r w:rsidR="00DB7EF0" w:rsidRPr="00E35815">
        <w:rPr>
          <w:color w:val="000000"/>
        </w:rPr>
        <w:t xml:space="preserve"> 6 years for S-ICD versus 10 years for TV-ICD, which </w:t>
      </w:r>
      <w:r w:rsidR="00304A3C">
        <w:rPr>
          <w:color w:val="000000"/>
        </w:rPr>
        <w:t>indicated S-ICD was no-longer cost saving (i.e.</w:t>
      </w:r>
      <w:r w:rsidR="00DB7EF0" w:rsidRPr="00E35815">
        <w:rPr>
          <w:color w:val="000000"/>
        </w:rPr>
        <w:t xml:space="preserve"> cost of </w:t>
      </w:r>
      <w:r w:rsidR="00DB7EF0" w:rsidRPr="003D4190">
        <w:rPr>
          <w:color w:val="000000"/>
        </w:rPr>
        <w:t>$</w:t>
      </w:r>
      <w:r w:rsidR="00403187" w:rsidRPr="003D4190">
        <w:rPr>
          <w:b/>
          <w:bCs/>
          <w:color w:val="000000"/>
        </w:rPr>
        <w:t>re</w:t>
      </w:r>
      <w:r w:rsidR="00403187" w:rsidRPr="00403187">
        <w:rPr>
          <w:b/>
          <w:bCs/>
          <w:color w:val="000000"/>
        </w:rPr>
        <w:t>dacted</w:t>
      </w:r>
      <w:r w:rsidR="00304A3C">
        <w:rPr>
          <w:color w:val="000000"/>
        </w:rPr>
        <w:t xml:space="preserve"> more than TV-ICD)</w:t>
      </w:r>
      <w:r w:rsidR="00DB7EF0" w:rsidRPr="00E35815">
        <w:rPr>
          <w:color w:val="000000"/>
        </w:rPr>
        <w:t>.</w:t>
      </w:r>
      <w:r w:rsidR="00065686">
        <w:rPr>
          <w:color w:val="000000"/>
        </w:rPr>
        <w:t xml:space="preserve"> Overall, </w:t>
      </w:r>
      <w:r w:rsidRPr="00E35815">
        <w:rPr>
          <w:color w:val="000000"/>
        </w:rPr>
        <w:t xml:space="preserve">MSAC </w:t>
      </w:r>
      <w:r w:rsidR="00993874">
        <w:rPr>
          <w:color w:val="000000"/>
        </w:rPr>
        <w:t>considered</w:t>
      </w:r>
      <w:r w:rsidR="00993874" w:rsidRPr="00E35815">
        <w:rPr>
          <w:color w:val="000000"/>
        </w:rPr>
        <w:t xml:space="preserve"> </w:t>
      </w:r>
      <w:r w:rsidR="00065686">
        <w:rPr>
          <w:color w:val="000000"/>
        </w:rPr>
        <w:t xml:space="preserve">the cost-effectiveness of S-ICD, in particular in the longer-term, was uncertain and </w:t>
      </w:r>
      <w:r w:rsidR="00993874">
        <w:rPr>
          <w:color w:val="000000"/>
        </w:rPr>
        <w:t>that</w:t>
      </w:r>
      <w:r w:rsidR="00304A3C">
        <w:rPr>
          <w:color w:val="000000"/>
        </w:rPr>
        <w:t xml:space="preserve"> a</w:t>
      </w:r>
      <w:r w:rsidR="00993874">
        <w:rPr>
          <w:color w:val="000000"/>
        </w:rPr>
        <w:t xml:space="preserve"> revised </w:t>
      </w:r>
      <w:r w:rsidRPr="00E35815">
        <w:rPr>
          <w:color w:val="000000"/>
        </w:rPr>
        <w:t xml:space="preserve">cost-minimisation analysis </w:t>
      </w:r>
      <w:r w:rsidR="00304A3C">
        <w:rPr>
          <w:color w:val="000000"/>
        </w:rPr>
        <w:t>was required that included</w:t>
      </w:r>
      <w:r w:rsidR="000750B8">
        <w:rPr>
          <w:color w:val="000000"/>
        </w:rPr>
        <w:t>:</w:t>
      </w:r>
      <w:r w:rsidR="00304A3C">
        <w:rPr>
          <w:color w:val="000000"/>
        </w:rPr>
        <w:t xml:space="preserve"> a 20-year time horizon, </w:t>
      </w:r>
      <w:r w:rsidR="00AC5AA9">
        <w:t>battery lifespans for both devices’ current models</w:t>
      </w:r>
      <w:r w:rsidR="00304A3C">
        <w:rPr>
          <w:color w:val="000000"/>
        </w:rPr>
        <w:t>, costs for exerc</w:t>
      </w:r>
      <w:r w:rsidR="00065686">
        <w:rPr>
          <w:color w:val="000000"/>
        </w:rPr>
        <w:t>ise stress testing to screen for</w:t>
      </w:r>
      <w:r w:rsidR="00304A3C">
        <w:rPr>
          <w:color w:val="000000"/>
        </w:rPr>
        <w:t xml:space="preserve"> T wave over-sensing in patients being considered for S-ICD (a</w:t>
      </w:r>
      <w:r w:rsidR="000750B8">
        <w:rPr>
          <w:color w:val="000000"/>
        </w:rPr>
        <w:t xml:space="preserve">ssume rate should be 30%), </w:t>
      </w:r>
      <w:r w:rsidR="00EA6F5E">
        <w:rPr>
          <w:color w:val="000000"/>
        </w:rPr>
        <w:t xml:space="preserve">ongoing conversion to TV-ICD </w:t>
      </w:r>
      <w:r w:rsidR="000750B8" w:rsidRPr="000750B8">
        <w:rPr>
          <w:color w:val="000000"/>
        </w:rPr>
        <w:t>based on registry data</w:t>
      </w:r>
      <w:r w:rsidR="000750B8">
        <w:rPr>
          <w:color w:val="000000"/>
        </w:rPr>
        <w:t xml:space="preserve">, and </w:t>
      </w:r>
      <w:r w:rsidR="000750B8" w:rsidRPr="000750B8">
        <w:rPr>
          <w:color w:val="000000"/>
        </w:rPr>
        <w:t>DFT and GA rates based on local experience.</w:t>
      </w:r>
      <w:r w:rsidR="00AC5AA9" w:rsidRPr="00AC5AA9">
        <w:t xml:space="preserve"> </w:t>
      </w:r>
    </w:p>
    <w:p w14:paraId="64829587" w14:textId="178003D8" w:rsidR="00DF5051" w:rsidRPr="00F56D7F" w:rsidRDefault="00F41BB7" w:rsidP="00DF5051">
      <w:pPr>
        <w:spacing w:after="240"/>
        <w:rPr>
          <w:b/>
        </w:rPr>
      </w:pPr>
      <w:r>
        <w:t>MSAC</w:t>
      </w:r>
      <w:r w:rsidR="00DF5051">
        <w:t xml:space="preserve"> noted that a market-share approach was used to estimate the budget impact of </w:t>
      </w:r>
      <w:r w:rsidR="00516037">
        <w:t xml:space="preserve">MBS listing </w:t>
      </w:r>
      <w:r w:rsidR="00DF5051">
        <w:t>of the S-ICD lead that assumes substitution of 10% of the TV-ICD market in Year 1 increasing to 20% in Year 3. MSAC</w:t>
      </w:r>
      <w:r w:rsidR="00A75C49">
        <w:t xml:space="preserve"> n</w:t>
      </w:r>
      <w:r w:rsidR="00EA6F5E">
        <w:t>oted that there are very few (if</w:t>
      </w:r>
      <w:r w:rsidR="00A75C49">
        <w:t xml:space="preserve"> any) patients who are unable to receive TV-ICD and </w:t>
      </w:r>
      <w:r w:rsidR="00DF5051">
        <w:t xml:space="preserve">accepted that S-ICD would be a substitute </w:t>
      </w:r>
      <w:r w:rsidR="00A75C49">
        <w:t xml:space="preserve">in a subgroup of patients who are eligible for </w:t>
      </w:r>
      <w:r w:rsidR="00DF5051">
        <w:t>TV-ICD</w:t>
      </w:r>
      <w:r w:rsidR="00A75C49">
        <w:t xml:space="preserve">. </w:t>
      </w:r>
      <w:r w:rsidR="00DF5051" w:rsidRPr="00E35815">
        <w:rPr>
          <w:color w:val="000000"/>
        </w:rPr>
        <w:t>MSAC noted that if the proportion of S-ICD patients who develop a pacing indication is larger than expected, there will be more crossovers to</w:t>
      </w:r>
      <w:r w:rsidR="004270FC">
        <w:rPr>
          <w:color w:val="000000"/>
        </w:rPr>
        <w:br/>
      </w:r>
      <w:r w:rsidR="00DF5051" w:rsidRPr="00E35815">
        <w:rPr>
          <w:color w:val="000000"/>
        </w:rPr>
        <w:t>TV-ICDs, which will increase costs to private health insurers</w:t>
      </w:r>
      <w:r w:rsidR="00DF5051">
        <w:rPr>
          <w:color w:val="000000"/>
        </w:rPr>
        <w:t>.</w:t>
      </w:r>
      <w:r>
        <w:rPr>
          <w:color w:val="000000"/>
        </w:rPr>
        <w:t xml:space="preserve"> Overall, MSAC considered the estimated impacts to the MBS and PL were uncertain. </w:t>
      </w:r>
    </w:p>
    <w:p w14:paraId="6BA9F9F8" w14:textId="27125AE9" w:rsidR="004270FC" w:rsidRPr="004270FC" w:rsidRDefault="00E35815" w:rsidP="004270FC">
      <w:pPr>
        <w:spacing w:after="240"/>
        <w:rPr>
          <w:color w:val="000000"/>
        </w:rPr>
      </w:pPr>
      <w:r w:rsidRPr="00E35815">
        <w:rPr>
          <w:color w:val="000000"/>
        </w:rPr>
        <w:t xml:space="preserve">MSAC </w:t>
      </w:r>
      <w:r w:rsidR="00065686">
        <w:rPr>
          <w:color w:val="000000"/>
        </w:rPr>
        <w:t xml:space="preserve">advised </w:t>
      </w:r>
      <w:r w:rsidR="00F41BB7">
        <w:rPr>
          <w:color w:val="000000"/>
        </w:rPr>
        <w:t xml:space="preserve">that </w:t>
      </w:r>
      <w:r w:rsidR="00516037">
        <w:rPr>
          <w:color w:val="000000"/>
        </w:rPr>
        <w:t>an</w:t>
      </w:r>
      <w:r w:rsidR="006802C8">
        <w:rPr>
          <w:color w:val="000000"/>
        </w:rPr>
        <w:t xml:space="preserve"> ADAR submitted f</w:t>
      </w:r>
      <w:r w:rsidR="00516037">
        <w:rPr>
          <w:color w:val="000000"/>
        </w:rPr>
        <w:t>or</w:t>
      </w:r>
      <w:r w:rsidR="006802C8">
        <w:rPr>
          <w:color w:val="000000"/>
        </w:rPr>
        <w:t xml:space="preserve"> </w:t>
      </w:r>
      <w:r w:rsidR="00516037">
        <w:rPr>
          <w:color w:val="000000"/>
        </w:rPr>
        <w:t>reconsideration</w:t>
      </w:r>
      <w:r w:rsidR="00F41BB7">
        <w:rPr>
          <w:color w:val="000000"/>
        </w:rPr>
        <w:t xml:space="preserve"> should focus on the issues raised by MSAC (</w:t>
      </w:r>
      <w:r w:rsidR="00516037">
        <w:rPr>
          <w:color w:val="000000"/>
        </w:rPr>
        <w:fldChar w:fldCharType="begin"/>
      </w:r>
      <w:r w:rsidR="00516037">
        <w:rPr>
          <w:color w:val="000000"/>
        </w:rPr>
        <w:instrText xml:space="preserve"> REF _Ref70079094 \h </w:instrText>
      </w:r>
      <w:r w:rsidR="00516037">
        <w:rPr>
          <w:color w:val="000000"/>
        </w:rPr>
      </w:r>
      <w:r w:rsidR="00516037">
        <w:rPr>
          <w:color w:val="000000"/>
        </w:rPr>
        <w:fldChar w:fldCharType="separate"/>
      </w:r>
      <w:r w:rsidR="00113B4B">
        <w:t xml:space="preserve">Table </w:t>
      </w:r>
      <w:r w:rsidR="00113B4B">
        <w:rPr>
          <w:noProof/>
        </w:rPr>
        <w:t>1</w:t>
      </w:r>
      <w:r w:rsidR="00516037">
        <w:rPr>
          <w:color w:val="000000"/>
        </w:rPr>
        <w:fldChar w:fldCharType="end"/>
      </w:r>
      <w:r w:rsidR="00F41BB7">
        <w:rPr>
          <w:color w:val="000000"/>
        </w:rPr>
        <w:t>) and could re-enter the MSAC pathway at the assessment stage (i.e.</w:t>
      </w:r>
      <w:r w:rsidR="004270FC">
        <w:rPr>
          <w:color w:val="000000"/>
        </w:rPr>
        <w:t> </w:t>
      </w:r>
      <w:r w:rsidR="00F41BB7">
        <w:rPr>
          <w:color w:val="000000"/>
        </w:rPr>
        <w:t>ADAR lodged for ESC consideration).</w:t>
      </w:r>
      <w:bookmarkStart w:id="0" w:name="_Ref70079094"/>
      <w:r w:rsidR="004270FC">
        <w:br w:type="page"/>
      </w:r>
    </w:p>
    <w:p w14:paraId="5918A35E" w14:textId="436DF056" w:rsidR="00550354" w:rsidRDefault="00F41BB7" w:rsidP="00516037">
      <w:pPr>
        <w:pStyle w:val="Caption"/>
        <w:rPr>
          <w:color w:val="000000"/>
        </w:rPr>
      </w:pPr>
      <w:r>
        <w:lastRenderedPageBreak/>
        <w:t xml:space="preserve">Table </w:t>
      </w:r>
      <w:fldSimple w:instr=" SEQ Table \* ARABIC ">
        <w:r w:rsidR="00113B4B">
          <w:rPr>
            <w:noProof/>
          </w:rPr>
          <w:t>1</w:t>
        </w:r>
      </w:fldSimple>
      <w:bookmarkEnd w:id="0"/>
      <w:r w:rsidRPr="00183E4D">
        <w:tab/>
      </w:r>
      <w:r w:rsidR="006802C8">
        <w:t>Items to be resolved before reconsideration.</w:t>
      </w:r>
    </w:p>
    <w:tbl>
      <w:tblPr>
        <w:tblStyle w:val="TableGrid"/>
        <w:tblW w:w="0" w:type="auto"/>
        <w:tblLook w:val="04A0" w:firstRow="1" w:lastRow="0" w:firstColumn="1" w:lastColumn="0" w:noHBand="0" w:noVBand="1"/>
        <w:tblDescription w:val="Items to be resolved before reconsideration"/>
      </w:tblPr>
      <w:tblGrid>
        <w:gridCol w:w="2943"/>
        <w:gridCol w:w="6073"/>
      </w:tblGrid>
      <w:tr w:rsidR="005D4FF5" w:rsidRPr="00516037" w14:paraId="65EBAF7B" w14:textId="77777777" w:rsidTr="00CA49B8">
        <w:trPr>
          <w:tblHeader/>
        </w:trPr>
        <w:tc>
          <w:tcPr>
            <w:tcW w:w="2943" w:type="dxa"/>
          </w:tcPr>
          <w:p w14:paraId="4D3E1381" w14:textId="6028A86A" w:rsidR="005D4FF5" w:rsidRPr="00516037" w:rsidRDefault="006802C8" w:rsidP="00F61C5C">
            <w:pPr>
              <w:pStyle w:val="TableHeading"/>
              <w:keepNext w:val="0"/>
              <w:rPr>
                <w:rFonts w:cs="Times New Roman"/>
              </w:rPr>
            </w:pPr>
            <w:r w:rsidRPr="00516037">
              <w:rPr>
                <w:rFonts w:cs="Times New Roman"/>
              </w:rPr>
              <w:t>Item</w:t>
            </w:r>
          </w:p>
        </w:tc>
        <w:tc>
          <w:tcPr>
            <w:tcW w:w="6073" w:type="dxa"/>
          </w:tcPr>
          <w:p w14:paraId="617F2642" w14:textId="6224218A" w:rsidR="005D4FF5" w:rsidRPr="00516037" w:rsidRDefault="005D4FF5" w:rsidP="004D328B">
            <w:pPr>
              <w:pStyle w:val="TableHeading"/>
              <w:keepNext w:val="0"/>
              <w:rPr>
                <w:rFonts w:cs="Times New Roman"/>
              </w:rPr>
            </w:pPr>
            <w:r w:rsidRPr="00516037">
              <w:rPr>
                <w:rFonts w:cs="Times New Roman"/>
              </w:rPr>
              <w:t>MSAC advice</w:t>
            </w:r>
            <w:r w:rsidR="004D328B" w:rsidRPr="00516037">
              <w:rPr>
                <w:rFonts w:cs="Times New Roman"/>
              </w:rPr>
              <w:t xml:space="preserve"> to applicant</w:t>
            </w:r>
            <w:r w:rsidRPr="00516037">
              <w:rPr>
                <w:rFonts w:cs="Times New Roman"/>
              </w:rPr>
              <w:t xml:space="preserve"> </w:t>
            </w:r>
            <w:r w:rsidR="004D328B" w:rsidRPr="00516037">
              <w:rPr>
                <w:rFonts w:cs="Times New Roman"/>
              </w:rPr>
              <w:t xml:space="preserve">for addressing in a resubmission </w:t>
            </w:r>
          </w:p>
        </w:tc>
      </w:tr>
      <w:tr w:rsidR="006802C8" w:rsidRPr="006802C8" w14:paraId="232B290C" w14:textId="77777777" w:rsidTr="00F61C5C">
        <w:tc>
          <w:tcPr>
            <w:tcW w:w="2943" w:type="dxa"/>
          </w:tcPr>
          <w:p w14:paraId="4643B0AB" w14:textId="7859AF88" w:rsidR="006802C8" w:rsidRPr="006802C8" w:rsidRDefault="006802C8" w:rsidP="004D328B">
            <w:pPr>
              <w:pStyle w:val="TableText"/>
              <w:keepNext w:val="0"/>
              <w:rPr>
                <w:rFonts w:ascii="Arial Narrow" w:hAnsi="Arial Narrow"/>
                <w:sz w:val="20"/>
                <w:szCs w:val="20"/>
              </w:rPr>
            </w:pPr>
            <w:r>
              <w:rPr>
                <w:rFonts w:ascii="Arial Narrow" w:hAnsi="Arial Narrow"/>
                <w:sz w:val="20"/>
                <w:szCs w:val="20"/>
              </w:rPr>
              <w:t>MBS item descriptor</w:t>
            </w:r>
          </w:p>
        </w:tc>
        <w:tc>
          <w:tcPr>
            <w:tcW w:w="6073" w:type="dxa"/>
          </w:tcPr>
          <w:p w14:paraId="70A44653" w14:textId="0A626345" w:rsidR="006802C8" w:rsidRDefault="00516037" w:rsidP="00516037">
            <w:pPr>
              <w:pStyle w:val="TableBullet"/>
              <w:numPr>
                <w:ilvl w:val="0"/>
                <w:numId w:val="0"/>
              </w:numPr>
              <w:tabs>
                <w:tab w:val="clear" w:pos="216"/>
                <w:tab w:val="left" w:pos="0"/>
              </w:tabs>
              <w:ind w:hanging="18"/>
              <w:rPr>
                <w:rFonts w:ascii="Arial Narrow" w:hAnsi="Arial Narrow"/>
                <w:sz w:val="20"/>
                <w:szCs w:val="20"/>
              </w:rPr>
            </w:pPr>
            <w:r>
              <w:rPr>
                <w:rFonts w:ascii="Arial Narrow" w:hAnsi="Arial Narrow"/>
                <w:sz w:val="20"/>
                <w:szCs w:val="20"/>
              </w:rPr>
              <w:t xml:space="preserve">Revision of the </w:t>
            </w:r>
            <w:r w:rsidR="006802C8" w:rsidRPr="006802C8">
              <w:rPr>
                <w:rFonts w:ascii="Arial Narrow" w:hAnsi="Arial Narrow"/>
                <w:sz w:val="20"/>
                <w:szCs w:val="20"/>
              </w:rPr>
              <w:t xml:space="preserve">MBS item descriptor to restrict the population to the subpopulation with high clinical need for S-ICD and should specify inclusion and exclusion </w:t>
            </w:r>
            <w:proofErr w:type="gramStart"/>
            <w:r w:rsidR="006802C8" w:rsidRPr="006802C8">
              <w:rPr>
                <w:rFonts w:ascii="Arial Narrow" w:hAnsi="Arial Narrow"/>
                <w:sz w:val="20"/>
                <w:szCs w:val="20"/>
              </w:rPr>
              <w:t>criteria</w:t>
            </w:r>
            <w:r>
              <w:rPr>
                <w:rFonts w:ascii="Arial Narrow" w:hAnsi="Arial Narrow"/>
                <w:sz w:val="20"/>
                <w:szCs w:val="20"/>
              </w:rPr>
              <w:t>,</w:t>
            </w:r>
            <w:r w:rsidR="006802C8" w:rsidRPr="006802C8">
              <w:rPr>
                <w:rFonts w:ascii="Arial Narrow" w:hAnsi="Arial Narrow"/>
                <w:sz w:val="20"/>
                <w:szCs w:val="20"/>
              </w:rPr>
              <w:t xml:space="preserve"> and</w:t>
            </w:r>
            <w:proofErr w:type="gramEnd"/>
            <w:r w:rsidR="006802C8" w:rsidRPr="006802C8">
              <w:rPr>
                <w:rFonts w:ascii="Arial Narrow" w:hAnsi="Arial Narrow"/>
                <w:sz w:val="20"/>
                <w:szCs w:val="20"/>
              </w:rPr>
              <w:t xml:space="preserve"> align with recommendations of the MBS Review Taskforce</w:t>
            </w:r>
            <w:r w:rsidR="006802C8">
              <w:rPr>
                <w:rFonts w:ascii="Arial Narrow" w:hAnsi="Arial Narrow"/>
                <w:sz w:val="20"/>
                <w:szCs w:val="20"/>
              </w:rPr>
              <w:t>.</w:t>
            </w:r>
          </w:p>
          <w:p w14:paraId="2DDD7055" w14:textId="313F7A1F" w:rsidR="006802C8" w:rsidRPr="006802C8" w:rsidRDefault="006802C8" w:rsidP="00516037">
            <w:pPr>
              <w:pStyle w:val="TableBullet"/>
              <w:numPr>
                <w:ilvl w:val="0"/>
                <w:numId w:val="0"/>
              </w:numPr>
              <w:tabs>
                <w:tab w:val="clear" w:pos="216"/>
                <w:tab w:val="left" w:pos="0"/>
              </w:tabs>
              <w:ind w:hanging="18"/>
              <w:rPr>
                <w:rFonts w:ascii="Arial Narrow" w:hAnsi="Arial Narrow"/>
                <w:sz w:val="20"/>
                <w:szCs w:val="20"/>
              </w:rPr>
            </w:pPr>
            <w:r>
              <w:rPr>
                <w:rFonts w:ascii="Arial Narrow" w:hAnsi="Arial Narrow"/>
                <w:sz w:val="20"/>
                <w:szCs w:val="20"/>
              </w:rPr>
              <w:t xml:space="preserve">Clinical society </w:t>
            </w:r>
            <w:r w:rsidR="00516037">
              <w:rPr>
                <w:rFonts w:ascii="Arial Narrow" w:hAnsi="Arial Narrow"/>
                <w:sz w:val="20"/>
                <w:szCs w:val="20"/>
              </w:rPr>
              <w:t>consultat</w:t>
            </w:r>
            <w:r>
              <w:rPr>
                <w:rFonts w:ascii="Arial Narrow" w:hAnsi="Arial Narrow"/>
                <w:sz w:val="20"/>
                <w:szCs w:val="20"/>
              </w:rPr>
              <w:t>ion should be sought on</w:t>
            </w:r>
            <w:r w:rsidR="00516037">
              <w:rPr>
                <w:rFonts w:ascii="Arial Narrow" w:hAnsi="Arial Narrow"/>
                <w:sz w:val="20"/>
                <w:szCs w:val="20"/>
              </w:rPr>
              <w:t xml:space="preserve"> the</w:t>
            </w:r>
            <w:r>
              <w:rPr>
                <w:rFonts w:ascii="Arial Narrow" w:hAnsi="Arial Narrow"/>
                <w:sz w:val="20"/>
                <w:szCs w:val="20"/>
              </w:rPr>
              <w:t xml:space="preserve"> inclusion and exclusion criteria to define the high need clinical subgroup to be included in the item descriptor.</w:t>
            </w:r>
          </w:p>
        </w:tc>
      </w:tr>
      <w:tr w:rsidR="00F90631" w:rsidRPr="006802C8" w14:paraId="48426F4A" w14:textId="77777777" w:rsidTr="00F61C5C">
        <w:tc>
          <w:tcPr>
            <w:tcW w:w="2943" w:type="dxa"/>
          </w:tcPr>
          <w:p w14:paraId="1FDE5927" w14:textId="75DEEE70" w:rsidR="00F90631" w:rsidRDefault="00F90631" w:rsidP="004D328B">
            <w:pPr>
              <w:pStyle w:val="TableText"/>
              <w:keepNext w:val="0"/>
              <w:rPr>
                <w:rFonts w:ascii="Arial Narrow" w:hAnsi="Arial Narrow"/>
                <w:sz w:val="20"/>
                <w:szCs w:val="20"/>
              </w:rPr>
            </w:pPr>
            <w:r>
              <w:rPr>
                <w:rFonts w:ascii="Arial Narrow" w:hAnsi="Arial Narrow"/>
                <w:sz w:val="20"/>
                <w:szCs w:val="20"/>
              </w:rPr>
              <w:t>Uncertain safety and effectiveness</w:t>
            </w:r>
          </w:p>
        </w:tc>
        <w:tc>
          <w:tcPr>
            <w:tcW w:w="6073" w:type="dxa"/>
          </w:tcPr>
          <w:p w14:paraId="6B34DD6B" w14:textId="28BD8862" w:rsidR="00F90631" w:rsidRPr="00F90631" w:rsidRDefault="00F90631" w:rsidP="00516037">
            <w:pPr>
              <w:pStyle w:val="TableBullet"/>
              <w:numPr>
                <w:ilvl w:val="0"/>
                <w:numId w:val="0"/>
              </w:numPr>
              <w:tabs>
                <w:tab w:val="left" w:pos="0"/>
              </w:tabs>
              <w:rPr>
                <w:rFonts w:ascii="Arial Narrow" w:hAnsi="Arial Narrow"/>
                <w:sz w:val="20"/>
                <w:szCs w:val="20"/>
              </w:rPr>
            </w:pPr>
            <w:r w:rsidRPr="00F90631">
              <w:rPr>
                <w:rFonts w:ascii="Arial Narrow" w:hAnsi="Arial Narrow"/>
                <w:sz w:val="20"/>
                <w:szCs w:val="20"/>
              </w:rPr>
              <w:t>Provide additional</w:t>
            </w:r>
            <w:r>
              <w:rPr>
                <w:rFonts w:ascii="Arial Narrow" w:hAnsi="Arial Narrow"/>
                <w:sz w:val="20"/>
                <w:szCs w:val="20"/>
              </w:rPr>
              <w:t xml:space="preserve"> data</w:t>
            </w:r>
            <w:r w:rsidRPr="00F90631">
              <w:rPr>
                <w:rFonts w:ascii="Arial Narrow" w:hAnsi="Arial Narrow"/>
                <w:sz w:val="20"/>
                <w:szCs w:val="20"/>
              </w:rPr>
              <w:t>:</w:t>
            </w:r>
          </w:p>
          <w:p w14:paraId="661F31DA" w14:textId="7824626D" w:rsidR="00F90631" w:rsidRPr="00F90631" w:rsidRDefault="00F90631" w:rsidP="00516037">
            <w:pPr>
              <w:pStyle w:val="TableBullet"/>
              <w:numPr>
                <w:ilvl w:val="0"/>
                <w:numId w:val="38"/>
              </w:numPr>
              <w:tabs>
                <w:tab w:val="left" w:pos="0"/>
              </w:tabs>
              <w:rPr>
                <w:rFonts w:ascii="Arial Narrow" w:hAnsi="Arial Narrow"/>
                <w:sz w:val="20"/>
                <w:szCs w:val="20"/>
              </w:rPr>
            </w:pPr>
            <w:r w:rsidRPr="00F90631">
              <w:rPr>
                <w:rFonts w:ascii="Arial Narrow" w:hAnsi="Arial Narrow"/>
                <w:sz w:val="20"/>
                <w:szCs w:val="20"/>
              </w:rPr>
              <w:t>PRAETORIAN</w:t>
            </w:r>
            <w:r>
              <w:rPr>
                <w:rFonts w:ascii="Arial Narrow" w:hAnsi="Arial Narrow"/>
                <w:sz w:val="20"/>
                <w:szCs w:val="20"/>
              </w:rPr>
              <w:t xml:space="preserve"> trial data on</w:t>
            </w:r>
            <w:r w:rsidRPr="00F90631">
              <w:rPr>
                <w:rFonts w:ascii="Arial Narrow" w:hAnsi="Arial Narrow"/>
                <w:sz w:val="20"/>
                <w:szCs w:val="20"/>
              </w:rPr>
              <w:t xml:space="preserve"> Quality of life data (SF-36, Duke Activity Status Index questionnaires at 30 m</w:t>
            </w:r>
            <w:r w:rsidR="00516037">
              <w:rPr>
                <w:rFonts w:ascii="Arial Narrow" w:hAnsi="Arial Narrow"/>
                <w:sz w:val="20"/>
                <w:szCs w:val="20"/>
              </w:rPr>
              <w:t>on</w:t>
            </w:r>
            <w:r w:rsidRPr="00F90631">
              <w:rPr>
                <w:rFonts w:ascii="Arial Narrow" w:hAnsi="Arial Narrow"/>
                <w:sz w:val="20"/>
                <w:szCs w:val="20"/>
              </w:rPr>
              <w:t>ths)</w:t>
            </w:r>
            <w:r>
              <w:rPr>
                <w:rFonts w:ascii="Arial Narrow" w:hAnsi="Arial Narrow"/>
                <w:sz w:val="20"/>
                <w:szCs w:val="20"/>
              </w:rPr>
              <w:t xml:space="preserve"> and</w:t>
            </w:r>
            <w:r w:rsidRPr="00F90631">
              <w:rPr>
                <w:rFonts w:ascii="Arial Narrow" w:hAnsi="Arial Narrow"/>
                <w:sz w:val="20"/>
                <w:szCs w:val="20"/>
              </w:rPr>
              <w:t xml:space="preserve"> all shocks.</w:t>
            </w:r>
          </w:p>
          <w:p w14:paraId="55C86C42" w14:textId="052338CB" w:rsidR="00F90631" w:rsidRPr="00F90631" w:rsidRDefault="00F90631" w:rsidP="00516037">
            <w:pPr>
              <w:pStyle w:val="TableBullet"/>
              <w:numPr>
                <w:ilvl w:val="0"/>
                <w:numId w:val="38"/>
              </w:numPr>
              <w:tabs>
                <w:tab w:val="left" w:pos="0"/>
              </w:tabs>
              <w:rPr>
                <w:rFonts w:ascii="Arial Narrow" w:hAnsi="Arial Narrow"/>
                <w:sz w:val="20"/>
                <w:szCs w:val="20"/>
              </w:rPr>
            </w:pPr>
            <w:r>
              <w:rPr>
                <w:rFonts w:ascii="Arial Narrow" w:hAnsi="Arial Narrow"/>
                <w:sz w:val="20"/>
                <w:szCs w:val="20"/>
              </w:rPr>
              <w:t xml:space="preserve">Longer-term registry follow-up data on </w:t>
            </w:r>
            <w:r w:rsidRPr="00F90631">
              <w:rPr>
                <w:rFonts w:ascii="Arial Narrow" w:hAnsi="Arial Narrow"/>
                <w:sz w:val="20"/>
                <w:szCs w:val="20"/>
              </w:rPr>
              <w:t xml:space="preserve">conversion to TV-ICD, battery life, shocks, </w:t>
            </w:r>
            <w:r>
              <w:rPr>
                <w:rFonts w:ascii="Arial Narrow" w:hAnsi="Arial Narrow"/>
                <w:sz w:val="20"/>
                <w:szCs w:val="20"/>
              </w:rPr>
              <w:t xml:space="preserve">and </w:t>
            </w:r>
            <w:r w:rsidRPr="00F90631">
              <w:rPr>
                <w:rFonts w:ascii="Arial Narrow" w:hAnsi="Arial Narrow"/>
                <w:sz w:val="20"/>
                <w:szCs w:val="20"/>
              </w:rPr>
              <w:t>lead complications.</w:t>
            </w:r>
          </w:p>
          <w:p w14:paraId="300EF10E" w14:textId="7F7EE82A" w:rsidR="00F90631" w:rsidRPr="006802C8" w:rsidRDefault="00F90631" w:rsidP="00516037">
            <w:pPr>
              <w:pStyle w:val="TableBullet"/>
              <w:numPr>
                <w:ilvl w:val="0"/>
                <w:numId w:val="38"/>
              </w:numPr>
              <w:tabs>
                <w:tab w:val="left" w:pos="0"/>
              </w:tabs>
              <w:rPr>
                <w:rFonts w:ascii="Arial Narrow" w:hAnsi="Arial Narrow"/>
                <w:sz w:val="20"/>
                <w:szCs w:val="20"/>
              </w:rPr>
            </w:pPr>
            <w:r>
              <w:rPr>
                <w:rFonts w:ascii="Arial Narrow" w:hAnsi="Arial Narrow"/>
                <w:sz w:val="20"/>
                <w:szCs w:val="20"/>
              </w:rPr>
              <w:t>Public hospital data on c</w:t>
            </w:r>
            <w:r w:rsidRPr="00F90631">
              <w:rPr>
                <w:rFonts w:ascii="Arial Narrow" w:hAnsi="Arial Narrow"/>
                <w:sz w:val="20"/>
                <w:szCs w:val="20"/>
              </w:rPr>
              <w:t>urrent S-ICD utilisation.</w:t>
            </w:r>
          </w:p>
        </w:tc>
      </w:tr>
      <w:tr w:rsidR="004D328B" w:rsidRPr="00516037" w14:paraId="267B6E52" w14:textId="77777777" w:rsidTr="00F61C5C">
        <w:tc>
          <w:tcPr>
            <w:tcW w:w="2943" w:type="dxa"/>
          </w:tcPr>
          <w:p w14:paraId="6892FEF7" w14:textId="2D6F0FC0" w:rsidR="004D328B" w:rsidRPr="00516037" w:rsidRDefault="004D328B" w:rsidP="006802C8">
            <w:pPr>
              <w:pStyle w:val="TableText"/>
              <w:keepNext w:val="0"/>
              <w:rPr>
                <w:rFonts w:ascii="Arial Narrow" w:hAnsi="Arial Narrow"/>
                <w:sz w:val="20"/>
                <w:szCs w:val="20"/>
              </w:rPr>
            </w:pPr>
            <w:r w:rsidRPr="00516037">
              <w:rPr>
                <w:rFonts w:ascii="Arial Narrow" w:hAnsi="Arial Narrow"/>
                <w:sz w:val="20"/>
                <w:szCs w:val="20"/>
              </w:rPr>
              <w:t xml:space="preserve">Cost-minimisation analysis </w:t>
            </w:r>
          </w:p>
        </w:tc>
        <w:tc>
          <w:tcPr>
            <w:tcW w:w="6073" w:type="dxa"/>
          </w:tcPr>
          <w:p w14:paraId="353DC9BA" w14:textId="3E47DE42" w:rsidR="006802C8" w:rsidRDefault="006802C8" w:rsidP="00516037">
            <w:pPr>
              <w:pStyle w:val="TableBullet"/>
              <w:numPr>
                <w:ilvl w:val="0"/>
                <w:numId w:val="0"/>
              </w:numPr>
              <w:rPr>
                <w:rFonts w:ascii="Arial Narrow" w:hAnsi="Arial Narrow"/>
                <w:sz w:val="20"/>
                <w:szCs w:val="20"/>
              </w:rPr>
            </w:pPr>
            <w:r>
              <w:rPr>
                <w:rFonts w:ascii="Arial Narrow" w:hAnsi="Arial Narrow"/>
                <w:sz w:val="20"/>
                <w:szCs w:val="20"/>
              </w:rPr>
              <w:t>Revise the economic analysis to include:</w:t>
            </w:r>
          </w:p>
          <w:p w14:paraId="28FD8841" w14:textId="66CDBD41" w:rsidR="004D328B" w:rsidRPr="00516037" w:rsidRDefault="004D328B" w:rsidP="00516037">
            <w:pPr>
              <w:pStyle w:val="TableBullet"/>
              <w:numPr>
                <w:ilvl w:val="0"/>
                <w:numId w:val="37"/>
              </w:numPr>
              <w:rPr>
                <w:rFonts w:ascii="Arial Narrow" w:hAnsi="Arial Narrow"/>
                <w:sz w:val="20"/>
                <w:szCs w:val="20"/>
              </w:rPr>
            </w:pPr>
            <w:r w:rsidRPr="00516037">
              <w:rPr>
                <w:rFonts w:ascii="Arial Narrow" w:hAnsi="Arial Narrow"/>
                <w:sz w:val="20"/>
                <w:szCs w:val="20"/>
              </w:rPr>
              <w:t xml:space="preserve">a </w:t>
            </w:r>
            <w:proofErr w:type="gramStart"/>
            <w:r w:rsidRPr="00516037">
              <w:rPr>
                <w:rFonts w:ascii="Arial Narrow" w:hAnsi="Arial Narrow"/>
                <w:sz w:val="20"/>
                <w:szCs w:val="20"/>
              </w:rPr>
              <w:t>20 year</w:t>
            </w:r>
            <w:proofErr w:type="gramEnd"/>
            <w:r w:rsidRPr="00516037">
              <w:rPr>
                <w:rFonts w:ascii="Arial Narrow" w:hAnsi="Arial Narrow"/>
                <w:sz w:val="20"/>
                <w:szCs w:val="20"/>
              </w:rPr>
              <w:t xml:space="preserve"> time horizon </w:t>
            </w:r>
          </w:p>
          <w:p w14:paraId="079FA9BC" w14:textId="77777777" w:rsidR="00113B4B" w:rsidRDefault="006802C8" w:rsidP="006802C8">
            <w:pPr>
              <w:pStyle w:val="TableBullet"/>
              <w:rPr>
                <w:rFonts w:ascii="Arial Narrow" w:hAnsi="Arial Narrow"/>
                <w:sz w:val="20"/>
                <w:szCs w:val="20"/>
              </w:rPr>
            </w:pPr>
            <w:r w:rsidRPr="006802C8">
              <w:rPr>
                <w:rFonts w:ascii="Arial Narrow" w:hAnsi="Arial Narrow"/>
                <w:sz w:val="20"/>
                <w:szCs w:val="20"/>
              </w:rPr>
              <w:t>costs for exercise stress testing to screen for T wave over-sensing in patients being considered for S-ICD (assume rate should be 30%)</w:t>
            </w:r>
          </w:p>
          <w:p w14:paraId="42B1E2E6" w14:textId="1A4C69C4" w:rsidR="006802C8" w:rsidRPr="0052541C" w:rsidRDefault="006802C8" w:rsidP="006802C8">
            <w:pPr>
              <w:pStyle w:val="TableBullet"/>
              <w:rPr>
                <w:rFonts w:ascii="Arial Narrow" w:hAnsi="Arial Narrow"/>
                <w:sz w:val="20"/>
                <w:szCs w:val="20"/>
              </w:rPr>
            </w:pPr>
            <w:r w:rsidRPr="003D4190">
              <w:rPr>
                <w:rFonts w:ascii="Arial Narrow" w:hAnsi="Arial Narrow"/>
                <w:sz w:val="20"/>
                <w:szCs w:val="20"/>
              </w:rPr>
              <w:t>different</w:t>
            </w:r>
            <w:r w:rsidR="00113B4B" w:rsidRPr="003D4190">
              <w:rPr>
                <w:rFonts w:ascii="Arial Narrow" w:hAnsi="Arial Narrow"/>
                <w:sz w:val="20"/>
                <w:szCs w:val="20"/>
              </w:rPr>
              <w:t xml:space="preserve"> battery lives (current models)</w:t>
            </w:r>
          </w:p>
          <w:p w14:paraId="45434F60" w14:textId="1A983EE0" w:rsidR="006802C8" w:rsidRDefault="006802C8" w:rsidP="006802C8">
            <w:pPr>
              <w:pStyle w:val="TableBullet"/>
              <w:rPr>
                <w:rFonts w:ascii="Arial Narrow" w:hAnsi="Arial Narrow"/>
                <w:sz w:val="20"/>
                <w:szCs w:val="20"/>
              </w:rPr>
            </w:pPr>
            <w:r>
              <w:rPr>
                <w:rFonts w:ascii="Arial Narrow" w:hAnsi="Arial Narrow"/>
                <w:sz w:val="20"/>
                <w:szCs w:val="20"/>
              </w:rPr>
              <w:t>ongoing conversion to TV-ICD based on registry data</w:t>
            </w:r>
          </w:p>
          <w:p w14:paraId="0E8885A3" w14:textId="16579AF1" w:rsidR="006802C8" w:rsidRPr="00516037" w:rsidRDefault="006802C8" w:rsidP="000750B8">
            <w:pPr>
              <w:pStyle w:val="TableBullet"/>
              <w:rPr>
                <w:rFonts w:ascii="Arial Narrow" w:hAnsi="Arial Narrow"/>
                <w:sz w:val="20"/>
                <w:szCs w:val="20"/>
              </w:rPr>
            </w:pPr>
            <w:r w:rsidRPr="00F90631">
              <w:rPr>
                <w:rFonts w:ascii="Arial Narrow" w:hAnsi="Arial Narrow"/>
                <w:sz w:val="20"/>
                <w:szCs w:val="20"/>
              </w:rPr>
              <w:t xml:space="preserve">DFT and </w:t>
            </w:r>
            <w:r w:rsidR="00113B4B">
              <w:rPr>
                <w:rFonts w:ascii="Arial Narrow" w:hAnsi="Arial Narrow"/>
                <w:sz w:val="20"/>
                <w:szCs w:val="20"/>
              </w:rPr>
              <w:t>general</w:t>
            </w:r>
            <w:r w:rsidR="000750B8">
              <w:rPr>
                <w:rFonts w:ascii="Arial Narrow" w:hAnsi="Arial Narrow"/>
                <w:sz w:val="20"/>
                <w:szCs w:val="20"/>
              </w:rPr>
              <w:t xml:space="preserve"> anaesthesia</w:t>
            </w:r>
            <w:r w:rsidRPr="00F90631">
              <w:rPr>
                <w:rFonts w:ascii="Arial Narrow" w:hAnsi="Arial Narrow"/>
                <w:sz w:val="20"/>
                <w:szCs w:val="20"/>
              </w:rPr>
              <w:t xml:space="preserve"> rates based on </w:t>
            </w:r>
            <w:r w:rsidRPr="00516037">
              <w:rPr>
                <w:rFonts w:ascii="Arial Narrow" w:hAnsi="Arial Narrow"/>
                <w:sz w:val="20"/>
                <w:szCs w:val="20"/>
              </w:rPr>
              <w:t>local experience</w:t>
            </w:r>
            <w:r w:rsidR="00F90631">
              <w:rPr>
                <w:rFonts w:ascii="Arial Narrow" w:hAnsi="Arial Narrow"/>
                <w:sz w:val="20"/>
                <w:szCs w:val="20"/>
              </w:rPr>
              <w:t>.</w:t>
            </w:r>
          </w:p>
        </w:tc>
      </w:tr>
      <w:tr w:rsidR="004D328B" w:rsidRPr="00516037" w14:paraId="76718E2A" w14:textId="77777777" w:rsidTr="00F61C5C">
        <w:tc>
          <w:tcPr>
            <w:tcW w:w="2943" w:type="dxa"/>
          </w:tcPr>
          <w:p w14:paraId="32347B99" w14:textId="3FC0094A" w:rsidR="004D328B" w:rsidRPr="00516037" w:rsidRDefault="004D328B" w:rsidP="004D328B">
            <w:pPr>
              <w:pStyle w:val="TableText"/>
              <w:keepNext w:val="0"/>
              <w:rPr>
                <w:rFonts w:ascii="Arial Narrow" w:hAnsi="Arial Narrow"/>
                <w:sz w:val="20"/>
                <w:szCs w:val="20"/>
              </w:rPr>
            </w:pPr>
            <w:r w:rsidRPr="00516037">
              <w:rPr>
                <w:rFonts w:ascii="Arial Narrow" w:hAnsi="Arial Narrow"/>
                <w:sz w:val="20"/>
                <w:szCs w:val="20"/>
              </w:rPr>
              <w:t xml:space="preserve">Recent TGA recall on S-ICD lead </w:t>
            </w:r>
          </w:p>
        </w:tc>
        <w:tc>
          <w:tcPr>
            <w:tcW w:w="6073" w:type="dxa"/>
          </w:tcPr>
          <w:p w14:paraId="3495EB53" w14:textId="51B3DBBD" w:rsidR="004D328B" w:rsidRPr="00516037" w:rsidRDefault="006802C8" w:rsidP="00113B4B">
            <w:pPr>
              <w:pStyle w:val="TableText"/>
              <w:keepNext w:val="0"/>
              <w:rPr>
                <w:rFonts w:ascii="Arial Narrow" w:hAnsi="Arial Narrow"/>
                <w:sz w:val="20"/>
                <w:szCs w:val="20"/>
              </w:rPr>
            </w:pPr>
            <w:r>
              <w:rPr>
                <w:rFonts w:ascii="Arial Narrow" w:hAnsi="Arial Narrow"/>
                <w:sz w:val="20"/>
                <w:szCs w:val="20"/>
              </w:rPr>
              <w:t xml:space="preserve">Confirmation </w:t>
            </w:r>
            <w:r w:rsidR="00113B4B">
              <w:rPr>
                <w:rFonts w:ascii="Arial Narrow" w:hAnsi="Arial Narrow"/>
                <w:sz w:val="20"/>
                <w:szCs w:val="20"/>
              </w:rPr>
              <w:t xml:space="preserve">that </w:t>
            </w:r>
            <w:r>
              <w:rPr>
                <w:rFonts w:ascii="Arial Narrow" w:hAnsi="Arial Narrow"/>
                <w:sz w:val="20"/>
                <w:szCs w:val="20"/>
              </w:rPr>
              <w:t>TGA recall</w:t>
            </w:r>
            <w:r w:rsidR="00113B4B">
              <w:rPr>
                <w:rFonts w:ascii="Arial Narrow" w:hAnsi="Arial Narrow"/>
                <w:sz w:val="20"/>
                <w:szCs w:val="20"/>
              </w:rPr>
              <w:t xml:space="preserve"> has been resolved</w:t>
            </w:r>
            <w:r>
              <w:rPr>
                <w:rFonts w:ascii="Arial Narrow" w:hAnsi="Arial Narrow"/>
                <w:sz w:val="20"/>
                <w:szCs w:val="20"/>
              </w:rPr>
              <w:t xml:space="preserve"> and p</w:t>
            </w:r>
            <w:r w:rsidR="004D328B" w:rsidRPr="00516037">
              <w:rPr>
                <w:rFonts w:ascii="Arial Narrow" w:hAnsi="Arial Narrow"/>
                <w:sz w:val="20"/>
                <w:szCs w:val="20"/>
              </w:rPr>
              <w:t>rovide any updated data/information that contributes to the resolution of this matter</w:t>
            </w:r>
          </w:p>
        </w:tc>
      </w:tr>
    </w:tbl>
    <w:p w14:paraId="2140238B" w14:textId="77777777" w:rsidR="00BC1364" w:rsidRPr="00F715D1" w:rsidRDefault="00BC1364" w:rsidP="00F715D1">
      <w:pPr>
        <w:pStyle w:val="Heading1"/>
      </w:pPr>
      <w:r w:rsidRPr="00F715D1">
        <w:t>Background</w:t>
      </w:r>
    </w:p>
    <w:p w14:paraId="01B43D38" w14:textId="1543E56B" w:rsidR="00BC1364" w:rsidRDefault="00F01B4A" w:rsidP="00F715D1">
      <w:pPr>
        <w:spacing w:after="240"/>
      </w:pPr>
      <w:r w:rsidRPr="00D622DE">
        <w:t>This is the first resubmission for MSAC Application</w:t>
      </w:r>
      <w:r w:rsidRPr="004A3A28">
        <w:t xml:space="preserve"> 1374, which sought assessment of the</w:t>
      </w:r>
      <w:r w:rsidR="004270FC">
        <w:br/>
      </w:r>
      <w:r w:rsidRPr="004A3A28">
        <w:t>S-ICD therapy system and proposed the creation of a new MBS item for insertion</w:t>
      </w:r>
      <w:r>
        <w:t xml:space="preserve"> of the S-ICD lead (electrode). MSAC considered Application 1374 in November 2014 (</w:t>
      </w:r>
      <w:hyperlink r:id="rId10" w:tooltip="This is a link to the MSAC website" w:history="1">
        <w:r w:rsidRPr="00AF6671">
          <w:rPr>
            <w:rStyle w:val="Hyperlink"/>
          </w:rPr>
          <w:t>MSAC Application 1374 Public Summary Document</w:t>
        </w:r>
      </w:hyperlink>
      <w:r>
        <w:t xml:space="preserve"> [PSD]). At that time, </w:t>
      </w:r>
      <w:r w:rsidRPr="007A7B8E">
        <w:t>MSAC did not support public funding for S-ICD because of uncertain comparative long-term safety and clinical effectiveness</w:t>
      </w:r>
      <w:r>
        <w:t>,</w:t>
      </w:r>
      <w:r w:rsidRPr="007A7B8E">
        <w:t xml:space="preserve"> which translated into uncertain</w:t>
      </w:r>
      <w:r>
        <w:t>ty in the</w:t>
      </w:r>
      <w:r w:rsidRPr="007A7B8E">
        <w:t xml:space="preserve"> </w:t>
      </w:r>
      <w:r>
        <w:t>economic analysis</w:t>
      </w:r>
      <w:r w:rsidRPr="007A7B8E">
        <w:t>. MSAC suggested the results from a large</w:t>
      </w:r>
      <w:r>
        <w:t>,</w:t>
      </w:r>
      <w:r w:rsidRPr="007A7B8E">
        <w:t xml:space="preserve"> prospective</w:t>
      </w:r>
      <w:r>
        <w:t>,</w:t>
      </w:r>
      <w:r w:rsidRPr="007A7B8E">
        <w:t xml:space="preserve"> multi-centre, randomised trial (PRAETORIAN) </w:t>
      </w:r>
      <w:r>
        <w:t>– which was underway at the time of MSAC consideration</w:t>
      </w:r>
      <w:r w:rsidRPr="007A7B8E">
        <w:t xml:space="preserve"> </w:t>
      </w:r>
      <w:r>
        <w:t xml:space="preserve">– </w:t>
      </w:r>
      <w:r w:rsidRPr="007A7B8E">
        <w:t>may help to address the uncertainties.</w:t>
      </w:r>
    </w:p>
    <w:p w14:paraId="16ADE15E" w14:textId="6CA15F56" w:rsidR="004270FC" w:rsidRPr="004270FC" w:rsidRDefault="00F01B4A">
      <w:r>
        <w:t>An ADAR was resubmitted (MSAC Application 1374.1) following the publication of the findings from the PRAETORIAN trial (Knops et al. 2020</w:t>
      </w:r>
      <w:r>
        <w:rPr>
          <w:rStyle w:val="FootnoteReference"/>
        </w:rPr>
        <w:footnoteReference w:id="8"/>
      </w:r>
      <w:r>
        <w:t>).</w:t>
      </w:r>
      <w:r w:rsidRPr="00856F46">
        <w:t xml:space="preserve"> </w:t>
      </w:r>
      <w:r>
        <w:t>The key issues raised in</w:t>
      </w:r>
      <w:r w:rsidR="002525D8">
        <w:t xml:space="preserve"> the</w:t>
      </w:r>
      <w:r>
        <w:t xml:space="preserve"> MSAC Application 1374 PSD, and how these </w:t>
      </w:r>
      <w:r w:rsidR="002525D8">
        <w:t>were</w:t>
      </w:r>
      <w:r>
        <w:t xml:space="preserve"> addressed in the resubmission (MSAC 1374.1), are outlined in </w:t>
      </w:r>
      <w:r>
        <w:fldChar w:fldCharType="begin"/>
      </w:r>
      <w:r>
        <w:instrText xml:space="preserve"> REF _Ref58422231 \h </w:instrText>
      </w:r>
      <w:r>
        <w:fldChar w:fldCharType="separate"/>
      </w:r>
      <w:r w:rsidR="00113B4B">
        <w:t xml:space="preserve">Table </w:t>
      </w:r>
      <w:r w:rsidR="00113B4B">
        <w:rPr>
          <w:noProof/>
        </w:rPr>
        <w:t>2</w:t>
      </w:r>
      <w:r>
        <w:fldChar w:fldCharType="end"/>
      </w:r>
      <w:r>
        <w:t>.</w:t>
      </w:r>
      <w:bookmarkStart w:id="1" w:name="_Ref58422231"/>
      <w:r w:rsidR="004270FC">
        <w:br w:type="page"/>
      </w:r>
    </w:p>
    <w:p w14:paraId="4A7AF6ED" w14:textId="7C52FC81" w:rsidR="00F01B4A" w:rsidRPr="00F419E6" w:rsidRDefault="00F01B4A" w:rsidP="004270FC">
      <w:pPr>
        <w:pStyle w:val="Caption"/>
        <w:spacing w:before="240"/>
      </w:pPr>
      <w:r>
        <w:lastRenderedPageBreak/>
        <w:t xml:space="preserve">Table </w:t>
      </w:r>
      <w:fldSimple w:instr=" SEQ Table \* ARABIC ">
        <w:r w:rsidR="00113B4B">
          <w:rPr>
            <w:noProof/>
          </w:rPr>
          <w:t>2</w:t>
        </w:r>
      </w:fldSimple>
      <w:bookmarkEnd w:id="1"/>
      <w:r w:rsidRPr="00183E4D">
        <w:tab/>
      </w:r>
      <w:r>
        <w:t>Key concerns raised in 2014 Public Summary Document for Application 1374 and addressed in the resubmission</w:t>
      </w:r>
    </w:p>
    <w:tbl>
      <w:tblPr>
        <w:tblStyle w:val="TableGrid"/>
        <w:tblW w:w="4921" w:type="pct"/>
        <w:tblLayout w:type="fixed"/>
        <w:tblLook w:val="04A0" w:firstRow="1" w:lastRow="0" w:firstColumn="1" w:lastColumn="0" w:noHBand="0" w:noVBand="1"/>
        <w:tblCaption w:val="Table 9 Key concerns raised in 2014 Public Summary Document for Application 1374 and addressed in the reapplication"/>
        <w:tblDescription w:val="This table lists the key concerns raised in 2014 Public Summary Document for Application 1374 and addressed in the reapplication"/>
      </w:tblPr>
      <w:tblGrid>
        <w:gridCol w:w="420"/>
        <w:gridCol w:w="2625"/>
        <w:gridCol w:w="2776"/>
        <w:gridCol w:w="3053"/>
      </w:tblGrid>
      <w:tr w:rsidR="00F01B4A" w:rsidRPr="009770A5" w14:paraId="69FB86BE" w14:textId="77777777" w:rsidTr="00F01B4A">
        <w:trPr>
          <w:tblHeader/>
        </w:trPr>
        <w:tc>
          <w:tcPr>
            <w:tcW w:w="237" w:type="pct"/>
            <w:tcBorders>
              <w:bottom w:val="single" w:sz="4" w:space="0" w:color="auto"/>
            </w:tcBorders>
          </w:tcPr>
          <w:p w14:paraId="6A5FB8F0" w14:textId="77777777" w:rsidR="00F01B4A" w:rsidRPr="009770A5" w:rsidRDefault="00F01B4A" w:rsidP="004270FC">
            <w:pPr>
              <w:pStyle w:val="TableHeading"/>
              <w:spacing w:before="0" w:after="0"/>
              <w:ind w:left="22"/>
              <w:rPr>
                <w:sz w:val="18"/>
                <w:szCs w:val="18"/>
              </w:rPr>
            </w:pPr>
            <w:r>
              <w:rPr>
                <w:sz w:val="18"/>
                <w:szCs w:val="18"/>
              </w:rPr>
              <w:t>No.</w:t>
            </w:r>
          </w:p>
        </w:tc>
        <w:tc>
          <w:tcPr>
            <w:tcW w:w="1479" w:type="pct"/>
            <w:tcBorders>
              <w:bottom w:val="single" w:sz="4" w:space="0" w:color="auto"/>
            </w:tcBorders>
          </w:tcPr>
          <w:p w14:paraId="7546BD08" w14:textId="77777777" w:rsidR="00F01B4A" w:rsidRPr="00856F46" w:rsidRDefault="00F01B4A" w:rsidP="004270FC">
            <w:pPr>
              <w:pStyle w:val="Tabletextboldleft"/>
            </w:pPr>
            <w:r w:rsidRPr="00856F46">
              <w:t>Issue for MSAC</w:t>
            </w:r>
          </w:p>
        </w:tc>
        <w:tc>
          <w:tcPr>
            <w:tcW w:w="1564" w:type="pct"/>
            <w:tcBorders>
              <w:bottom w:val="single" w:sz="4" w:space="0" w:color="auto"/>
            </w:tcBorders>
          </w:tcPr>
          <w:p w14:paraId="35CEC0B0" w14:textId="77777777" w:rsidR="00F01B4A" w:rsidRPr="00856F46" w:rsidRDefault="00F01B4A" w:rsidP="004270FC">
            <w:pPr>
              <w:pStyle w:val="Tabletextboldleft"/>
            </w:pPr>
            <w:r>
              <w:t>Resubmission c</w:t>
            </w:r>
            <w:r w:rsidRPr="00856F46">
              <w:t>onclusions [from ADAR Table ES-2]</w:t>
            </w:r>
          </w:p>
        </w:tc>
        <w:tc>
          <w:tcPr>
            <w:tcW w:w="1720" w:type="pct"/>
            <w:tcBorders>
              <w:bottom w:val="single" w:sz="4" w:space="0" w:color="auto"/>
            </w:tcBorders>
          </w:tcPr>
          <w:p w14:paraId="57C2DF40" w14:textId="77777777" w:rsidR="00F01B4A" w:rsidRPr="00856F46" w:rsidRDefault="00F01B4A" w:rsidP="004270FC">
            <w:pPr>
              <w:pStyle w:val="Tabletextboldleft"/>
            </w:pPr>
            <w:r w:rsidRPr="00856F46">
              <w:t>Assessment Group comments</w:t>
            </w:r>
          </w:p>
        </w:tc>
      </w:tr>
      <w:tr w:rsidR="00F01B4A" w:rsidRPr="009770A5" w14:paraId="2B0D39C9" w14:textId="77777777" w:rsidTr="00F01B4A">
        <w:tc>
          <w:tcPr>
            <w:tcW w:w="237" w:type="pct"/>
          </w:tcPr>
          <w:p w14:paraId="716D27D3" w14:textId="77777777" w:rsidR="00F01B4A" w:rsidRPr="009770A5" w:rsidRDefault="00F01B4A" w:rsidP="004270FC">
            <w:pPr>
              <w:pStyle w:val="Tabletext0"/>
              <w:spacing w:before="0" w:after="0"/>
              <w:ind w:left="22"/>
              <w:rPr>
                <w:sz w:val="18"/>
                <w:szCs w:val="18"/>
              </w:rPr>
            </w:pPr>
            <w:r w:rsidRPr="009770A5">
              <w:rPr>
                <w:sz w:val="18"/>
                <w:szCs w:val="18"/>
              </w:rPr>
              <w:t>1</w:t>
            </w:r>
          </w:p>
        </w:tc>
        <w:tc>
          <w:tcPr>
            <w:tcW w:w="1479" w:type="pct"/>
          </w:tcPr>
          <w:p w14:paraId="039DACB6" w14:textId="77777777" w:rsidR="00F01B4A" w:rsidRPr="009770A5" w:rsidRDefault="00F01B4A" w:rsidP="004270FC">
            <w:pPr>
              <w:pStyle w:val="Tabletext0"/>
              <w:spacing w:before="0" w:after="0"/>
              <w:ind w:left="22"/>
              <w:rPr>
                <w:sz w:val="18"/>
                <w:szCs w:val="18"/>
              </w:rPr>
            </w:pPr>
            <w:r w:rsidRPr="009770A5">
              <w:rPr>
                <w:sz w:val="18"/>
                <w:szCs w:val="18"/>
              </w:rPr>
              <w:t>S-ICD therapy is an alternative option to TV-ICD for patients that do not require pacing therapy and in whom insertion of a TV-ICD is not ideal or feasible.</w:t>
            </w:r>
          </w:p>
        </w:tc>
        <w:tc>
          <w:tcPr>
            <w:tcW w:w="1564" w:type="pct"/>
          </w:tcPr>
          <w:p w14:paraId="52F77AB0" w14:textId="77777777" w:rsidR="00F01B4A" w:rsidRPr="009770A5" w:rsidRDefault="00F01B4A" w:rsidP="004270FC">
            <w:pPr>
              <w:pStyle w:val="Tabletext0"/>
              <w:spacing w:before="0" w:after="0"/>
              <w:rPr>
                <w:sz w:val="18"/>
                <w:szCs w:val="18"/>
              </w:rPr>
            </w:pPr>
          </w:p>
        </w:tc>
        <w:tc>
          <w:tcPr>
            <w:tcW w:w="1720" w:type="pct"/>
          </w:tcPr>
          <w:p w14:paraId="7B2A9118" w14:textId="77777777" w:rsidR="00F01B4A" w:rsidRPr="006C7DE6" w:rsidRDefault="00F01B4A" w:rsidP="004270FC">
            <w:pPr>
              <w:pStyle w:val="Tabletext0"/>
              <w:spacing w:before="0" w:after="0"/>
              <w:rPr>
                <w:sz w:val="18"/>
                <w:szCs w:val="18"/>
              </w:rPr>
            </w:pPr>
            <w:r w:rsidRPr="006C7DE6">
              <w:rPr>
                <w:i/>
                <w:iCs/>
                <w:sz w:val="18"/>
                <w:szCs w:val="18"/>
              </w:rPr>
              <w:t>Not resolved. The implication is that S-ICD is intended for a subpopulation with a high clinical need for an alternative to TV-ICD. The proposed descriptor is for a broader population and the clinical evidence is in a broader population (and possibly excludes the ‘high needs’ subpopulation).</w:t>
            </w:r>
          </w:p>
        </w:tc>
      </w:tr>
      <w:tr w:rsidR="00F01B4A" w:rsidRPr="009770A5" w14:paraId="205460E3" w14:textId="77777777" w:rsidTr="00F01B4A">
        <w:tc>
          <w:tcPr>
            <w:tcW w:w="237" w:type="pct"/>
          </w:tcPr>
          <w:p w14:paraId="356E956F" w14:textId="77777777" w:rsidR="00F01B4A" w:rsidRPr="009770A5" w:rsidRDefault="00F01B4A" w:rsidP="004270FC">
            <w:pPr>
              <w:pStyle w:val="Tabletext0"/>
              <w:spacing w:before="0" w:after="0"/>
              <w:ind w:left="22"/>
              <w:rPr>
                <w:sz w:val="18"/>
                <w:szCs w:val="18"/>
              </w:rPr>
            </w:pPr>
            <w:r w:rsidRPr="009770A5">
              <w:rPr>
                <w:sz w:val="18"/>
                <w:szCs w:val="18"/>
              </w:rPr>
              <w:t>2</w:t>
            </w:r>
          </w:p>
        </w:tc>
        <w:tc>
          <w:tcPr>
            <w:tcW w:w="1479" w:type="pct"/>
          </w:tcPr>
          <w:p w14:paraId="6E678CC0" w14:textId="77777777" w:rsidR="00F01B4A" w:rsidRPr="009770A5" w:rsidRDefault="00F01B4A" w:rsidP="004270FC">
            <w:pPr>
              <w:pStyle w:val="Tabletext0"/>
              <w:spacing w:before="0" w:after="0"/>
              <w:ind w:left="22"/>
              <w:rPr>
                <w:sz w:val="18"/>
                <w:szCs w:val="18"/>
              </w:rPr>
            </w:pPr>
            <w:r>
              <w:rPr>
                <w:sz w:val="18"/>
                <w:szCs w:val="18"/>
              </w:rPr>
              <w:t>T</w:t>
            </w:r>
            <w:r w:rsidRPr="009770A5">
              <w:rPr>
                <w:sz w:val="18"/>
                <w:szCs w:val="18"/>
              </w:rPr>
              <w:t>he evidence base for evaluation of the comparative safety and effectiveness for S-ICD was limited and based on small, non-randomised, unblinded studies with short-term follow-up and surrogate (largely technical) endpoints.</w:t>
            </w:r>
          </w:p>
        </w:tc>
        <w:tc>
          <w:tcPr>
            <w:tcW w:w="1564" w:type="pct"/>
          </w:tcPr>
          <w:p w14:paraId="158FA241" w14:textId="77777777" w:rsidR="00F01B4A" w:rsidRPr="009770A5" w:rsidRDefault="00F01B4A" w:rsidP="004270FC">
            <w:pPr>
              <w:pStyle w:val="Tabletext0"/>
              <w:spacing w:before="0" w:after="0"/>
              <w:rPr>
                <w:sz w:val="18"/>
                <w:szCs w:val="18"/>
              </w:rPr>
            </w:pPr>
            <w:r w:rsidRPr="009770A5">
              <w:rPr>
                <w:sz w:val="18"/>
                <w:szCs w:val="18"/>
              </w:rPr>
              <w:t xml:space="preserve">PRAETORIAN is a large (N=849) randomised </w:t>
            </w:r>
            <w:r>
              <w:rPr>
                <w:sz w:val="18"/>
                <w:szCs w:val="18"/>
              </w:rPr>
              <w:t>non-inferior</w:t>
            </w:r>
            <w:r w:rsidRPr="009770A5">
              <w:rPr>
                <w:sz w:val="18"/>
                <w:szCs w:val="18"/>
              </w:rPr>
              <w:t xml:space="preserve">ity trial comparing S-ICD and TV-ICD. At median follow-up of 49.1 months, there were no statistically significant differences between treatment arms for the composite primary endpoint (device related complications or inappropriate shocks), with 15.1% patients experiencing events in the S-ICD group and 15.7% in the TV-ICD group (HR = 0.99 [95% CI: 0.71, 1.39; p=0.95]). The </w:t>
            </w:r>
            <w:r>
              <w:rPr>
                <w:sz w:val="18"/>
                <w:szCs w:val="18"/>
              </w:rPr>
              <w:t>non-inferior</w:t>
            </w:r>
            <w:r w:rsidRPr="009770A5">
              <w:rPr>
                <w:sz w:val="18"/>
                <w:szCs w:val="18"/>
              </w:rPr>
              <w:t>ity margin was 1.45, indicating S-ICD is non-inferior to TV-ICD with respect to the primary endpoint (p=0.01).</w:t>
            </w:r>
          </w:p>
        </w:tc>
        <w:tc>
          <w:tcPr>
            <w:tcW w:w="1720" w:type="pct"/>
          </w:tcPr>
          <w:p w14:paraId="42505EDF" w14:textId="77777777" w:rsidR="00F01B4A" w:rsidRPr="006C7DE6" w:rsidRDefault="00F01B4A" w:rsidP="004270FC">
            <w:pPr>
              <w:pStyle w:val="Tabletext0"/>
              <w:spacing w:before="0" w:after="0"/>
              <w:rPr>
                <w:i/>
                <w:iCs/>
                <w:sz w:val="18"/>
                <w:szCs w:val="18"/>
              </w:rPr>
            </w:pPr>
            <w:r w:rsidRPr="006C7DE6">
              <w:rPr>
                <w:i/>
                <w:iCs/>
                <w:sz w:val="18"/>
                <w:szCs w:val="18"/>
              </w:rPr>
              <w:t>Resolved. An RCT is now available, although not all uncertainties have been resolved because the median duration of follow-up was only 49.1 months, which is insufficient to evaluate longer-term outcomes including revision, replacement and switching.</w:t>
            </w:r>
          </w:p>
        </w:tc>
      </w:tr>
      <w:tr w:rsidR="00F01B4A" w:rsidRPr="009770A5" w14:paraId="676924D1" w14:textId="77777777" w:rsidTr="00F01B4A">
        <w:tc>
          <w:tcPr>
            <w:tcW w:w="237" w:type="pct"/>
          </w:tcPr>
          <w:p w14:paraId="6015B011" w14:textId="77777777" w:rsidR="00F01B4A" w:rsidRPr="009770A5" w:rsidRDefault="00F01B4A" w:rsidP="004270FC">
            <w:pPr>
              <w:pStyle w:val="Tabletext0"/>
              <w:spacing w:before="0" w:after="0"/>
              <w:ind w:left="22"/>
              <w:rPr>
                <w:sz w:val="18"/>
                <w:szCs w:val="18"/>
              </w:rPr>
            </w:pPr>
            <w:r w:rsidRPr="009770A5">
              <w:rPr>
                <w:sz w:val="18"/>
                <w:szCs w:val="18"/>
              </w:rPr>
              <w:t>3</w:t>
            </w:r>
          </w:p>
        </w:tc>
        <w:tc>
          <w:tcPr>
            <w:tcW w:w="1479" w:type="pct"/>
          </w:tcPr>
          <w:p w14:paraId="3B106095" w14:textId="77777777" w:rsidR="00F01B4A" w:rsidRPr="009770A5" w:rsidRDefault="00F01B4A" w:rsidP="004270FC">
            <w:pPr>
              <w:pStyle w:val="Tabletext0"/>
              <w:spacing w:before="0" w:after="0"/>
              <w:ind w:left="22"/>
              <w:rPr>
                <w:sz w:val="18"/>
                <w:szCs w:val="18"/>
              </w:rPr>
            </w:pPr>
            <w:r>
              <w:rPr>
                <w:sz w:val="18"/>
                <w:szCs w:val="18"/>
              </w:rPr>
              <w:t>T</w:t>
            </w:r>
            <w:r w:rsidRPr="009770A5">
              <w:rPr>
                <w:sz w:val="18"/>
                <w:szCs w:val="18"/>
              </w:rPr>
              <w:t>his limited evidence raised a number of uncertainties such as:</w:t>
            </w:r>
          </w:p>
          <w:p w14:paraId="7E55F6E3"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levels of inappropriate shock (for short-term studies)</w:t>
            </w:r>
          </w:p>
        </w:tc>
        <w:tc>
          <w:tcPr>
            <w:tcW w:w="1564" w:type="pct"/>
          </w:tcPr>
          <w:p w14:paraId="42ED5C99" w14:textId="77777777" w:rsidR="00F01B4A" w:rsidRPr="009770A5" w:rsidRDefault="00F01B4A" w:rsidP="004270FC">
            <w:pPr>
              <w:pStyle w:val="Tabletext0"/>
              <w:spacing w:before="0" w:after="0"/>
              <w:rPr>
                <w:sz w:val="18"/>
                <w:szCs w:val="18"/>
              </w:rPr>
            </w:pPr>
            <w:r w:rsidRPr="009770A5">
              <w:rPr>
                <w:sz w:val="18"/>
                <w:szCs w:val="18"/>
              </w:rPr>
              <w:t>There was a slightly higher rate of inappropriate shocks for S-ICD (9.7%) compared to TV-ICD (7.3%); however, the rate was not statistically significant (HR = 1.43 (95% CI: 0.89, 2.30). The inappropriate shocks include 24 patients (5.6%) who experienced cardiac oversensing (including T-wave and P-wave oversensing and shock below the detection limit).</w:t>
            </w:r>
          </w:p>
          <w:p w14:paraId="2706366C" w14:textId="77777777" w:rsidR="00F01B4A" w:rsidRPr="009770A5" w:rsidRDefault="00F01B4A" w:rsidP="004270FC">
            <w:pPr>
              <w:pStyle w:val="Tabletext0"/>
              <w:spacing w:before="0" w:after="0"/>
              <w:rPr>
                <w:sz w:val="18"/>
                <w:szCs w:val="18"/>
              </w:rPr>
            </w:pPr>
            <w:r w:rsidRPr="009770A5">
              <w:rPr>
                <w:sz w:val="18"/>
                <w:szCs w:val="18"/>
              </w:rPr>
              <w:t xml:space="preserve">It should be noted this result overestimates the true rate of inappropriate shocks due to the lack of SMART PASS technology, which was shown by </w:t>
            </w:r>
            <w:proofErr w:type="spellStart"/>
            <w:r w:rsidRPr="009770A5">
              <w:rPr>
                <w:sz w:val="18"/>
                <w:szCs w:val="18"/>
              </w:rPr>
              <w:t>Theuns</w:t>
            </w:r>
            <w:proofErr w:type="spellEnd"/>
            <w:r w:rsidRPr="009770A5">
              <w:rPr>
                <w:sz w:val="18"/>
                <w:szCs w:val="18"/>
              </w:rPr>
              <w:t xml:space="preserve"> (2018) to reduce the risk of first inappropriate shocks (HR=0.502) and all inappropriate shocks (HR=0.320). The low rate of inappropriate shocks with SMART PASS technology (one (0.1%) at 30 days) was demonstrated in the UNTOUCHED registry study (Boersma, 2019).</w:t>
            </w:r>
          </w:p>
        </w:tc>
        <w:tc>
          <w:tcPr>
            <w:tcW w:w="1720" w:type="pct"/>
          </w:tcPr>
          <w:p w14:paraId="346282BC"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There are residual concerns because the PRAETORIAN publication reported the first occurrence of an event (i.e., ‘first’ inappropriate shock), not ‘all’ inappropriate shocks (recurrent event analysis).</w:t>
            </w:r>
          </w:p>
          <w:p w14:paraId="423E344C" w14:textId="77777777" w:rsidR="00F01B4A" w:rsidRPr="006C7DE6" w:rsidRDefault="00F01B4A" w:rsidP="004270FC">
            <w:pPr>
              <w:pStyle w:val="Tabletext0"/>
              <w:spacing w:before="0" w:after="0"/>
              <w:rPr>
                <w:i/>
                <w:iCs/>
                <w:sz w:val="18"/>
                <w:szCs w:val="18"/>
              </w:rPr>
            </w:pPr>
            <w:r w:rsidRPr="006C7DE6">
              <w:rPr>
                <w:i/>
                <w:iCs/>
                <w:sz w:val="18"/>
                <w:szCs w:val="18"/>
              </w:rPr>
              <w:t>The effectiveness of the SMART Pass filter in reducing inappropriate shocks has not been confirmed in an RCT.</w:t>
            </w:r>
          </w:p>
        </w:tc>
      </w:tr>
      <w:tr w:rsidR="00F01B4A" w:rsidRPr="009770A5" w14:paraId="77642342" w14:textId="77777777" w:rsidTr="00F01B4A">
        <w:tc>
          <w:tcPr>
            <w:tcW w:w="237" w:type="pct"/>
          </w:tcPr>
          <w:p w14:paraId="47B664A1" w14:textId="77777777" w:rsidR="00F01B4A" w:rsidRPr="009770A5" w:rsidRDefault="00F01B4A" w:rsidP="004270FC">
            <w:pPr>
              <w:pStyle w:val="Tabletext0"/>
              <w:spacing w:before="0" w:after="0"/>
              <w:ind w:left="22"/>
              <w:rPr>
                <w:sz w:val="18"/>
                <w:szCs w:val="18"/>
              </w:rPr>
            </w:pPr>
            <w:r w:rsidRPr="009770A5">
              <w:rPr>
                <w:sz w:val="18"/>
                <w:szCs w:val="18"/>
              </w:rPr>
              <w:t>4</w:t>
            </w:r>
          </w:p>
        </w:tc>
        <w:tc>
          <w:tcPr>
            <w:tcW w:w="1479" w:type="pct"/>
          </w:tcPr>
          <w:p w14:paraId="3B3F543F"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effect of physical activity (especially contact sport)</w:t>
            </w:r>
          </w:p>
        </w:tc>
        <w:tc>
          <w:tcPr>
            <w:tcW w:w="1564" w:type="pct"/>
          </w:tcPr>
          <w:p w14:paraId="078FD3F9" w14:textId="77777777" w:rsidR="00F01B4A" w:rsidRPr="009770A5" w:rsidRDefault="00F01B4A" w:rsidP="004270FC">
            <w:pPr>
              <w:pStyle w:val="Tabletext0"/>
              <w:spacing w:before="0" w:after="0"/>
              <w:rPr>
                <w:sz w:val="18"/>
                <w:szCs w:val="18"/>
              </w:rPr>
            </w:pPr>
          </w:p>
        </w:tc>
        <w:tc>
          <w:tcPr>
            <w:tcW w:w="1720" w:type="pct"/>
          </w:tcPr>
          <w:p w14:paraId="33C3BE31" w14:textId="77777777" w:rsidR="00F01B4A" w:rsidRPr="006C7DE6" w:rsidRDefault="00F01B4A" w:rsidP="004270FC">
            <w:pPr>
              <w:pStyle w:val="Tabletext0"/>
              <w:spacing w:before="0" w:after="0"/>
              <w:rPr>
                <w:i/>
                <w:iCs/>
                <w:sz w:val="18"/>
                <w:szCs w:val="18"/>
              </w:rPr>
            </w:pPr>
            <w:r w:rsidRPr="006C7DE6">
              <w:rPr>
                <w:i/>
                <w:iCs/>
                <w:sz w:val="18"/>
                <w:szCs w:val="18"/>
              </w:rPr>
              <w:t xml:space="preserve">Not resolved. </w:t>
            </w:r>
          </w:p>
        </w:tc>
      </w:tr>
      <w:tr w:rsidR="00F01B4A" w:rsidRPr="009770A5" w14:paraId="0D6971B1" w14:textId="77777777" w:rsidTr="00F01B4A">
        <w:tc>
          <w:tcPr>
            <w:tcW w:w="237" w:type="pct"/>
          </w:tcPr>
          <w:p w14:paraId="57A9836D" w14:textId="77777777" w:rsidR="00F01B4A" w:rsidRPr="009770A5" w:rsidRDefault="00F01B4A" w:rsidP="004270FC">
            <w:pPr>
              <w:pStyle w:val="Tabletext0"/>
              <w:spacing w:before="0" w:after="0"/>
              <w:ind w:left="22"/>
              <w:rPr>
                <w:sz w:val="18"/>
                <w:szCs w:val="18"/>
              </w:rPr>
            </w:pPr>
            <w:r w:rsidRPr="009770A5">
              <w:rPr>
                <w:sz w:val="18"/>
                <w:szCs w:val="18"/>
              </w:rPr>
              <w:t>5</w:t>
            </w:r>
          </w:p>
        </w:tc>
        <w:tc>
          <w:tcPr>
            <w:tcW w:w="1479" w:type="pct"/>
          </w:tcPr>
          <w:p w14:paraId="1D23CE88"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potential for increased complications with S-ICDs vs TV-ICDs</w:t>
            </w:r>
          </w:p>
        </w:tc>
        <w:tc>
          <w:tcPr>
            <w:tcW w:w="1564" w:type="pct"/>
          </w:tcPr>
          <w:p w14:paraId="01B6FA65" w14:textId="77777777" w:rsidR="00F01B4A" w:rsidRPr="009770A5" w:rsidRDefault="00F01B4A" w:rsidP="004270FC">
            <w:pPr>
              <w:pStyle w:val="Tabletext0"/>
              <w:spacing w:before="0" w:after="0"/>
              <w:rPr>
                <w:sz w:val="18"/>
                <w:szCs w:val="18"/>
              </w:rPr>
            </w:pPr>
            <w:r w:rsidRPr="009770A5">
              <w:rPr>
                <w:sz w:val="18"/>
                <w:szCs w:val="18"/>
              </w:rPr>
              <w:t>There was a trend towards an improved rate of device related complications in the S-ICD arm (5.9%) compared to the TV-ICD arm (9.8%) (HR = 0.69 [95% CI: 0.44, 1.09]). S-ICD had lower rates of most device related complications including infection, pneumothorax, lead perforation, tamponade, lead repositioning and lead replacement. TV-ICD had lower rates of bleeding, fewer sensing issues and the development of pacing indications.</w:t>
            </w:r>
          </w:p>
        </w:tc>
        <w:tc>
          <w:tcPr>
            <w:tcW w:w="1720" w:type="pct"/>
          </w:tcPr>
          <w:p w14:paraId="63B0B700"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A comparative analysis of complications is presented in the ADAR, although follow-up in the PRAETORIAN trial was too short to capture chronic complications.</w:t>
            </w:r>
          </w:p>
        </w:tc>
      </w:tr>
      <w:tr w:rsidR="00F01B4A" w:rsidRPr="009770A5" w14:paraId="649538FC" w14:textId="77777777" w:rsidTr="00F01B4A">
        <w:tc>
          <w:tcPr>
            <w:tcW w:w="237" w:type="pct"/>
          </w:tcPr>
          <w:p w14:paraId="213B52FE" w14:textId="77777777" w:rsidR="00F01B4A" w:rsidRPr="009770A5" w:rsidRDefault="00F01B4A" w:rsidP="004270FC">
            <w:pPr>
              <w:pStyle w:val="Tabletext0"/>
              <w:spacing w:before="0" w:after="0"/>
              <w:ind w:left="22"/>
              <w:rPr>
                <w:sz w:val="18"/>
                <w:szCs w:val="18"/>
              </w:rPr>
            </w:pPr>
            <w:r w:rsidRPr="009770A5">
              <w:rPr>
                <w:sz w:val="18"/>
                <w:szCs w:val="18"/>
              </w:rPr>
              <w:t>6</w:t>
            </w:r>
          </w:p>
        </w:tc>
        <w:tc>
          <w:tcPr>
            <w:tcW w:w="1479" w:type="pct"/>
          </w:tcPr>
          <w:p w14:paraId="7BEB9CE2"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 xml:space="preserve">effect of larger sized automatic defibrillator and position of subcutaneous lead on patient </w:t>
            </w:r>
            <w:r w:rsidRPr="009770A5">
              <w:rPr>
                <w:sz w:val="18"/>
                <w:szCs w:val="18"/>
              </w:rPr>
              <w:lastRenderedPageBreak/>
              <w:t>experience and discomfort levels.</w:t>
            </w:r>
          </w:p>
        </w:tc>
        <w:tc>
          <w:tcPr>
            <w:tcW w:w="1564" w:type="pct"/>
          </w:tcPr>
          <w:p w14:paraId="18EE764D" w14:textId="77777777" w:rsidR="00F01B4A" w:rsidRPr="009770A5" w:rsidRDefault="00F01B4A" w:rsidP="004270FC">
            <w:pPr>
              <w:pStyle w:val="Tabletext0"/>
              <w:spacing w:before="0" w:after="0"/>
              <w:rPr>
                <w:sz w:val="18"/>
                <w:szCs w:val="18"/>
              </w:rPr>
            </w:pPr>
          </w:p>
        </w:tc>
        <w:tc>
          <w:tcPr>
            <w:tcW w:w="1720" w:type="pct"/>
          </w:tcPr>
          <w:p w14:paraId="0F3D268B" w14:textId="77777777" w:rsidR="00F01B4A" w:rsidRPr="006C7DE6" w:rsidRDefault="00F01B4A" w:rsidP="004270FC">
            <w:pPr>
              <w:pStyle w:val="Tabletext0"/>
              <w:spacing w:before="0" w:after="0"/>
              <w:rPr>
                <w:i/>
                <w:iCs/>
                <w:sz w:val="18"/>
                <w:szCs w:val="18"/>
              </w:rPr>
            </w:pPr>
            <w:r w:rsidRPr="006C7DE6">
              <w:rPr>
                <w:i/>
                <w:iCs/>
                <w:sz w:val="18"/>
                <w:szCs w:val="18"/>
              </w:rPr>
              <w:t>Not resolved.</w:t>
            </w:r>
          </w:p>
          <w:p w14:paraId="37FC494F" w14:textId="77777777" w:rsidR="00F01B4A" w:rsidRPr="006C7DE6" w:rsidRDefault="00F01B4A" w:rsidP="004270FC">
            <w:pPr>
              <w:pStyle w:val="Tabletext0"/>
              <w:spacing w:before="0" w:after="0"/>
              <w:rPr>
                <w:i/>
                <w:iCs/>
                <w:sz w:val="18"/>
                <w:szCs w:val="18"/>
              </w:rPr>
            </w:pPr>
            <w:r w:rsidRPr="006C7DE6">
              <w:rPr>
                <w:i/>
                <w:iCs/>
                <w:sz w:val="18"/>
                <w:szCs w:val="18"/>
              </w:rPr>
              <w:t xml:space="preserve">The issue was indirectly addressed in the ADAR in terms of QoL but was not </w:t>
            </w:r>
            <w:r w:rsidRPr="006C7DE6">
              <w:rPr>
                <w:i/>
                <w:iCs/>
                <w:sz w:val="18"/>
                <w:szCs w:val="18"/>
              </w:rPr>
              <w:lastRenderedPageBreak/>
              <w:t>explicitly addressed. It is noted that current (3</w:t>
            </w:r>
            <w:r w:rsidRPr="006C7DE6">
              <w:rPr>
                <w:i/>
                <w:iCs/>
                <w:sz w:val="18"/>
                <w:szCs w:val="18"/>
                <w:vertAlign w:val="superscript"/>
              </w:rPr>
              <w:t>rd</w:t>
            </w:r>
            <w:r w:rsidRPr="006C7DE6">
              <w:rPr>
                <w:i/>
                <w:iCs/>
                <w:sz w:val="18"/>
                <w:szCs w:val="18"/>
              </w:rPr>
              <w:t>) generation devices are less bulky (20% thinner) than 1</w:t>
            </w:r>
            <w:r w:rsidRPr="006C7DE6">
              <w:rPr>
                <w:i/>
                <w:iCs/>
                <w:sz w:val="18"/>
                <w:szCs w:val="18"/>
                <w:vertAlign w:val="superscript"/>
              </w:rPr>
              <w:t>st</w:t>
            </w:r>
            <w:r w:rsidRPr="006C7DE6">
              <w:rPr>
                <w:i/>
                <w:iCs/>
                <w:sz w:val="18"/>
                <w:szCs w:val="18"/>
              </w:rPr>
              <w:t xml:space="preserve"> generation devices.</w:t>
            </w:r>
          </w:p>
        </w:tc>
      </w:tr>
      <w:tr w:rsidR="00F01B4A" w:rsidRPr="009770A5" w14:paraId="7F01A332" w14:textId="77777777" w:rsidTr="00F01B4A">
        <w:tc>
          <w:tcPr>
            <w:tcW w:w="237" w:type="pct"/>
          </w:tcPr>
          <w:p w14:paraId="4BB7FADB" w14:textId="77777777" w:rsidR="00F01B4A" w:rsidRPr="009770A5" w:rsidRDefault="00F01B4A" w:rsidP="004270FC">
            <w:pPr>
              <w:pStyle w:val="Tabletext0"/>
              <w:spacing w:before="0" w:after="0"/>
              <w:ind w:left="22"/>
              <w:rPr>
                <w:sz w:val="18"/>
                <w:szCs w:val="18"/>
              </w:rPr>
            </w:pPr>
            <w:r w:rsidRPr="009770A5">
              <w:rPr>
                <w:sz w:val="18"/>
                <w:szCs w:val="18"/>
              </w:rPr>
              <w:lastRenderedPageBreak/>
              <w:t>7</w:t>
            </w:r>
          </w:p>
        </w:tc>
        <w:tc>
          <w:tcPr>
            <w:tcW w:w="1479" w:type="pct"/>
          </w:tcPr>
          <w:p w14:paraId="6C1F7F32"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potential for T-wave oversensing with S-ICDs</w:t>
            </w:r>
          </w:p>
        </w:tc>
        <w:tc>
          <w:tcPr>
            <w:tcW w:w="1564" w:type="pct"/>
          </w:tcPr>
          <w:p w14:paraId="0F5F80A0" w14:textId="77777777" w:rsidR="00F01B4A" w:rsidRPr="009770A5" w:rsidRDefault="00F01B4A" w:rsidP="004270FC">
            <w:pPr>
              <w:pStyle w:val="Tabletext0"/>
              <w:spacing w:before="0" w:after="0"/>
              <w:rPr>
                <w:sz w:val="18"/>
                <w:szCs w:val="18"/>
              </w:rPr>
            </w:pPr>
          </w:p>
        </w:tc>
        <w:tc>
          <w:tcPr>
            <w:tcW w:w="1720" w:type="pct"/>
          </w:tcPr>
          <w:p w14:paraId="5DD63D7C"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This issue was not explicitly addressed in the ADAR, but T-wave oversensing is one of the most frequent causes of inappropriate shocks. Patient screening for suitability for S-ICD can identify (and exclude) patients with the potential for T-wave oversensing.</w:t>
            </w:r>
          </w:p>
        </w:tc>
      </w:tr>
      <w:tr w:rsidR="00F01B4A" w:rsidRPr="009770A5" w14:paraId="4E7CCC4F" w14:textId="77777777" w:rsidTr="00F01B4A">
        <w:tc>
          <w:tcPr>
            <w:tcW w:w="237" w:type="pct"/>
          </w:tcPr>
          <w:p w14:paraId="7CDEBD9B" w14:textId="77777777" w:rsidR="00F01B4A" w:rsidRPr="009770A5" w:rsidRDefault="00F01B4A" w:rsidP="004270FC">
            <w:pPr>
              <w:pStyle w:val="Tabletext0"/>
              <w:keepNext/>
              <w:spacing w:before="0" w:after="0"/>
              <w:ind w:left="22"/>
              <w:rPr>
                <w:sz w:val="18"/>
                <w:szCs w:val="18"/>
              </w:rPr>
            </w:pPr>
            <w:r w:rsidRPr="009770A5">
              <w:rPr>
                <w:sz w:val="18"/>
                <w:szCs w:val="18"/>
              </w:rPr>
              <w:t>8</w:t>
            </w:r>
          </w:p>
        </w:tc>
        <w:tc>
          <w:tcPr>
            <w:tcW w:w="1479" w:type="pct"/>
          </w:tcPr>
          <w:p w14:paraId="081CDAAC" w14:textId="77777777" w:rsidR="00F01B4A" w:rsidRPr="009770A5" w:rsidRDefault="00F01B4A" w:rsidP="004270FC">
            <w:pPr>
              <w:pStyle w:val="Tabletext0"/>
              <w:keepNext/>
              <w:numPr>
                <w:ilvl w:val="0"/>
                <w:numId w:val="28"/>
              </w:numPr>
              <w:spacing w:before="0" w:after="0"/>
              <w:ind w:left="312" w:hanging="284"/>
              <w:rPr>
                <w:sz w:val="18"/>
                <w:szCs w:val="18"/>
              </w:rPr>
            </w:pPr>
            <w:r w:rsidRPr="009770A5">
              <w:rPr>
                <w:sz w:val="18"/>
                <w:szCs w:val="18"/>
              </w:rPr>
              <w:t>rates of lead migration/ dislodgement</w:t>
            </w:r>
          </w:p>
        </w:tc>
        <w:tc>
          <w:tcPr>
            <w:tcW w:w="1564" w:type="pct"/>
          </w:tcPr>
          <w:p w14:paraId="55FDB999" w14:textId="77777777" w:rsidR="00F01B4A" w:rsidRPr="009770A5" w:rsidRDefault="00F01B4A" w:rsidP="004270FC">
            <w:pPr>
              <w:pStyle w:val="Tabletext0"/>
              <w:keepNext/>
              <w:spacing w:before="0" w:after="0"/>
              <w:rPr>
                <w:sz w:val="18"/>
                <w:szCs w:val="18"/>
              </w:rPr>
            </w:pPr>
            <w:r w:rsidRPr="009770A5">
              <w:rPr>
                <w:sz w:val="18"/>
                <w:szCs w:val="18"/>
              </w:rPr>
              <w:t>Lead repositioning occurred in 0.5% of patients in the S-ICD study arm and 1.7% of patients in the TV-ICD study arm (HR = 0.28 [95% CI: 0.06, 1.36]).</w:t>
            </w:r>
          </w:p>
          <w:p w14:paraId="01C5F681" w14:textId="77777777" w:rsidR="00F01B4A" w:rsidRPr="009770A5" w:rsidRDefault="00F01B4A" w:rsidP="004270FC">
            <w:pPr>
              <w:pStyle w:val="Tabletext0"/>
              <w:keepNext/>
              <w:spacing w:before="0" w:after="0"/>
              <w:rPr>
                <w:sz w:val="18"/>
                <w:szCs w:val="18"/>
              </w:rPr>
            </w:pPr>
            <w:r w:rsidRPr="009770A5">
              <w:rPr>
                <w:sz w:val="18"/>
                <w:szCs w:val="18"/>
              </w:rPr>
              <w:t>Lead replacement was required in 0.7% of patients in the S-ICD study arm and 2.1% of patients in the TV-ICD study arm (HR = 0.33 [95% CI: 0.09, 1.21]).</w:t>
            </w:r>
          </w:p>
        </w:tc>
        <w:tc>
          <w:tcPr>
            <w:tcW w:w="1720" w:type="pct"/>
          </w:tcPr>
          <w:p w14:paraId="228E7720" w14:textId="77777777" w:rsidR="00F01B4A" w:rsidRPr="006C7DE6" w:rsidRDefault="00F01B4A" w:rsidP="004270FC">
            <w:pPr>
              <w:pStyle w:val="Tabletext0"/>
              <w:keepNext/>
              <w:spacing w:before="0" w:after="0"/>
              <w:rPr>
                <w:i/>
                <w:iCs/>
                <w:sz w:val="18"/>
                <w:szCs w:val="18"/>
              </w:rPr>
            </w:pPr>
            <w:r w:rsidRPr="006C7DE6">
              <w:rPr>
                <w:i/>
                <w:iCs/>
                <w:sz w:val="18"/>
                <w:szCs w:val="18"/>
              </w:rPr>
              <w:t>Not satisfactorily resolved. The duration of follow-up in the PRAETORIAN trial was insufficient to fully assess lead-related complications.</w:t>
            </w:r>
          </w:p>
        </w:tc>
      </w:tr>
      <w:tr w:rsidR="00F01B4A" w:rsidRPr="009770A5" w14:paraId="3C0CF698" w14:textId="77777777" w:rsidTr="00F01B4A">
        <w:tc>
          <w:tcPr>
            <w:tcW w:w="237" w:type="pct"/>
          </w:tcPr>
          <w:p w14:paraId="24B6E0B2" w14:textId="77777777" w:rsidR="00F01B4A" w:rsidRPr="009770A5" w:rsidRDefault="00F01B4A" w:rsidP="004270FC">
            <w:pPr>
              <w:pStyle w:val="Tabletext0"/>
              <w:spacing w:before="0" w:after="0"/>
              <w:ind w:left="22"/>
              <w:rPr>
                <w:sz w:val="18"/>
                <w:szCs w:val="18"/>
              </w:rPr>
            </w:pPr>
            <w:r w:rsidRPr="009770A5">
              <w:rPr>
                <w:sz w:val="18"/>
                <w:szCs w:val="18"/>
              </w:rPr>
              <w:t>9</w:t>
            </w:r>
          </w:p>
        </w:tc>
        <w:tc>
          <w:tcPr>
            <w:tcW w:w="1479" w:type="pct"/>
          </w:tcPr>
          <w:p w14:paraId="16D6D905"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use of surrogate efficacy endpoints (technical performance and safety of ICD) in the absence of patient-relevant outcomes such as SCD and overall death</w:t>
            </w:r>
          </w:p>
        </w:tc>
        <w:tc>
          <w:tcPr>
            <w:tcW w:w="1564" w:type="pct"/>
          </w:tcPr>
          <w:p w14:paraId="4B504BD0" w14:textId="77777777" w:rsidR="00F01B4A" w:rsidRPr="009770A5" w:rsidRDefault="00F01B4A" w:rsidP="004270FC">
            <w:pPr>
              <w:pStyle w:val="Tabletext0"/>
              <w:spacing w:before="0" w:after="0"/>
              <w:rPr>
                <w:sz w:val="18"/>
                <w:szCs w:val="18"/>
              </w:rPr>
            </w:pPr>
            <w:r w:rsidRPr="009770A5">
              <w:rPr>
                <w:sz w:val="18"/>
                <w:szCs w:val="18"/>
              </w:rPr>
              <w:t>During the course of the trial, 83 (16.4%) patients in the S-ICD arm and 68 (13.1%) in the TV-ICD arm died (HR = 1.23; 95% CI: 0.89, 1.70).</w:t>
            </w:r>
          </w:p>
          <w:p w14:paraId="627950D6" w14:textId="77777777" w:rsidR="00F01B4A" w:rsidRPr="009770A5" w:rsidRDefault="00F01B4A" w:rsidP="004270FC">
            <w:pPr>
              <w:pStyle w:val="Tabletext0"/>
              <w:spacing w:before="0" w:after="0"/>
              <w:rPr>
                <w:sz w:val="18"/>
                <w:szCs w:val="18"/>
              </w:rPr>
            </w:pPr>
            <w:r w:rsidRPr="009770A5">
              <w:rPr>
                <w:sz w:val="18"/>
                <w:szCs w:val="18"/>
              </w:rPr>
              <w:t>Of these, 52 (12.2%) patients in the S-ICD arm and 46 (10.9%) in the TV-ICD arm died of cardiovascular causes.</w:t>
            </w:r>
          </w:p>
        </w:tc>
        <w:tc>
          <w:tcPr>
            <w:tcW w:w="1720" w:type="pct"/>
          </w:tcPr>
          <w:p w14:paraId="631F1F9F" w14:textId="77777777" w:rsidR="00F01B4A" w:rsidRPr="006C7DE6" w:rsidRDefault="00F01B4A" w:rsidP="004270FC">
            <w:pPr>
              <w:pStyle w:val="Tabletext0"/>
              <w:spacing w:before="0" w:after="0"/>
              <w:rPr>
                <w:i/>
                <w:iCs/>
                <w:sz w:val="18"/>
                <w:szCs w:val="18"/>
              </w:rPr>
            </w:pPr>
            <w:r w:rsidRPr="006C7DE6">
              <w:rPr>
                <w:i/>
                <w:iCs/>
                <w:sz w:val="18"/>
                <w:szCs w:val="18"/>
              </w:rPr>
              <w:t>Resolved. The primary efficacy outcomes specified in the PICO (ratified by PASC in 2014) were technical outcomes. The ADAR focuses on patient-relevant safety and efficacy outcomes reported in the PRAETORIAN trial.</w:t>
            </w:r>
          </w:p>
        </w:tc>
      </w:tr>
      <w:tr w:rsidR="00F01B4A" w:rsidRPr="009770A5" w14:paraId="3B11B3A4" w14:textId="77777777" w:rsidTr="00F01B4A">
        <w:tc>
          <w:tcPr>
            <w:tcW w:w="237" w:type="pct"/>
          </w:tcPr>
          <w:p w14:paraId="585D0B45" w14:textId="77777777" w:rsidR="00F01B4A" w:rsidRPr="009770A5" w:rsidRDefault="00F01B4A" w:rsidP="004270FC">
            <w:pPr>
              <w:pStyle w:val="Tabletext0"/>
              <w:spacing w:before="0" w:after="0"/>
              <w:ind w:left="22"/>
              <w:rPr>
                <w:sz w:val="18"/>
                <w:szCs w:val="18"/>
              </w:rPr>
            </w:pPr>
            <w:r w:rsidRPr="009770A5">
              <w:rPr>
                <w:sz w:val="18"/>
                <w:szCs w:val="18"/>
              </w:rPr>
              <w:t>10</w:t>
            </w:r>
          </w:p>
        </w:tc>
        <w:tc>
          <w:tcPr>
            <w:tcW w:w="1479" w:type="pct"/>
          </w:tcPr>
          <w:p w14:paraId="04863F0B"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 xml:space="preserve">no </w:t>
            </w:r>
            <w:proofErr w:type="spellStart"/>
            <w:r w:rsidRPr="009770A5">
              <w:rPr>
                <w:sz w:val="18"/>
                <w:szCs w:val="18"/>
              </w:rPr>
              <w:t>HRQoL</w:t>
            </w:r>
            <w:proofErr w:type="spellEnd"/>
            <w:r w:rsidRPr="009770A5">
              <w:rPr>
                <w:sz w:val="18"/>
                <w:szCs w:val="18"/>
              </w:rPr>
              <w:t xml:space="preserve"> outcomes were provided</w:t>
            </w:r>
            <w:r>
              <w:rPr>
                <w:sz w:val="18"/>
                <w:szCs w:val="18"/>
              </w:rPr>
              <w:t>.</w:t>
            </w:r>
          </w:p>
        </w:tc>
        <w:tc>
          <w:tcPr>
            <w:tcW w:w="1564" w:type="pct"/>
          </w:tcPr>
          <w:p w14:paraId="2D2D4ED5" w14:textId="77777777" w:rsidR="00F01B4A" w:rsidRPr="009770A5" w:rsidRDefault="00F01B4A" w:rsidP="004270FC">
            <w:pPr>
              <w:pStyle w:val="Tabletext0"/>
              <w:spacing w:before="0" w:after="0"/>
              <w:rPr>
                <w:sz w:val="18"/>
                <w:szCs w:val="18"/>
              </w:rPr>
            </w:pPr>
            <w:r w:rsidRPr="009770A5">
              <w:rPr>
                <w:sz w:val="18"/>
                <w:szCs w:val="18"/>
              </w:rPr>
              <w:t>A comparison between QoL measured with the Short-Form Health Survey in the EFFORTLESS registry and a matched cohort of patients with TV-ICD was undertaken. Patients with an S-ICD did not differ significantly on physical (p=0.8157) and mental QoL scores (p=0.9080) across baseline, 3, and 6 months after implantation in adjusted analyses.</w:t>
            </w:r>
          </w:p>
        </w:tc>
        <w:tc>
          <w:tcPr>
            <w:tcW w:w="1720" w:type="pct"/>
          </w:tcPr>
          <w:p w14:paraId="3E35FFF2"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12-month QoL data from the EFFORTLESS registry and a matched cohort (MIDAS study) were published in 2019 but not included in the ADAR. These data have been extracted and included in the commentary.</w:t>
            </w:r>
          </w:p>
          <w:p w14:paraId="38A8B417" w14:textId="77777777" w:rsidR="00F01B4A" w:rsidRPr="006C7DE6" w:rsidRDefault="00F01B4A" w:rsidP="004270FC">
            <w:pPr>
              <w:pStyle w:val="Tabletext0"/>
              <w:spacing w:before="0" w:after="0"/>
              <w:rPr>
                <w:i/>
                <w:iCs/>
                <w:sz w:val="18"/>
                <w:szCs w:val="18"/>
              </w:rPr>
            </w:pPr>
            <w:r w:rsidRPr="006C7DE6">
              <w:rPr>
                <w:i/>
                <w:iCs/>
                <w:sz w:val="18"/>
                <w:szCs w:val="18"/>
              </w:rPr>
              <w:t>QoL data from PRAETORIAN have not yet been published.</w:t>
            </w:r>
          </w:p>
        </w:tc>
      </w:tr>
      <w:tr w:rsidR="00F01B4A" w:rsidRPr="009770A5" w14:paraId="007CD112" w14:textId="77777777" w:rsidTr="00F01B4A">
        <w:tc>
          <w:tcPr>
            <w:tcW w:w="237" w:type="pct"/>
          </w:tcPr>
          <w:p w14:paraId="312579E3" w14:textId="77777777" w:rsidR="00F01B4A" w:rsidRPr="009770A5" w:rsidRDefault="00F01B4A" w:rsidP="004270FC">
            <w:pPr>
              <w:pStyle w:val="Tabletext0"/>
              <w:spacing w:before="0" w:after="0"/>
              <w:rPr>
                <w:sz w:val="18"/>
                <w:szCs w:val="18"/>
              </w:rPr>
            </w:pPr>
            <w:r w:rsidRPr="009770A5">
              <w:rPr>
                <w:sz w:val="18"/>
                <w:szCs w:val="18"/>
              </w:rPr>
              <w:t>11</w:t>
            </w:r>
          </w:p>
        </w:tc>
        <w:tc>
          <w:tcPr>
            <w:tcW w:w="1479" w:type="pct"/>
          </w:tcPr>
          <w:p w14:paraId="05C1D51B" w14:textId="77777777" w:rsidR="00F01B4A" w:rsidRPr="009770A5" w:rsidRDefault="00F01B4A" w:rsidP="004270FC">
            <w:pPr>
              <w:pStyle w:val="Tabletext0"/>
              <w:spacing w:before="0" w:after="0"/>
              <w:rPr>
                <w:sz w:val="18"/>
                <w:szCs w:val="18"/>
              </w:rPr>
            </w:pPr>
            <w:r>
              <w:rPr>
                <w:sz w:val="18"/>
                <w:szCs w:val="18"/>
              </w:rPr>
              <w:t>N</w:t>
            </w:r>
            <w:r w:rsidRPr="009770A5">
              <w:rPr>
                <w:sz w:val="18"/>
                <w:szCs w:val="18"/>
              </w:rPr>
              <w:t xml:space="preserve">ot convinced that the claim of S-ICD non-inferiority had been proven in terms of comparative safety and effectiveness. </w:t>
            </w:r>
            <w:r>
              <w:rPr>
                <w:sz w:val="18"/>
                <w:szCs w:val="18"/>
              </w:rPr>
              <w:t>T</w:t>
            </w:r>
            <w:r w:rsidRPr="009770A5">
              <w:rPr>
                <w:sz w:val="18"/>
                <w:szCs w:val="18"/>
              </w:rPr>
              <w:t xml:space="preserve">he long-term safety of S-ICD was particularly uncertain due to the limited follow-up in the studies presented. </w:t>
            </w:r>
            <w:r>
              <w:rPr>
                <w:sz w:val="18"/>
                <w:szCs w:val="18"/>
              </w:rPr>
              <w:t>T</w:t>
            </w:r>
            <w:r w:rsidRPr="009770A5">
              <w:rPr>
                <w:sz w:val="18"/>
                <w:szCs w:val="18"/>
              </w:rPr>
              <w:t xml:space="preserve">he results from a large </w:t>
            </w:r>
            <w:proofErr w:type="gramStart"/>
            <w:r w:rsidRPr="009770A5">
              <w:rPr>
                <w:sz w:val="18"/>
                <w:szCs w:val="18"/>
              </w:rPr>
              <w:t>prospective</w:t>
            </w:r>
            <w:proofErr w:type="gramEnd"/>
            <w:r w:rsidRPr="009770A5">
              <w:rPr>
                <w:sz w:val="18"/>
                <w:szCs w:val="18"/>
              </w:rPr>
              <w:t>, multi-centre, RCT (PRAETORIAN) due for completion in June 2018 may help to address the uncertainties.</w:t>
            </w:r>
          </w:p>
        </w:tc>
        <w:tc>
          <w:tcPr>
            <w:tcW w:w="1564" w:type="pct"/>
          </w:tcPr>
          <w:p w14:paraId="781925E7" w14:textId="77777777" w:rsidR="00F01B4A" w:rsidRPr="009770A5" w:rsidRDefault="00F01B4A" w:rsidP="004270FC">
            <w:pPr>
              <w:pStyle w:val="Tabletext0"/>
              <w:spacing w:before="0" w:after="0"/>
              <w:rPr>
                <w:sz w:val="18"/>
                <w:szCs w:val="18"/>
              </w:rPr>
            </w:pPr>
          </w:p>
        </w:tc>
        <w:tc>
          <w:tcPr>
            <w:tcW w:w="1720" w:type="pct"/>
          </w:tcPr>
          <w:p w14:paraId="77CFF87D" w14:textId="77777777" w:rsidR="00F01B4A" w:rsidRPr="006C7DE6" w:rsidRDefault="00F01B4A" w:rsidP="004270FC">
            <w:pPr>
              <w:pStyle w:val="Tabletext0"/>
              <w:spacing w:before="0" w:after="0"/>
              <w:rPr>
                <w:i/>
                <w:iCs/>
                <w:sz w:val="18"/>
                <w:szCs w:val="18"/>
              </w:rPr>
            </w:pPr>
            <w:r w:rsidRPr="006C7DE6">
              <w:rPr>
                <w:i/>
                <w:iCs/>
                <w:sz w:val="18"/>
                <w:szCs w:val="18"/>
              </w:rPr>
              <w:t>Not fully resolved. PRAETORIAN is a non-inferiority trial that directly compares S-ICD with TV-ICD, although longer-term follow up is warranted and is ongoing. Further publications from PRAETORIAN are expected (e.g., recurrent event analysis; QoL). An extension study to 8 years’ follow-up (PRAETORIAN XL observational sub-study) is expected to be completed in 2024.</w:t>
            </w:r>
          </w:p>
        </w:tc>
      </w:tr>
      <w:tr w:rsidR="00F01B4A" w:rsidRPr="009770A5" w14:paraId="7F2A672C" w14:textId="77777777" w:rsidTr="00F01B4A">
        <w:tc>
          <w:tcPr>
            <w:tcW w:w="237" w:type="pct"/>
          </w:tcPr>
          <w:p w14:paraId="4F6D442E" w14:textId="77777777" w:rsidR="00F01B4A" w:rsidRPr="009770A5" w:rsidRDefault="00F01B4A" w:rsidP="004270FC">
            <w:pPr>
              <w:pStyle w:val="Tabletext0"/>
              <w:spacing w:before="0" w:after="0"/>
              <w:rPr>
                <w:sz w:val="18"/>
                <w:szCs w:val="18"/>
              </w:rPr>
            </w:pPr>
            <w:r w:rsidRPr="009770A5">
              <w:rPr>
                <w:sz w:val="18"/>
                <w:szCs w:val="18"/>
              </w:rPr>
              <w:t>12</w:t>
            </w:r>
          </w:p>
        </w:tc>
        <w:tc>
          <w:tcPr>
            <w:tcW w:w="1479" w:type="pct"/>
          </w:tcPr>
          <w:p w14:paraId="2DDD6BBC" w14:textId="77777777" w:rsidR="00F01B4A" w:rsidRPr="009770A5" w:rsidRDefault="00F01B4A" w:rsidP="004270FC">
            <w:pPr>
              <w:pStyle w:val="Tabletext0"/>
              <w:spacing w:before="0" w:after="0"/>
              <w:rPr>
                <w:sz w:val="18"/>
                <w:szCs w:val="18"/>
              </w:rPr>
            </w:pPr>
            <w:r>
              <w:rPr>
                <w:sz w:val="18"/>
                <w:szCs w:val="18"/>
              </w:rPr>
              <w:t>Q</w:t>
            </w:r>
            <w:r w:rsidRPr="009770A5">
              <w:rPr>
                <w:sz w:val="18"/>
                <w:szCs w:val="18"/>
              </w:rPr>
              <w:t>uestioned the ability of the current data set to address the assumption of non-inferior safety and clinical effectiveness and therefore considered that this uncertainty flowed on to the economic evaluation as the CMA was presented based on an assumption of non-inferiority between the two ICD devices.</w:t>
            </w:r>
          </w:p>
        </w:tc>
        <w:tc>
          <w:tcPr>
            <w:tcW w:w="1564" w:type="pct"/>
          </w:tcPr>
          <w:p w14:paraId="227AD421" w14:textId="77777777" w:rsidR="00F01B4A" w:rsidRPr="009770A5" w:rsidRDefault="00F01B4A" w:rsidP="004270FC">
            <w:pPr>
              <w:pStyle w:val="Tabletext0"/>
              <w:spacing w:before="0" w:after="0"/>
              <w:rPr>
                <w:sz w:val="18"/>
                <w:szCs w:val="18"/>
              </w:rPr>
            </w:pPr>
          </w:p>
        </w:tc>
        <w:tc>
          <w:tcPr>
            <w:tcW w:w="1720" w:type="pct"/>
          </w:tcPr>
          <w:p w14:paraId="5D28BEBE" w14:textId="77777777" w:rsidR="00F01B4A" w:rsidRPr="006C7DE6" w:rsidRDefault="00F01B4A" w:rsidP="004270FC">
            <w:pPr>
              <w:pStyle w:val="Tabletext0"/>
              <w:spacing w:before="0" w:after="0"/>
              <w:rPr>
                <w:i/>
                <w:iCs/>
                <w:sz w:val="18"/>
                <w:szCs w:val="18"/>
              </w:rPr>
            </w:pPr>
            <w:r w:rsidRPr="006C7DE6">
              <w:rPr>
                <w:i/>
                <w:iCs/>
                <w:sz w:val="18"/>
                <w:szCs w:val="18"/>
              </w:rPr>
              <w:t>Not fully resolved. The inputs in the CMA are largely sourced from the PRAETORIAN non-inferiority trial. Any uncertainty in the clinical claim of non-inferiority will flow on to the CMA.</w:t>
            </w:r>
          </w:p>
        </w:tc>
      </w:tr>
      <w:tr w:rsidR="00F01B4A" w:rsidRPr="009770A5" w14:paraId="3BA0C103" w14:textId="77777777" w:rsidTr="00F01B4A">
        <w:tc>
          <w:tcPr>
            <w:tcW w:w="237" w:type="pct"/>
          </w:tcPr>
          <w:p w14:paraId="18C4EF42" w14:textId="77777777" w:rsidR="00F01B4A" w:rsidRPr="009770A5" w:rsidRDefault="00F01B4A" w:rsidP="004270FC">
            <w:pPr>
              <w:pStyle w:val="Tabletext0"/>
              <w:spacing w:before="0" w:after="0"/>
              <w:rPr>
                <w:sz w:val="18"/>
                <w:szCs w:val="18"/>
              </w:rPr>
            </w:pPr>
            <w:r w:rsidRPr="009770A5">
              <w:rPr>
                <w:sz w:val="18"/>
                <w:szCs w:val="18"/>
              </w:rPr>
              <w:t>13</w:t>
            </w:r>
          </w:p>
        </w:tc>
        <w:tc>
          <w:tcPr>
            <w:tcW w:w="1479" w:type="pct"/>
          </w:tcPr>
          <w:p w14:paraId="561B7C95" w14:textId="77777777" w:rsidR="00F01B4A" w:rsidRPr="009770A5" w:rsidRDefault="00F01B4A" w:rsidP="004270FC">
            <w:pPr>
              <w:pStyle w:val="Tabletext0"/>
              <w:spacing w:before="0" w:after="0"/>
              <w:rPr>
                <w:sz w:val="18"/>
                <w:szCs w:val="18"/>
              </w:rPr>
            </w:pPr>
            <w:r w:rsidRPr="009770A5">
              <w:rPr>
                <w:sz w:val="18"/>
                <w:szCs w:val="18"/>
              </w:rPr>
              <w:t>It was noted that this estimation [of total health care costs] was reliant on the accuracy of the number of eligible patients and uptake of S-ICD in Australia.</w:t>
            </w:r>
          </w:p>
        </w:tc>
        <w:tc>
          <w:tcPr>
            <w:tcW w:w="1564" w:type="pct"/>
          </w:tcPr>
          <w:p w14:paraId="77875683" w14:textId="77777777" w:rsidR="00F01B4A" w:rsidRPr="009770A5" w:rsidRDefault="00F01B4A" w:rsidP="004270FC">
            <w:pPr>
              <w:pStyle w:val="Tabletext0"/>
              <w:spacing w:before="0" w:after="0"/>
              <w:rPr>
                <w:sz w:val="18"/>
                <w:szCs w:val="18"/>
              </w:rPr>
            </w:pPr>
          </w:p>
        </w:tc>
        <w:tc>
          <w:tcPr>
            <w:tcW w:w="1720" w:type="pct"/>
          </w:tcPr>
          <w:p w14:paraId="1E0EDF7F" w14:textId="77777777" w:rsidR="00F01B4A" w:rsidRPr="006C7DE6" w:rsidRDefault="00F01B4A" w:rsidP="004270FC">
            <w:pPr>
              <w:pStyle w:val="Tabletext0"/>
              <w:spacing w:before="0" w:after="0"/>
              <w:rPr>
                <w:i/>
                <w:iCs/>
                <w:sz w:val="18"/>
                <w:szCs w:val="18"/>
              </w:rPr>
            </w:pPr>
            <w:r w:rsidRPr="006C7DE6">
              <w:rPr>
                <w:i/>
                <w:iCs/>
                <w:sz w:val="18"/>
                <w:szCs w:val="18"/>
              </w:rPr>
              <w:t xml:space="preserve">Not satisfactorily resolved. The ADAR assumes substitution of a proportion of TV-ICD use with S-ICD but does not acknowledge the potential for growth in the market. </w:t>
            </w:r>
          </w:p>
        </w:tc>
      </w:tr>
      <w:tr w:rsidR="00F01B4A" w:rsidRPr="009770A5" w14:paraId="15A61570" w14:textId="77777777" w:rsidTr="00F01B4A">
        <w:tc>
          <w:tcPr>
            <w:tcW w:w="237" w:type="pct"/>
          </w:tcPr>
          <w:p w14:paraId="21195A92" w14:textId="77777777" w:rsidR="00F01B4A" w:rsidRPr="009770A5" w:rsidRDefault="00F01B4A" w:rsidP="004270FC">
            <w:pPr>
              <w:pStyle w:val="Tabletext0"/>
              <w:spacing w:before="0" w:after="0"/>
              <w:rPr>
                <w:sz w:val="18"/>
                <w:szCs w:val="18"/>
              </w:rPr>
            </w:pPr>
            <w:r w:rsidRPr="009770A5">
              <w:rPr>
                <w:sz w:val="18"/>
                <w:szCs w:val="18"/>
              </w:rPr>
              <w:t>14</w:t>
            </w:r>
          </w:p>
        </w:tc>
        <w:tc>
          <w:tcPr>
            <w:tcW w:w="1479" w:type="pct"/>
          </w:tcPr>
          <w:p w14:paraId="64B45BA5" w14:textId="77777777" w:rsidR="00F01B4A" w:rsidRPr="009770A5" w:rsidRDefault="00F01B4A" w:rsidP="004270FC">
            <w:pPr>
              <w:pStyle w:val="Tabletext0"/>
              <w:spacing w:before="0" w:after="0"/>
              <w:rPr>
                <w:sz w:val="18"/>
                <w:szCs w:val="18"/>
              </w:rPr>
            </w:pPr>
            <w:r>
              <w:rPr>
                <w:sz w:val="18"/>
                <w:szCs w:val="18"/>
              </w:rPr>
              <w:t>T</w:t>
            </w:r>
            <w:r w:rsidRPr="009770A5">
              <w:rPr>
                <w:sz w:val="18"/>
                <w:szCs w:val="18"/>
              </w:rPr>
              <w:t xml:space="preserve">he assumptions for similar resource use for S-ICD compared to TV-ICD may not be reasonable as S-ICD lead insertion is relatively straightforward and would take half </w:t>
            </w:r>
            <w:r w:rsidRPr="009770A5">
              <w:rPr>
                <w:sz w:val="18"/>
                <w:szCs w:val="18"/>
              </w:rPr>
              <w:lastRenderedPageBreak/>
              <w:t>the time of TV-ICD. Therefore, the fee reduction may be too small in recognition of the simpler and shorter procedure time of S-ICD relative to TV-ICD procedures.</w:t>
            </w:r>
          </w:p>
        </w:tc>
        <w:tc>
          <w:tcPr>
            <w:tcW w:w="1564" w:type="pct"/>
          </w:tcPr>
          <w:p w14:paraId="762CA327" w14:textId="77777777" w:rsidR="00F01B4A" w:rsidRPr="009770A5" w:rsidRDefault="00F01B4A" w:rsidP="004270FC">
            <w:pPr>
              <w:pStyle w:val="Tabletext0"/>
              <w:spacing w:before="0" w:after="0"/>
              <w:rPr>
                <w:sz w:val="18"/>
                <w:szCs w:val="18"/>
              </w:rPr>
            </w:pPr>
          </w:p>
        </w:tc>
        <w:tc>
          <w:tcPr>
            <w:tcW w:w="1720" w:type="pct"/>
          </w:tcPr>
          <w:p w14:paraId="297C03AF"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The ADAR proposes a fee for S-ICD lead insertion that is the same as the fee for TV-ICD lead insertion, based solely on procedure time.</w:t>
            </w:r>
          </w:p>
        </w:tc>
      </w:tr>
      <w:tr w:rsidR="00F01B4A" w:rsidRPr="009770A5" w14:paraId="7D89E355" w14:textId="77777777" w:rsidTr="00F01B4A">
        <w:tc>
          <w:tcPr>
            <w:tcW w:w="237" w:type="pct"/>
          </w:tcPr>
          <w:p w14:paraId="1F911A65" w14:textId="77777777" w:rsidR="00F01B4A" w:rsidRPr="009770A5" w:rsidRDefault="00F01B4A" w:rsidP="004270FC">
            <w:pPr>
              <w:pStyle w:val="Tabletext0"/>
              <w:spacing w:before="0" w:after="0"/>
              <w:rPr>
                <w:sz w:val="18"/>
                <w:szCs w:val="18"/>
              </w:rPr>
            </w:pPr>
            <w:r w:rsidRPr="009770A5">
              <w:rPr>
                <w:sz w:val="18"/>
                <w:szCs w:val="18"/>
              </w:rPr>
              <w:t>15</w:t>
            </w:r>
          </w:p>
        </w:tc>
        <w:tc>
          <w:tcPr>
            <w:tcW w:w="1479" w:type="pct"/>
          </w:tcPr>
          <w:p w14:paraId="1CAE4AB8" w14:textId="77777777" w:rsidR="00F01B4A" w:rsidRPr="009770A5" w:rsidRDefault="00F01B4A" w:rsidP="004270FC">
            <w:pPr>
              <w:pStyle w:val="Tabletext0"/>
              <w:spacing w:before="0" w:after="0"/>
              <w:rPr>
                <w:sz w:val="18"/>
                <w:szCs w:val="18"/>
              </w:rPr>
            </w:pPr>
            <w:r w:rsidRPr="009770A5">
              <w:rPr>
                <w:sz w:val="18"/>
                <w:szCs w:val="18"/>
              </w:rPr>
              <w:t>Sensitivity analyses on the uncertainties identified indicated that fewer cost savings for MBS would occur for listing S-ICD therapy if there was increased market growth, greater switching from S-ICD to TV-ICD and x-ray costs were included.</w:t>
            </w:r>
          </w:p>
        </w:tc>
        <w:tc>
          <w:tcPr>
            <w:tcW w:w="1564" w:type="pct"/>
          </w:tcPr>
          <w:p w14:paraId="657526E5" w14:textId="77777777" w:rsidR="00F01B4A" w:rsidRPr="009770A5" w:rsidRDefault="00F01B4A" w:rsidP="004270FC">
            <w:pPr>
              <w:pStyle w:val="Tabletext0"/>
              <w:spacing w:before="0" w:after="0"/>
              <w:rPr>
                <w:sz w:val="18"/>
                <w:szCs w:val="18"/>
              </w:rPr>
            </w:pPr>
          </w:p>
        </w:tc>
        <w:tc>
          <w:tcPr>
            <w:tcW w:w="1720" w:type="pct"/>
          </w:tcPr>
          <w:p w14:paraId="5A6205EB" w14:textId="77777777" w:rsidR="00F01B4A" w:rsidRPr="006C7DE6" w:rsidRDefault="00F01B4A" w:rsidP="004270FC">
            <w:pPr>
              <w:pStyle w:val="Tabletext0"/>
              <w:spacing w:before="0" w:after="0"/>
              <w:rPr>
                <w:i/>
                <w:iCs/>
                <w:sz w:val="18"/>
                <w:szCs w:val="18"/>
              </w:rPr>
            </w:pPr>
            <w:r w:rsidRPr="006C7DE6">
              <w:rPr>
                <w:i/>
                <w:iCs/>
                <w:sz w:val="18"/>
                <w:szCs w:val="18"/>
              </w:rPr>
              <w:t>Not fully resolved. The financial analysis in the ADAR includes x-ray costs but does not include sensitivity analyses around increased market growth or greater switching to S-ICD.</w:t>
            </w:r>
          </w:p>
        </w:tc>
      </w:tr>
      <w:tr w:rsidR="00F01B4A" w:rsidRPr="009770A5" w14:paraId="40FC1935" w14:textId="77777777" w:rsidTr="00F01B4A">
        <w:tc>
          <w:tcPr>
            <w:tcW w:w="237" w:type="pct"/>
          </w:tcPr>
          <w:p w14:paraId="2DE3215A" w14:textId="77777777" w:rsidR="00F01B4A" w:rsidRPr="009770A5" w:rsidRDefault="00F01B4A" w:rsidP="004270FC">
            <w:pPr>
              <w:pStyle w:val="Tabletext0"/>
              <w:spacing w:before="0" w:after="0"/>
              <w:rPr>
                <w:sz w:val="18"/>
                <w:szCs w:val="18"/>
              </w:rPr>
            </w:pPr>
            <w:r w:rsidRPr="009770A5">
              <w:rPr>
                <w:sz w:val="18"/>
                <w:szCs w:val="18"/>
              </w:rPr>
              <w:t>16</w:t>
            </w:r>
          </w:p>
        </w:tc>
        <w:tc>
          <w:tcPr>
            <w:tcW w:w="1479" w:type="pct"/>
          </w:tcPr>
          <w:p w14:paraId="7D833BB4" w14:textId="77777777" w:rsidR="00F01B4A" w:rsidRPr="009770A5" w:rsidRDefault="00F01B4A" w:rsidP="004270FC">
            <w:pPr>
              <w:pStyle w:val="Tabletext0"/>
              <w:spacing w:before="0" w:after="0"/>
              <w:rPr>
                <w:sz w:val="18"/>
                <w:szCs w:val="18"/>
              </w:rPr>
            </w:pPr>
            <w:r>
              <w:rPr>
                <w:sz w:val="18"/>
                <w:szCs w:val="18"/>
              </w:rPr>
              <w:t>O</w:t>
            </w:r>
            <w:r w:rsidRPr="009770A5">
              <w:rPr>
                <w:sz w:val="18"/>
                <w:szCs w:val="18"/>
              </w:rPr>
              <w:t>ther factors also had the potential to impact on the economic modelling and increase financial uncertainty around this intervention such as:</w:t>
            </w:r>
          </w:p>
          <w:p w14:paraId="2E966992"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outcome data limited to under five years</w:t>
            </w:r>
          </w:p>
        </w:tc>
        <w:tc>
          <w:tcPr>
            <w:tcW w:w="1564" w:type="pct"/>
          </w:tcPr>
          <w:p w14:paraId="5B5CBF35" w14:textId="77777777" w:rsidR="00F01B4A" w:rsidRPr="009770A5" w:rsidRDefault="00F01B4A" w:rsidP="004270FC">
            <w:pPr>
              <w:pStyle w:val="Tabletext0"/>
              <w:spacing w:before="0" w:after="0"/>
              <w:rPr>
                <w:sz w:val="18"/>
                <w:szCs w:val="18"/>
              </w:rPr>
            </w:pPr>
          </w:p>
        </w:tc>
        <w:tc>
          <w:tcPr>
            <w:tcW w:w="1720" w:type="pct"/>
          </w:tcPr>
          <w:p w14:paraId="102044CD" w14:textId="77777777" w:rsidR="00F01B4A" w:rsidRPr="006C7DE6" w:rsidRDefault="00F01B4A" w:rsidP="004270FC">
            <w:pPr>
              <w:pStyle w:val="Tabletext0"/>
              <w:spacing w:before="0" w:after="0"/>
              <w:rPr>
                <w:i/>
                <w:iCs/>
                <w:sz w:val="18"/>
                <w:szCs w:val="18"/>
              </w:rPr>
            </w:pPr>
            <w:r w:rsidRPr="006C7DE6">
              <w:rPr>
                <w:i/>
                <w:iCs/>
                <w:sz w:val="18"/>
                <w:szCs w:val="18"/>
              </w:rPr>
              <w:t>Not resolved. The median follow-up in the PRAETORIAN trial is less than 5 years. Refer to Issue 2.</w:t>
            </w:r>
          </w:p>
        </w:tc>
      </w:tr>
      <w:tr w:rsidR="00F01B4A" w:rsidRPr="009770A5" w14:paraId="24727764" w14:textId="77777777" w:rsidTr="00F01B4A">
        <w:tc>
          <w:tcPr>
            <w:tcW w:w="237" w:type="pct"/>
          </w:tcPr>
          <w:p w14:paraId="225FCA97" w14:textId="77777777" w:rsidR="00F01B4A" w:rsidRPr="009770A5" w:rsidRDefault="00F01B4A" w:rsidP="004270FC">
            <w:pPr>
              <w:pStyle w:val="Tabletext0"/>
              <w:spacing w:before="0" w:after="0"/>
              <w:rPr>
                <w:sz w:val="18"/>
                <w:szCs w:val="18"/>
              </w:rPr>
            </w:pPr>
            <w:r w:rsidRPr="009770A5">
              <w:rPr>
                <w:sz w:val="18"/>
                <w:szCs w:val="18"/>
              </w:rPr>
              <w:t>17</w:t>
            </w:r>
          </w:p>
        </w:tc>
        <w:tc>
          <w:tcPr>
            <w:tcW w:w="1479" w:type="pct"/>
          </w:tcPr>
          <w:p w14:paraId="4FEBCF82"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overestimated proposed fee for S-ICD lead placement</w:t>
            </w:r>
          </w:p>
        </w:tc>
        <w:tc>
          <w:tcPr>
            <w:tcW w:w="1564" w:type="pct"/>
          </w:tcPr>
          <w:p w14:paraId="24848119" w14:textId="77777777" w:rsidR="00F01B4A" w:rsidRPr="009770A5" w:rsidRDefault="00F01B4A" w:rsidP="004270FC">
            <w:pPr>
              <w:pStyle w:val="Tabletext0"/>
              <w:spacing w:before="0" w:after="0"/>
              <w:rPr>
                <w:sz w:val="18"/>
                <w:szCs w:val="18"/>
              </w:rPr>
            </w:pPr>
          </w:p>
        </w:tc>
        <w:tc>
          <w:tcPr>
            <w:tcW w:w="1720" w:type="pct"/>
          </w:tcPr>
          <w:p w14:paraId="0A5971E1"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Refer to Issue 14</w:t>
            </w:r>
          </w:p>
        </w:tc>
      </w:tr>
      <w:tr w:rsidR="00F01B4A" w:rsidRPr="009770A5" w14:paraId="3B9DA3E6" w14:textId="77777777" w:rsidTr="00F01B4A">
        <w:tc>
          <w:tcPr>
            <w:tcW w:w="237" w:type="pct"/>
          </w:tcPr>
          <w:p w14:paraId="565B0913" w14:textId="77777777" w:rsidR="00F01B4A" w:rsidRPr="009770A5" w:rsidRDefault="00F01B4A" w:rsidP="004270FC">
            <w:pPr>
              <w:pStyle w:val="Tabletext0"/>
              <w:spacing w:before="0" w:after="0"/>
              <w:rPr>
                <w:sz w:val="18"/>
                <w:szCs w:val="18"/>
              </w:rPr>
            </w:pPr>
            <w:r w:rsidRPr="009770A5">
              <w:rPr>
                <w:sz w:val="18"/>
                <w:szCs w:val="18"/>
              </w:rPr>
              <w:t>18</w:t>
            </w:r>
          </w:p>
        </w:tc>
        <w:tc>
          <w:tcPr>
            <w:tcW w:w="1479" w:type="pct"/>
          </w:tcPr>
          <w:p w14:paraId="7D77FE42"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underestimation of patients that will develop pacing requirements after S-ICD insertion</w:t>
            </w:r>
          </w:p>
        </w:tc>
        <w:tc>
          <w:tcPr>
            <w:tcW w:w="1564" w:type="pct"/>
          </w:tcPr>
          <w:p w14:paraId="7F621A71" w14:textId="77777777" w:rsidR="00F01B4A" w:rsidRPr="009770A5" w:rsidRDefault="00F01B4A" w:rsidP="004270FC">
            <w:pPr>
              <w:pStyle w:val="Tabletext0"/>
              <w:spacing w:before="0" w:after="0"/>
              <w:rPr>
                <w:sz w:val="18"/>
                <w:szCs w:val="18"/>
              </w:rPr>
            </w:pPr>
          </w:p>
        </w:tc>
        <w:tc>
          <w:tcPr>
            <w:tcW w:w="1720" w:type="pct"/>
          </w:tcPr>
          <w:p w14:paraId="719D539D"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This relates to insufficient duration of follow-up. Refer to Issue 2 and Issue 16.</w:t>
            </w:r>
          </w:p>
        </w:tc>
      </w:tr>
      <w:tr w:rsidR="00F01B4A" w:rsidRPr="009770A5" w14:paraId="4441D5C2" w14:textId="77777777" w:rsidTr="00F01B4A">
        <w:tc>
          <w:tcPr>
            <w:tcW w:w="237" w:type="pct"/>
            <w:tcBorders>
              <w:bottom w:val="single" w:sz="4" w:space="0" w:color="auto"/>
            </w:tcBorders>
          </w:tcPr>
          <w:p w14:paraId="29A57DC1" w14:textId="77777777" w:rsidR="00F01B4A" w:rsidRPr="009770A5" w:rsidRDefault="00F01B4A" w:rsidP="004270FC">
            <w:pPr>
              <w:pStyle w:val="Tabletext0"/>
              <w:spacing w:before="0" w:after="0"/>
              <w:rPr>
                <w:sz w:val="18"/>
                <w:szCs w:val="18"/>
              </w:rPr>
            </w:pPr>
            <w:r w:rsidRPr="009770A5">
              <w:rPr>
                <w:sz w:val="18"/>
                <w:szCs w:val="18"/>
              </w:rPr>
              <w:t>19</w:t>
            </w:r>
          </w:p>
        </w:tc>
        <w:tc>
          <w:tcPr>
            <w:tcW w:w="1479" w:type="pct"/>
            <w:tcBorders>
              <w:bottom w:val="single" w:sz="4" w:space="0" w:color="auto"/>
            </w:tcBorders>
          </w:tcPr>
          <w:p w14:paraId="4CD62EBA" w14:textId="77777777" w:rsidR="00F01B4A" w:rsidRPr="009770A5" w:rsidRDefault="00F01B4A" w:rsidP="004270FC">
            <w:pPr>
              <w:pStyle w:val="Tabletext0"/>
              <w:numPr>
                <w:ilvl w:val="0"/>
                <w:numId w:val="28"/>
              </w:numPr>
              <w:spacing w:before="0" w:after="0"/>
              <w:ind w:left="312" w:hanging="284"/>
              <w:rPr>
                <w:sz w:val="18"/>
                <w:szCs w:val="18"/>
              </w:rPr>
            </w:pPr>
            <w:r w:rsidRPr="009770A5">
              <w:rPr>
                <w:sz w:val="18"/>
                <w:szCs w:val="18"/>
              </w:rPr>
              <w:t>reduced battery life due to higher defibrillation threshold.</w:t>
            </w:r>
          </w:p>
        </w:tc>
        <w:tc>
          <w:tcPr>
            <w:tcW w:w="1564" w:type="pct"/>
            <w:tcBorders>
              <w:bottom w:val="single" w:sz="4" w:space="0" w:color="auto"/>
            </w:tcBorders>
          </w:tcPr>
          <w:p w14:paraId="4FCB78B3" w14:textId="77777777" w:rsidR="00F01B4A" w:rsidRPr="009770A5" w:rsidRDefault="00F01B4A" w:rsidP="004270FC">
            <w:pPr>
              <w:pStyle w:val="Tabletext0"/>
              <w:spacing w:before="0" w:after="0"/>
              <w:rPr>
                <w:sz w:val="18"/>
                <w:szCs w:val="18"/>
              </w:rPr>
            </w:pPr>
          </w:p>
        </w:tc>
        <w:tc>
          <w:tcPr>
            <w:tcW w:w="1720" w:type="pct"/>
            <w:tcBorders>
              <w:bottom w:val="single" w:sz="4" w:space="0" w:color="auto"/>
            </w:tcBorders>
          </w:tcPr>
          <w:p w14:paraId="4BE250C8" w14:textId="77777777" w:rsidR="00F01B4A" w:rsidRPr="006C7DE6" w:rsidRDefault="00F01B4A" w:rsidP="004270FC">
            <w:pPr>
              <w:pStyle w:val="Tabletext0"/>
              <w:spacing w:before="0" w:after="0"/>
              <w:rPr>
                <w:i/>
                <w:iCs/>
                <w:sz w:val="18"/>
                <w:szCs w:val="18"/>
              </w:rPr>
            </w:pPr>
            <w:r w:rsidRPr="006C7DE6">
              <w:rPr>
                <w:i/>
                <w:iCs/>
                <w:sz w:val="18"/>
                <w:szCs w:val="18"/>
              </w:rPr>
              <w:t>Not fully resolved. There are residual concerns around the assumption of similar battery life for S-ICDs and TV-ICDs, based on expert advice and manufacturer warranty periods.</w:t>
            </w:r>
          </w:p>
        </w:tc>
      </w:tr>
      <w:tr w:rsidR="00F01B4A" w:rsidRPr="009770A5" w14:paraId="0E197A7D" w14:textId="77777777" w:rsidTr="00F01B4A">
        <w:tc>
          <w:tcPr>
            <w:tcW w:w="237" w:type="pct"/>
            <w:tcBorders>
              <w:right w:val="nil"/>
            </w:tcBorders>
            <w:shd w:val="clear" w:color="auto" w:fill="D9D9D9" w:themeFill="background1" w:themeFillShade="D9"/>
          </w:tcPr>
          <w:p w14:paraId="2CB249CC" w14:textId="77777777" w:rsidR="00F01B4A" w:rsidRPr="009770A5" w:rsidRDefault="00F01B4A" w:rsidP="004270FC">
            <w:pPr>
              <w:pStyle w:val="Tabletext0"/>
              <w:keepNext/>
              <w:spacing w:before="0" w:after="0"/>
              <w:ind w:left="22"/>
              <w:rPr>
                <w:b/>
                <w:bCs/>
                <w:sz w:val="18"/>
                <w:szCs w:val="18"/>
              </w:rPr>
            </w:pPr>
          </w:p>
        </w:tc>
        <w:tc>
          <w:tcPr>
            <w:tcW w:w="1479" w:type="pct"/>
            <w:tcBorders>
              <w:left w:val="nil"/>
              <w:right w:val="nil"/>
            </w:tcBorders>
            <w:shd w:val="clear" w:color="auto" w:fill="D9D9D9" w:themeFill="background1" w:themeFillShade="D9"/>
          </w:tcPr>
          <w:p w14:paraId="4EC5D42D" w14:textId="77777777" w:rsidR="00F01B4A" w:rsidRPr="009770A5" w:rsidRDefault="00F01B4A" w:rsidP="004270FC">
            <w:pPr>
              <w:pStyle w:val="Tabletext0"/>
              <w:keepNext/>
              <w:spacing w:before="0" w:after="0"/>
              <w:ind w:left="22"/>
              <w:rPr>
                <w:b/>
                <w:bCs/>
                <w:sz w:val="18"/>
                <w:szCs w:val="18"/>
              </w:rPr>
            </w:pPr>
            <w:r w:rsidRPr="009770A5">
              <w:rPr>
                <w:b/>
                <w:bCs/>
                <w:sz w:val="18"/>
                <w:szCs w:val="18"/>
              </w:rPr>
              <w:t>Other concerns raised in the PSD</w:t>
            </w:r>
          </w:p>
        </w:tc>
        <w:tc>
          <w:tcPr>
            <w:tcW w:w="1564" w:type="pct"/>
            <w:tcBorders>
              <w:left w:val="nil"/>
              <w:right w:val="nil"/>
            </w:tcBorders>
            <w:shd w:val="clear" w:color="auto" w:fill="D9D9D9" w:themeFill="background1" w:themeFillShade="D9"/>
          </w:tcPr>
          <w:p w14:paraId="16699D9D" w14:textId="77777777" w:rsidR="00F01B4A" w:rsidRPr="009770A5" w:rsidRDefault="00F01B4A" w:rsidP="004270FC">
            <w:pPr>
              <w:pStyle w:val="Tabletext0"/>
              <w:keepNext/>
              <w:spacing w:before="0" w:after="0"/>
              <w:rPr>
                <w:b/>
                <w:bCs/>
                <w:sz w:val="18"/>
                <w:szCs w:val="18"/>
              </w:rPr>
            </w:pPr>
          </w:p>
        </w:tc>
        <w:tc>
          <w:tcPr>
            <w:tcW w:w="1720" w:type="pct"/>
            <w:tcBorders>
              <w:left w:val="nil"/>
              <w:right w:val="nil"/>
            </w:tcBorders>
            <w:shd w:val="clear" w:color="auto" w:fill="D9D9D9" w:themeFill="background1" w:themeFillShade="D9"/>
          </w:tcPr>
          <w:p w14:paraId="6CD04CA6" w14:textId="77777777" w:rsidR="00F01B4A" w:rsidRPr="006C7DE6" w:rsidRDefault="00F01B4A" w:rsidP="004270FC">
            <w:pPr>
              <w:pStyle w:val="Tabletext0"/>
              <w:keepNext/>
              <w:spacing w:before="0" w:after="0"/>
              <w:rPr>
                <w:b/>
                <w:bCs/>
                <w:i/>
                <w:iCs/>
                <w:sz w:val="18"/>
                <w:szCs w:val="18"/>
              </w:rPr>
            </w:pPr>
          </w:p>
        </w:tc>
      </w:tr>
      <w:tr w:rsidR="00F01B4A" w:rsidRPr="009770A5" w14:paraId="2568BF2B" w14:textId="77777777" w:rsidTr="00F01B4A">
        <w:tc>
          <w:tcPr>
            <w:tcW w:w="237" w:type="pct"/>
          </w:tcPr>
          <w:p w14:paraId="027CBC65" w14:textId="77777777" w:rsidR="00F01B4A" w:rsidRPr="009770A5" w:rsidRDefault="00F01B4A" w:rsidP="004270FC">
            <w:pPr>
              <w:pStyle w:val="Tabletext0"/>
              <w:spacing w:before="0" w:after="0"/>
              <w:ind w:left="22"/>
              <w:rPr>
                <w:sz w:val="18"/>
                <w:szCs w:val="18"/>
              </w:rPr>
            </w:pPr>
            <w:r w:rsidRPr="009770A5">
              <w:rPr>
                <w:sz w:val="18"/>
                <w:szCs w:val="18"/>
              </w:rPr>
              <w:t>20</w:t>
            </w:r>
          </w:p>
        </w:tc>
        <w:tc>
          <w:tcPr>
            <w:tcW w:w="1479" w:type="pct"/>
          </w:tcPr>
          <w:p w14:paraId="06541DE6" w14:textId="77777777" w:rsidR="00F01B4A" w:rsidRPr="009770A5" w:rsidRDefault="00F01B4A" w:rsidP="004270FC">
            <w:pPr>
              <w:pStyle w:val="Tabletext0"/>
              <w:spacing w:before="0" w:after="0"/>
              <w:ind w:left="22"/>
              <w:rPr>
                <w:sz w:val="18"/>
                <w:szCs w:val="18"/>
              </w:rPr>
            </w:pPr>
            <w:r>
              <w:rPr>
                <w:sz w:val="18"/>
                <w:szCs w:val="18"/>
              </w:rPr>
              <w:t>T</w:t>
            </w:r>
            <w:r w:rsidRPr="009770A5">
              <w:rPr>
                <w:sz w:val="18"/>
                <w:szCs w:val="18"/>
              </w:rPr>
              <w:t>he lack of subgroup analysis of younger patients who represent an additional population if MBS listed. [PSD p.5]</w:t>
            </w:r>
          </w:p>
        </w:tc>
        <w:tc>
          <w:tcPr>
            <w:tcW w:w="1564" w:type="pct"/>
          </w:tcPr>
          <w:p w14:paraId="640BC4AA" w14:textId="77777777" w:rsidR="00F01B4A" w:rsidRPr="009770A5" w:rsidRDefault="00F01B4A" w:rsidP="004270FC">
            <w:pPr>
              <w:pStyle w:val="Tabletext0"/>
              <w:spacing w:before="0" w:after="0"/>
              <w:rPr>
                <w:sz w:val="18"/>
                <w:szCs w:val="18"/>
              </w:rPr>
            </w:pPr>
          </w:p>
        </w:tc>
        <w:tc>
          <w:tcPr>
            <w:tcW w:w="1720" w:type="pct"/>
          </w:tcPr>
          <w:p w14:paraId="3284A2DD" w14:textId="77777777" w:rsidR="00F01B4A" w:rsidRPr="006C7DE6" w:rsidRDefault="00F01B4A" w:rsidP="004270FC">
            <w:pPr>
              <w:pStyle w:val="Tabletext0"/>
              <w:spacing w:before="0" w:after="0"/>
              <w:rPr>
                <w:i/>
                <w:iCs/>
                <w:sz w:val="18"/>
                <w:szCs w:val="18"/>
              </w:rPr>
            </w:pPr>
            <w:r w:rsidRPr="006C7DE6">
              <w:rPr>
                <w:i/>
                <w:iCs/>
                <w:sz w:val="18"/>
                <w:szCs w:val="18"/>
              </w:rPr>
              <w:t>Not resolved. Not addressed in the ADAR.</w:t>
            </w:r>
          </w:p>
        </w:tc>
      </w:tr>
      <w:tr w:rsidR="00F01B4A" w:rsidRPr="009770A5" w14:paraId="5E65F44D" w14:textId="77777777" w:rsidTr="00F01B4A">
        <w:tc>
          <w:tcPr>
            <w:tcW w:w="237" w:type="pct"/>
          </w:tcPr>
          <w:p w14:paraId="3E7AA804" w14:textId="77777777" w:rsidR="00F01B4A" w:rsidRPr="009770A5" w:rsidRDefault="00F01B4A" w:rsidP="004270FC">
            <w:pPr>
              <w:pStyle w:val="Tabletext0"/>
              <w:spacing w:before="0" w:after="0"/>
              <w:ind w:left="22"/>
              <w:rPr>
                <w:sz w:val="18"/>
                <w:szCs w:val="18"/>
              </w:rPr>
            </w:pPr>
            <w:r w:rsidRPr="009770A5">
              <w:rPr>
                <w:sz w:val="18"/>
                <w:szCs w:val="18"/>
              </w:rPr>
              <w:t>21</w:t>
            </w:r>
          </w:p>
        </w:tc>
        <w:tc>
          <w:tcPr>
            <w:tcW w:w="1479" w:type="pct"/>
          </w:tcPr>
          <w:p w14:paraId="028C81AA" w14:textId="77777777" w:rsidR="00F01B4A" w:rsidRPr="009770A5" w:rsidRDefault="00F01B4A" w:rsidP="004270FC">
            <w:pPr>
              <w:pStyle w:val="Tabletext0"/>
              <w:spacing w:before="0" w:after="0"/>
              <w:ind w:left="22"/>
              <w:rPr>
                <w:sz w:val="18"/>
                <w:szCs w:val="18"/>
              </w:rPr>
            </w:pPr>
            <w:r w:rsidRPr="009770A5">
              <w:rPr>
                <w:sz w:val="18"/>
                <w:szCs w:val="18"/>
              </w:rPr>
              <w:t>All RRs were close to or less than 1.0 and in favour of S-ICD and none were statistically significant. MIDs for these outcomes were not considered. [PSD p.6]</w:t>
            </w:r>
          </w:p>
        </w:tc>
        <w:tc>
          <w:tcPr>
            <w:tcW w:w="1564" w:type="pct"/>
          </w:tcPr>
          <w:p w14:paraId="635712EC" w14:textId="77777777" w:rsidR="00F01B4A" w:rsidRPr="009770A5" w:rsidRDefault="00F01B4A" w:rsidP="004270FC">
            <w:pPr>
              <w:pStyle w:val="Tabletext0"/>
              <w:spacing w:before="0" w:after="0"/>
              <w:rPr>
                <w:sz w:val="18"/>
                <w:szCs w:val="18"/>
              </w:rPr>
            </w:pPr>
          </w:p>
        </w:tc>
        <w:tc>
          <w:tcPr>
            <w:tcW w:w="1720" w:type="pct"/>
          </w:tcPr>
          <w:p w14:paraId="1E7DE279" w14:textId="77777777" w:rsidR="00F01B4A" w:rsidRPr="006C7DE6" w:rsidRDefault="00F01B4A" w:rsidP="004270FC">
            <w:pPr>
              <w:pStyle w:val="Tabletext0"/>
              <w:spacing w:before="0" w:after="0"/>
              <w:rPr>
                <w:i/>
                <w:iCs/>
                <w:sz w:val="18"/>
                <w:szCs w:val="18"/>
              </w:rPr>
            </w:pPr>
            <w:r w:rsidRPr="006C7DE6">
              <w:rPr>
                <w:i/>
                <w:iCs/>
                <w:sz w:val="18"/>
                <w:szCs w:val="18"/>
              </w:rPr>
              <w:t>Not fully resolved. The non-inferiority margin was reported in the ADAR for the primary outcome of the PRAETORIAN trial but MIDs for other outcomes were not discussed or defined.</w:t>
            </w:r>
          </w:p>
        </w:tc>
      </w:tr>
      <w:tr w:rsidR="00F01B4A" w:rsidRPr="009770A5" w14:paraId="6BF91FAF" w14:textId="77777777" w:rsidTr="00F01B4A">
        <w:tc>
          <w:tcPr>
            <w:tcW w:w="237" w:type="pct"/>
          </w:tcPr>
          <w:p w14:paraId="085A1E98" w14:textId="77777777" w:rsidR="00F01B4A" w:rsidRPr="009770A5" w:rsidRDefault="00F01B4A" w:rsidP="004270FC">
            <w:pPr>
              <w:pStyle w:val="Tabletext0"/>
              <w:spacing w:before="0" w:after="0"/>
              <w:ind w:left="22"/>
              <w:rPr>
                <w:sz w:val="18"/>
                <w:szCs w:val="18"/>
              </w:rPr>
            </w:pPr>
            <w:r w:rsidRPr="009770A5">
              <w:rPr>
                <w:sz w:val="18"/>
                <w:szCs w:val="18"/>
              </w:rPr>
              <w:t>22</w:t>
            </w:r>
          </w:p>
        </w:tc>
        <w:tc>
          <w:tcPr>
            <w:tcW w:w="1479" w:type="pct"/>
          </w:tcPr>
          <w:p w14:paraId="045460EC" w14:textId="77777777" w:rsidR="00F01B4A" w:rsidRPr="009770A5" w:rsidRDefault="00F01B4A" w:rsidP="004270FC">
            <w:pPr>
              <w:pStyle w:val="Tabletext0"/>
              <w:spacing w:before="0" w:after="0"/>
              <w:ind w:left="22"/>
              <w:rPr>
                <w:sz w:val="18"/>
                <w:szCs w:val="18"/>
              </w:rPr>
            </w:pPr>
            <w:r w:rsidRPr="009770A5">
              <w:rPr>
                <w:sz w:val="18"/>
                <w:szCs w:val="18"/>
              </w:rPr>
              <w:t>The application provided no pre-modelling studies for the</w:t>
            </w:r>
            <w:r>
              <w:rPr>
                <w:sz w:val="18"/>
                <w:szCs w:val="18"/>
              </w:rPr>
              <w:t xml:space="preserve"> </w:t>
            </w:r>
            <w:r w:rsidRPr="009770A5">
              <w:rPr>
                <w:sz w:val="18"/>
                <w:szCs w:val="18"/>
              </w:rPr>
              <w:t>CMA. The applicability of the included studies to the Australian population may be a concern, due to the lack of Australian study data. [PSD p.8]</w:t>
            </w:r>
          </w:p>
        </w:tc>
        <w:tc>
          <w:tcPr>
            <w:tcW w:w="1564" w:type="pct"/>
          </w:tcPr>
          <w:p w14:paraId="3416FDF3" w14:textId="77777777" w:rsidR="00F01B4A" w:rsidRPr="009770A5" w:rsidRDefault="00F01B4A" w:rsidP="004270FC">
            <w:pPr>
              <w:pStyle w:val="Tabletext0"/>
              <w:spacing w:before="0" w:after="0"/>
              <w:rPr>
                <w:sz w:val="18"/>
                <w:szCs w:val="18"/>
              </w:rPr>
            </w:pPr>
          </w:p>
        </w:tc>
        <w:tc>
          <w:tcPr>
            <w:tcW w:w="1720" w:type="pct"/>
          </w:tcPr>
          <w:p w14:paraId="7119204D" w14:textId="77777777" w:rsidR="00F01B4A" w:rsidRPr="006C7DE6" w:rsidRDefault="00F01B4A" w:rsidP="004270FC">
            <w:pPr>
              <w:pStyle w:val="Tabletext0"/>
              <w:spacing w:before="0" w:after="0"/>
              <w:rPr>
                <w:i/>
                <w:iCs/>
                <w:sz w:val="18"/>
                <w:szCs w:val="18"/>
              </w:rPr>
            </w:pPr>
            <w:r w:rsidRPr="006C7DE6">
              <w:rPr>
                <w:i/>
                <w:iCs/>
                <w:sz w:val="18"/>
                <w:szCs w:val="18"/>
              </w:rPr>
              <w:t>Not resolved. No translation issues were addressed in the ADAR. The applicability of the PRAETORIAN trial was not addressed despite it having no Australian study sites.</w:t>
            </w:r>
          </w:p>
        </w:tc>
      </w:tr>
      <w:tr w:rsidR="00F01B4A" w:rsidRPr="009770A5" w14:paraId="57979D55" w14:textId="77777777" w:rsidTr="00F01B4A">
        <w:tc>
          <w:tcPr>
            <w:tcW w:w="237" w:type="pct"/>
          </w:tcPr>
          <w:p w14:paraId="4F416433" w14:textId="77777777" w:rsidR="00F01B4A" w:rsidRPr="009770A5" w:rsidRDefault="00F01B4A" w:rsidP="004270FC">
            <w:pPr>
              <w:pStyle w:val="Tabletext0"/>
              <w:spacing w:before="0" w:after="0"/>
              <w:ind w:left="22"/>
              <w:rPr>
                <w:sz w:val="18"/>
                <w:szCs w:val="18"/>
              </w:rPr>
            </w:pPr>
            <w:r w:rsidRPr="009770A5">
              <w:rPr>
                <w:sz w:val="18"/>
                <w:szCs w:val="18"/>
              </w:rPr>
              <w:t>23</w:t>
            </w:r>
          </w:p>
        </w:tc>
        <w:tc>
          <w:tcPr>
            <w:tcW w:w="1479" w:type="pct"/>
          </w:tcPr>
          <w:p w14:paraId="1AADDA76" w14:textId="77777777" w:rsidR="00F01B4A" w:rsidRPr="009770A5" w:rsidRDefault="00F01B4A" w:rsidP="004270FC">
            <w:pPr>
              <w:pStyle w:val="Tabletext0"/>
              <w:spacing w:before="0" w:after="0"/>
              <w:ind w:left="22"/>
              <w:rPr>
                <w:sz w:val="18"/>
                <w:szCs w:val="18"/>
              </w:rPr>
            </w:pPr>
            <w:r>
              <w:rPr>
                <w:sz w:val="18"/>
                <w:szCs w:val="18"/>
              </w:rPr>
              <w:t>T</w:t>
            </w:r>
            <w:r w:rsidRPr="009770A5">
              <w:rPr>
                <w:sz w:val="18"/>
                <w:szCs w:val="18"/>
              </w:rPr>
              <w:t>he appropriateness of not including detailed patient inclusion criteria in the proposed MBS item descriptor for S-ICD lead service provision (in contrast to T</w:t>
            </w:r>
            <w:r>
              <w:rPr>
                <w:sz w:val="18"/>
                <w:szCs w:val="18"/>
              </w:rPr>
              <w:t>V</w:t>
            </w:r>
            <w:r w:rsidRPr="009770A5">
              <w:rPr>
                <w:sz w:val="18"/>
                <w:szCs w:val="18"/>
              </w:rPr>
              <w:t>-ICD MBS item descriptors). [PSD p.10]</w:t>
            </w:r>
          </w:p>
        </w:tc>
        <w:tc>
          <w:tcPr>
            <w:tcW w:w="1564" w:type="pct"/>
          </w:tcPr>
          <w:p w14:paraId="1AA2A3DB" w14:textId="77777777" w:rsidR="00F01B4A" w:rsidRPr="009770A5" w:rsidRDefault="00F01B4A" w:rsidP="004270FC">
            <w:pPr>
              <w:pStyle w:val="Tabletext0"/>
              <w:spacing w:before="0" w:after="0"/>
              <w:rPr>
                <w:sz w:val="18"/>
                <w:szCs w:val="18"/>
              </w:rPr>
            </w:pPr>
          </w:p>
        </w:tc>
        <w:tc>
          <w:tcPr>
            <w:tcW w:w="1720" w:type="pct"/>
          </w:tcPr>
          <w:p w14:paraId="6C74CADE" w14:textId="77777777" w:rsidR="00F01B4A" w:rsidRPr="006C7DE6" w:rsidRDefault="00F01B4A" w:rsidP="004270FC">
            <w:pPr>
              <w:pStyle w:val="Tabletext0"/>
              <w:spacing w:before="0" w:after="0"/>
              <w:rPr>
                <w:i/>
                <w:iCs/>
                <w:sz w:val="18"/>
                <w:szCs w:val="18"/>
              </w:rPr>
            </w:pPr>
            <w:r w:rsidRPr="006C7DE6">
              <w:rPr>
                <w:i/>
                <w:iCs/>
                <w:sz w:val="18"/>
                <w:szCs w:val="18"/>
              </w:rPr>
              <w:t>Not satisfactorily resolved. The proposed descriptor is consistent with the 2014 Protocol for Application 1374 but a rationale for omitting the indication for ICD therapy is not provided in the ADAR.</w:t>
            </w:r>
          </w:p>
        </w:tc>
      </w:tr>
    </w:tbl>
    <w:p w14:paraId="6E7BBB4A" w14:textId="77777777" w:rsidR="00F01B4A" w:rsidRPr="008648D0" w:rsidRDefault="00F01B4A" w:rsidP="00F01B4A">
      <w:pPr>
        <w:pStyle w:val="Tablenotes"/>
        <w:rPr>
          <w:color w:val="auto"/>
        </w:rPr>
      </w:pPr>
      <w:r w:rsidRPr="008648D0">
        <w:rPr>
          <w:color w:val="auto"/>
        </w:rPr>
        <w:t>Source: Adapted from Table 9, p29 of the commentary; based on the PSD for Application 1374 and Table ES-2, p.16 (also reproduced as Table A-2, p.29) of the ADAR, with commentary assessment in italics</w:t>
      </w:r>
    </w:p>
    <w:p w14:paraId="1BCCF7ED" w14:textId="77777777" w:rsidR="00F01B4A" w:rsidRPr="00F01B4A" w:rsidRDefault="00F01B4A" w:rsidP="00F01B4A">
      <w:pPr>
        <w:pStyle w:val="Tablenotes"/>
        <w:rPr>
          <w:color w:val="auto"/>
          <w:szCs w:val="24"/>
        </w:rPr>
      </w:pPr>
      <w:r w:rsidRPr="008648D0">
        <w:rPr>
          <w:color w:val="auto"/>
        </w:rPr>
        <w:t xml:space="preserve">Abbreviations: ADAR=Applicant developed assessment report; CI=confidence interval; CMA= cost-minimisation analysis; HESP=Health Expert Standing Panel; </w:t>
      </w:r>
      <w:proofErr w:type="spellStart"/>
      <w:r w:rsidRPr="008648D0">
        <w:rPr>
          <w:color w:val="auto"/>
        </w:rPr>
        <w:t>HRQoL</w:t>
      </w:r>
      <w:proofErr w:type="spellEnd"/>
      <w:r w:rsidRPr="008648D0">
        <w:rPr>
          <w:color w:val="auto"/>
        </w:rPr>
        <w:t>=health-related quality of life; ICD=</w:t>
      </w:r>
      <w:r w:rsidRPr="008648D0">
        <w:rPr>
          <w:rStyle w:val="TablenotesChar"/>
          <w:color w:val="auto"/>
        </w:rPr>
        <w:t>implantable cardioverter defibrillator</w:t>
      </w:r>
      <w:r w:rsidRPr="008648D0">
        <w:rPr>
          <w:color w:val="auto"/>
        </w:rPr>
        <w:t xml:space="preserve">; MBS=Medicare Benefits Schedule; MID=minimally important difference; PSD=Public Summary Document; QoL=quality of life; RCT=randomised controlled trial; RR=relative risk; SCD=sudden cardiac death; </w:t>
      </w:r>
      <w:r w:rsidRPr="008648D0">
        <w:rPr>
          <w:rStyle w:val="TablenotesChar"/>
          <w:color w:val="auto"/>
        </w:rPr>
        <w:t>S-ICD=subcutaneous implantable cardioverter defibrillator; TV-ICD=transvenous implantable cardioverter defibrillator</w:t>
      </w:r>
    </w:p>
    <w:p w14:paraId="21500442" w14:textId="77777777" w:rsidR="00BC1364" w:rsidRPr="00F715D1" w:rsidRDefault="00BC1364" w:rsidP="00F715D1">
      <w:pPr>
        <w:pStyle w:val="Heading1"/>
      </w:pPr>
      <w:r w:rsidRPr="00F715D1">
        <w:t>Prerequisites to implementation of any funding advice</w:t>
      </w:r>
    </w:p>
    <w:p w14:paraId="0747277E" w14:textId="2EEE5500" w:rsidR="00F01B4A" w:rsidRDefault="00F01B4A" w:rsidP="00F01B4A">
      <w:r>
        <w:t xml:space="preserve">The </w:t>
      </w:r>
      <w:r w:rsidRPr="00CE39A9">
        <w:t xml:space="preserve">S-ICD system </w:t>
      </w:r>
      <w:r>
        <w:t xml:space="preserve">components (automatic defibrillator, subcutaneous lead and programmer) are listed on the Australian Register of Therapeutic Goods (ARTG; </w:t>
      </w:r>
      <w:r w:rsidRPr="004A3399">
        <w:fldChar w:fldCharType="begin"/>
      </w:r>
      <w:r w:rsidRPr="004A3399">
        <w:instrText xml:space="preserve"> REF _Ref59098660 \h  \* MERGEFORMAT </w:instrText>
      </w:r>
      <w:r w:rsidRPr="004A3399">
        <w:fldChar w:fldCharType="separate"/>
      </w:r>
      <w:r w:rsidR="00113B4B" w:rsidRPr="004A3399">
        <w:t xml:space="preserve">Table </w:t>
      </w:r>
      <w:r w:rsidR="00113B4B">
        <w:t>3</w:t>
      </w:r>
      <w:r w:rsidRPr="004A3399">
        <w:fldChar w:fldCharType="end"/>
      </w:r>
      <w:r>
        <w:t>). The ARTG includes 2</w:t>
      </w:r>
      <w:r w:rsidRPr="00086368">
        <w:rPr>
          <w:vertAlign w:val="superscript"/>
        </w:rPr>
        <w:t>nd</w:t>
      </w:r>
      <w:r>
        <w:t xml:space="preserve"> generation (EMBLEM</w:t>
      </w:r>
      <w:r w:rsidRPr="00D230CB">
        <w:rPr>
          <w:vertAlign w:val="superscript"/>
        </w:rPr>
        <w:t>TM</w:t>
      </w:r>
      <w:r>
        <w:t xml:space="preserve"> S-ICD model A209) and 3</w:t>
      </w:r>
      <w:r w:rsidRPr="00086368">
        <w:rPr>
          <w:vertAlign w:val="superscript"/>
        </w:rPr>
        <w:t>rd</w:t>
      </w:r>
      <w:r>
        <w:t xml:space="preserve"> generation (EMBLEM</w:t>
      </w:r>
      <w:r w:rsidRPr="00D230CB">
        <w:rPr>
          <w:vertAlign w:val="superscript"/>
        </w:rPr>
        <w:t>TM</w:t>
      </w:r>
      <w:r>
        <w:t xml:space="preserve"> </w:t>
      </w:r>
      <w:r>
        <w:lastRenderedPageBreak/>
        <w:t>MRI S-ICD model A219) devices.</w:t>
      </w:r>
      <w:r w:rsidRPr="004A3399">
        <w:t xml:space="preserve"> The 1</w:t>
      </w:r>
      <w:r w:rsidRPr="004A3399">
        <w:rPr>
          <w:vertAlign w:val="superscript"/>
        </w:rPr>
        <w:t>st</w:t>
      </w:r>
      <w:r>
        <w:t xml:space="preserve"> </w:t>
      </w:r>
      <w:r w:rsidRPr="004A3399">
        <w:t xml:space="preserve">generation SQ-RX® S-ICD </w:t>
      </w:r>
      <w:r>
        <w:t xml:space="preserve">device </w:t>
      </w:r>
      <w:r w:rsidRPr="004A3399">
        <w:t>is no longer included on the ARTG.</w:t>
      </w:r>
    </w:p>
    <w:p w14:paraId="7D5908CA" w14:textId="63FDEC5F" w:rsidR="00F01B4A" w:rsidRDefault="00F01B4A" w:rsidP="004270FC">
      <w:pPr>
        <w:autoSpaceDE w:val="0"/>
        <w:autoSpaceDN w:val="0"/>
        <w:adjustRightInd w:val="0"/>
        <w:spacing w:before="240"/>
      </w:pPr>
      <w:r>
        <w:t xml:space="preserve">The EMBLEM™ MRI S-ICD (Model A219) is listed on the Prostheses List (PL) with a benefit of $28,398. No leads that can be used with the S-ICD are currently listed on the PL. </w:t>
      </w:r>
      <w:r w:rsidRPr="003D4190">
        <w:t xml:space="preserve">The resubmission stated the applicant intends to </w:t>
      </w:r>
      <w:proofErr w:type="gramStart"/>
      <w:r w:rsidR="008941EF" w:rsidRPr="008941EF">
        <w:rPr>
          <w:b/>
          <w:bCs/>
        </w:rPr>
        <w:t>redacted</w:t>
      </w:r>
      <w:proofErr w:type="gramEnd"/>
      <w:r w:rsidR="008941EF">
        <w:t>.</w:t>
      </w:r>
      <w:r>
        <w:t xml:space="preserve"> </w:t>
      </w:r>
    </w:p>
    <w:p w14:paraId="03394D35" w14:textId="79B55B28" w:rsidR="00F01B4A" w:rsidRDefault="00F01B4A" w:rsidP="004270FC">
      <w:pPr>
        <w:autoSpaceDE w:val="0"/>
        <w:autoSpaceDN w:val="0"/>
        <w:adjustRightInd w:val="0"/>
        <w:spacing w:before="240"/>
        <w:rPr>
          <w:rFonts w:eastAsiaTheme="minorHAnsi"/>
          <w:szCs w:val="24"/>
          <w:lang w:eastAsia="en-US"/>
        </w:rPr>
      </w:pPr>
      <w:r>
        <w:rPr>
          <w:rFonts w:eastAsiaTheme="minorHAnsi"/>
          <w:szCs w:val="24"/>
          <w:lang w:eastAsia="en-US"/>
        </w:rPr>
        <w:t xml:space="preserve">The ADAR stated implantation of an S-ICD device is clinically similar to the insertion of a TV-ICD in terms of </w:t>
      </w:r>
      <w:proofErr w:type="gramStart"/>
      <w:r>
        <w:rPr>
          <w:rFonts w:eastAsiaTheme="minorHAnsi"/>
          <w:szCs w:val="24"/>
          <w:lang w:eastAsia="en-US"/>
        </w:rPr>
        <w:t>staffing, and</w:t>
      </w:r>
      <w:proofErr w:type="gramEnd"/>
      <w:r>
        <w:rPr>
          <w:rFonts w:eastAsiaTheme="minorHAnsi"/>
          <w:szCs w:val="24"/>
          <w:lang w:eastAsia="en-US"/>
        </w:rPr>
        <w:t xml:space="preserve"> required infrastructure. As such, the necessary capabilities to perform S-ICD implantation are already established at the relevant clinics and institutions.</w:t>
      </w:r>
    </w:p>
    <w:p w14:paraId="4A4A06F2" w14:textId="1F2985AE" w:rsidR="00F01B4A" w:rsidRPr="004A3399" w:rsidRDefault="00F01B4A" w:rsidP="004270FC">
      <w:pPr>
        <w:pStyle w:val="Caption"/>
        <w:spacing w:before="240"/>
      </w:pPr>
      <w:bookmarkStart w:id="2" w:name="_Ref59098660"/>
      <w:r w:rsidRPr="004A3399">
        <w:t xml:space="preserve">Table </w:t>
      </w:r>
      <w:fldSimple w:instr=" SEQ Table \* ARABIC ">
        <w:r w:rsidR="00113B4B">
          <w:rPr>
            <w:noProof/>
          </w:rPr>
          <w:t>3</w:t>
        </w:r>
      </w:fldSimple>
      <w:bookmarkEnd w:id="2"/>
      <w:r w:rsidRPr="004A3399">
        <w:tab/>
        <w:t>S-ICD automatic defibrillators and associated leads and components listed on the ARTG</w:t>
      </w:r>
    </w:p>
    <w:tbl>
      <w:tblPr>
        <w:tblStyle w:val="OPTUMTableNormal"/>
        <w:tblW w:w="4871" w:type="pct"/>
        <w:tblLook w:val="04A0" w:firstRow="1" w:lastRow="0" w:firstColumn="1" w:lastColumn="0" w:noHBand="0" w:noVBand="1"/>
        <w:tblCaption w:val="Table 11 S-ICD automatic defibrillators and associated leads and components listed on the ARTG"/>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039"/>
        <w:gridCol w:w="1793"/>
        <w:gridCol w:w="4407"/>
        <w:gridCol w:w="1544"/>
      </w:tblGrid>
      <w:tr w:rsidR="00F01B4A" w:rsidRPr="004A3399" w14:paraId="62D4325A" w14:textId="77777777" w:rsidTr="00CA49B8">
        <w:trPr>
          <w:cnfStyle w:val="100000000000" w:firstRow="1" w:lastRow="0" w:firstColumn="0" w:lastColumn="0" w:oddVBand="0" w:evenVBand="0" w:oddHBand="0" w:evenHBand="0" w:firstRowFirstColumn="0" w:firstRowLastColumn="0" w:lastRowFirstColumn="0" w:lastRowLastColumn="0"/>
          <w:tblHeader/>
        </w:trPr>
        <w:tc>
          <w:tcPr>
            <w:tcW w:w="591" w:type="pct"/>
          </w:tcPr>
          <w:p w14:paraId="14F94610" w14:textId="77777777" w:rsidR="00F01B4A" w:rsidRPr="004A3399" w:rsidRDefault="00F01B4A" w:rsidP="00F01B4A">
            <w:pPr>
              <w:spacing w:after="40"/>
              <w:rPr>
                <w:rFonts w:ascii="Arial Narrow" w:hAnsi="Arial Narrow" w:cs="Tahoma"/>
                <w:b/>
                <w:sz w:val="20"/>
              </w:rPr>
            </w:pPr>
            <w:r w:rsidRPr="004A3399">
              <w:rPr>
                <w:rFonts w:ascii="Arial Narrow" w:hAnsi="Arial Narrow" w:cs="Tahoma"/>
                <w:b/>
                <w:sz w:val="20"/>
              </w:rPr>
              <w:t>ARTG no.</w:t>
            </w:r>
          </w:p>
          <w:p w14:paraId="3A01869D" w14:textId="77777777" w:rsidR="00F01B4A" w:rsidRPr="004A3399" w:rsidRDefault="00F01B4A" w:rsidP="00F01B4A">
            <w:pPr>
              <w:keepNext/>
              <w:spacing w:after="40"/>
              <w:rPr>
                <w:rFonts w:ascii="Arial Narrow" w:hAnsi="Arial Narrow" w:cs="Tahoma"/>
                <w:b/>
                <w:sz w:val="20"/>
              </w:rPr>
            </w:pPr>
            <w:r w:rsidRPr="004A3399">
              <w:rPr>
                <w:rFonts w:ascii="Arial Narrow" w:hAnsi="Arial Narrow" w:cs="Tahoma"/>
                <w:b/>
                <w:sz w:val="20"/>
              </w:rPr>
              <w:t>Start date</w:t>
            </w:r>
          </w:p>
        </w:tc>
        <w:tc>
          <w:tcPr>
            <w:tcW w:w="1021" w:type="pct"/>
          </w:tcPr>
          <w:p w14:paraId="679614B7" w14:textId="77777777" w:rsidR="00F01B4A" w:rsidRPr="004A3399" w:rsidRDefault="00F01B4A" w:rsidP="00F01B4A">
            <w:pPr>
              <w:spacing w:after="40"/>
              <w:rPr>
                <w:rFonts w:ascii="Arial Narrow" w:hAnsi="Arial Narrow" w:cs="Tahoma"/>
                <w:b/>
                <w:sz w:val="20"/>
              </w:rPr>
            </w:pPr>
            <w:r w:rsidRPr="004A3399">
              <w:rPr>
                <w:rFonts w:ascii="Arial Narrow" w:hAnsi="Arial Narrow" w:cs="Tahoma"/>
                <w:b/>
                <w:sz w:val="20"/>
              </w:rPr>
              <w:t>GMDN/ Product Category</w:t>
            </w:r>
          </w:p>
        </w:tc>
        <w:tc>
          <w:tcPr>
            <w:tcW w:w="2509" w:type="pct"/>
          </w:tcPr>
          <w:p w14:paraId="03A5AEF7" w14:textId="77777777" w:rsidR="00F01B4A" w:rsidRPr="004A3399" w:rsidRDefault="00F01B4A" w:rsidP="00F01B4A">
            <w:pPr>
              <w:spacing w:after="40"/>
              <w:rPr>
                <w:rFonts w:ascii="Arial Narrow" w:hAnsi="Arial Narrow" w:cs="Tahoma"/>
                <w:b/>
                <w:sz w:val="20"/>
              </w:rPr>
            </w:pPr>
            <w:r w:rsidRPr="004A3399">
              <w:rPr>
                <w:rFonts w:ascii="Arial Narrow" w:hAnsi="Arial Narrow" w:cs="Tahoma"/>
                <w:b/>
                <w:sz w:val="20"/>
              </w:rPr>
              <w:t>Unique Product Identifier</w:t>
            </w:r>
          </w:p>
          <w:p w14:paraId="0635DE39" w14:textId="77777777" w:rsidR="00F01B4A" w:rsidRPr="004A3399" w:rsidRDefault="00F01B4A" w:rsidP="00F01B4A">
            <w:pPr>
              <w:keepNext/>
              <w:spacing w:after="40"/>
              <w:rPr>
                <w:rFonts w:ascii="Arial Narrow" w:hAnsi="Arial Narrow" w:cs="Tahoma"/>
                <w:b/>
                <w:sz w:val="20"/>
              </w:rPr>
            </w:pPr>
          </w:p>
        </w:tc>
        <w:tc>
          <w:tcPr>
            <w:tcW w:w="879" w:type="pct"/>
          </w:tcPr>
          <w:p w14:paraId="5B9AF5CA" w14:textId="77777777" w:rsidR="00F01B4A" w:rsidRPr="004A3399" w:rsidRDefault="00F01B4A" w:rsidP="00F01B4A">
            <w:pPr>
              <w:spacing w:after="40"/>
              <w:rPr>
                <w:rFonts w:ascii="Arial Narrow" w:hAnsi="Arial Narrow" w:cs="Tahoma"/>
                <w:b/>
                <w:sz w:val="20"/>
              </w:rPr>
            </w:pPr>
            <w:r w:rsidRPr="004A3399">
              <w:rPr>
                <w:rFonts w:ascii="Arial Narrow" w:hAnsi="Arial Narrow" w:cs="Tahoma"/>
                <w:b/>
                <w:sz w:val="20"/>
              </w:rPr>
              <w:t>Sponsor</w:t>
            </w:r>
          </w:p>
        </w:tc>
      </w:tr>
      <w:tr w:rsidR="00F01B4A" w:rsidRPr="004A3399" w14:paraId="064ED65B" w14:textId="77777777" w:rsidTr="00CA49B8">
        <w:trPr>
          <w:trHeight w:val="624"/>
        </w:trPr>
        <w:tc>
          <w:tcPr>
            <w:tcW w:w="591" w:type="pct"/>
          </w:tcPr>
          <w:p w14:paraId="019C9D16"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286705</w:t>
            </w:r>
          </w:p>
          <w:p w14:paraId="7043082A"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14/03/2017</w:t>
            </w:r>
          </w:p>
        </w:tc>
        <w:tc>
          <w:tcPr>
            <w:tcW w:w="1021" w:type="pct"/>
          </w:tcPr>
          <w:p w14:paraId="569D35C8"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35852 / Medical Device AIMD</w:t>
            </w:r>
          </w:p>
        </w:tc>
        <w:tc>
          <w:tcPr>
            <w:tcW w:w="2509" w:type="pct"/>
          </w:tcPr>
          <w:p w14:paraId="68252F11"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sz w:val="20"/>
              </w:rPr>
              <w:t>EMBLEM™ MRI S-ICD A219 - Defibrillator, implantable, automatic</w:t>
            </w:r>
          </w:p>
        </w:tc>
        <w:tc>
          <w:tcPr>
            <w:tcW w:w="879" w:type="pct"/>
          </w:tcPr>
          <w:p w14:paraId="758B9137"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Boston Scientific Pty Ltd</w:t>
            </w:r>
          </w:p>
        </w:tc>
      </w:tr>
      <w:tr w:rsidR="00F01B4A" w:rsidRPr="004A3399" w14:paraId="2BE6DECF" w14:textId="77777777" w:rsidTr="00CA49B8">
        <w:tc>
          <w:tcPr>
            <w:tcW w:w="591" w:type="pct"/>
          </w:tcPr>
          <w:p w14:paraId="19821FC7"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260382</w:t>
            </w:r>
          </w:p>
          <w:p w14:paraId="3009CA0B"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29/09/2015</w:t>
            </w:r>
          </w:p>
        </w:tc>
        <w:tc>
          <w:tcPr>
            <w:tcW w:w="1021" w:type="pct"/>
          </w:tcPr>
          <w:p w14:paraId="0298DD0B"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35852 / Medical Device AIMD</w:t>
            </w:r>
          </w:p>
        </w:tc>
        <w:tc>
          <w:tcPr>
            <w:tcW w:w="2509" w:type="pct"/>
          </w:tcPr>
          <w:p w14:paraId="3D64A8B1" w14:textId="77777777" w:rsidR="00F01B4A" w:rsidRPr="004A3399" w:rsidRDefault="00F01B4A" w:rsidP="00F01B4A">
            <w:pPr>
              <w:spacing w:after="40"/>
              <w:rPr>
                <w:rFonts w:ascii="Arial Narrow" w:hAnsi="Arial Narrow" w:cs="Tahoma"/>
                <w:sz w:val="20"/>
              </w:rPr>
            </w:pPr>
            <w:r w:rsidRPr="004A3399">
              <w:rPr>
                <w:rFonts w:ascii="Arial Narrow" w:hAnsi="Arial Narrow" w:cs="Tahoma"/>
                <w:sz w:val="20"/>
              </w:rPr>
              <w:t>EMBLEM™ S-ICD Pulse Generator Model A209 - Defibrillator, implantable, automatic</w:t>
            </w:r>
          </w:p>
        </w:tc>
        <w:tc>
          <w:tcPr>
            <w:tcW w:w="879" w:type="pct"/>
          </w:tcPr>
          <w:p w14:paraId="59A862E5"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Boston Scientific Pty Ltd</w:t>
            </w:r>
          </w:p>
        </w:tc>
      </w:tr>
      <w:tr w:rsidR="00F01B4A" w:rsidRPr="004A3399" w14:paraId="167CFB2A" w14:textId="77777777" w:rsidTr="00CA49B8">
        <w:tc>
          <w:tcPr>
            <w:tcW w:w="591" w:type="pct"/>
          </w:tcPr>
          <w:p w14:paraId="52FE6917" w14:textId="77777777" w:rsidR="00F01B4A" w:rsidRPr="0079642F" w:rsidRDefault="00F01B4A" w:rsidP="00F01B4A">
            <w:pPr>
              <w:spacing w:after="40"/>
              <w:rPr>
                <w:rFonts w:ascii="Arial Narrow" w:hAnsi="Arial Narrow" w:cs="Tahoma"/>
                <w:bCs/>
                <w:sz w:val="20"/>
              </w:rPr>
            </w:pPr>
            <w:r w:rsidRPr="0079642F">
              <w:rPr>
                <w:rFonts w:ascii="Arial Narrow" w:hAnsi="Arial Narrow" w:cs="Tahoma"/>
                <w:bCs/>
                <w:sz w:val="20"/>
              </w:rPr>
              <w:t>291908</w:t>
            </w:r>
          </w:p>
          <w:p w14:paraId="0512728C" w14:textId="77777777" w:rsidR="00F01B4A" w:rsidRPr="0079642F" w:rsidRDefault="00F01B4A" w:rsidP="00F01B4A">
            <w:pPr>
              <w:spacing w:after="40"/>
              <w:rPr>
                <w:rFonts w:ascii="Arial Narrow" w:hAnsi="Arial Narrow" w:cs="Tahoma"/>
                <w:bCs/>
                <w:sz w:val="20"/>
              </w:rPr>
            </w:pPr>
            <w:r w:rsidRPr="0079642F">
              <w:rPr>
                <w:rFonts w:ascii="Arial Narrow" w:hAnsi="Arial Narrow" w:cs="Tahoma"/>
                <w:bCs/>
                <w:sz w:val="20"/>
              </w:rPr>
              <w:t>24/07/2017</w:t>
            </w:r>
          </w:p>
        </w:tc>
        <w:tc>
          <w:tcPr>
            <w:tcW w:w="1021" w:type="pct"/>
          </w:tcPr>
          <w:p w14:paraId="2FC11A82" w14:textId="77777777" w:rsidR="00F01B4A" w:rsidRPr="0079642F" w:rsidRDefault="00F01B4A" w:rsidP="00F01B4A">
            <w:pPr>
              <w:spacing w:after="40"/>
              <w:rPr>
                <w:rFonts w:ascii="Arial Narrow" w:hAnsi="Arial Narrow" w:cs="Tahoma"/>
                <w:bCs/>
                <w:sz w:val="20"/>
              </w:rPr>
            </w:pPr>
            <w:r w:rsidRPr="0079642F">
              <w:rPr>
                <w:rFonts w:ascii="Arial Narrow" w:hAnsi="Arial Narrow" w:cs="Tahoma"/>
                <w:bCs/>
                <w:sz w:val="20"/>
              </w:rPr>
              <w:t>35853 / Medical Device Class III</w:t>
            </w:r>
          </w:p>
        </w:tc>
        <w:tc>
          <w:tcPr>
            <w:tcW w:w="2509" w:type="pct"/>
          </w:tcPr>
          <w:p w14:paraId="1E22C92A" w14:textId="77777777" w:rsidR="00F01B4A" w:rsidRPr="0079642F" w:rsidRDefault="00F01B4A" w:rsidP="00F01B4A">
            <w:pPr>
              <w:spacing w:after="40"/>
              <w:rPr>
                <w:rFonts w:ascii="Arial Narrow" w:hAnsi="Arial Narrow" w:cs="Tahoma"/>
                <w:bCs/>
                <w:sz w:val="20"/>
              </w:rPr>
            </w:pPr>
            <w:r w:rsidRPr="0079642F">
              <w:rPr>
                <w:rFonts w:ascii="Arial Narrow" w:hAnsi="Arial Narrow" w:cs="Tahoma"/>
                <w:sz w:val="20"/>
              </w:rPr>
              <w:t>EMBLEM™ S-ICD Subcutaneous Electrode Model 3501 - Lead, defibrillator, implantable</w:t>
            </w:r>
          </w:p>
        </w:tc>
        <w:tc>
          <w:tcPr>
            <w:tcW w:w="879" w:type="pct"/>
          </w:tcPr>
          <w:p w14:paraId="378C253A" w14:textId="77777777" w:rsidR="00F01B4A" w:rsidRPr="0079642F" w:rsidRDefault="00F01B4A" w:rsidP="00F01B4A">
            <w:pPr>
              <w:spacing w:after="40"/>
              <w:rPr>
                <w:rFonts w:ascii="Arial Narrow" w:hAnsi="Arial Narrow" w:cs="Tahoma"/>
                <w:bCs/>
                <w:sz w:val="20"/>
              </w:rPr>
            </w:pPr>
            <w:r w:rsidRPr="0079642F">
              <w:rPr>
                <w:rFonts w:ascii="Arial Narrow" w:hAnsi="Arial Narrow" w:cs="Tahoma"/>
                <w:bCs/>
                <w:sz w:val="20"/>
              </w:rPr>
              <w:t>Boston Scientific Pty Ltd</w:t>
            </w:r>
          </w:p>
        </w:tc>
      </w:tr>
      <w:tr w:rsidR="00F01B4A" w:rsidRPr="004A3399" w14:paraId="047F443D" w14:textId="77777777" w:rsidTr="00CA49B8">
        <w:tc>
          <w:tcPr>
            <w:tcW w:w="591" w:type="pct"/>
          </w:tcPr>
          <w:p w14:paraId="53BC2C9C"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260384</w:t>
            </w:r>
          </w:p>
          <w:p w14:paraId="750838E8"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29/09/2015</w:t>
            </w:r>
          </w:p>
        </w:tc>
        <w:tc>
          <w:tcPr>
            <w:tcW w:w="1021" w:type="pct"/>
          </w:tcPr>
          <w:p w14:paraId="577C0D1F"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35853 / Medical Device Class III</w:t>
            </w:r>
          </w:p>
        </w:tc>
        <w:tc>
          <w:tcPr>
            <w:tcW w:w="2509" w:type="pct"/>
          </w:tcPr>
          <w:p w14:paraId="4D104D61"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sz w:val="20"/>
              </w:rPr>
              <w:t>EMBLEM™ S-ICD Subcutaneous Electrode Model 3401 - Lead, defibrillator, implantable</w:t>
            </w:r>
          </w:p>
        </w:tc>
        <w:tc>
          <w:tcPr>
            <w:tcW w:w="879" w:type="pct"/>
          </w:tcPr>
          <w:p w14:paraId="05756A64"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Boston Scientific Pty Ltd</w:t>
            </w:r>
          </w:p>
        </w:tc>
      </w:tr>
      <w:tr w:rsidR="00F01B4A" w:rsidRPr="004A3399" w14:paraId="1F39BF25" w14:textId="77777777" w:rsidTr="00CA49B8">
        <w:tc>
          <w:tcPr>
            <w:tcW w:w="591" w:type="pct"/>
          </w:tcPr>
          <w:p w14:paraId="21699DB2"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260383</w:t>
            </w:r>
          </w:p>
          <w:p w14:paraId="6BD37EB8"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29/09/2015</w:t>
            </w:r>
          </w:p>
        </w:tc>
        <w:tc>
          <w:tcPr>
            <w:tcW w:w="1021" w:type="pct"/>
          </w:tcPr>
          <w:p w14:paraId="2BB13681"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47205 / Medical Device Class III</w:t>
            </w:r>
          </w:p>
        </w:tc>
        <w:tc>
          <w:tcPr>
            <w:tcW w:w="2509" w:type="pct"/>
          </w:tcPr>
          <w:p w14:paraId="4884CECD"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sz w:val="20"/>
              </w:rPr>
              <w:t>EMBLEM™ S-ICD Programmer Model 3200 - Cardiac pulse generator programmer</w:t>
            </w:r>
          </w:p>
        </w:tc>
        <w:tc>
          <w:tcPr>
            <w:tcW w:w="879" w:type="pct"/>
          </w:tcPr>
          <w:p w14:paraId="29FE6371" w14:textId="77777777" w:rsidR="00F01B4A" w:rsidRPr="004A3399" w:rsidRDefault="00F01B4A" w:rsidP="00F01B4A">
            <w:pPr>
              <w:spacing w:after="40"/>
              <w:rPr>
                <w:rFonts w:ascii="Arial Narrow" w:hAnsi="Arial Narrow" w:cs="Tahoma"/>
                <w:bCs/>
                <w:sz w:val="20"/>
              </w:rPr>
            </w:pPr>
            <w:r w:rsidRPr="004A3399">
              <w:rPr>
                <w:rFonts w:ascii="Arial Narrow" w:hAnsi="Arial Narrow" w:cs="Tahoma"/>
                <w:bCs/>
                <w:sz w:val="20"/>
              </w:rPr>
              <w:t>Boston Scientific Pty Ltd</w:t>
            </w:r>
          </w:p>
        </w:tc>
      </w:tr>
    </w:tbl>
    <w:p w14:paraId="0566A0CC" w14:textId="77777777" w:rsidR="00F01B4A" w:rsidRPr="004A3399" w:rsidRDefault="00F01B4A" w:rsidP="00F01B4A">
      <w:pPr>
        <w:widowControl w:val="0"/>
        <w:spacing w:after="360"/>
        <w:contextualSpacing/>
        <w:rPr>
          <w:rFonts w:ascii="Arial Narrow" w:hAnsi="Arial Narrow" w:cs="Arial"/>
          <w:snapToGrid w:val="0"/>
          <w:sz w:val="18"/>
          <w:lang w:eastAsia="en-US"/>
        </w:rPr>
      </w:pPr>
      <w:r w:rsidRPr="004A3399">
        <w:rPr>
          <w:rFonts w:ascii="Arial Narrow" w:hAnsi="Arial Narrow" w:cs="Arial"/>
          <w:snapToGrid w:val="0"/>
          <w:sz w:val="18"/>
          <w:lang w:eastAsia="en-US"/>
        </w:rPr>
        <w:t xml:space="preserve">Source: Table </w:t>
      </w:r>
      <w:r>
        <w:rPr>
          <w:rFonts w:ascii="Arial Narrow" w:hAnsi="Arial Narrow" w:cs="Arial"/>
          <w:snapToGrid w:val="0"/>
          <w:sz w:val="18"/>
          <w:lang w:eastAsia="en-US"/>
        </w:rPr>
        <w:t>11, p38 of the commentary</w:t>
      </w:r>
      <w:r w:rsidRPr="004A3399">
        <w:rPr>
          <w:rFonts w:ascii="Arial Narrow" w:hAnsi="Arial Narrow" w:cs="Arial"/>
          <w:snapToGrid w:val="0"/>
          <w:sz w:val="18"/>
          <w:lang w:eastAsia="en-US"/>
        </w:rPr>
        <w:t>, taken from the ARTG website (https://www.tga.gov.au/australian-register-therapeutic-goods), accessed 06 January 2021</w:t>
      </w:r>
    </w:p>
    <w:p w14:paraId="4D3367FB" w14:textId="77777777" w:rsidR="00F01B4A" w:rsidRPr="004A3399" w:rsidRDefault="00F01B4A" w:rsidP="00F01B4A">
      <w:pPr>
        <w:widowControl w:val="0"/>
        <w:spacing w:after="360"/>
        <w:contextualSpacing/>
        <w:rPr>
          <w:rFonts w:ascii="Arial Narrow" w:hAnsi="Arial Narrow" w:cs="Arial"/>
          <w:snapToGrid w:val="0"/>
          <w:sz w:val="18"/>
          <w:lang w:eastAsia="en-US"/>
        </w:rPr>
      </w:pPr>
      <w:r>
        <w:rPr>
          <w:rFonts w:ascii="Arial Narrow" w:hAnsi="Arial Narrow" w:cs="Arial"/>
          <w:snapToGrid w:val="0"/>
          <w:sz w:val="18"/>
          <w:lang w:eastAsia="en-US"/>
        </w:rPr>
        <w:t xml:space="preserve">Abbreviations: </w:t>
      </w:r>
      <w:r w:rsidRPr="004A3399">
        <w:rPr>
          <w:rFonts w:ascii="Arial Narrow" w:hAnsi="Arial Narrow" w:cs="Arial"/>
          <w:snapToGrid w:val="0"/>
          <w:sz w:val="18"/>
          <w:lang w:eastAsia="en-US"/>
        </w:rPr>
        <w:t xml:space="preserve">AIMD=Active implantable medical device; ARTG no.=Australian Register of Therapeutic Goods number; GMDN=Global medical device nomenclature; </w:t>
      </w:r>
      <w:r w:rsidRPr="004A3399">
        <w:rPr>
          <w:rFonts w:ascii="Arial Narrow" w:hAnsi="Arial Narrow" w:cs="Arial"/>
          <w:sz w:val="18"/>
          <w:lang w:eastAsia="en-US"/>
        </w:rPr>
        <w:t>S-ICD=subcutaneous implantable cardioverter defibrillator</w:t>
      </w:r>
    </w:p>
    <w:p w14:paraId="4828F907" w14:textId="54649983" w:rsidR="00BC1364" w:rsidRDefault="00F01B4A" w:rsidP="004270FC">
      <w:pPr>
        <w:widowControl w:val="0"/>
        <w:spacing w:after="240"/>
        <w:contextualSpacing/>
        <w:rPr>
          <w:rFonts w:ascii="Arial Narrow" w:hAnsi="Arial Narrow" w:cs="Arial"/>
          <w:snapToGrid w:val="0"/>
          <w:sz w:val="18"/>
          <w:lang w:eastAsia="en-US"/>
        </w:rPr>
      </w:pPr>
      <w:r w:rsidRPr="004A3399">
        <w:rPr>
          <w:rFonts w:ascii="Arial Narrow" w:hAnsi="Arial Narrow" w:cs="Arial"/>
          <w:snapToGrid w:val="0"/>
          <w:sz w:val="18"/>
          <w:lang w:eastAsia="en-US"/>
        </w:rPr>
        <w:t>Note: The two devices that were included in the Final Protocol for Application 1374 (ARTG no. 219499 and 219500) are 1</w:t>
      </w:r>
      <w:r w:rsidRPr="004A3399">
        <w:rPr>
          <w:rFonts w:ascii="Arial Narrow" w:hAnsi="Arial Narrow" w:cs="Arial"/>
          <w:snapToGrid w:val="0"/>
          <w:sz w:val="18"/>
          <w:vertAlign w:val="superscript"/>
          <w:lang w:eastAsia="en-US"/>
        </w:rPr>
        <w:t>st</w:t>
      </w:r>
      <w:r w:rsidRPr="004A3399">
        <w:rPr>
          <w:rFonts w:ascii="Arial Narrow" w:hAnsi="Arial Narrow" w:cs="Arial"/>
          <w:snapToGrid w:val="0"/>
          <w:sz w:val="18"/>
          <w:lang w:eastAsia="en-US"/>
        </w:rPr>
        <w:t xml:space="preserve"> generation models that are no longer included on the ARTG.</w:t>
      </w:r>
    </w:p>
    <w:p w14:paraId="66E64A25" w14:textId="77777777" w:rsidR="00BC1364" w:rsidRPr="00F715D1" w:rsidRDefault="00BC1364" w:rsidP="00F715D1">
      <w:pPr>
        <w:pStyle w:val="Heading1"/>
      </w:pPr>
      <w:r w:rsidRPr="00F715D1">
        <w:t>Proposal for public funding</w:t>
      </w:r>
    </w:p>
    <w:p w14:paraId="2BB76E05" w14:textId="77777777" w:rsidR="00F01B4A" w:rsidRPr="007A5149" w:rsidRDefault="00F01B4A" w:rsidP="007A5149">
      <w:pPr>
        <w:spacing w:after="240"/>
      </w:pPr>
      <w:r>
        <w:t>A</w:t>
      </w:r>
      <w:r w:rsidRPr="004A3399">
        <w:t xml:space="preserve"> new MBS item </w:t>
      </w:r>
      <w:r>
        <w:t xml:space="preserve">is proposed </w:t>
      </w:r>
      <w:r w:rsidRPr="004A3399">
        <w:t xml:space="preserve">for insertion, </w:t>
      </w:r>
      <w:proofErr w:type="gramStart"/>
      <w:r w:rsidRPr="004A3399">
        <w:t>removal</w:t>
      </w:r>
      <w:proofErr w:type="gramEnd"/>
      <w:r w:rsidRPr="004A3399">
        <w:t xml:space="preserve"> and replacement of subcutaneous leads for the S-ICD system. Separate MBS items already exist for services relating to insertion of an automatic defibrillator for primary prevention of SCD (MBS item 38387) and for secondary prevention of SCD (MBS item 38393).</w:t>
      </w:r>
    </w:p>
    <w:p w14:paraId="370483F8" w14:textId="4B4D027B" w:rsidR="00F01B4A" w:rsidRDefault="00F01B4A" w:rsidP="007A5149">
      <w:pPr>
        <w:spacing w:after="240"/>
      </w:pPr>
      <w:r>
        <w:t xml:space="preserve">The proposed MBS item descriptor and fee is provided in </w:t>
      </w:r>
      <w:r>
        <w:fldChar w:fldCharType="begin"/>
      </w:r>
      <w:r>
        <w:instrText xml:space="preserve"> REF _Ref57836624 \h </w:instrText>
      </w:r>
      <w:r>
        <w:fldChar w:fldCharType="separate"/>
      </w:r>
      <w:r w:rsidR="00113B4B">
        <w:t xml:space="preserve">Table </w:t>
      </w:r>
      <w:r w:rsidR="00113B4B">
        <w:rPr>
          <w:noProof/>
        </w:rPr>
        <w:t>4</w:t>
      </w:r>
      <w:r>
        <w:fldChar w:fldCharType="end"/>
      </w:r>
      <w:r>
        <w:t xml:space="preserve">. </w:t>
      </w:r>
    </w:p>
    <w:p w14:paraId="434785E1" w14:textId="63AA09D2" w:rsidR="00F01B4A" w:rsidRPr="00183E4D" w:rsidRDefault="00F01B4A" w:rsidP="00F01B4A">
      <w:pPr>
        <w:pStyle w:val="Caption"/>
      </w:pPr>
      <w:bookmarkStart w:id="3" w:name="_Ref57836624"/>
      <w:bookmarkStart w:id="4" w:name="_Toc399251120"/>
      <w:bookmarkStart w:id="5" w:name="_Ref41382836"/>
      <w:bookmarkStart w:id="6" w:name="_Toc37031146"/>
      <w:bookmarkStart w:id="7" w:name="_Toc39593652"/>
      <w:r>
        <w:t xml:space="preserve">Table </w:t>
      </w:r>
      <w:fldSimple w:instr=" SEQ Table \* ARABIC ">
        <w:r w:rsidR="00113B4B">
          <w:rPr>
            <w:noProof/>
          </w:rPr>
          <w:t>4</w:t>
        </w:r>
      </w:fldSimple>
      <w:bookmarkEnd w:id="3"/>
      <w:r w:rsidRPr="00183E4D">
        <w:tab/>
        <w:t xml:space="preserve">Proposed </w:t>
      </w:r>
      <w:r w:rsidRPr="003B0968">
        <w:t>MBS item</w:t>
      </w:r>
      <w:r w:rsidRPr="00183E4D">
        <w:t xml:space="preserve"> descriptor</w:t>
      </w:r>
      <w:bookmarkEnd w:id="4"/>
    </w:p>
    <w:tbl>
      <w:tblPr>
        <w:tblStyle w:val="OPTUMTableNormal"/>
        <w:tblW w:w="5000" w:type="pct"/>
        <w:tblLook w:val="04A0" w:firstRow="1" w:lastRow="0" w:firstColumn="1" w:lastColumn="0" w:noHBand="0" w:noVBand="1"/>
        <w:tblCaption w:val="Table 1 Proposed MBS item descriptor"/>
        <w:tblDescription w:val="This table provides a description of the wording of the item to be included in the Medicare Benefits Schedule for this technology."/>
      </w:tblPr>
      <w:tblGrid>
        <w:gridCol w:w="9016"/>
      </w:tblGrid>
      <w:tr w:rsidR="00F01B4A" w:rsidRPr="00183E4D" w14:paraId="3E766A40" w14:textId="77777777" w:rsidTr="00CA49B8">
        <w:trPr>
          <w:cnfStyle w:val="100000000000" w:firstRow="1" w:lastRow="0" w:firstColumn="0" w:lastColumn="0" w:oddVBand="0" w:evenVBand="0" w:oddHBand="0" w:evenHBand="0" w:firstRowFirstColumn="0" w:firstRowLastColumn="0" w:lastRowFirstColumn="0" w:lastRowLastColumn="0"/>
          <w:tblHeader/>
        </w:trPr>
        <w:tc>
          <w:tcPr>
            <w:tcW w:w="5000" w:type="pct"/>
          </w:tcPr>
          <w:bookmarkEnd w:id="5"/>
          <w:bookmarkEnd w:id="6"/>
          <w:bookmarkEnd w:id="7"/>
          <w:p w14:paraId="29E7D8D7" w14:textId="77777777" w:rsidR="00F01B4A" w:rsidRPr="00183E4D" w:rsidRDefault="00F01B4A" w:rsidP="00F01B4A">
            <w:pPr>
              <w:pStyle w:val="Tabletext0"/>
            </w:pPr>
            <w:r w:rsidRPr="00731951">
              <w:t>Category 3 – THERAPEUTIC PROCEDURES</w:t>
            </w:r>
          </w:p>
        </w:tc>
      </w:tr>
      <w:tr w:rsidR="00F01B4A" w:rsidRPr="00183E4D" w14:paraId="51EAD49E" w14:textId="77777777" w:rsidTr="00CA49B8">
        <w:tc>
          <w:tcPr>
            <w:tcW w:w="5000" w:type="pct"/>
          </w:tcPr>
          <w:p w14:paraId="41A0778F" w14:textId="591EBE61" w:rsidR="00F01B4A" w:rsidRDefault="00F01B4A" w:rsidP="00F01B4A">
            <w:pPr>
              <w:pStyle w:val="Tabletext0"/>
            </w:pPr>
            <w:r>
              <w:t xml:space="preserve">SUBCUTANEOUS DEFIBRILLATOR LEAD, insertion, </w:t>
            </w:r>
            <w:proofErr w:type="gramStart"/>
            <w:r>
              <w:t>removal</w:t>
            </w:r>
            <w:proofErr w:type="gramEnd"/>
            <w:r>
              <w:t xml:space="preserve"> or replacement of, for prevention of sudden cardiac death in patients who do not have symptomatic bradycardia, incessant ventricular tachycardia, or spontaneous, frequently occurring ventricular tachycardia that is reliably terminated with </w:t>
            </w:r>
            <w:proofErr w:type="spellStart"/>
            <w:r>
              <w:t>antitachycardia</w:t>
            </w:r>
            <w:proofErr w:type="spellEnd"/>
            <w:r>
              <w:t xml:space="preserve"> pacing. </w:t>
            </w:r>
          </w:p>
          <w:p w14:paraId="44176E2F" w14:textId="77777777" w:rsidR="00F01B4A" w:rsidRPr="00183E4D" w:rsidRDefault="00F01B4A" w:rsidP="004270FC">
            <w:pPr>
              <w:pStyle w:val="Tabletext0"/>
              <w:spacing w:before="240"/>
            </w:pPr>
            <w:r>
              <w:t xml:space="preserve">Multiple </w:t>
            </w:r>
            <w:r w:rsidRPr="00786A74">
              <w:rPr>
                <w:strike/>
              </w:rPr>
              <w:t>Services</w:t>
            </w:r>
            <w:r>
              <w:t xml:space="preserve"> </w:t>
            </w:r>
            <w:r>
              <w:rPr>
                <w:i/>
              </w:rPr>
              <w:t xml:space="preserve">Operations </w:t>
            </w:r>
            <w:r>
              <w:t>Rule (</w:t>
            </w:r>
            <w:proofErr w:type="spellStart"/>
            <w:r>
              <w:t>Anaes</w:t>
            </w:r>
            <w:proofErr w:type="spellEnd"/>
            <w:r>
              <w:t>.) (Assist.)</w:t>
            </w:r>
          </w:p>
        </w:tc>
      </w:tr>
      <w:tr w:rsidR="00F01B4A" w:rsidRPr="00183E4D" w14:paraId="425471C9" w14:textId="77777777" w:rsidTr="00CA49B8">
        <w:tc>
          <w:tcPr>
            <w:tcW w:w="5000" w:type="pct"/>
          </w:tcPr>
          <w:p w14:paraId="38EB9F8B" w14:textId="77777777" w:rsidR="00F01B4A" w:rsidRPr="00183E4D" w:rsidRDefault="00F01B4A" w:rsidP="00F01B4A">
            <w:pPr>
              <w:pStyle w:val="Tabletext0"/>
            </w:pPr>
            <w:r w:rsidRPr="00731951">
              <w:t>MBS Fee: $</w:t>
            </w:r>
            <w:r>
              <w:t>1,085.55</w:t>
            </w:r>
            <w:r w:rsidRPr="00731951">
              <w:t xml:space="preserve">  </w:t>
            </w:r>
          </w:p>
        </w:tc>
      </w:tr>
    </w:tbl>
    <w:p w14:paraId="3C9E0123" w14:textId="77777777" w:rsidR="00F01B4A" w:rsidRPr="00786A74" w:rsidRDefault="00F01B4A" w:rsidP="007A5149">
      <w:pPr>
        <w:pStyle w:val="Tablecaption"/>
        <w:spacing w:after="240"/>
      </w:pPr>
      <w:r>
        <w:t xml:space="preserve">Source: Table 3, </w:t>
      </w:r>
      <w:proofErr w:type="spellStart"/>
      <w:r>
        <w:t>pxiv</w:t>
      </w:r>
      <w:proofErr w:type="spellEnd"/>
      <w:r>
        <w:t xml:space="preserve"> of the commentary; based on Table A-4</w:t>
      </w:r>
      <w:r w:rsidRPr="00786A74">
        <w:t>, p</w:t>
      </w:r>
      <w:r>
        <w:t>35</w:t>
      </w:r>
      <w:r w:rsidRPr="00786A74">
        <w:t xml:space="preserve"> of the </w:t>
      </w:r>
      <w:r>
        <w:t xml:space="preserve">ADAR, with commentary amendment in italics and strikethrough </w:t>
      </w:r>
    </w:p>
    <w:p w14:paraId="149E82BF" w14:textId="77777777" w:rsidR="00F01B4A" w:rsidRDefault="00F01B4A" w:rsidP="007A5149">
      <w:pPr>
        <w:spacing w:after="240"/>
      </w:pPr>
      <w:r>
        <w:t>The proposed wording is identical to the wording in the final protocol for application 1374 (May 2014).</w:t>
      </w:r>
    </w:p>
    <w:p w14:paraId="200A8380" w14:textId="4CE90B46" w:rsidR="00F01B4A" w:rsidRPr="00BE4C75" w:rsidRDefault="004270FC" w:rsidP="007A5149">
      <w:pPr>
        <w:spacing w:after="240"/>
      </w:pPr>
      <w:r>
        <w:lastRenderedPageBreak/>
        <w:t>The C</w:t>
      </w:r>
      <w:r w:rsidR="00F01B4A" w:rsidRPr="00BE4C75">
        <w:t xml:space="preserve">ommentary noted that the submission intends for S-ICD to be used for primary and secondary prevention of SCD. However, the proposed descriptor does not contain the same detailed criteria for ICD therapy that is specified in the MBS items for TV-ICD lead insertion and allows for use in a broader population than were eligible for the PRAETORIAN trial. </w:t>
      </w:r>
      <w:r w:rsidR="00DE5781">
        <w:t xml:space="preserve"> MSAC considered that the descriptor should include detailed patient inclusion and exclusion criteria. However, MSAC advised that clinical societies should be consulted on the </w:t>
      </w:r>
      <w:r w:rsidR="007D599B">
        <w:t>population, noting that the ‘high clinical need’ for this device is much more likely in a narrower population to that proposed in the descriptor.</w:t>
      </w:r>
    </w:p>
    <w:p w14:paraId="4E637C1F" w14:textId="6ACC70C6" w:rsidR="00F01B4A" w:rsidRDefault="00F01B4A" w:rsidP="007A5149">
      <w:pPr>
        <w:spacing w:after="240"/>
      </w:pPr>
      <w:r>
        <w:t xml:space="preserve">The resubmission proposed the same MBS service fee as for TV-ICD lead insertion under MBS item 38384 and 38390. The resubmission </w:t>
      </w:r>
      <w:r w:rsidRPr="000C130F">
        <w:t>acknowledge</w:t>
      </w:r>
      <w:r>
        <w:t>d</w:t>
      </w:r>
      <w:r w:rsidRPr="000C130F">
        <w:t xml:space="preserve"> that there are some differences between transvenous and subcutaneous lead placement, but they do not expect that these would result in appreciable differences in resource use or procedure time. </w:t>
      </w:r>
    </w:p>
    <w:p w14:paraId="25D8107F" w14:textId="2397626A" w:rsidR="00113B4B" w:rsidRPr="007A5149" w:rsidRDefault="00113B4B" w:rsidP="00113B4B">
      <w:pPr>
        <w:tabs>
          <w:tab w:val="left" w:pos="720"/>
          <w:tab w:val="left" w:pos="1140"/>
        </w:tabs>
        <w:spacing w:after="240"/>
        <w:rPr>
          <w:i/>
          <w:szCs w:val="24"/>
        </w:rPr>
      </w:pPr>
      <w:r>
        <w:t>The pre-MSAC response advised the a</w:t>
      </w:r>
      <w:r w:rsidRPr="007A5149">
        <w:t xml:space="preserve">pplicant is willing to work with the Department to develop a restriction that is clinically appropriate and consistent with the clinical evidence. This may involve restricting the eligible population to those aged ≥18 years and those who </w:t>
      </w:r>
      <w:r w:rsidR="007D51D8">
        <w:t>pass</w:t>
      </w:r>
      <w:r w:rsidR="007D51D8" w:rsidRPr="007A5149">
        <w:t xml:space="preserve"> </w:t>
      </w:r>
      <w:r w:rsidRPr="007A5149">
        <w:t>screening based on surface ECG waveform analysis. In addition, an explanatory note (similar to TN.8.66) may be needed to clarify eligibility expectations for replacement procedures.</w:t>
      </w:r>
    </w:p>
    <w:p w14:paraId="599D9B0F" w14:textId="7E9AA093" w:rsidR="00F01B4A" w:rsidRDefault="008066CE" w:rsidP="007A5149">
      <w:pPr>
        <w:spacing w:after="240"/>
      </w:pPr>
      <w:r>
        <w:t xml:space="preserve">MSAC agreed with ESC’s consideration that it may be reasonable to accept the </w:t>
      </w:r>
      <w:r w:rsidR="00F01B4A" w:rsidRPr="006B72F3">
        <w:t xml:space="preserve">reports of similar procedure time for S-ICD and </w:t>
      </w:r>
      <w:r w:rsidR="00F01B4A">
        <w:t>TV-ICD</w:t>
      </w:r>
      <w:r w:rsidR="00F01B4A" w:rsidRPr="006B72F3">
        <w:t xml:space="preserve"> lead insertion (including from PRAETORIAN)</w:t>
      </w:r>
      <w:r>
        <w:t xml:space="preserve"> in justifying the MBS fee, despite the potential for TV-ICD lead insertion to be more complex</w:t>
      </w:r>
      <w:r w:rsidR="00F01B4A" w:rsidRPr="006B72F3">
        <w:t>.</w:t>
      </w:r>
      <w:r w:rsidR="00F01B4A">
        <w:t xml:space="preserve"> </w:t>
      </w:r>
      <w:r>
        <w:t xml:space="preserve">MSAC noted the </w:t>
      </w:r>
      <w:r w:rsidR="00F01B4A" w:rsidRPr="00067C4F">
        <w:t xml:space="preserve">proposed </w:t>
      </w:r>
      <w:r w:rsidR="00F01B4A">
        <w:t>i</w:t>
      </w:r>
      <w:r w:rsidR="00F01B4A" w:rsidRPr="00067C4F">
        <w:t>tem include</w:t>
      </w:r>
      <w:r w:rsidR="00F01B4A">
        <w:t>s</w:t>
      </w:r>
      <w:r w:rsidR="00F01B4A" w:rsidRPr="00067C4F">
        <w:t xml:space="preserve"> insertion and removal/replacement of S-ICD leads. This is in contrast to the current funding arrangement for </w:t>
      </w:r>
      <w:r w:rsidR="00F01B4A">
        <w:t>TV-ICD,</w:t>
      </w:r>
      <w:r w:rsidR="00F01B4A" w:rsidRPr="00067C4F">
        <w:t xml:space="preserve"> whereby a separate MBS item for lead removal (MBS item 38358) </w:t>
      </w:r>
      <w:r w:rsidR="00F01B4A">
        <w:t xml:space="preserve">with a higher fee exists </w:t>
      </w:r>
      <w:r w:rsidR="00F01B4A" w:rsidRPr="00067C4F">
        <w:t xml:space="preserve">due to the complexity of the </w:t>
      </w:r>
      <w:r w:rsidR="00F01B4A">
        <w:t xml:space="preserve">removal </w:t>
      </w:r>
      <w:r w:rsidR="00F01B4A" w:rsidRPr="00067C4F">
        <w:t>procedure.</w:t>
      </w:r>
    </w:p>
    <w:p w14:paraId="47D9FE4C"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10FD8686" w14:textId="28BBA95B" w:rsidR="00BC1364" w:rsidRDefault="00F01B4A" w:rsidP="00F715D1">
      <w:pPr>
        <w:spacing w:after="240"/>
        <w:rPr>
          <w:i/>
          <w:szCs w:val="24"/>
        </w:rPr>
      </w:pPr>
      <w:r>
        <w:t>See</w:t>
      </w:r>
      <w:r w:rsidRPr="000F21FE">
        <w:t xml:space="preserve"> </w:t>
      </w:r>
      <w:hyperlink r:id="rId11" w:tooltip="This is a link to the MSAC website" w:history="1">
        <w:r w:rsidRPr="00AF6671">
          <w:rPr>
            <w:rStyle w:val="Hyperlink"/>
          </w:rPr>
          <w:t xml:space="preserve">MSAC Application 1374 </w:t>
        </w:r>
        <w:r>
          <w:rPr>
            <w:rStyle w:val="Hyperlink"/>
          </w:rPr>
          <w:t>PSD</w:t>
        </w:r>
      </w:hyperlink>
      <w:r>
        <w:rPr>
          <w:rStyle w:val="Hyperlink"/>
        </w:rPr>
        <w:t xml:space="preserve"> </w:t>
      </w:r>
      <w:r w:rsidRPr="00517E94">
        <w:rPr>
          <w:rStyle w:val="Hyperlink"/>
        </w:rPr>
        <w:t>for consumer feedback previously received.</w:t>
      </w:r>
      <w:r>
        <w:rPr>
          <w:rStyle w:val="Hyperlink"/>
        </w:rPr>
        <w:t xml:space="preserve"> </w:t>
      </w:r>
      <w:r>
        <w:t xml:space="preserve">No additional consumer feedback was </w:t>
      </w:r>
      <w:r w:rsidRPr="000F21FE">
        <w:t>received</w:t>
      </w:r>
      <w:r>
        <w:t xml:space="preserve"> regarding the resubmission of MSAC Application 1374.1.</w:t>
      </w:r>
      <w:r w:rsidR="00BC1364" w:rsidRPr="00F72715">
        <w:rPr>
          <w:i/>
          <w:szCs w:val="24"/>
        </w:rPr>
        <w:t xml:space="preserve"> </w:t>
      </w:r>
    </w:p>
    <w:p w14:paraId="691E7F25" w14:textId="77777777" w:rsidR="00BC1364" w:rsidRPr="00F715D1" w:rsidRDefault="00BC1364" w:rsidP="00F715D1">
      <w:pPr>
        <w:pStyle w:val="Heading1"/>
      </w:pPr>
      <w:r w:rsidRPr="00F715D1">
        <w:t>Proposed intervention’s place in clinical management</w:t>
      </w:r>
    </w:p>
    <w:p w14:paraId="52009EAF" w14:textId="0ED5521C" w:rsidR="00F01B4A" w:rsidRDefault="00F01B4A" w:rsidP="00F715D1">
      <w:pPr>
        <w:spacing w:after="240"/>
        <w:rPr>
          <w:b/>
          <w:szCs w:val="24"/>
        </w:rPr>
      </w:pPr>
      <w:r w:rsidRPr="001B4C01">
        <w:t>The clinical management algorithm and the proposed place of S-ICD remains consistent with the previous submission</w:t>
      </w:r>
      <w:r>
        <w:t xml:space="preserve"> (see </w:t>
      </w:r>
      <w:hyperlink r:id="rId12" w:tooltip="This is a link to the MSAC website" w:history="1">
        <w:r w:rsidRPr="00AF6671">
          <w:rPr>
            <w:rStyle w:val="Hyperlink"/>
          </w:rPr>
          <w:t xml:space="preserve">MSAC Application 1374 </w:t>
        </w:r>
        <w:r>
          <w:rPr>
            <w:rStyle w:val="Hyperlink"/>
          </w:rPr>
          <w:t>PSD</w:t>
        </w:r>
      </w:hyperlink>
      <w:r>
        <w:rPr>
          <w:rStyle w:val="Hyperlink"/>
        </w:rPr>
        <w:t>).</w:t>
      </w:r>
    </w:p>
    <w:p w14:paraId="7CD47D28" w14:textId="77777777" w:rsidR="00BC1364" w:rsidRPr="00F715D1" w:rsidRDefault="00BC1364" w:rsidP="00F715D1">
      <w:pPr>
        <w:pStyle w:val="Heading1"/>
      </w:pPr>
      <w:r w:rsidRPr="00F715D1">
        <w:t xml:space="preserve">Comparator </w:t>
      </w:r>
    </w:p>
    <w:p w14:paraId="7ED262B6" w14:textId="0D8A546B" w:rsidR="00F01B4A" w:rsidRDefault="00F01B4A" w:rsidP="007A5149">
      <w:pPr>
        <w:spacing w:after="240"/>
      </w:pPr>
      <w:r w:rsidRPr="0084563D">
        <w:t>Consistent with the previous submission, the main comparator</w:t>
      </w:r>
      <w:r>
        <w:t xml:space="preserve"> </w:t>
      </w:r>
      <w:r w:rsidRPr="0084563D">
        <w:t xml:space="preserve">to </w:t>
      </w:r>
      <w:r>
        <w:t xml:space="preserve">S-ICD therapy in the current resubmission was single or dual-chamber TV-ICD therapy (see </w:t>
      </w:r>
      <w:hyperlink r:id="rId13" w:tooltip="This is a link to the MSAC website" w:history="1">
        <w:r w:rsidRPr="00AF6671">
          <w:rPr>
            <w:rStyle w:val="Hyperlink"/>
          </w:rPr>
          <w:t xml:space="preserve">MSAC Application 1374 </w:t>
        </w:r>
        <w:r>
          <w:rPr>
            <w:rStyle w:val="Hyperlink"/>
          </w:rPr>
          <w:t>PSD</w:t>
        </w:r>
      </w:hyperlink>
      <w:r>
        <w:rPr>
          <w:rStyle w:val="Hyperlink"/>
        </w:rPr>
        <w:t>)</w:t>
      </w:r>
      <w:r>
        <w:t xml:space="preserve">. </w:t>
      </w:r>
    </w:p>
    <w:p w14:paraId="6821D1A2" w14:textId="6C305D6B" w:rsidR="00DB5833" w:rsidRPr="00F72715" w:rsidRDefault="004270FC" w:rsidP="00F01B4A">
      <w:pPr>
        <w:tabs>
          <w:tab w:val="num" w:pos="426"/>
        </w:tabs>
        <w:spacing w:after="240"/>
        <w:rPr>
          <w:i/>
          <w:szCs w:val="24"/>
        </w:rPr>
      </w:pPr>
      <w:r>
        <w:t>The C</w:t>
      </w:r>
      <w:r w:rsidR="00F01B4A">
        <w:t>ommentary noted that the resubmission claimed there are</w:t>
      </w:r>
      <w:r w:rsidR="00F01B4A" w:rsidRPr="00BE4C75">
        <w:t xml:space="preserve"> several patient groups </w:t>
      </w:r>
      <w:r w:rsidR="00F01B4A">
        <w:t>with</w:t>
      </w:r>
      <w:r w:rsidR="00F01B4A" w:rsidRPr="00BE4C75">
        <w:t xml:space="preserve"> a</w:t>
      </w:r>
      <w:r w:rsidR="00F01B4A">
        <w:t xml:space="preserve"> high clinical need for S-ICD, </w:t>
      </w:r>
      <w:r w:rsidR="00F01B4A" w:rsidRPr="00BE4C75">
        <w:t xml:space="preserve">particularly patients in whom insertion of </w:t>
      </w:r>
      <w:r w:rsidR="00F01B4A">
        <w:t>TV-ICD leads is contraindicated,</w:t>
      </w:r>
      <w:r w:rsidR="00F01B4A" w:rsidRPr="00BE4C75">
        <w:t xml:space="preserve"> who may never receive </w:t>
      </w:r>
      <w:r w:rsidR="00F01B4A">
        <w:t>TV-ICD</w:t>
      </w:r>
      <w:r w:rsidR="00F01B4A" w:rsidRPr="00BE4C75">
        <w:t xml:space="preserve"> (it is not a viable treatment option), have failed </w:t>
      </w:r>
      <w:r w:rsidR="00F01B4A">
        <w:t>TV-ICD</w:t>
      </w:r>
      <w:r w:rsidR="00F01B4A" w:rsidRPr="00BE4C75">
        <w:t xml:space="preserve"> implantation, or have had a </w:t>
      </w:r>
      <w:r w:rsidR="00F01B4A">
        <w:t>TV-ICD</w:t>
      </w:r>
      <w:r w:rsidR="00F01B4A" w:rsidRPr="00BE4C75">
        <w:t xml:space="preserve"> removed. These patients may receive medical management (or cardiac catheter ablation) as an alternative. </w:t>
      </w:r>
      <w:r w:rsidR="00930BD4">
        <w:t xml:space="preserve">However, </w:t>
      </w:r>
      <w:r w:rsidR="008066CE">
        <w:t xml:space="preserve">MSAC </w:t>
      </w:r>
      <w:r w:rsidR="00A002D3">
        <w:t xml:space="preserve">considered </w:t>
      </w:r>
      <w:r w:rsidR="008066CE">
        <w:t xml:space="preserve">TV-ICD was the appropriate main comparator for S-ICD. </w:t>
      </w:r>
    </w:p>
    <w:p w14:paraId="747414E1" w14:textId="77777777" w:rsidR="00BC1364" w:rsidRPr="00F715D1" w:rsidRDefault="00BC1364" w:rsidP="00F715D1">
      <w:pPr>
        <w:pStyle w:val="Heading1"/>
      </w:pPr>
      <w:r w:rsidRPr="00F715D1">
        <w:lastRenderedPageBreak/>
        <w:t>Comparative safety</w:t>
      </w:r>
    </w:p>
    <w:p w14:paraId="2452048F" w14:textId="4052CE32" w:rsidR="00F01B4A" w:rsidRDefault="009D0D88" w:rsidP="007A5149">
      <w:pPr>
        <w:spacing w:after="240"/>
      </w:pPr>
      <w:r>
        <w:t xml:space="preserve">One </w:t>
      </w:r>
      <w:r w:rsidR="00F01B4A">
        <w:t>publication by Knops et al. 2020</w:t>
      </w:r>
      <w:r w:rsidR="00F01B4A">
        <w:rPr>
          <w:rStyle w:val="FootnoteReference"/>
        </w:rPr>
        <w:footnoteReference w:id="9"/>
      </w:r>
      <w:r w:rsidR="00F01B4A">
        <w:t>, reporting results of the PRAETORIAN trial, was the only trial identified comparing the safety and effectiveness of S-ICD with TV-ICD. The PRAETORIAN trial is a randomised, open-label, non-inferiority trial that included 849 subjects with an indication for an ICD but no indication for pacing, from 39</w:t>
      </w:r>
      <w:r w:rsidR="00F01B4A" w:rsidRPr="00AC10E3">
        <w:t xml:space="preserve"> study sites in the</w:t>
      </w:r>
      <w:r w:rsidR="00F01B4A">
        <w:t xml:space="preserve"> </w:t>
      </w:r>
      <w:r w:rsidR="00F01B4A" w:rsidRPr="00AC10E3">
        <w:t>US and Europe</w:t>
      </w:r>
      <w:r w:rsidR="00F01B4A">
        <w:t xml:space="preserve">. The median duration of follow-up in the primary publication was 49.1 months. </w:t>
      </w:r>
    </w:p>
    <w:p w14:paraId="7985AF7F" w14:textId="25298BF4" w:rsidR="00F01B4A" w:rsidRDefault="004270FC" w:rsidP="007A5149">
      <w:pPr>
        <w:spacing w:after="240"/>
      </w:pPr>
      <w:r>
        <w:t>The C</w:t>
      </w:r>
      <w:r w:rsidR="00F01B4A">
        <w:t>ommentary noted that f</w:t>
      </w:r>
      <w:r w:rsidR="00F01B4A" w:rsidRPr="00E23D10">
        <w:t>uture publications from PRAETORIAN are also expected to address recurrent event analysis (the primary publication interrogates ‘first’ events only) and QoL (assessed using the SF-36 questionnaire and the Duke Activity Status Index [DASI]). In addition, all subjects in PRAETORIAN have been invited to join the PRAETORIAN XL observational sub-study, which is an extension of the trial for an additional 48 months to obtain further information regarding inappropriate shocks, lead-related complications, and development of an indication for pacing.</w:t>
      </w:r>
    </w:p>
    <w:p w14:paraId="3360288F" w14:textId="43D9E803" w:rsidR="004270FC" w:rsidRPr="004270FC" w:rsidRDefault="00F01B4A" w:rsidP="004270FC">
      <w:pPr>
        <w:spacing w:after="240"/>
      </w:pPr>
      <w:r>
        <w:t>The</w:t>
      </w:r>
      <w:r w:rsidR="007A7EF3">
        <w:t xml:space="preserve"> </w:t>
      </w:r>
      <w:r>
        <w:t xml:space="preserve">results of PRAETORIAN demonstrated no statistically significant differences between treatment arms for the composite primary endpoint comprising device related complications and inappropriate shocks (hazard ratio (HR) = 0.99 [95% CI: 0.71, 1.39; p=0.95]; </w:t>
      </w:r>
      <w:r>
        <w:fldChar w:fldCharType="begin"/>
      </w:r>
      <w:r>
        <w:instrText xml:space="preserve"> REF _Ref62821903 \h </w:instrText>
      </w:r>
      <w:r>
        <w:fldChar w:fldCharType="separate"/>
      </w:r>
      <w:r w:rsidR="00113B4B">
        <w:t xml:space="preserve">Table </w:t>
      </w:r>
      <w:r w:rsidR="00113B4B">
        <w:rPr>
          <w:noProof/>
        </w:rPr>
        <w:t>5</w:t>
      </w:r>
      <w:r>
        <w:fldChar w:fldCharType="end"/>
      </w:r>
      <w:r>
        <w:t xml:space="preserve">). The non-inferiority margin for the HR was 1.45, indicating S-ICD was non-inferior to TV-ICD with respect to the primary endpoint (p=0.01). However, inappropriate shocks were numerically more common with S-ICDs versus TV-ICD. </w:t>
      </w:r>
      <w:r w:rsidRPr="00D7318E">
        <w:t>Conversely, device-related complications were numerically less frequent in S-ICD patients. Also, numerically more infections were observed in TV-ICD versus S-ICD patients, whereas bleeding and subsequent pacing indications were more common with S-ICDs. None of these differences were statistically significant and event rates for individual complications were low.</w:t>
      </w:r>
      <w:bookmarkStart w:id="8" w:name="_Ref62821903"/>
      <w:r w:rsidR="004270FC">
        <w:br w:type="page"/>
      </w:r>
    </w:p>
    <w:p w14:paraId="64134A8E" w14:textId="68FFAB6B" w:rsidR="00F01B4A" w:rsidRPr="00183E4D" w:rsidRDefault="00F01B4A" w:rsidP="00F01B4A">
      <w:pPr>
        <w:pStyle w:val="Caption"/>
        <w:rPr>
          <w:snapToGrid w:val="0"/>
          <w:szCs w:val="16"/>
        </w:rPr>
      </w:pPr>
      <w:r>
        <w:lastRenderedPageBreak/>
        <w:t xml:space="preserve">Table </w:t>
      </w:r>
      <w:fldSimple w:instr=" SEQ Table \* ARABIC ">
        <w:r w:rsidR="00113B4B">
          <w:rPr>
            <w:noProof/>
          </w:rPr>
          <w:t>5</w:t>
        </w:r>
      </w:fldSimple>
      <w:bookmarkEnd w:id="8"/>
      <w:r>
        <w:t xml:space="preserve"> </w:t>
      </w:r>
      <w:r w:rsidRPr="0048459B">
        <w:rPr>
          <w:snapToGrid w:val="0"/>
          <w:szCs w:val="16"/>
        </w:rPr>
        <w:t xml:space="preserve">Results of </w:t>
      </w:r>
      <w:r>
        <w:rPr>
          <w:snapToGrid w:val="0"/>
          <w:szCs w:val="16"/>
        </w:rPr>
        <w:t>device-related complications and inappropriate shocks in the PRAETORIAN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4 Results of device-related complications and inappropriate shocks in the PRAETORIAN trial"/>
        <w:tblDescription w:val="This table provides a summary of the results of device-related complications and inappropriate shocks in the PRAETORIAN trial. Results are shown for each study arm."/>
      </w:tblPr>
      <w:tblGrid>
        <w:gridCol w:w="2122"/>
        <w:gridCol w:w="1152"/>
        <w:gridCol w:w="1116"/>
        <w:gridCol w:w="1275"/>
        <w:gridCol w:w="1764"/>
        <w:gridCol w:w="1587"/>
      </w:tblGrid>
      <w:tr w:rsidR="00F01B4A" w:rsidRPr="00E43438" w14:paraId="6C6F11ED" w14:textId="77777777" w:rsidTr="00F01B4A">
        <w:trPr>
          <w:trHeight w:val="80"/>
          <w:tblHeader/>
        </w:trPr>
        <w:tc>
          <w:tcPr>
            <w:tcW w:w="1177" w:type="pct"/>
            <w:shd w:val="clear" w:color="auto" w:fill="auto"/>
          </w:tcPr>
          <w:p w14:paraId="53201508" w14:textId="77777777" w:rsidR="00F01B4A" w:rsidRPr="00E43438" w:rsidRDefault="00F01B4A" w:rsidP="00F01B4A">
            <w:pPr>
              <w:pStyle w:val="Tabletextboldleft"/>
            </w:pPr>
            <w:r w:rsidRPr="00E43438">
              <w:t>Outcome</w:t>
            </w:r>
          </w:p>
        </w:tc>
        <w:tc>
          <w:tcPr>
            <w:tcW w:w="639" w:type="pct"/>
            <w:shd w:val="clear" w:color="auto" w:fill="auto"/>
          </w:tcPr>
          <w:p w14:paraId="10D3BFE2" w14:textId="77777777" w:rsidR="00F01B4A" w:rsidRPr="00E43438" w:rsidRDefault="00F01B4A" w:rsidP="00F01B4A">
            <w:pPr>
              <w:pStyle w:val="Tabletextboldleft"/>
            </w:pPr>
            <w:r w:rsidRPr="00E43438">
              <w:t>Risk of bias</w:t>
            </w:r>
          </w:p>
        </w:tc>
        <w:tc>
          <w:tcPr>
            <w:tcW w:w="619" w:type="pct"/>
            <w:shd w:val="clear" w:color="auto" w:fill="auto"/>
          </w:tcPr>
          <w:p w14:paraId="2674EAC3" w14:textId="77777777" w:rsidR="00F01B4A" w:rsidRPr="00E43438" w:rsidRDefault="00F01B4A" w:rsidP="00F01B4A">
            <w:pPr>
              <w:pStyle w:val="Tabletextboldleft"/>
            </w:pPr>
            <w:r w:rsidRPr="00E43438">
              <w:t>S-ICD</w:t>
            </w:r>
            <w:r w:rsidRPr="00E43438">
              <w:br/>
            </w:r>
            <w:r w:rsidRPr="00E43438">
              <w:rPr>
                <w:i/>
                <w:iCs/>
              </w:rPr>
              <w:t>n (%)</w:t>
            </w:r>
            <w:r w:rsidRPr="00E43438">
              <w:rPr>
                <w:i/>
                <w:iCs/>
              </w:rPr>
              <w:br/>
            </w:r>
            <w:r w:rsidRPr="00E43438">
              <w:t>N=426</w:t>
            </w:r>
          </w:p>
        </w:tc>
        <w:tc>
          <w:tcPr>
            <w:tcW w:w="707" w:type="pct"/>
            <w:shd w:val="clear" w:color="auto" w:fill="auto"/>
          </w:tcPr>
          <w:p w14:paraId="6E5F1460" w14:textId="77777777" w:rsidR="00F01B4A" w:rsidRPr="00E43438" w:rsidRDefault="00F01B4A" w:rsidP="00F01B4A">
            <w:pPr>
              <w:pStyle w:val="Tabletextboldleft"/>
            </w:pPr>
            <w:r w:rsidRPr="00E43438">
              <w:t>TV-ICD</w:t>
            </w:r>
            <w:r w:rsidRPr="00E43438">
              <w:br/>
            </w:r>
            <w:r w:rsidRPr="00E43438">
              <w:rPr>
                <w:i/>
                <w:iCs/>
              </w:rPr>
              <w:t>n (%)</w:t>
            </w:r>
            <w:r w:rsidRPr="00E43438">
              <w:rPr>
                <w:i/>
                <w:iCs/>
              </w:rPr>
              <w:br/>
            </w:r>
            <w:r w:rsidRPr="00E43438">
              <w:t>N=423</w:t>
            </w:r>
          </w:p>
        </w:tc>
        <w:tc>
          <w:tcPr>
            <w:tcW w:w="978" w:type="pct"/>
            <w:shd w:val="clear" w:color="auto" w:fill="auto"/>
          </w:tcPr>
          <w:p w14:paraId="509DA966" w14:textId="77777777" w:rsidR="00F01B4A" w:rsidRPr="00E43438" w:rsidRDefault="00F01B4A" w:rsidP="00F01B4A">
            <w:pPr>
              <w:pStyle w:val="Tabletextboldleft"/>
              <w:rPr>
                <w:highlight w:val="yellow"/>
              </w:rPr>
            </w:pPr>
            <w:r w:rsidRPr="00E43438">
              <w:t>HR/OR</w:t>
            </w:r>
            <w:r w:rsidRPr="00E43438">
              <w:br/>
              <w:t xml:space="preserve">[95% CI] </w:t>
            </w:r>
            <w:r w:rsidRPr="00E43438">
              <w:rPr>
                <w:vertAlign w:val="superscript"/>
              </w:rPr>
              <w:t>a</w:t>
            </w:r>
          </w:p>
        </w:tc>
        <w:tc>
          <w:tcPr>
            <w:tcW w:w="880" w:type="pct"/>
          </w:tcPr>
          <w:p w14:paraId="4B789814" w14:textId="77777777" w:rsidR="00F01B4A" w:rsidRPr="00E43438" w:rsidRDefault="00F01B4A" w:rsidP="00F01B4A">
            <w:pPr>
              <w:pStyle w:val="Tabletextboldleft"/>
              <w:rPr>
                <w:i/>
                <w:iCs/>
              </w:rPr>
            </w:pPr>
            <w:r w:rsidRPr="00E43438">
              <w:rPr>
                <w:i/>
                <w:iCs/>
              </w:rPr>
              <w:t>RD</w:t>
            </w:r>
            <w:r w:rsidRPr="00E43438">
              <w:rPr>
                <w:i/>
                <w:iCs/>
              </w:rPr>
              <w:br/>
              <w:t xml:space="preserve">[95% CI] </w:t>
            </w:r>
            <w:r w:rsidRPr="00E43438">
              <w:rPr>
                <w:snapToGrid w:val="0"/>
                <w:vertAlign w:val="superscript"/>
              </w:rPr>
              <w:t>a</w:t>
            </w:r>
          </w:p>
        </w:tc>
      </w:tr>
      <w:tr w:rsidR="00F01B4A" w:rsidRPr="00E43438" w14:paraId="71D3C240" w14:textId="77777777" w:rsidTr="00F01B4A">
        <w:tc>
          <w:tcPr>
            <w:tcW w:w="1177" w:type="pct"/>
            <w:tcBorders>
              <w:bottom w:val="single" w:sz="4" w:space="0" w:color="auto"/>
            </w:tcBorders>
            <w:shd w:val="clear" w:color="auto" w:fill="auto"/>
          </w:tcPr>
          <w:p w14:paraId="7C0FA90E" w14:textId="77777777" w:rsidR="00F01B4A" w:rsidRPr="00E43438" w:rsidRDefault="00F01B4A" w:rsidP="00F01B4A">
            <w:pPr>
              <w:pStyle w:val="Tabletext0"/>
              <w:rPr>
                <w:snapToGrid w:val="0"/>
              </w:rPr>
            </w:pPr>
            <w:r w:rsidRPr="00E43438">
              <w:rPr>
                <w:snapToGrid w:val="0"/>
              </w:rPr>
              <w:t>Composite primary outcome</w:t>
            </w:r>
          </w:p>
        </w:tc>
        <w:tc>
          <w:tcPr>
            <w:tcW w:w="639" w:type="pct"/>
            <w:tcBorders>
              <w:bottom w:val="single" w:sz="4" w:space="0" w:color="auto"/>
            </w:tcBorders>
            <w:shd w:val="clear" w:color="auto" w:fill="auto"/>
          </w:tcPr>
          <w:p w14:paraId="7FD576F1" w14:textId="77777777" w:rsidR="00F01B4A" w:rsidRPr="00E43438" w:rsidRDefault="00F01B4A" w:rsidP="00F01B4A">
            <w:pPr>
              <w:pStyle w:val="Tabletext0"/>
              <w:jc w:val="center"/>
              <w:rPr>
                <w:snapToGrid w:val="0"/>
              </w:rPr>
            </w:pPr>
            <w:r w:rsidRPr="00E43438">
              <w:rPr>
                <w:snapToGrid w:val="0"/>
              </w:rPr>
              <w:t>Low</w:t>
            </w:r>
          </w:p>
        </w:tc>
        <w:tc>
          <w:tcPr>
            <w:tcW w:w="619" w:type="pct"/>
            <w:tcBorders>
              <w:bottom w:val="single" w:sz="4" w:space="0" w:color="auto"/>
            </w:tcBorders>
            <w:shd w:val="clear" w:color="auto" w:fill="auto"/>
          </w:tcPr>
          <w:p w14:paraId="3B40FB4E" w14:textId="77777777" w:rsidR="00F01B4A" w:rsidRPr="00E43438" w:rsidRDefault="00F01B4A" w:rsidP="00F01B4A">
            <w:pPr>
              <w:pStyle w:val="Tabletext0"/>
              <w:jc w:val="center"/>
              <w:rPr>
                <w:snapToGrid w:val="0"/>
              </w:rPr>
            </w:pPr>
            <w:r w:rsidRPr="00E43438">
              <w:t>68 (16.0%)</w:t>
            </w:r>
            <w:r w:rsidRPr="00E43438">
              <w:rPr>
                <w:i/>
                <w:iCs/>
              </w:rPr>
              <w:t xml:space="preserve"> </w:t>
            </w:r>
            <w:r w:rsidRPr="00E43438">
              <w:rPr>
                <w:i/>
                <w:iCs/>
                <w:vertAlign w:val="superscript"/>
              </w:rPr>
              <w:t>b</w:t>
            </w:r>
          </w:p>
        </w:tc>
        <w:tc>
          <w:tcPr>
            <w:tcW w:w="707" w:type="pct"/>
            <w:tcBorders>
              <w:bottom w:val="single" w:sz="4" w:space="0" w:color="auto"/>
            </w:tcBorders>
            <w:shd w:val="clear" w:color="auto" w:fill="auto"/>
          </w:tcPr>
          <w:p w14:paraId="46F5ADA3" w14:textId="77777777" w:rsidR="00F01B4A" w:rsidRPr="00E43438" w:rsidRDefault="00F01B4A" w:rsidP="00F01B4A">
            <w:pPr>
              <w:pStyle w:val="Tabletext0"/>
              <w:jc w:val="center"/>
              <w:rPr>
                <w:snapToGrid w:val="0"/>
              </w:rPr>
            </w:pPr>
            <w:r w:rsidRPr="00E43438">
              <w:t xml:space="preserve">68 (16.1%) </w:t>
            </w:r>
            <w:r w:rsidRPr="00E43438">
              <w:rPr>
                <w:i/>
                <w:iCs/>
                <w:vertAlign w:val="superscript"/>
              </w:rPr>
              <w:t>b</w:t>
            </w:r>
          </w:p>
        </w:tc>
        <w:tc>
          <w:tcPr>
            <w:tcW w:w="978" w:type="pct"/>
            <w:tcBorders>
              <w:bottom w:val="single" w:sz="4" w:space="0" w:color="auto"/>
            </w:tcBorders>
            <w:shd w:val="clear" w:color="auto" w:fill="auto"/>
            <w:vAlign w:val="center"/>
          </w:tcPr>
          <w:p w14:paraId="5A1318EF" w14:textId="77777777" w:rsidR="00F01B4A" w:rsidRPr="00E43438" w:rsidRDefault="00F01B4A" w:rsidP="00F01B4A">
            <w:pPr>
              <w:pStyle w:val="Tabletext0"/>
              <w:jc w:val="center"/>
              <w:rPr>
                <w:snapToGrid w:val="0"/>
                <w:highlight w:val="yellow"/>
              </w:rPr>
            </w:pPr>
            <w:r w:rsidRPr="00E43438">
              <w:rPr>
                <w:i/>
                <w:iCs/>
                <w:snapToGrid w:val="0"/>
              </w:rPr>
              <w:t>HR</w:t>
            </w:r>
            <w:r w:rsidRPr="00E43438">
              <w:rPr>
                <w:snapToGrid w:val="0"/>
              </w:rPr>
              <w:t xml:space="preserve"> 0.99 [0.71, 1.39]</w:t>
            </w:r>
            <w:r w:rsidRPr="00E43438">
              <w:rPr>
                <w:snapToGrid w:val="0"/>
                <w:vertAlign w:val="superscript"/>
              </w:rPr>
              <w:t xml:space="preserve"> </w:t>
            </w:r>
            <w:r w:rsidRPr="00E43438">
              <w:rPr>
                <w:strike/>
                <w:snapToGrid w:val="0"/>
                <w:vertAlign w:val="superscript"/>
              </w:rPr>
              <w:t>b</w:t>
            </w:r>
            <w:r w:rsidRPr="00E43438">
              <w:rPr>
                <w:strike/>
                <w:snapToGrid w:val="0"/>
                <w:vertAlign w:val="superscript"/>
              </w:rPr>
              <w:br/>
            </w:r>
            <w:r w:rsidRPr="00E43438">
              <w:rPr>
                <w:i/>
                <w:iCs/>
                <w:snapToGrid w:val="0"/>
              </w:rPr>
              <w:t>OR 0.99 [0.69, 1.43]</w:t>
            </w:r>
          </w:p>
        </w:tc>
        <w:tc>
          <w:tcPr>
            <w:tcW w:w="880" w:type="pct"/>
            <w:tcBorders>
              <w:bottom w:val="single" w:sz="4" w:space="0" w:color="auto"/>
            </w:tcBorders>
          </w:tcPr>
          <w:p w14:paraId="29B0770C" w14:textId="77777777" w:rsidR="00F01B4A" w:rsidRPr="00E43438" w:rsidRDefault="00F01B4A" w:rsidP="00F01B4A">
            <w:pPr>
              <w:pStyle w:val="Tabletext0"/>
              <w:jc w:val="center"/>
              <w:rPr>
                <w:i/>
                <w:iCs/>
                <w:snapToGrid w:val="0"/>
              </w:rPr>
            </w:pPr>
            <w:r w:rsidRPr="00E43438">
              <w:rPr>
                <w:i/>
                <w:iCs/>
              </w:rPr>
              <w:t>0.00 [-0.05, 0.05]</w:t>
            </w:r>
          </w:p>
        </w:tc>
      </w:tr>
      <w:tr w:rsidR="00F01B4A" w:rsidRPr="00E43438" w14:paraId="076CAD42" w14:textId="77777777" w:rsidTr="00F01B4A">
        <w:tc>
          <w:tcPr>
            <w:tcW w:w="1177" w:type="pct"/>
            <w:tcBorders>
              <w:bottom w:val="dotted" w:sz="4" w:space="0" w:color="auto"/>
            </w:tcBorders>
            <w:shd w:val="clear" w:color="auto" w:fill="auto"/>
          </w:tcPr>
          <w:p w14:paraId="63D0089C" w14:textId="77777777" w:rsidR="00F01B4A" w:rsidRPr="00E43438" w:rsidRDefault="00F01B4A" w:rsidP="00F01B4A">
            <w:pPr>
              <w:pStyle w:val="Tabletext0"/>
              <w:rPr>
                <w:snapToGrid w:val="0"/>
              </w:rPr>
            </w:pPr>
            <w:r w:rsidRPr="00E43438">
              <w:rPr>
                <w:snapToGrid w:val="0"/>
              </w:rPr>
              <w:t>Device related complications</w:t>
            </w:r>
          </w:p>
        </w:tc>
        <w:tc>
          <w:tcPr>
            <w:tcW w:w="639" w:type="pct"/>
            <w:tcBorders>
              <w:bottom w:val="dotted" w:sz="4" w:space="0" w:color="auto"/>
            </w:tcBorders>
            <w:shd w:val="clear" w:color="auto" w:fill="auto"/>
          </w:tcPr>
          <w:p w14:paraId="3EE73026" w14:textId="77777777" w:rsidR="00F01B4A" w:rsidRPr="00E43438" w:rsidRDefault="00F01B4A" w:rsidP="00F01B4A">
            <w:pPr>
              <w:pStyle w:val="Tabletext0"/>
              <w:jc w:val="center"/>
              <w:rPr>
                <w:snapToGrid w:val="0"/>
              </w:rPr>
            </w:pPr>
            <w:r w:rsidRPr="00E43438">
              <w:rPr>
                <w:snapToGrid w:val="0"/>
              </w:rPr>
              <w:t>Low</w:t>
            </w:r>
          </w:p>
        </w:tc>
        <w:tc>
          <w:tcPr>
            <w:tcW w:w="619" w:type="pct"/>
            <w:tcBorders>
              <w:bottom w:val="dotted" w:sz="4" w:space="0" w:color="auto"/>
            </w:tcBorders>
            <w:shd w:val="clear" w:color="auto" w:fill="auto"/>
          </w:tcPr>
          <w:p w14:paraId="462EF5B9" w14:textId="77777777" w:rsidR="00F01B4A" w:rsidRPr="00E43438" w:rsidRDefault="00F01B4A" w:rsidP="00F01B4A">
            <w:pPr>
              <w:pStyle w:val="Tabletext0"/>
              <w:jc w:val="center"/>
              <w:rPr>
                <w:snapToGrid w:val="0"/>
              </w:rPr>
            </w:pPr>
            <w:r w:rsidRPr="00E43438">
              <w:t xml:space="preserve">31 (7.3%) </w:t>
            </w:r>
            <w:r w:rsidRPr="00E43438">
              <w:rPr>
                <w:i/>
                <w:iCs/>
                <w:vertAlign w:val="superscript"/>
              </w:rPr>
              <w:t>b</w:t>
            </w:r>
          </w:p>
        </w:tc>
        <w:tc>
          <w:tcPr>
            <w:tcW w:w="707" w:type="pct"/>
            <w:tcBorders>
              <w:bottom w:val="dotted" w:sz="4" w:space="0" w:color="auto"/>
            </w:tcBorders>
            <w:shd w:val="clear" w:color="auto" w:fill="auto"/>
          </w:tcPr>
          <w:p w14:paraId="1295A4D5" w14:textId="77777777" w:rsidR="00F01B4A" w:rsidRPr="00E43438" w:rsidRDefault="00F01B4A" w:rsidP="00F01B4A">
            <w:pPr>
              <w:pStyle w:val="Tabletext0"/>
              <w:jc w:val="center"/>
              <w:rPr>
                <w:snapToGrid w:val="0"/>
              </w:rPr>
            </w:pPr>
            <w:r w:rsidRPr="00E43438">
              <w:t xml:space="preserve">44 (10.4%) </w:t>
            </w:r>
            <w:r w:rsidRPr="00E43438">
              <w:rPr>
                <w:i/>
                <w:iCs/>
                <w:vertAlign w:val="superscript"/>
              </w:rPr>
              <w:t>b</w:t>
            </w:r>
          </w:p>
        </w:tc>
        <w:tc>
          <w:tcPr>
            <w:tcW w:w="978" w:type="pct"/>
            <w:tcBorders>
              <w:bottom w:val="dotted" w:sz="4" w:space="0" w:color="auto"/>
            </w:tcBorders>
            <w:shd w:val="clear" w:color="auto" w:fill="auto"/>
            <w:vAlign w:val="center"/>
          </w:tcPr>
          <w:p w14:paraId="11E14511" w14:textId="77777777" w:rsidR="00F01B4A" w:rsidRPr="00E43438" w:rsidRDefault="00F01B4A" w:rsidP="00F01B4A">
            <w:pPr>
              <w:pStyle w:val="Tabletext0"/>
              <w:jc w:val="center"/>
              <w:rPr>
                <w:snapToGrid w:val="0"/>
              </w:rPr>
            </w:pPr>
            <w:r w:rsidRPr="00E43438">
              <w:rPr>
                <w:i/>
                <w:iCs/>
                <w:snapToGrid w:val="0"/>
              </w:rPr>
              <w:t>HR</w:t>
            </w:r>
            <w:r w:rsidRPr="00E43438">
              <w:rPr>
                <w:snapToGrid w:val="0"/>
              </w:rPr>
              <w:t xml:space="preserve"> 0.69 [0.44, 1.09]</w:t>
            </w:r>
            <w:r w:rsidRPr="00E43438">
              <w:rPr>
                <w:snapToGrid w:val="0"/>
              </w:rPr>
              <w:br/>
            </w:r>
            <w:r w:rsidRPr="00E43438">
              <w:rPr>
                <w:i/>
                <w:iCs/>
                <w:snapToGrid w:val="0"/>
              </w:rPr>
              <w:t>OR 0.68 [0.42, 1.09]</w:t>
            </w:r>
          </w:p>
        </w:tc>
        <w:tc>
          <w:tcPr>
            <w:tcW w:w="880" w:type="pct"/>
            <w:tcBorders>
              <w:bottom w:val="dotted" w:sz="4" w:space="0" w:color="auto"/>
            </w:tcBorders>
          </w:tcPr>
          <w:p w14:paraId="0A234DCF" w14:textId="77777777" w:rsidR="00F01B4A" w:rsidRPr="00E43438" w:rsidRDefault="00F01B4A" w:rsidP="00F01B4A">
            <w:pPr>
              <w:pStyle w:val="Tabletext0"/>
              <w:jc w:val="center"/>
              <w:rPr>
                <w:i/>
                <w:iCs/>
                <w:snapToGrid w:val="0"/>
              </w:rPr>
            </w:pPr>
            <w:r w:rsidRPr="00E43438">
              <w:rPr>
                <w:i/>
                <w:iCs/>
              </w:rPr>
              <w:t>-0.03 [-0.07, 0.01]</w:t>
            </w:r>
          </w:p>
        </w:tc>
      </w:tr>
      <w:tr w:rsidR="00F01B4A" w:rsidRPr="00E43438" w14:paraId="50204826" w14:textId="77777777" w:rsidTr="00F01B4A">
        <w:tc>
          <w:tcPr>
            <w:tcW w:w="1177" w:type="pct"/>
            <w:tcBorders>
              <w:top w:val="dotted" w:sz="4" w:space="0" w:color="auto"/>
              <w:bottom w:val="dotted" w:sz="4" w:space="0" w:color="auto"/>
            </w:tcBorders>
            <w:shd w:val="clear" w:color="auto" w:fill="auto"/>
          </w:tcPr>
          <w:p w14:paraId="6F3F7326" w14:textId="77777777" w:rsidR="00F01B4A" w:rsidRPr="00E43438" w:rsidRDefault="00F01B4A" w:rsidP="00F01B4A">
            <w:pPr>
              <w:pStyle w:val="Tabletext0"/>
              <w:ind w:left="224"/>
              <w:rPr>
                <w:snapToGrid w:val="0"/>
              </w:rPr>
            </w:pPr>
            <w:r w:rsidRPr="00E43438">
              <w:rPr>
                <w:snapToGrid w:val="0"/>
              </w:rPr>
              <w:t>Infection</w:t>
            </w:r>
          </w:p>
        </w:tc>
        <w:tc>
          <w:tcPr>
            <w:tcW w:w="639" w:type="pct"/>
            <w:tcBorders>
              <w:top w:val="dotted" w:sz="4" w:space="0" w:color="auto"/>
              <w:bottom w:val="dotted" w:sz="4" w:space="0" w:color="auto"/>
            </w:tcBorders>
            <w:shd w:val="clear" w:color="auto" w:fill="auto"/>
          </w:tcPr>
          <w:p w14:paraId="70315F27"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311C602B" w14:textId="77777777" w:rsidR="00F01B4A" w:rsidRPr="00E43438" w:rsidRDefault="00F01B4A" w:rsidP="00F01B4A">
            <w:pPr>
              <w:pStyle w:val="Tabletext0"/>
              <w:jc w:val="center"/>
              <w:rPr>
                <w:snapToGrid w:val="0"/>
              </w:rPr>
            </w:pPr>
            <w:r w:rsidRPr="00E43438">
              <w:t>4 (0.9%)</w:t>
            </w:r>
          </w:p>
        </w:tc>
        <w:tc>
          <w:tcPr>
            <w:tcW w:w="707" w:type="pct"/>
            <w:tcBorders>
              <w:top w:val="dotted" w:sz="4" w:space="0" w:color="auto"/>
              <w:bottom w:val="dotted" w:sz="4" w:space="0" w:color="auto"/>
            </w:tcBorders>
            <w:shd w:val="clear" w:color="auto" w:fill="auto"/>
          </w:tcPr>
          <w:p w14:paraId="28A214FC" w14:textId="77777777" w:rsidR="00F01B4A" w:rsidRPr="00E43438" w:rsidRDefault="00F01B4A" w:rsidP="00F01B4A">
            <w:pPr>
              <w:pStyle w:val="Tabletext0"/>
              <w:jc w:val="center"/>
              <w:rPr>
                <w:snapToGrid w:val="0"/>
              </w:rPr>
            </w:pPr>
            <w:r w:rsidRPr="00E43438">
              <w:t>8 (1.9%)</w:t>
            </w:r>
          </w:p>
        </w:tc>
        <w:tc>
          <w:tcPr>
            <w:tcW w:w="978" w:type="pct"/>
            <w:tcBorders>
              <w:top w:val="dotted" w:sz="4" w:space="0" w:color="auto"/>
              <w:bottom w:val="dotted" w:sz="4" w:space="0" w:color="auto"/>
            </w:tcBorders>
            <w:shd w:val="clear" w:color="auto" w:fill="auto"/>
            <w:vAlign w:val="center"/>
          </w:tcPr>
          <w:p w14:paraId="6D0BC656" w14:textId="77777777" w:rsidR="00F01B4A" w:rsidRPr="00E43438" w:rsidRDefault="00F01B4A" w:rsidP="00F01B4A">
            <w:pPr>
              <w:pStyle w:val="Tabletext0"/>
              <w:jc w:val="center"/>
              <w:rPr>
                <w:rFonts w:ascii="Times New Roman" w:hAnsi="Times New Roman"/>
                <w:sz w:val="24"/>
              </w:rPr>
            </w:pPr>
            <w:r w:rsidRPr="00E43438">
              <w:rPr>
                <w:snapToGrid w:val="0"/>
              </w:rPr>
              <w:t>0.</w:t>
            </w:r>
            <w:r w:rsidRPr="00E43438">
              <w:rPr>
                <w:strike/>
                <w:snapToGrid w:val="0"/>
              </w:rPr>
              <w:t>50</w:t>
            </w:r>
            <w:r w:rsidRPr="00E43438">
              <w:rPr>
                <w:i/>
                <w:iCs/>
                <w:snapToGrid w:val="0"/>
              </w:rPr>
              <w:t>49</w:t>
            </w:r>
            <w:r w:rsidRPr="00E43438">
              <w:rPr>
                <w:snapToGrid w:val="0"/>
              </w:rPr>
              <w:t xml:space="preserve"> [0.15, 1.6</w:t>
            </w:r>
            <w:r w:rsidRPr="00E43438">
              <w:rPr>
                <w:strike/>
                <w:snapToGrid w:val="0"/>
              </w:rPr>
              <w:t>6</w:t>
            </w:r>
            <w:r w:rsidRPr="00E43438">
              <w:rPr>
                <w:i/>
                <w:iCs/>
                <w:snapToGrid w:val="0"/>
              </w:rPr>
              <w:t>5</w:t>
            </w:r>
            <w:r w:rsidRPr="00E43438">
              <w:rPr>
                <w:snapToGrid w:val="0"/>
              </w:rPr>
              <w:t>]</w:t>
            </w:r>
          </w:p>
        </w:tc>
        <w:tc>
          <w:tcPr>
            <w:tcW w:w="880" w:type="pct"/>
            <w:tcBorders>
              <w:top w:val="dotted" w:sz="4" w:space="0" w:color="auto"/>
              <w:bottom w:val="dotted" w:sz="4" w:space="0" w:color="auto"/>
            </w:tcBorders>
          </w:tcPr>
          <w:p w14:paraId="77C4B352" w14:textId="77777777" w:rsidR="00F01B4A" w:rsidRPr="00E43438" w:rsidRDefault="00F01B4A" w:rsidP="00F01B4A">
            <w:pPr>
              <w:pStyle w:val="Tabletext0"/>
              <w:jc w:val="center"/>
              <w:rPr>
                <w:i/>
                <w:iCs/>
                <w:snapToGrid w:val="0"/>
              </w:rPr>
            </w:pPr>
            <w:r w:rsidRPr="00E43438">
              <w:rPr>
                <w:i/>
                <w:iCs/>
              </w:rPr>
              <w:t>-0.01 [-0.03, 0.01]</w:t>
            </w:r>
          </w:p>
        </w:tc>
      </w:tr>
      <w:tr w:rsidR="00F01B4A" w:rsidRPr="00E43438" w14:paraId="778F21B9" w14:textId="77777777" w:rsidTr="00F01B4A">
        <w:tc>
          <w:tcPr>
            <w:tcW w:w="1177" w:type="pct"/>
            <w:tcBorders>
              <w:top w:val="dotted" w:sz="4" w:space="0" w:color="auto"/>
              <w:bottom w:val="dotted" w:sz="4" w:space="0" w:color="auto"/>
            </w:tcBorders>
            <w:shd w:val="clear" w:color="auto" w:fill="auto"/>
          </w:tcPr>
          <w:p w14:paraId="017CC149" w14:textId="77777777" w:rsidR="00F01B4A" w:rsidRPr="00E43438" w:rsidRDefault="00F01B4A" w:rsidP="00F01B4A">
            <w:pPr>
              <w:pStyle w:val="Tabletext0"/>
              <w:ind w:left="224"/>
              <w:rPr>
                <w:snapToGrid w:val="0"/>
              </w:rPr>
            </w:pPr>
            <w:r w:rsidRPr="00E43438">
              <w:rPr>
                <w:snapToGrid w:val="0"/>
              </w:rPr>
              <w:t>Bleeding</w:t>
            </w:r>
          </w:p>
        </w:tc>
        <w:tc>
          <w:tcPr>
            <w:tcW w:w="639" w:type="pct"/>
            <w:tcBorders>
              <w:top w:val="dotted" w:sz="4" w:space="0" w:color="auto"/>
              <w:bottom w:val="dotted" w:sz="4" w:space="0" w:color="auto"/>
            </w:tcBorders>
            <w:shd w:val="clear" w:color="auto" w:fill="auto"/>
          </w:tcPr>
          <w:p w14:paraId="2A0FBB14"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3888B287" w14:textId="77777777" w:rsidR="00F01B4A" w:rsidRPr="00E43438" w:rsidRDefault="00F01B4A" w:rsidP="00F01B4A">
            <w:pPr>
              <w:pStyle w:val="Tabletext0"/>
              <w:jc w:val="center"/>
              <w:rPr>
                <w:snapToGrid w:val="0"/>
              </w:rPr>
            </w:pPr>
            <w:r w:rsidRPr="00E43438">
              <w:t>8 (1.9%)</w:t>
            </w:r>
          </w:p>
        </w:tc>
        <w:tc>
          <w:tcPr>
            <w:tcW w:w="707" w:type="pct"/>
            <w:tcBorders>
              <w:top w:val="dotted" w:sz="4" w:space="0" w:color="auto"/>
              <w:bottom w:val="dotted" w:sz="4" w:space="0" w:color="auto"/>
            </w:tcBorders>
            <w:shd w:val="clear" w:color="auto" w:fill="auto"/>
          </w:tcPr>
          <w:p w14:paraId="6F35B63A" w14:textId="77777777" w:rsidR="00F01B4A" w:rsidRPr="00E43438" w:rsidRDefault="00F01B4A" w:rsidP="00F01B4A">
            <w:pPr>
              <w:pStyle w:val="Tabletext0"/>
              <w:jc w:val="center"/>
              <w:rPr>
                <w:snapToGrid w:val="0"/>
              </w:rPr>
            </w:pPr>
            <w:r w:rsidRPr="00E43438">
              <w:t>2 (0.5%)</w:t>
            </w:r>
          </w:p>
        </w:tc>
        <w:tc>
          <w:tcPr>
            <w:tcW w:w="978" w:type="pct"/>
            <w:tcBorders>
              <w:top w:val="dotted" w:sz="4" w:space="0" w:color="auto"/>
              <w:bottom w:val="dotted" w:sz="4" w:space="0" w:color="auto"/>
            </w:tcBorders>
            <w:shd w:val="clear" w:color="auto" w:fill="auto"/>
            <w:vAlign w:val="center"/>
          </w:tcPr>
          <w:p w14:paraId="7A9CB4AB" w14:textId="77777777" w:rsidR="00F01B4A" w:rsidRPr="00E43438" w:rsidRDefault="00F01B4A" w:rsidP="00F01B4A">
            <w:pPr>
              <w:pStyle w:val="Tabletext0"/>
              <w:jc w:val="center"/>
              <w:rPr>
                <w:snapToGrid w:val="0"/>
              </w:rPr>
            </w:pPr>
            <w:r w:rsidRPr="00E43438">
              <w:rPr>
                <w:snapToGrid w:val="0"/>
              </w:rPr>
              <w:t>4.03 [0.85, 19.08]</w:t>
            </w:r>
          </w:p>
        </w:tc>
        <w:tc>
          <w:tcPr>
            <w:tcW w:w="880" w:type="pct"/>
            <w:tcBorders>
              <w:top w:val="dotted" w:sz="4" w:space="0" w:color="auto"/>
              <w:bottom w:val="dotted" w:sz="4" w:space="0" w:color="auto"/>
            </w:tcBorders>
          </w:tcPr>
          <w:p w14:paraId="68CC1003" w14:textId="77777777" w:rsidR="00F01B4A" w:rsidRPr="00E43438" w:rsidRDefault="00F01B4A" w:rsidP="00F01B4A">
            <w:pPr>
              <w:pStyle w:val="Tabletext0"/>
              <w:jc w:val="center"/>
              <w:rPr>
                <w:i/>
                <w:iCs/>
                <w:snapToGrid w:val="0"/>
              </w:rPr>
            </w:pPr>
            <w:r w:rsidRPr="00E43438">
              <w:rPr>
                <w:i/>
                <w:iCs/>
              </w:rPr>
              <w:t>0.01 [0.00, 0.03]</w:t>
            </w:r>
          </w:p>
        </w:tc>
      </w:tr>
      <w:tr w:rsidR="00F01B4A" w:rsidRPr="00E43438" w14:paraId="3C52BFD2" w14:textId="77777777" w:rsidTr="00F01B4A">
        <w:tc>
          <w:tcPr>
            <w:tcW w:w="1177" w:type="pct"/>
            <w:tcBorders>
              <w:top w:val="dotted" w:sz="4" w:space="0" w:color="auto"/>
              <w:bottom w:val="dotted" w:sz="4" w:space="0" w:color="auto"/>
            </w:tcBorders>
            <w:shd w:val="clear" w:color="auto" w:fill="auto"/>
          </w:tcPr>
          <w:p w14:paraId="490D9FDB" w14:textId="77777777" w:rsidR="00F01B4A" w:rsidRPr="00E43438" w:rsidRDefault="00F01B4A" w:rsidP="00F01B4A">
            <w:pPr>
              <w:pStyle w:val="Tabletext0"/>
              <w:ind w:left="224"/>
              <w:rPr>
                <w:snapToGrid w:val="0"/>
              </w:rPr>
            </w:pPr>
            <w:r w:rsidRPr="00E43438">
              <w:rPr>
                <w:snapToGrid w:val="0"/>
              </w:rPr>
              <w:t>Thrombotic event</w:t>
            </w:r>
          </w:p>
        </w:tc>
        <w:tc>
          <w:tcPr>
            <w:tcW w:w="639" w:type="pct"/>
            <w:tcBorders>
              <w:top w:val="dotted" w:sz="4" w:space="0" w:color="auto"/>
              <w:bottom w:val="dotted" w:sz="4" w:space="0" w:color="auto"/>
            </w:tcBorders>
            <w:shd w:val="clear" w:color="auto" w:fill="auto"/>
          </w:tcPr>
          <w:p w14:paraId="2ABA72E5"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4DD688F7" w14:textId="77777777" w:rsidR="00F01B4A" w:rsidRPr="00E43438" w:rsidRDefault="00F01B4A" w:rsidP="00F01B4A">
            <w:pPr>
              <w:pStyle w:val="Tabletext0"/>
              <w:jc w:val="center"/>
              <w:rPr>
                <w:snapToGrid w:val="0"/>
              </w:rPr>
            </w:pPr>
            <w:r w:rsidRPr="00E43438">
              <w:t>1 (0.2%)</w:t>
            </w:r>
          </w:p>
        </w:tc>
        <w:tc>
          <w:tcPr>
            <w:tcW w:w="707" w:type="pct"/>
            <w:tcBorders>
              <w:top w:val="dotted" w:sz="4" w:space="0" w:color="auto"/>
              <w:bottom w:val="dotted" w:sz="4" w:space="0" w:color="auto"/>
            </w:tcBorders>
            <w:shd w:val="clear" w:color="auto" w:fill="auto"/>
          </w:tcPr>
          <w:p w14:paraId="3A515A66" w14:textId="77777777" w:rsidR="00F01B4A" w:rsidRPr="00E43438" w:rsidRDefault="00F01B4A" w:rsidP="00F01B4A">
            <w:pPr>
              <w:pStyle w:val="Tabletext0"/>
              <w:jc w:val="center"/>
              <w:rPr>
                <w:snapToGrid w:val="0"/>
              </w:rPr>
            </w:pPr>
            <w:r w:rsidRPr="00E43438">
              <w:t>2 (0.5%)</w:t>
            </w:r>
          </w:p>
        </w:tc>
        <w:tc>
          <w:tcPr>
            <w:tcW w:w="978" w:type="pct"/>
            <w:tcBorders>
              <w:top w:val="dotted" w:sz="4" w:space="0" w:color="auto"/>
              <w:bottom w:val="dotted" w:sz="4" w:space="0" w:color="auto"/>
            </w:tcBorders>
            <w:shd w:val="clear" w:color="auto" w:fill="auto"/>
            <w:vAlign w:val="center"/>
          </w:tcPr>
          <w:p w14:paraId="5E05DFC2" w14:textId="77777777" w:rsidR="00F01B4A" w:rsidRPr="00E43438" w:rsidRDefault="00F01B4A" w:rsidP="00F01B4A">
            <w:pPr>
              <w:pStyle w:val="Tabletext0"/>
              <w:jc w:val="center"/>
              <w:rPr>
                <w:snapToGrid w:val="0"/>
              </w:rPr>
            </w:pPr>
            <w:r w:rsidRPr="00E43438">
              <w:rPr>
                <w:snapToGrid w:val="0"/>
              </w:rPr>
              <w:t>0.50 [0.04, 5.48]</w:t>
            </w:r>
          </w:p>
        </w:tc>
        <w:tc>
          <w:tcPr>
            <w:tcW w:w="880" w:type="pct"/>
            <w:tcBorders>
              <w:top w:val="dotted" w:sz="4" w:space="0" w:color="auto"/>
              <w:bottom w:val="dotted" w:sz="4" w:space="0" w:color="auto"/>
            </w:tcBorders>
          </w:tcPr>
          <w:p w14:paraId="2265F41D" w14:textId="77777777" w:rsidR="00F01B4A" w:rsidRPr="00E43438" w:rsidRDefault="00F01B4A" w:rsidP="00F01B4A">
            <w:pPr>
              <w:pStyle w:val="Tabletext0"/>
              <w:jc w:val="center"/>
              <w:rPr>
                <w:i/>
                <w:iCs/>
                <w:snapToGrid w:val="0"/>
              </w:rPr>
            </w:pPr>
            <w:r w:rsidRPr="00E43438">
              <w:rPr>
                <w:i/>
                <w:iCs/>
              </w:rPr>
              <w:t>0.00 [-0.01, 0.01]</w:t>
            </w:r>
          </w:p>
        </w:tc>
      </w:tr>
      <w:tr w:rsidR="00F01B4A" w:rsidRPr="00E43438" w14:paraId="2B75116E" w14:textId="77777777" w:rsidTr="00F01B4A">
        <w:tc>
          <w:tcPr>
            <w:tcW w:w="1177" w:type="pct"/>
            <w:tcBorders>
              <w:top w:val="dotted" w:sz="4" w:space="0" w:color="auto"/>
              <w:bottom w:val="dotted" w:sz="4" w:space="0" w:color="auto"/>
            </w:tcBorders>
            <w:shd w:val="clear" w:color="auto" w:fill="auto"/>
          </w:tcPr>
          <w:p w14:paraId="4D95B979" w14:textId="77777777" w:rsidR="00F01B4A" w:rsidRPr="00E43438" w:rsidRDefault="00F01B4A" w:rsidP="00F01B4A">
            <w:pPr>
              <w:pStyle w:val="Tabletext0"/>
              <w:ind w:left="224"/>
              <w:rPr>
                <w:snapToGrid w:val="0"/>
              </w:rPr>
            </w:pPr>
            <w:r w:rsidRPr="00E43438">
              <w:rPr>
                <w:snapToGrid w:val="0"/>
              </w:rPr>
              <w:t>Pneumothorax</w:t>
            </w:r>
          </w:p>
        </w:tc>
        <w:tc>
          <w:tcPr>
            <w:tcW w:w="639" w:type="pct"/>
            <w:tcBorders>
              <w:top w:val="dotted" w:sz="4" w:space="0" w:color="auto"/>
              <w:bottom w:val="dotted" w:sz="4" w:space="0" w:color="auto"/>
            </w:tcBorders>
            <w:shd w:val="clear" w:color="auto" w:fill="auto"/>
          </w:tcPr>
          <w:p w14:paraId="03F93D2A"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0BAC1E72" w14:textId="77777777" w:rsidR="00F01B4A" w:rsidRPr="00E43438" w:rsidRDefault="00F01B4A" w:rsidP="00F01B4A">
            <w:pPr>
              <w:pStyle w:val="Tabletext0"/>
              <w:jc w:val="center"/>
              <w:rPr>
                <w:snapToGrid w:val="0"/>
              </w:rPr>
            </w:pPr>
            <w:r w:rsidRPr="00E43438">
              <w:t>0 (0%)</w:t>
            </w:r>
          </w:p>
        </w:tc>
        <w:tc>
          <w:tcPr>
            <w:tcW w:w="707" w:type="pct"/>
            <w:tcBorders>
              <w:top w:val="dotted" w:sz="4" w:space="0" w:color="auto"/>
              <w:bottom w:val="dotted" w:sz="4" w:space="0" w:color="auto"/>
            </w:tcBorders>
            <w:shd w:val="clear" w:color="auto" w:fill="auto"/>
          </w:tcPr>
          <w:p w14:paraId="6518B901" w14:textId="77777777" w:rsidR="00F01B4A" w:rsidRPr="00E43438" w:rsidRDefault="00F01B4A" w:rsidP="00F01B4A">
            <w:pPr>
              <w:pStyle w:val="Tabletext0"/>
              <w:jc w:val="center"/>
              <w:rPr>
                <w:snapToGrid w:val="0"/>
              </w:rPr>
            </w:pPr>
            <w:r w:rsidRPr="00E43438">
              <w:t>4 (0.9%)</w:t>
            </w:r>
          </w:p>
        </w:tc>
        <w:tc>
          <w:tcPr>
            <w:tcW w:w="978" w:type="pct"/>
            <w:tcBorders>
              <w:top w:val="dotted" w:sz="4" w:space="0" w:color="auto"/>
              <w:bottom w:val="dotted" w:sz="4" w:space="0" w:color="auto"/>
            </w:tcBorders>
            <w:shd w:val="clear" w:color="auto" w:fill="auto"/>
            <w:vAlign w:val="center"/>
          </w:tcPr>
          <w:p w14:paraId="007E410C" w14:textId="77777777" w:rsidR="00F01B4A" w:rsidRPr="00E43438" w:rsidRDefault="00F01B4A" w:rsidP="00F01B4A">
            <w:pPr>
              <w:pStyle w:val="Tabletext0"/>
              <w:jc w:val="center"/>
              <w:rPr>
                <w:snapToGrid w:val="0"/>
              </w:rPr>
            </w:pPr>
            <w:r w:rsidRPr="00E43438">
              <w:rPr>
                <w:snapToGrid w:val="0"/>
              </w:rPr>
              <w:t>0.11 [0.01, 2.04]</w:t>
            </w:r>
          </w:p>
        </w:tc>
        <w:tc>
          <w:tcPr>
            <w:tcW w:w="880" w:type="pct"/>
            <w:tcBorders>
              <w:top w:val="dotted" w:sz="4" w:space="0" w:color="auto"/>
              <w:bottom w:val="dotted" w:sz="4" w:space="0" w:color="auto"/>
            </w:tcBorders>
          </w:tcPr>
          <w:p w14:paraId="06920922" w14:textId="77777777" w:rsidR="00F01B4A" w:rsidRPr="00E43438" w:rsidRDefault="00F01B4A" w:rsidP="00F01B4A">
            <w:pPr>
              <w:pStyle w:val="Tabletext0"/>
              <w:jc w:val="center"/>
              <w:rPr>
                <w:i/>
                <w:iCs/>
                <w:snapToGrid w:val="0"/>
              </w:rPr>
            </w:pPr>
            <w:r w:rsidRPr="00E43438">
              <w:rPr>
                <w:i/>
                <w:iCs/>
              </w:rPr>
              <w:t>-0.01 [-0.02, 0.00]</w:t>
            </w:r>
          </w:p>
        </w:tc>
      </w:tr>
      <w:tr w:rsidR="00F01B4A" w:rsidRPr="00E43438" w14:paraId="6C368D05" w14:textId="77777777" w:rsidTr="00F01B4A">
        <w:tc>
          <w:tcPr>
            <w:tcW w:w="1177" w:type="pct"/>
            <w:tcBorders>
              <w:top w:val="dotted" w:sz="4" w:space="0" w:color="auto"/>
              <w:bottom w:val="dotted" w:sz="4" w:space="0" w:color="auto"/>
            </w:tcBorders>
            <w:shd w:val="clear" w:color="auto" w:fill="auto"/>
          </w:tcPr>
          <w:p w14:paraId="452A7126" w14:textId="77777777" w:rsidR="00F01B4A" w:rsidRPr="00E43438" w:rsidRDefault="00F01B4A" w:rsidP="00F01B4A">
            <w:pPr>
              <w:pStyle w:val="Tabletext0"/>
              <w:ind w:left="224"/>
              <w:rPr>
                <w:snapToGrid w:val="0"/>
              </w:rPr>
            </w:pPr>
            <w:r w:rsidRPr="00E43438">
              <w:rPr>
                <w:snapToGrid w:val="0"/>
              </w:rPr>
              <w:t>Lead perforation</w:t>
            </w:r>
          </w:p>
        </w:tc>
        <w:tc>
          <w:tcPr>
            <w:tcW w:w="639" w:type="pct"/>
            <w:tcBorders>
              <w:top w:val="dotted" w:sz="4" w:space="0" w:color="auto"/>
              <w:bottom w:val="dotted" w:sz="4" w:space="0" w:color="auto"/>
            </w:tcBorders>
            <w:shd w:val="clear" w:color="auto" w:fill="auto"/>
          </w:tcPr>
          <w:p w14:paraId="0843A499"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260E3F06" w14:textId="77777777" w:rsidR="00F01B4A" w:rsidRPr="00E43438" w:rsidRDefault="00F01B4A" w:rsidP="00F01B4A">
            <w:pPr>
              <w:pStyle w:val="Tabletext0"/>
              <w:jc w:val="center"/>
              <w:rPr>
                <w:snapToGrid w:val="0"/>
              </w:rPr>
            </w:pPr>
            <w:r w:rsidRPr="00E43438">
              <w:t>0 (0%)</w:t>
            </w:r>
          </w:p>
        </w:tc>
        <w:tc>
          <w:tcPr>
            <w:tcW w:w="707" w:type="pct"/>
            <w:tcBorders>
              <w:top w:val="dotted" w:sz="4" w:space="0" w:color="auto"/>
              <w:bottom w:val="dotted" w:sz="4" w:space="0" w:color="auto"/>
            </w:tcBorders>
            <w:shd w:val="clear" w:color="auto" w:fill="auto"/>
          </w:tcPr>
          <w:p w14:paraId="0B94A0ED" w14:textId="77777777" w:rsidR="00F01B4A" w:rsidRPr="00E43438" w:rsidRDefault="00F01B4A" w:rsidP="00F01B4A">
            <w:pPr>
              <w:pStyle w:val="Tabletext0"/>
              <w:jc w:val="center"/>
              <w:rPr>
                <w:snapToGrid w:val="0"/>
              </w:rPr>
            </w:pPr>
            <w:r w:rsidRPr="00E43438">
              <w:t>4 (0.9%)</w:t>
            </w:r>
          </w:p>
        </w:tc>
        <w:tc>
          <w:tcPr>
            <w:tcW w:w="978" w:type="pct"/>
            <w:tcBorders>
              <w:top w:val="dotted" w:sz="4" w:space="0" w:color="auto"/>
              <w:bottom w:val="dotted" w:sz="4" w:space="0" w:color="auto"/>
            </w:tcBorders>
            <w:shd w:val="clear" w:color="auto" w:fill="auto"/>
            <w:vAlign w:val="center"/>
          </w:tcPr>
          <w:p w14:paraId="5FEE4C1C" w14:textId="77777777" w:rsidR="00F01B4A" w:rsidRPr="00E43438" w:rsidRDefault="00F01B4A" w:rsidP="00F01B4A">
            <w:pPr>
              <w:pStyle w:val="Tabletext0"/>
              <w:jc w:val="center"/>
              <w:rPr>
                <w:snapToGrid w:val="0"/>
              </w:rPr>
            </w:pPr>
            <w:r w:rsidRPr="00E43438">
              <w:rPr>
                <w:snapToGrid w:val="0"/>
              </w:rPr>
              <w:t>0.11 [0.01, 2.04]</w:t>
            </w:r>
          </w:p>
        </w:tc>
        <w:tc>
          <w:tcPr>
            <w:tcW w:w="880" w:type="pct"/>
            <w:tcBorders>
              <w:top w:val="dotted" w:sz="4" w:space="0" w:color="auto"/>
              <w:bottom w:val="dotted" w:sz="4" w:space="0" w:color="auto"/>
            </w:tcBorders>
          </w:tcPr>
          <w:p w14:paraId="53EAA7DC" w14:textId="77777777" w:rsidR="00F01B4A" w:rsidRPr="00E43438" w:rsidRDefault="00F01B4A" w:rsidP="00F01B4A">
            <w:pPr>
              <w:pStyle w:val="Tabletext0"/>
              <w:jc w:val="center"/>
              <w:rPr>
                <w:i/>
                <w:iCs/>
                <w:snapToGrid w:val="0"/>
              </w:rPr>
            </w:pPr>
            <w:r w:rsidRPr="00E43438">
              <w:rPr>
                <w:i/>
                <w:iCs/>
              </w:rPr>
              <w:t>-0.01 [-0.02, 0.00]</w:t>
            </w:r>
          </w:p>
        </w:tc>
      </w:tr>
      <w:tr w:rsidR="00F01B4A" w:rsidRPr="00E43438" w14:paraId="10186DA0" w14:textId="77777777" w:rsidTr="00F01B4A">
        <w:tc>
          <w:tcPr>
            <w:tcW w:w="1177" w:type="pct"/>
            <w:tcBorders>
              <w:top w:val="dotted" w:sz="4" w:space="0" w:color="auto"/>
              <w:bottom w:val="dotted" w:sz="4" w:space="0" w:color="auto"/>
            </w:tcBorders>
            <w:shd w:val="clear" w:color="auto" w:fill="auto"/>
          </w:tcPr>
          <w:p w14:paraId="03CCDA74" w14:textId="77777777" w:rsidR="00F01B4A" w:rsidRPr="00E43438" w:rsidRDefault="00F01B4A" w:rsidP="00F01B4A">
            <w:pPr>
              <w:pStyle w:val="Tabletext0"/>
              <w:ind w:left="224"/>
              <w:rPr>
                <w:snapToGrid w:val="0"/>
              </w:rPr>
            </w:pPr>
            <w:r w:rsidRPr="00E43438">
              <w:rPr>
                <w:snapToGrid w:val="0"/>
              </w:rPr>
              <w:t>Tamponade</w:t>
            </w:r>
          </w:p>
        </w:tc>
        <w:tc>
          <w:tcPr>
            <w:tcW w:w="639" w:type="pct"/>
            <w:tcBorders>
              <w:top w:val="dotted" w:sz="4" w:space="0" w:color="auto"/>
              <w:bottom w:val="dotted" w:sz="4" w:space="0" w:color="auto"/>
            </w:tcBorders>
            <w:shd w:val="clear" w:color="auto" w:fill="auto"/>
          </w:tcPr>
          <w:p w14:paraId="64E53B54"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4921DF48" w14:textId="77777777" w:rsidR="00F01B4A" w:rsidRPr="00E43438" w:rsidRDefault="00F01B4A" w:rsidP="00F01B4A">
            <w:pPr>
              <w:pStyle w:val="Tabletext0"/>
              <w:jc w:val="center"/>
              <w:rPr>
                <w:snapToGrid w:val="0"/>
              </w:rPr>
            </w:pPr>
            <w:r w:rsidRPr="00E43438">
              <w:t>0 (0%)</w:t>
            </w:r>
          </w:p>
        </w:tc>
        <w:tc>
          <w:tcPr>
            <w:tcW w:w="707" w:type="pct"/>
            <w:tcBorders>
              <w:top w:val="dotted" w:sz="4" w:space="0" w:color="auto"/>
              <w:bottom w:val="dotted" w:sz="4" w:space="0" w:color="auto"/>
            </w:tcBorders>
            <w:shd w:val="clear" w:color="auto" w:fill="auto"/>
          </w:tcPr>
          <w:p w14:paraId="337F97DC" w14:textId="77777777" w:rsidR="00F01B4A" w:rsidRPr="00E43438" w:rsidRDefault="00F01B4A" w:rsidP="00F01B4A">
            <w:pPr>
              <w:pStyle w:val="Tabletext0"/>
              <w:jc w:val="center"/>
              <w:rPr>
                <w:snapToGrid w:val="0"/>
              </w:rPr>
            </w:pPr>
            <w:r w:rsidRPr="00E43438">
              <w:t>2 (0.5%)</w:t>
            </w:r>
          </w:p>
        </w:tc>
        <w:tc>
          <w:tcPr>
            <w:tcW w:w="978" w:type="pct"/>
            <w:tcBorders>
              <w:top w:val="dotted" w:sz="4" w:space="0" w:color="auto"/>
              <w:bottom w:val="dotted" w:sz="4" w:space="0" w:color="auto"/>
            </w:tcBorders>
            <w:shd w:val="clear" w:color="auto" w:fill="auto"/>
            <w:vAlign w:val="center"/>
          </w:tcPr>
          <w:p w14:paraId="40F1B06F" w14:textId="77777777" w:rsidR="00F01B4A" w:rsidRPr="00E43438" w:rsidRDefault="00F01B4A" w:rsidP="00F01B4A">
            <w:pPr>
              <w:pStyle w:val="Tabletext0"/>
              <w:jc w:val="center"/>
              <w:rPr>
                <w:snapToGrid w:val="0"/>
              </w:rPr>
            </w:pPr>
            <w:r w:rsidRPr="00E43438">
              <w:rPr>
                <w:snapToGrid w:val="0"/>
              </w:rPr>
              <w:t>0.20 [0.01, 4.13]</w:t>
            </w:r>
          </w:p>
        </w:tc>
        <w:tc>
          <w:tcPr>
            <w:tcW w:w="880" w:type="pct"/>
            <w:tcBorders>
              <w:top w:val="dotted" w:sz="4" w:space="0" w:color="auto"/>
              <w:bottom w:val="dotted" w:sz="4" w:space="0" w:color="auto"/>
            </w:tcBorders>
          </w:tcPr>
          <w:p w14:paraId="130A602E" w14:textId="77777777" w:rsidR="00F01B4A" w:rsidRPr="00E43438" w:rsidRDefault="00F01B4A" w:rsidP="00F01B4A">
            <w:pPr>
              <w:pStyle w:val="Tabletext0"/>
              <w:jc w:val="center"/>
              <w:rPr>
                <w:i/>
                <w:iCs/>
                <w:snapToGrid w:val="0"/>
              </w:rPr>
            </w:pPr>
            <w:r w:rsidRPr="00E43438">
              <w:rPr>
                <w:i/>
                <w:iCs/>
              </w:rPr>
              <w:t>0.00 [-0.01, 0.00]</w:t>
            </w:r>
          </w:p>
        </w:tc>
      </w:tr>
      <w:tr w:rsidR="00F01B4A" w:rsidRPr="00E43438" w14:paraId="29669B30" w14:textId="77777777" w:rsidTr="00F01B4A">
        <w:tc>
          <w:tcPr>
            <w:tcW w:w="1177" w:type="pct"/>
            <w:tcBorders>
              <w:top w:val="dotted" w:sz="4" w:space="0" w:color="auto"/>
              <w:bottom w:val="dotted" w:sz="4" w:space="0" w:color="auto"/>
            </w:tcBorders>
            <w:shd w:val="clear" w:color="auto" w:fill="auto"/>
          </w:tcPr>
          <w:p w14:paraId="14324D59" w14:textId="77777777" w:rsidR="00F01B4A" w:rsidRPr="00E43438" w:rsidRDefault="00F01B4A" w:rsidP="00F01B4A">
            <w:pPr>
              <w:pStyle w:val="Tabletext0"/>
              <w:ind w:left="224"/>
              <w:rPr>
                <w:snapToGrid w:val="0"/>
              </w:rPr>
            </w:pPr>
            <w:r w:rsidRPr="00E43438">
              <w:rPr>
                <w:snapToGrid w:val="0"/>
              </w:rPr>
              <w:t>Lead repositioning</w:t>
            </w:r>
          </w:p>
        </w:tc>
        <w:tc>
          <w:tcPr>
            <w:tcW w:w="639" w:type="pct"/>
            <w:tcBorders>
              <w:top w:val="dotted" w:sz="4" w:space="0" w:color="auto"/>
              <w:bottom w:val="dotted" w:sz="4" w:space="0" w:color="auto"/>
            </w:tcBorders>
            <w:shd w:val="clear" w:color="auto" w:fill="auto"/>
          </w:tcPr>
          <w:p w14:paraId="68CE07FA"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4314E7F3" w14:textId="77777777" w:rsidR="00F01B4A" w:rsidRPr="00E43438" w:rsidRDefault="00F01B4A" w:rsidP="00F01B4A">
            <w:pPr>
              <w:pStyle w:val="Tabletext0"/>
              <w:jc w:val="center"/>
              <w:rPr>
                <w:snapToGrid w:val="0"/>
              </w:rPr>
            </w:pPr>
            <w:r w:rsidRPr="00E43438">
              <w:t>2 (0.5%)</w:t>
            </w:r>
          </w:p>
        </w:tc>
        <w:tc>
          <w:tcPr>
            <w:tcW w:w="707" w:type="pct"/>
            <w:tcBorders>
              <w:top w:val="dotted" w:sz="4" w:space="0" w:color="auto"/>
              <w:bottom w:val="dotted" w:sz="4" w:space="0" w:color="auto"/>
            </w:tcBorders>
            <w:shd w:val="clear" w:color="auto" w:fill="auto"/>
          </w:tcPr>
          <w:p w14:paraId="14131EDC" w14:textId="77777777" w:rsidR="00F01B4A" w:rsidRPr="00E43438" w:rsidRDefault="00F01B4A" w:rsidP="00F01B4A">
            <w:pPr>
              <w:pStyle w:val="Tabletext0"/>
              <w:jc w:val="center"/>
              <w:rPr>
                <w:snapToGrid w:val="0"/>
              </w:rPr>
            </w:pPr>
            <w:r w:rsidRPr="00E43438">
              <w:t>7 (1.7%)</w:t>
            </w:r>
          </w:p>
        </w:tc>
        <w:tc>
          <w:tcPr>
            <w:tcW w:w="978" w:type="pct"/>
            <w:tcBorders>
              <w:top w:val="dotted" w:sz="4" w:space="0" w:color="auto"/>
              <w:bottom w:val="dotted" w:sz="4" w:space="0" w:color="auto"/>
            </w:tcBorders>
            <w:shd w:val="clear" w:color="auto" w:fill="auto"/>
            <w:vAlign w:val="center"/>
          </w:tcPr>
          <w:p w14:paraId="3C939FA2" w14:textId="77777777" w:rsidR="00F01B4A" w:rsidRPr="00E43438" w:rsidRDefault="00F01B4A" w:rsidP="00F01B4A">
            <w:pPr>
              <w:pStyle w:val="Tabletext0"/>
              <w:jc w:val="center"/>
              <w:rPr>
                <w:snapToGrid w:val="0"/>
              </w:rPr>
            </w:pPr>
            <w:r w:rsidRPr="00E43438">
              <w:rPr>
                <w:snapToGrid w:val="0"/>
              </w:rPr>
              <w:t>0.28 [0.06, 1.36]</w:t>
            </w:r>
          </w:p>
        </w:tc>
        <w:tc>
          <w:tcPr>
            <w:tcW w:w="880" w:type="pct"/>
            <w:tcBorders>
              <w:top w:val="dotted" w:sz="4" w:space="0" w:color="auto"/>
              <w:bottom w:val="dotted" w:sz="4" w:space="0" w:color="auto"/>
            </w:tcBorders>
          </w:tcPr>
          <w:p w14:paraId="065FEF29" w14:textId="77777777" w:rsidR="00F01B4A" w:rsidRPr="00E43438" w:rsidRDefault="00F01B4A" w:rsidP="00F01B4A">
            <w:pPr>
              <w:pStyle w:val="Tabletext0"/>
              <w:jc w:val="center"/>
              <w:rPr>
                <w:i/>
                <w:iCs/>
                <w:snapToGrid w:val="0"/>
              </w:rPr>
            </w:pPr>
            <w:r w:rsidRPr="00E43438">
              <w:rPr>
                <w:i/>
                <w:iCs/>
              </w:rPr>
              <w:t>-0.01 [-0.03, 0.00]</w:t>
            </w:r>
          </w:p>
        </w:tc>
      </w:tr>
      <w:tr w:rsidR="00F01B4A" w:rsidRPr="00E43438" w14:paraId="7F84A5CE" w14:textId="77777777" w:rsidTr="00F01B4A">
        <w:tc>
          <w:tcPr>
            <w:tcW w:w="1177" w:type="pct"/>
            <w:tcBorders>
              <w:top w:val="dotted" w:sz="4" w:space="0" w:color="auto"/>
              <w:bottom w:val="dotted" w:sz="4" w:space="0" w:color="auto"/>
            </w:tcBorders>
            <w:shd w:val="clear" w:color="auto" w:fill="auto"/>
          </w:tcPr>
          <w:p w14:paraId="605C491E" w14:textId="77777777" w:rsidR="00F01B4A" w:rsidRPr="00E43438" w:rsidRDefault="00F01B4A" w:rsidP="00F01B4A">
            <w:pPr>
              <w:pStyle w:val="Tabletext0"/>
              <w:ind w:left="224"/>
              <w:rPr>
                <w:snapToGrid w:val="0"/>
              </w:rPr>
            </w:pPr>
            <w:r w:rsidRPr="00E43438">
              <w:rPr>
                <w:snapToGrid w:val="0"/>
              </w:rPr>
              <w:t>Lead replacement</w:t>
            </w:r>
          </w:p>
        </w:tc>
        <w:tc>
          <w:tcPr>
            <w:tcW w:w="639" w:type="pct"/>
            <w:tcBorders>
              <w:top w:val="dotted" w:sz="4" w:space="0" w:color="auto"/>
              <w:bottom w:val="dotted" w:sz="4" w:space="0" w:color="auto"/>
            </w:tcBorders>
            <w:shd w:val="clear" w:color="auto" w:fill="auto"/>
          </w:tcPr>
          <w:p w14:paraId="4F6DE514"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45FA20A8" w14:textId="77777777" w:rsidR="00F01B4A" w:rsidRPr="00E43438" w:rsidRDefault="00F01B4A" w:rsidP="00F01B4A">
            <w:pPr>
              <w:pStyle w:val="Tabletext0"/>
              <w:jc w:val="center"/>
              <w:rPr>
                <w:snapToGrid w:val="0"/>
              </w:rPr>
            </w:pPr>
            <w:r w:rsidRPr="00E43438">
              <w:t>3 (0.7%)</w:t>
            </w:r>
          </w:p>
        </w:tc>
        <w:tc>
          <w:tcPr>
            <w:tcW w:w="707" w:type="pct"/>
            <w:tcBorders>
              <w:top w:val="dotted" w:sz="4" w:space="0" w:color="auto"/>
              <w:bottom w:val="dotted" w:sz="4" w:space="0" w:color="auto"/>
            </w:tcBorders>
            <w:shd w:val="clear" w:color="auto" w:fill="auto"/>
          </w:tcPr>
          <w:p w14:paraId="27C3B88E" w14:textId="77777777" w:rsidR="00F01B4A" w:rsidRPr="00E43438" w:rsidRDefault="00F01B4A" w:rsidP="00F01B4A">
            <w:pPr>
              <w:pStyle w:val="Tabletext0"/>
              <w:jc w:val="center"/>
              <w:rPr>
                <w:snapToGrid w:val="0"/>
              </w:rPr>
            </w:pPr>
            <w:r w:rsidRPr="00E43438">
              <w:t>9 (2.1%)</w:t>
            </w:r>
          </w:p>
        </w:tc>
        <w:tc>
          <w:tcPr>
            <w:tcW w:w="978" w:type="pct"/>
            <w:tcBorders>
              <w:top w:val="dotted" w:sz="4" w:space="0" w:color="auto"/>
              <w:bottom w:val="dotted" w:sz="4" w:space="0" w:color="auto"/>
            </w:tcBorders>
            <w:shd w:val="clear" w:color="auto" w:fill="auto"/>
            <w:vAlign w:val="center"/>
          </w:tcPr>
          <w:p w14:paraId="1A8BEC2A" w14:textId="77777777" w:rsidR="00F01B4A" w:rsidRPr="00E43438" w:rsidRDefault="00F01B4A" w:rsidP="00F01B4A">
            <w:pPr>
              <w:pStyle w:val="Tabletext0"/>
              <w:jc w:val="center"/>
              <w:rPr>
                <w:snapToGrid w:val="0"/>
              </w:rPr>
            </w:pPr>
            <w:r w:rsidRPr="00E43438">
              <w:rPr>
                <w:snapToGrid w:val="0"/>
              </w:rPr>
              <w:t>0.33 [0.09, 1.21]</w:t>
            </w:r>
          </w:p>
        </w:tc>
        <w:tc>
          <w:tcPr>
            <w:tcW w:w="880" w:type="pct"/>
            <w:tcBorders>
              <w:top w:val="dotted" w:sz="4" w:space="0" w:color="auto"/>
              <w:bottom w:val="dotted" w:sz="4" w:space="0" w:color="auto"/>
            </w:tcBorders>
          </w:tcPr>
          <w:p w14:paraId="04EFD32A" w14:textId="77777777" w:rsidR="00F01B4A" w:rsidRPr="00E43438" w:rsidRDefault="00F01B4A" w:rsidP="00F01B4A">
            <w:pPr>
              <w:pStyle w:val="Tabletext0"/>
              <w:jc w:val="center"/>
              <w:rPr>
                <w:i/>
                <w:iCs/>
                <w:snapToGrid w:val="0"/>
              </w:rPr>
            </w:pPr>
            <w:r w:rsidRPr="00E43438">
              <w:rPr>
                <w:i/>
                <w:iCs/>
              </w:rPr>
              <w:t>-0.01 [-0.03, 0.00]</w:t>
            </w:r>
          </w:p>
        </w:tc>
      </w:tr>
      <w:tr w:rsidR="00F01B4A" w:rsidRPr="00E43438" w14:paraId="4C6CB9A9" w14:textId="77777777" w:rsidTr="00F01B4A">
        <w:tc>
          <w:tcPr>
            <w:tcW w:w="1177" w:type="pct"/>
            <w:tcBorders>
              <w:top w:val="dotted" w:sz="4" w:space="0" w:color="auto"/>
              <w:bottom w:val="dotted" w:sz="4" w:space="0" w:color="auto"/>
            </w:tcBorders>
            <w:shd w:val="clear" w:color="auto" w:fill="auto"/>
          </w:tcPr>
          <w:p w14:paraId="1ED9CED7" w14:textId="77777777" w:rsidR="00F01B4A" w:rsidRPr="00E43438" w:rsidRDefault="00F01B4A" w:rsidP="00F01B4A">
            <w:pPr>
              <w:pStyle w:val="Tabletext0"/>
              <w:ind w:left="224"/>
              <w:rPr>
                <w:snapToGrid w:val="0"/>
              </w:rPr>
            </w:pPr>
            <w:r w:rsidRPr="00E43438">
              <w:rPr>
                <w:snapToGrid w:val="0"/>
              </w:rPr>
              <w:t>Device malfunction</w:t>
            </w:r>
          </w:p>
        </w:tc>
        <w:tc>
          <w:tcPr>
            <w:tcW w:w="639" w:type="pct"/>
            <w:tcBorders>
              <w:top w:val="dotted" w:sz="4" w:space="0" w:color="auto"/>
              <w:bottom w:val="dotted" w:sz="4" w:space="0" w:color="auto"/>
            </w:tcBorders>
            <w:shd w:val="clear" w:color="auto" w:fill="auto"/>
          </w:tcPr>
          <w:p w14:paraId="24E0E373"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62828858" w14:textId="77777777" w:rsidR="00F01B4A" w:rsidRPr="00E43438" w:rsidRDefault="00F01B4A" w:rsidP="00F01B4A">
            <w:pPr>
              <w:pStyle w:val="Tabletext0"/>
              <w:jc w:val="center"/>
              <w:rPr>
                <w:snapToGrid w:val="0"/>
              </w:rPr>
            </w:pPr>
            <w:r w:rsidRPr="00E43438">
              <w:t>4 (0.9%)</w:t>
            </w:r>
          </w:p>
        </w:tc>
        <w:tc>
          <w:tcPr>
            <w:tcW w:w="707" w:type="pct"/>
            <w:tcBorders>
              <w:top w:val="dotted" w:sz="4" w:space="0" w:color="auto"/>
              <w:bottom w:val="dotted" w:sz="4" w:space="0" w:color="auto"/>
            </w:tcBorders>
            <w:shd w:val="clear" w:color="auto" w:fill="auto"/>
          </w:tcPr>
          <w:p w14:paraId="44B58271" w14:textId="77777777" w:rsidR="00F01B4A" w:rsidRPr="00E43438" w:rsidRDefault="00F01B4A" w:rsidP="00F01B4A">
            <w:pPr>
              <w:pStyle w:val="Tabletext0"/>
              <w:jc w:val="center"/>
              <w:rPr>
                <w:snapToGrid w:val="0"/>
              </w:rPr>
            </w:pPr>
            <w:r w:rsidRPr="00E43438">
              <w:t>6 (1.4%)</w:t>
            </w:r>
          </w:p>
        </w:tc>
        <w:tc>
          <w:tcPr>
            <w:tcW w:w="978" w:type="pct"/>
            <w:tcBorders>
              <w:top w:val="dotted" w:sz="4" w:space="0" w:color="auto"/>
              <w:bottom w:val="dotted" w:sz="4" w:space="0" w:color="auto"/>
            </w:tcBorders>
            <w:shd w:val="clear" w:color="auto" w:fill="auto"/>
            <w:vAlign w:val="center"/>
          </w:tcPr>
          <w:p w14:paraId="025A072A" w14:textId="77777777" w:rsidR="00F01B4A" w:rsidRPr="00E43438" w:rsidRDefault="00F01B4A" w:rsidP="00F01B4A">
            <w:pPr>
              <w:pStyle w:val="Tabletext0"/>
              <w:jc w:val="center"/>
              <w:rPr>
                <w:snapToGrid w:val="0"/>
              </w:rPr>
            </w:pPr>
            <w:r w:rsidRPr="00E43438">
              <w:rPr>
                <w:snapToGrid w:val="0"/>
              </w:rPr>
              <w:t>0.66 [0.18, 2.35]</w:t>
            </w:r>
          </w:p>
        </w:tc>
        <w:tc>
          <w:tcPr>
            <w:tcW w:w="880" w:type="pct"/>
            <w:tcBorders>
              <w:top w:val="dotted" w:sz="4" w:space="0" w:color="auto"/>
              <w:bottom w:val="dotted" w:sz="4" w:space="0" w:color="auto"/>
            </w:tcBorders>
          </w:tcPr>
          <w:p w14:paraId="52D18F21" w14:textId="77777777" w:rsidR="00F01B4A" w:rsidRPr="00E43438" w:rsidRDefault="00F01B4A" w:rsidP="00F01B4A">
            <w:pPr>
              <w:pStyle w:val="Tabletext0"/>
              <w:jc w:val="center"/>
              <w:rPr>
                <w:i/>
                <w:iCs/>
                <w:snapToGrid w:val="0"/>
              </w:rPr>
            </w:pPr>
            <w:r w:rsidRPr="00E43438">
              <w:rPr>
                <w:i/>
                <w:iCs/>
              </w:rPr>
              <w:t>0.00 [-0.02, 0.01]</w:t>
            </w:r>
          </w:p>
        </w:tc>
      </w:tr>
      <w:tr w:rsidR="00F01B4A" w:rsidRPr="00E43438" w14:paraId="6238930C" w14:textId="77777777" w:rsidTr="00F01B4A">
        <w:tc>
          <w:tcPr>
            <w:tcW w:w="1177" w:type="pct"/>
            <w:tcBorders>
              <w:top w:val="dotted" w:sz="4" w:space="0" w:color="auto"/>
              <w:bottom w:val="dotted" w:sz="4" w:space="0" w:color="auto"/>
            </w:tcBorders>
            <w:shd w:val="clear" w:color="auto" w:fill="auto"/>
          </w:tcPr>
          <w:p w14:paraId="021B5C9E" w14:textId="77777777" w:rsidR="00F01B4A" w:rsidRPr="00E43438" w:rsidRDefault="00F01B4A" w:rsidP="00F01B4A">
            <w:pPr>
              <w:pStyle w:val="Tabletext0"/>
              <w:ind w:left="224"/>
              <w:rPr>
                <w:snapToGrid w:val="0"/>
              </w:rPr>
            </w:pPr>
            <w:r w:rsidRPr="00E43438">
              <w:rPr>
                <w:snapToGrid w:val="0"/>
              </w:rPr>
              <w:t>Sensing issues</w:t>
            </w:r>
          </w:p>
        </w:tc>
        <w:tc>
          <w:tcPr>
            <w:tcW w:w="639" w:type="pct"/>
            <w:tcBorders>
              <w:top w:val="dotted" w:sz="4" w:space="0" w:color="auto"/>
              <w:bottom w:val="dotted" w:sz="4" w:space="0" w:color="auto"/>
            </w:tcBorders>
            <w:shd w:val="clear" w:color="auto" w:fill="auto"/>
          </w:tcPr>
          <w:p w14:paraId="6EBCD32A"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5CFDF42F" w14:textId="77777777" w:rsidR="00F01B4A" w:rsidRPr="00E43438" w:rsidRDefault="00F01B4A" w:rsidP="00F01B4A">
            <w:pPr>
              <w:pStyle w:val="Tabletext0"/>
              <w:jc w:val="center"/>
              <w:rPr>
                <w:snapToGrid w:val="0"/>
              </w:rPr>
            </w:pPr>
            <w:r w:rsidRPr="00E43438">
              <w:t>4 (0.9%)</w:t>
            </w:r>
          </w:p>
        </w:tc>
        <w:tc>
          <w:tcPr>
            <w:tcW w:w="707" w:type="pct"/>
            <w:tcBorders>
              <w:top w:val="dotted" w:sz="4" w:space="0" w:color="auto"/>
              <w:bottom w:val="dotted" w:sz="4" w:space="0" w:color="auto"/>
            </w:tcBorders>
            <w:shd w:val="clear" w:color="auto" w:fill="auto"/>
          </w:tcPr>
          <w:p w14:paraId="158D9EA5" w14:textId="77777777" w:rsidR="00F01B4A" w:rsidRPr="00E43438" w:rsidRDefault="00F01B4A" w:rsidP="00F01B4A">
            <w:pPr>
              <w:pStyle w:val="Tabletext0"/>
              <w:jc w:val="center"/>
              <w:rPr>
                <w:snapToGrid w:val="0"/>
              </w:rPr>
            </w:pPr>
            <w:r w:rsidRPr="00E43438">
              <w:t>0 (0%)</w:t>
            </w:r>
          </w:p>
        </w:tc>
        <w:tc>
          <w:tcPr>
            <w:tcW w:w="978" w:type="pct"/>
            <w:tcBorders>
              <w:top w:val="dotted" w:sz="4" w:space="0" w:color="auto"/>
              <w:bottom w:val="dotted" w:sz="4" w:space="0" w:color="auto"/>
            </w:tcBorders>
            <w:shd w:val="clear" w:color="auto" w:fill="auto"/>
            <w:vAlign w:val="center"/>
          </w:tcPr>
          <w:p w14:paraId="750BE52C" w14:textId="77777777" w:rsidR="00F01B4A" w:rsidRPr="00E43438" w:rsidRDefault="00F01B4A" w:rsidP="00F01B4A">
            <w:pPr>
              <w:pStyle w:val="Tabletext0"/>
              <w:jc w:val="center"/>
              <w:rPr>
                <w:snapToGrid w:val="0"/>
              </w:rPr>
            </w:pPr>
            <w:r w:rsidRPr="00E43438">
              <w:rPr>
                <w:snapToGrid w:val="0"/>
              </w:rPr>
              <w:t>9.02 [0.48, 168.08]</w:t>
            </w:r>
          </w:p>
        </w:tc>
        <w:tc>
          <w:tcPr>
            <w:tcW w:w="880" w:type="pct"/>
            <w:tcBorders>
              <w:top w:val="dotted" w:sz="4" w:space="0" w:color="auto"/>
              <w:bottom w:val="dotted" w:sz="4" w:space="0" w:color="auto"/>
            </w:tcBorders>
          </w:tcPr>
          <w:p w14:paraId="6463C2E4" w14:textId="77777777" w:rsidR="00F01B4A" w:rsidRPr="00E43438" w:rsidRDefault="00F01B4A" w:rsidP="00F01B4A">
            <w:pPr>
              <w:pStyle w:val="Tabletext0"/>
              <w:jc w:val="center"/>
              <w:rPr>
                <w:i/>
                <w:iCs/>
                <w:snapToGrid w:val="0"/>
              </w:rPr>
            </w:pPr>
            <w:r w:rsidRPr="00E43438">
              <w:rPr>
                <w:i/>
                <w:iCs/>
              </w:rPr>
              <w:t>0.01 [0.00, 0.02]</w:t>
            </w:r>
          </w:p>
        </w:tc>
      </w:tr>
      <w:tr w:rsidR="00F01B4A" w:rsidRPr="00E43438" w14:paraId="50D11184" w14:textId="77777777" w:rsidTr="00F01B4A">
        <w:tc>
          <w:tcPr>
            <w:tcW w:w="1177" w:type="pct"/>
            <w:tcBorders>
              <w:top w:val="dotted" w:sz="4" w:space="0" w:color="auto"/>
              <w:bottom w:val="dotted" w:sz="4" w:space="0" w:color="auto"/>
            </w:tcBorders>
            <w:shd w:val="clear" w:color="auto" w:fill="auto"/>
          </w:tcPr>
          <w:p w14:paraId="2F6E149E" w14:textId="77777777" w:rsidR="00F01B4A" w:rsidRPr="00E43438" w:rsidRDefault="00F01B4A" w:rsidP="00F01B4A">
            <w:pPr>
              <w:pStyle w:val="Tabletext0"/>
              <w:ind w:left="224"/>
              <w:rPr>
                <w:snapToGrid w:val="0"/>
              </w:rPr>
            </w:pPr>
            <w:r w:rsidRPr="00E43438">
              <w:rPr>
                <w:snapToGrid w:val="0"/>
              </w:rPr>
              <w:t>Pacing indication</w:t>
            </w:r>
          </w:p>
        </w:tc>
        <w:tc>
          <w:tcPr>
            <w:tcW w:w="639" w:type="pct"/>
            <w:tcBorders>
              <w:top w:val="dotted" w:sz="4" w:space="0" w:color="auto"/>
              <w:bottom w:val="dotted" w:sz="4" w:space="0" w:color="auto"/>
            </w:tcBorders>
            <w:shd w:val="clear" w:color="auto" w:fill="auto"/>
          </w:tcPr>
          <w:p w14:paraId="2D19C266"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50438417" w14:textId="77777777" w:rsidR="00F01B4A" w:rsidRPr="00E43438" w:rsidRDefault="00F01B4A" w:rsidP="00F01B4A">
            <w:pPr>
              <w:pStyle w:val="Tabletext0"/>
              <w:jc w:val="center"/>
              <w:rPr>
                <w:snapToGrid w:val="0"/>
              </w:rPr>
            </w:pPr>
            <w:r w:rsidRPr="00E43438">
              <w:t>5 (1.2%)</w:t>
            </w:r>
          </w:p>
        </w:tc>
        <w:tc>
          <w:tcPr>
            <w:tcW w:w="707" w:type="pct"/>
            <w:tcBorders>
              <w:top w:val="dotted" w:sz="4" w:space="0" w:color="auto"/>
              <w:bottom w:val="dotted" w:sz="4" w:space="0" w:color="auto"/>
            </w:tcBorders>
            <w:shd w:val="clear" w:color="auto" w:fill="auto"/>
          </w:tcPr>
          <w:p w14:paraId="492F59AB" w14:textId="77777777" w:rsidR="00F01B4A" w:rsidRPr="00E43438" w:rsidRDefault="00F01B4A" w:rsidP="00F01B4A">
            <w:pPr>
              <w:pStyle w:val="Tabletext0"/>
              <w:jc w:val="center"/>
              <w:rPr>
                <w:snapToGrid w:val="0"/>
              </w:rPr>
            </w:pPr>
            <w:r w:rsidRPr="00E43438">
              <w:t>1 (0.2%)</w:t>
            </w:r>
          </w:p>
        </w:tc>
        <w:tc>
          <w:tcPr>
            <w:tcW w:w="978" w:type="pct"/>
            <w:tcBorders>
              <w:top w:val="dotted" w:sz="4" w:space="0" w:color="auto"/>
              <w:bottom w:val="dotted" w:sz="4" w:space="0" w:color="auto"/>
            </w:tcBorders>
            <w:shd w:val="clear" w:color="auto" w:fill="auto"/>
            <w:vAlign w:val="center"/>
          </w:tcPr>
          <w:p w14:paraId="388FE3DE" w14:textId="77777777" w:rsidR="00F01B4A" w:rsidRPr="00E43438" w:rsidRDefault="00F01B4A" w:rsidP="00F01B4A">
            <w:pPr>
              <w:pStyle w:val="Tabletext0"/>
              <w:jc w:val="center"/>
              <w:rPr>
                <w:snapToGrid w:val="0"/>
              </w:rPr>
            </w:pPr>
            <w:r w:rsidRPr="00E43438">
              <w:rPr>
                <w:snapToGrid w:val="0"/>
              </w:rPr>
              <w:t>5.01 [0.58, 43.08]</w:t>
            </w:r>
          </w:p>
        </w:tc>
        <w:tc>
          <w:tcPr>
            <w:tcW w:w="880" w:type="pct"/>
            <w:tcBorders>
              <w:top w:val="dotted" w:sz="4" w:space="0" w:color="auto"/>
              <w:bottom w:val="dotted" w:sz="4" w:space="0" w:color="auto"/>
            </w:tcBorders>
          </w:tcPr>
          <w:p w14:paraId="032580F6" w14:textId="77777777" w:rsidR="00F01B4A" w:rsidRPr="00E43438" w:rsidRDefault="00F01B4A" w:rsidP="00F01B4A">
            <w:pPr>
              <w:pStyle w:val="Tabletext0"/>
              <w:jc w:val="center"/>
              <w:rPr>
                <w:i/>
                <w:iCs/>
                <w:snapToGrid w:val="0"/>
              </w:rPr>
            </w:pPr>
            <w:r w:rsidRPr="00E43438">
              <w:rPr>
                <w:i/>
                <w:iCs/>
              </w:rPr>
              <w:t>0.01 [0.00, 0.02]</w:t>
            </w:r>
          </w:p>
        </w:tc>
      </w:tr>
      <w:tr w:rsidR="00F01B4A" w:rsidRPr="00E43438" w14:paraId="001C3F07" w14:textId="77777777" w:rsidTr="00F01B4A">
        <w:tc>
          <w:tcPr>
            <w:tcW w:w="1177" w:type="pct"/>
            <w:tcBorders>
              <w:top w:val="dotted" w:sz="4" w:space="0" w:color="auto"/>
              <w:bottom w:val="dotted" w:sz="4" w:space="0" w:color="auto"/>
            </w:tcBorders>
            <w:shd w:val="clear" w:color="auto" w:fill="auto"/>
          </w:tcPr>
          <w:p w14:paraId="7F99DEFA" w14:textId="77777777" w:rsidR="00F01B4A" w:rsidRPr="00E43438" w:rsidRDefault="00F01B4A" w:rsidP="00F01B4A">
            <w:pPr>
              <w:pStyle w:val="Tabletext0"/>
              <w:ind w:left="224"/>
              <w:rPr>
                <w:snapToGrid w:val="0"/>
              </w:rPr>
            </w:pPr>
            <w:r w:rsidRPr="00E43438">
              <w:rPr>
                <w:snapToGrid w:val="0"/>
              </w:rPr>
              <w:t>Implantation failure</w:t>
            </w:r>
          </w:p>
        </w:tc>
        <w:tc>
          <w:tcPr>
            <w:tcW w:w="639" w:type="pct"/>
            <w:tcBorders>
              <w:top w:val="dotted" w:sz="4" w:space="0" w:color="auto"/>
              <w:bottom w:val="dotted" w:sz="4" w:space="0" w:color="auto"/>
            </w:tcBorders>
            <w:shd w:val="clear" w:color="auto" w:fill="auto"/>
          </w:tcPr>
          <w:p w14:paraId="4D0C0E7C"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62949A04" w14:textId="77777777" w:rsidR="00F01B4A" w:rsidRPr="00E43438" w:rsidRDefault="00F01B4A" w:rsidP="00F01B4A">
            <w:pPr>
              <w:pStyle w:val="Tabletext0"/>
              <w:jc w:val="center"/>
              <w:rPr>
                <w:snapToGrid w:val="0"/>
              </w:rPr>
            </w:pPr>
            <w:r w:rsidRPr="00E43438">
              <w:t>0 (0%)</w:t>
            </w:r>
          </w:p>
        </w:tc>
        <w:tc>
          <w:tcPr>
            <w:tcW w:w="707" w:type="pct"/>
            <w:tcBorders>
              <w:top w:val="dotted" w:sz="4" w:space="0" w:color="auto"/>
              <w:bottom w:val="dotted" w:sz="4" w:space="0" w:color="auto"/>
            </w:tcBorders>
            <w:shd w:val="clear" w:color="auto" w:fill="auto"/>
          </w:tcPr>
          <w:p w14:paraId="79E565AA" w14:textId="77777777" w:rsidR="00F01B4A" w:rsidRPr="00E43438" w:rsidRDefault="00F01B4A" w:rsidP="00F01B4A">
            <w:pPr>
              <w:pStyle w:val="Tabletext0"/>
              <w:jc w:val="center"/>
              <w:rPr>
                <w:snapToGrid w:val="0"/>
              </w:rPr>
            </w:pPr>
            <w:r w:rsidRPr="00E43438">
              <w:t>3 (0.7%)</w:t>
            </w:r>
          </w:p>
        </w:tc>
        <w:tc>
          <w:tcPr>
            <w:tcW w:w="978" w:type="pct"/>
            <w:tcBorders>
              <w:top w:val="dotted" w:sz="4" w:space="0" w:color="auto"/>
              <w:bottom w:val="dotted" w:sz="4" w:space="0" w:color="auto"/>
            </w:tcBorders>
            <w:shd w:val="clear" w:color="auto" w:fill="auto"/>
            <w:vAlign w:val="center"/>
          </w:tcPr>
          <w:p w14:paraId="707A1F45" w14:textId="77777777" w:rsidR="00F01B4A" w:rsidRPr="00E43438" w:rsidRDefault="00F01B4A" w:rsidP="00F01B4A">
            <w:pPr>
              <w:pStyle w:val="Tabletext0"/>
              <w:jc w:val="center"/>
              <w:rPr>
                <w:snapToGrid w:val="0"/>
              </w:rPr>
            </w:pPr>
            <w:r w:rsidRPr="00E43438">
              <w:rPr>
                <w:snapToGrid w:val="0"/>
              </w:rPr>
              <w:t>0.14 [0.01, 2.74]</w:t>
            </w:r>
          </w:p>
        </w:tc>
        <w:tc>
          <w:tcPr>
            <w:tcW w:w="880" w:type="pct"/>
            <w:tcBorders>
              <w:top w:val="dotted" w:sz="4" w:space="0" w:color="auto"/>
              <w:bottom w:val="dotted" w:sz="4" w:space="0" w:color="auto"/>
            </w:tcBorders>
          </w:tcPr>
          <w:p w14:paraId="180E854B" w14:textId="77777777" w:rsidR="00F01B4A" w:rsidRPr="00E43438" w:rsidRDefault="00F01B4A" w:rsidP="00F01B4A">
            <w:pPr>
              <w:pStyle w:val="Tabletext0"/>
              <w:jc w:val="center"/>
              <w:rPr>
                <w:i/>
                <w:iCs/>
                <w:snapToGrid w:val="0"/>
              </w:rPr>
            </w:pPr>
            <w:r w:rsidRPr="00E43438">
              <w:rPr>
                <w:i/>
                <w:iCs/>
              </w:rPr>
              <w:t>-0.01 [-0.02, 0.00]</w:t>
            </w:r>
          </w:p>
        </w:tc>
      </w:tr>
      <w:tr w:rsidR="00F01B4A" w:rsidRPr="00E43438" w14:paraId="7C76DE32" w14:textId="77777777" w:rsidTr="00F01B4A">
        <w:tc>
          <w:tcPr>
            <w:tcW w:w="1177" w:type="pct"/>
            <w:tcBorders>
              <w:top w:val="dotted" w:sz="4" w:space="0" w:color="auto"/>
              <w:bottom w:val="dotted" w:sz="4" w:space="0" w:color="auto"/>
            </w:tcBorders>
            <w:shd w:val="clear" w:color="auto" w:fill="auto"/>
          </w:tcPr>
          <w:p w14:paraId="56AAAC89" w14:textId="77777777" w:rsidR="00F01B4A" w:rsidRPr="00E43438" w:rsidRDefault="00F01B4A" w:rsidP="00F01B4A">
            <w:pPr>
              <w:pStyle w:val="Tabletext0"/>
              <w:ind w:left="224"/>
              <w:rPr>
                <w:snapToGrid w:val="0"/>
              </w:rPr>
            </w:pPr>
            <w:r w:rsidRPr="00E43438">
              <w:rPr>
                <w:snapToGrid w:val="0"/>
              </w:rPr>
              <w:t>Defibrillation test failure</w:t>
            </w:r>
          </w:p>
        </w:tc>
        <w:tc>
          <w:tcPr>
            <w:tcW w:w="639" w:type="pct"/>
            <w:tcBorders>
              <w:top w:val="dotted" w:sz="4" w:space="0" w:color="auto"/>
              <w:bottom w:val="dotted" w:sz="4" w:space="0" w:color="auto"/>
            </w:tcBorders>
            <w:shd w:val="clear" w:color="auto" w:fill="auto"/>
          </w:tcPr>
          <w:p w14:paraId="6CA9D810" w14:textId="77777777" w:rsidR="00F01B4A" w:rsidRPr="00E43438" w:rsidRDefault="00F01B4A" w:rsidP="00F01B4A">
            <w:pPr>
              <w:pStyle w:val="Tabletext0"/>
              <w:jc w:val="center"/>
              <w:rPr>
                <w:snapToGrid w:val="0"/>
              </w:rPr>
            </w:pPr>
          </w:p>
        </w:tc>
        <w:tc>
          <w:tcPr>
            <w:tcW w:w="619" w:type="pct"/>
            <w:tcBorders>
              <w:top w:val="dotted" w:sz="4" w:space="0" w:color="auto"/>
              <w:bottom w:val="dotted" w:sz="4" w:space="0" w:color="auto"/>
            </w:tcBorders>
            <w:shd w:val="clear" w:color="auto" w:fill="auto"/>
          </w:tcPr>
          <w:p w14:paraId="4AD2D34D" w14:textId="77777777" w:rsidR="00F01B4A" w:rsidRPr="00E43438" w:rsidRDefault="00F01B4A" w:rsidP="00F01B4A">
            <w:pPr>
              <w:pStyle w:val="Tabletext0"/>
              <w:jc w:val="center"/>
              <w:rPr>
                <w:snapToGrid w:val="0"/>
              </w:rPr>
            </w:pPr>
            <w:r w:rsidRPr="00E43438">
              <w:t>3 (0.7%)</w:t>
            </w:r>
          </w:p>
        </w:tc>
        <w:tc>
          <w:tcPr>
            <w:tcW w:w="707" w:type="pct"/>
            <w:tcBorders>
              <w:top w:val="dotted" w:sz="4" w:space="0" w:color="auto"/>
              <w:bottom w:val="dotted" w:sz="4" w:space="0" w:color="auto"/>
            </w:tcBorders>
            <w:shd w:val="clear" w:color="auto" w:fill="auto"/>
          </w:tcPr>
          <w:p w14:paraId="1501039F" w14:textId="77777777" w:rsidR="00F01B4A" w:rsidRPr="00E43438" w:rsidRDefault="00F01B4A" w:rsidP="00F01B4A">
            <w:pPr>
              <w:pStyle w:val="Tabletext0"/>
              <w:jc w:val="center"/>
              <w:rPr>
                <w:snapToGrid w:val="0"/>
              </w:rPr>
            </w:pPr>
            <w:r w:rsidRPr="00E43438">
              <w:t>0 (0%)</w:t>
            </w:r>
          </w:p>
        </w:tc>
        <w:tc>
          <w:tcPr>
            <w:tcW w:w="978" w:type="pct"/>
            <w:tcBorders>
              <w:top w:val="dotted" w:sz="4" w:space="0" w:color="auto"/>
              <w:bottom w:val="dotted" w:sz="4" w:space="0" w:color="auto"/>
            </w:tcBorders>
            <w:shd w:val="clear" w:color="auto" w:fill="auto"/>
          </w:tcPr>
          <w:p w14:paraId="62F4ABA6" w14:textId="77777777" w:rsidR="00F01B4A" w:rsidRPr="00E43438" w:rsidRDefault="00F01B4A" w:rsidP="00F01B4A">
            <w:pPr>
              <w:pStyle w:val="Tabletext0"/>
              <w:jc w:val="center"/>
              <w:rPr>
                <w:snapToGrid w:val="0"/>
              </w:rPr>
            </w:pPr>
            <w:r w:rsidRPr="00E43438">
              <w:rPr>
                <w:snapToGrid w:val="0"/>
              </w:rPr>
              <w:t>7.00 [0.36, 135.93]</w:t>
            </w:r>
          </w:p>
        </w:tc>
        <w:tc>
          <w:tcPr>
            <w:tcW w:w="880" w:type="pct"/>
            <w:tcBorders>
              <w:top w:val="dotted" w:sz="4" w:space="0" w:color="auto"/>
              <w:bottom w:val="dotted" w:sz="4" w:space="0" w:color="auto"/>
            </w:tcBorders>
          </w:tcPr>
          <w:p w14:paraId="5F69E4AE" w14:textId="77777777" w:rsidR="00F01B4A" w:rsidRPr="00E43438" w:rsidRDefault="00F01B4A" w:rsidP="00F01B4A">
            <w:pPr>
              <w:pStyle w:val="Tabletext0"/>
              <w:jc w:val="center"/>
              <w:rPr>
                <w:i/>
                <w:iCs/>
                <w:snapToGrid w:val="0"/>
              </w:rPr>
            </w:pPr>
            <w:r w:rsidRPr="00E43438">
              <w:rPr>
                <w:i/>
                <w:iCs/>
              </w:rPr>
              <w:t>0.01 [0.00, 0.02]</w:t>
            </w:r>
          </w:p>
        </w:tc>
      </w:tr>
      <w:tr w:rsidR="00F01B4A" w:rsidRPr="00E43438" w14:paraId="2E99E3D6" w14:textId="77777777" w:rsidTr="00F01B4A">
        <w:tc>
          <w:tcPr>
            <w:tcW w:w="1177" w:type="pct"/>
            <w:tcBorders>
              <w:top w:val="dotted" w:sz="4" w:space="0" w:color="auto"/>
              <w:bottom w:val="single" w:sz="4" w:space="0" w:color="auto"/>
            </w:tcBorders>
            <w:shd w:val="clear" w:color="auto" w:fill="auto"/>
          </w:tcPr>
          <w:p w14:paraId="77370F15" w14:textId="77777777" w:rsidR="00F01B4A" w:rsidRPr="00E43438" w:rsidRDefault="00F01B4A" w:rsidP="00F01B4A">
            <w:pPr>
              <w:pStyle w:val="Tabletext0"/>
              <w:ind w:left="224"/>
              <w:rPr>
                <w:snapToGrid w:val="0"/>
              </w:rPr>
            </w:pPr>
            <w:r w:rsidRPr="00E43438">
              <w:rPr>
                <w:snapToGrid w:val="0"/>
              </w:rPr>
              <w:t>Pain or discomfort</w:t>
            </w:r>
          </w:p>
        </w:tc>
        <w:tc>
          <w:tcPr>
            <w:tcW w:w="639" w:type="pct"/>
            <w:tcBorders>
              <w:top w:val="dotted" w:sz="4" w:space="0" w:color="auto"/>
              <w:bottom w:val="single" w:sz="4" w:space="0" w:color="auto"/>
            </w:tcBorders>
            <w:shd w:val="clear" w:color="auto" w:fill="auto"/>
          </w:tcPr>
          <w:p w14:paraId="164AA0A0" w14:textId="77777777" w:rsidR="00F01B4A" w:rsidRPr="00E43438" w:rsidRDefault="00F01B4A" w:rsidP="00F01B4A">
            <w:pPr>
              <w:pStyle w:val="Tabletext0"/>
              <w:jc w:val="center"/>
              <w:rPr>
                <w:snapToGrid w:val="0"/>
              </w:rPr>
            </w:pPr>
          </w:p>
        </w:tc>
        <w:tc>
          <w:tcPr>
            <w:tcW w:w="619" w:type="pct"/>
            <w:tcBorders>
              <w:top w:val="dotted" w:sz="4" w:space="0" w:color="auto"/>
              <w:bottom w:val="single" w:sz="4" w:space="0" w:color="auto"/>
            </w:tcBorders>
            <w:shd w:val="clear" w:color="auto" w:fill="auto"/>
          </w:tcPr>
          <w:p w14:paraId="4800E7AD" w14:textId="77777777" w:rsidR="00F01B4A" w:rsidRPr="00E43438" w:rsidRDefault="00F01B4A" w:rsidP="00F01B4A">
            <w:pPr>
              <w:pStyle w:val="Tabletext0"/>
              <w:jc w:val="center"/>
              <w:rPr>
                <w:snapToGrid w:val="0"/>
              </w:rPr>
            </w:pPr>
            <w:r w:rsidRPr="00E43438">
              <w:t>2 (0.5%)</w:t>
            </w:r>
          </w:p>
        </w:tc>
        <w:tc>
          <w:tcPr>
            <w:tcW w:w="707" w:type="pct"/>
            <w:tcBorders>
              <w:top w:val="dotted" w:sz="4" w:space="0" w:color="auto"/>
              <w:bottom w:val="single" w:sz="4" w:space="0" w:color="auto"/>
            </w:tcBorders>
            <w:shd w:val="clear" w:color="auto" w:fill="auto"/>
          </w:tcPr>
          <w:p w14:paraId="65C4B19C" w14:textId="77777777" w:rsidR="00F01B4A" w:rsidRPr="00E43438" w:rsidRDefault="00F01B4A" w:rsidP="00F01B4A">
            <w:pPr>
              <w:pStyle w:val="Tabletext0"/>
              <w:jc w:val="center"/>
              <w:rPr>
                <w:snapToGrid w:val="0"/>
              </w:rPr>
            </w:pPr>
            <w:r w:rsidRPr="00E43438">
              <w:t>3 (0.7%)</w:t>
            </w:r>
          </w:p>
        </w:tc>
        <w:tc>
          <w:tcPr>
            <w:tcW w:w="978" w:type="pct"/>
            <w:tcBorders>
              <w:top w:val="dotted" w:sz="4" w:space="0" w:color="auto"/>
              <w:bottom w:val="single" w:sz="4" w:space="0" w:color="auto"/>
            </w:tcBorders>
            <w:shd w:val="clear" w:color="auto" w:fill="auto"/>
          </w:tcPr>
          <w:p w14:paraId="45DE9EBD" w14:textId="77777777" w:rsidR="00F01B4A" w:rsidRPr="00E43438" w:rsidRDefault="00F01B4A" w:rsidP="00F01B4A">
            <w:pPr>
              <w:pStyle w:val="Tabletext0"/>
              <w:jc w:val="center"/>
              <w:rPr>
                <w:snapToGrid w:val="0"/>
              </w:rPr>
            </w:pPr>
            <w:r w:rsidRPr="00E43438">
              <w:rPr>
                <w:snapToGrid w:val="0"/>
              </w:rPr>
              <w:t>0.66 [0.11, 3.97]</w:t>
            </w:r>
          </w:p>
        </w:tc>
        <w:tc>
          <w:tcPr>
            <w:tcW w:w="880" w:type="pct"/>
            <w:tcBorders>
              <w:top w:val="dotted" w:sz="4" w:space="0" w:color="auto"/>
              <w:bottom w:val="single" w:sz="4" w:space="0" w:color="auto"/>
            </w:tcBorders>
          </w:tcPr>
          <w:p w14:paraId="087C962D" w14:textId="77777777" w:rsidR="00F01B4A" w:rsidRPr="00E43438" w:rsidRDefault="00F01B4A" w:rsidP="00F01B4A">
            <w:pPr>
              <w:pStyle w:val="Tabletext0"/>
              <w:jc w:val="center"/>
              <w:rPr>
                <w:i/>
                <w:iCs/>
                <w:snapToGrid w:val="0"/>
              </w:rPr>
            </w:pPr>
            <w:r w:rsidRPr="00E43438">
              <w:rPr>
                <w:i/>
                <w:iCs/>
              </w:rPr>
              <w:t>0.00 [-0.01, 0.01]</w:t>
            </w:r>
          </w:p>
        </w:tc>
      </w:tr>
      <w:tr w:rsidR="00F01B4A" w:rsidRPr="00E43438" w14:paraId="7BB95B50" w14:textId="77777777" w:rsidTr="00F01B4A">
        <w:tc>
          <w:tcPr>
            <w:tcW w:w="1177" w:type="pct"/>
            <w:tcBorders>
              <w:bottom w:val="dotted" w:sz="4" w:space="0" w:color="auto"/>
            </w:tcBorders>
            <w:shd w:val="clear" w:color="auto" w:fill="auto"/>
          </w:tcPr>
          <w:p w14:paraId="60C65804" w14:textId="77777777" w:rsidR="00F01B4A" w:rsidRPr="00E43438" w:rsidRDefault="00F01B4A" w:rsidP="00F01B4A">
            <w:pPr>
              <w:pStyle w:val="Tabletext0"/>
              <w:rPr>
                <w:snapToGrid w:val="0"/>
              </w:rPr>
            </w:pPr>
            <w:r w:rsidRPr="00E43438">
              <w:rPr>
                <w:snapToGrid w:val="0"/>
              </w:rPr>
              <w:t xml:space="preserve">Inappropriate shock </w:t>
            </w:r>
          </w:p>
        </w:tc>
        <w:tc>
          <w:tcPr>
            <w:tcW w:w="639" w:type="pct"/>
            <w:tcBorders>
              <w:bottom w:val="dotted" w:sz="4" w:space="0" w:color="auto"/>
            </w:tcBorders>
            <w:shd w:val="clear" w:color="auto" w:fill="auto"/>
          </w:tcPr>
          <w:p w14:paraId="342B7209" w14:textId="77777777" w:rsidR="00F01B4A" w:rsidRPr="00E43438" w:rsidRDefault="00F01B4A" w:rsidP="00F01B4A">
            <w:pPr>
              <w:pStyle w:val="Tabletext0"/>
              <w:jc w:val="center"/>
              <w:rPr>
                <w:snapToGrid w:val="0"/>
              </w:rPr>
            </w:pPr>
            <w:r w:rsidRPr="00E43438">
              <w:rPr>
                <w:snapToGrid w:val="0"/>
              </w:rPr>
              <w:t>Low</w:t>
            </w:r>
          </w:p>
        </w:tc>
        <w:tc>
          <w:tcPr>
            <w:tcW w:w="619" w:type="pct"/>
            <w:tcBorders>
              <w:bottom w:val="dotted" w:sz="4" w:space="0" w:color="auto"/>
            </w:tcBorders>
            <w:shd w:val="clear" w:color="auto" w:fill="auto"/>
          </w:tcPr>
          <w:p w14:paraId="01C2A248" w14:textId="77777777" w:rsidR="00F01B4A" w:rsidRPr="00E43438" w:rsidRDefault="00F01B4A" w:rsidP="00F01B4A">
            <w:pPr>
              <w:pStyle w:val="Tabletext0"/>
              <w:jc w:val="center"/>
              <w:rPr>
                <w:snapToGrid w:val="0"/>
              </w:rPr>
            </w:pPr>
            <w:r w:rsidRPr="00E43438">
              <w:t xml:space="preserve">41 (9.6%) </w:t>
            </w:r>
            <w:r w:rsidRPr="00E43438">
              <w:rPr>
                <w:i/>
                <w:iCs/>
                <w:vertAlign w:val="superscript"/>
              </w:rPr>
              <w:t>b</w:t>
            </w:r>
          </w:p>
        </w:tc>
        <w:tc>
          <w:tcPr>
            <w:tcW w:w="707" w:type="pct"/>
            <w:tcBorders>
              <w:bottom w:val="dotted" w:sz="4" w:space="0" w:color="auto"/>
            </w:tcBorders>
            <w:shd w:val="clear" w:color="auto" w:fill="auto"/>
          </w:tcPr>
          <w:p w14:paraId="22D863EC" w14:textId="77777777" w:rsidR="00F01B4A" w:rsidRPr="00E43438" w:rsidRDefault="00F01B4A" w:rsidP="00F01B4A">
            <w:pPr>
              <w:pStyle w:val="Tabletext0"/>
              <w:jc w:val="center"/>
              <w:rPr>
                <w:snapToGrid w:val="0"/>
              </w:rPr>
            </w:pPr>
            <w:r w:rsidRPr="00E43438">
              <w:t xml:space="preserve">29 (6.9%) </w:t>
            </w:r>
            <w:r w:rsidRPr="00E43438">
              <w:rPr>
                <w:i/>
                <w:iCs/>
                <w:vertAlign w:val="superscript"/>
              </w:rPr>
              <w:t>b</w:t>
            </w:r>
          </w:p>
        </w:tc>
        <w:tc>
          <w:tcPr>
            <w:tcW w:w="978" w:type="pct"/>
            <w:tcBorders>
              <w:bottom w:val="dotted" w:sz="4" w:space="0" w:color="auto"/>
            </w:tcBorders>
            <w:shd w:val="clear" w:color="auto" w:fill="auto"/>
          </w:tcPr>
          <w:p w14:paraId="627E1E51" w14:textId="77777777" w:rsidR="00F01B4A" w:rsidRPr="00E43438" w:rsidRDefault="00F01B4A" w:rsidP="00F01B4A">
            <w:pPr>
              <w:pStyle w:val="Tabletext0"/>
              <w:jc w:val="center"/>
              <w:rPr>
                <w:snapToGrid w:val="0"/>
              </w:rPr>
            </w:pPr>
            <w:r w:rsidRPr="00E43438">
              <w:rPr>
                <w:i/>
                <w:iCs/>
                <w:snapToGrid w:val="0"/>
              </w:rPr>
              <w:t xml:space="preserve">HR </w:t>
            </w:r>
            <w:r w:rsidRPr="00E43438">
              <w:rPr>
                <w:snapToGrid w:val="0"/>
              </w:rPr>
              <w:t>1.43 [0.89, 2.30]</w:t>
            </w:r>
            <w:r w:rsidRPr="00E43438">
              <w:rPr>
                <w:snapToGrid w:val="0"/>
              </w:rPr>
              <w:br/>
            </w:r>
            <w:r w:rsidRPr="00E43438">
              <w:rPr>
                <w:i/>
                <w:iCs/>
                <w:snapToGrid w:val="0"/>
              </w:rPr>
              <w:t>OR 1.45 [0.88, 2.38]</w:t>
            </w:r>
          </w:p>
        </w:tc>
        <w:tc>
          <w:tcPr>
            <w:tcW w:w="880" w:type="pct"/>
            <w:tcBorders>
              <w:bottom w:val="dotted" w:sz="4" w:space="0" w:color="auto"/>
            </w:tcBorders>
          </w:tcPr>
          <w:p w14:paraId="1B5DE225" w14:textId="77777777" w:rsidR="00F01B4A" w:rsidRPr="00E43438" w:rsidRDefault="00F01B4A" w:rsidP="00F01B4A">
            <w:pPr>
              <w:pStyle w:val="Tabletext0"/>
              <w:jc w:val="center"/>
              <w:rPr>
                <w:i/>
                <w:iCs/>
                <w:snapToGrid w:val="0"/>
              </w:rPr>
            </w:pPr>
            <w:r w:rsidRPr="00E43438">
              <w:rPr>
                <w:i/>
                <w:iCs/>
              </w:rPr>
              <w:t>0.03 [-0.01, 0.06]</w:t>
            </w:r>
          </w:p>
        </w:tc>
      </w:tr>
      <w:tr w:rsidR="00F01B4A" w:rsidRPr="00E43438" w14:paraId="3DD72C8A" w14:textId="77777777" w:rsidTr="00F01B4A">
        <w:tc>
          <w:tcPr>
            <w:tcW w:w="1177" w:type="pct"/>
            <w:tcBorders>
              <w:top w:val="dotted" w:sz="4" w:space="0" w:color="auto"/>
              <w:left w:val="single" w:sz="4" w:space="0" w:color="auto"/>
              <w:bottom w:val="dotted" w:sz="4" w:space="0" w:color="auto"/>
              <w:right w:val="single" w:sz="4" w:space="0" w:color="auto"/>
            </w:tcBorders>
            <w:shd w:val="clear" w:color="auto" w:fill="auto"/>
          </w:tcPr>
          <w:p w14:paraId="10F0FCE8" w14:textId="77777777" w:rsidR="00F01B4A" w:rsidRPr="00E43438" w:rsidRDefault="00F01B4A" w:rsidP="00F01B4A">
            <w:pPr>
              <w:pStyle w:val="Tabletext0"/>
              <w:ind w:left="224"/>
              <w:rPr>
                <w:snapToGrid w:val="0"/>
              </w:rPr>
            </w:pPr>
            <w:r w:rsidRPr="00E43438">
              <w:rPr>
                <w:snapToGrid w:val="0"/>
              </w:rPr>
              <w:t>Atrial fibrillation or supraventricular tachycardia</w:t>
            </w:r>
          </w:p>
        </w:tc>
        <w:tc>
          <w:tcPr>
            <w:tcW w:w="639" w:type="pct"/>
            <w:tcBorders>
              <w:top w:val="dotted" w:sz="4" w:space="0" w:color="auto"/>
              <w:left w:val="single" w:sz="4" w:space="0" w:color="auto"/>
              <w:bottom w:val="dotted" w:sz="4" w:space="0" w:color="auto"/>
              <w:right w:val="single" w:sz="4" w:space="0" w:color="auto"/>
            </w:tcBorders>
            <w:shd w:val="clear" w:color="auto" w:fill="auto"/>
            <w:vAlign w:val="center"/>
          </w:tcPr>
          <w:p w14:paraId="0823190A" w14:textId="77777777" w:rsidR="00F01B4A" w:rsidRPr="00E43438" w:rsidRDefault="00F01B4A" w:rsidP="00F01B4A">
            <w:pPr>
              <w:pStyle w:val="Tabletext0"/>
              <w:jc w:val="center"/>
              <w:rPr>
                <w:snapToGrid w:val="0"/>
              </w:rPr>
            </w:pPr>
          </w:p>
        </w:tc>
        <w:tc>
          <w:tcPr>
            <w:tcW w:w="619" w:type="pct"/>
            <w:tcBorders>
              <w:top w:val="dotted" w:sz="4" w:space="0" w:color="auto"/>
              <w:left w:val="single" w:sz="4" w:space="0" w:color="auto"/>
              <w:bottom w:val="dotted" w:sz="4" w:space="0" w:color="auto"/>
              <w:right w:val="single" w:sz="4" w:space="0" w:color="auto"/>
            </w:tcBorders>
            <w:shd w:val="clear" w:color="auto" w:fill="auto"/>
          </w:tcPr>
          <w:p w14:paraId="4584566B" w14:textId="77777777" w:rsidR="00F01B4A" w:rsidRPr="00E43438" w:rsidRDefault="00F01B4A" w:rsidP="00F01B4A">
            <w:pPr>
              <w:pStyle w:val="Tabletext0"/>
              <w:jc w:val="center"/>
              <w:rPr>
                <w:snapToGrid w:val="0"/>
              </w:rPr>
            </w:pPr>
            <w:r w:rsidRPr="00E43438">
              <w:t>11 (2.6%)</w:t>
            </w:r>
          </w:p>
        </w:tc>
        <w:tc>
          <w:tcPr>
            <w:tcW w:w="707" w:type="pct"/>
            <w:tcBorders>
              <w:top w:val="dotted" w:sz="4" w:space="0" w:color="auto"/>
              <w:left w:val="single" w:sz="4" w:space="0" w:color="auto"/>
              <w:bottom w:val="dotted" w:sz="4" w:space="0" w:color="auto"/>
              <w:right w:val="single" w:sz="4" w:space="0" w:color="auto"/>
            </w:tcBorders>
            <w:shd w:val="clear" w:color="auto" w:fill="auto"/>
          </w:tcPr>
          <w:p w14:paraId="00F43326" w14:textId="77777777" w:rsidR="00F01B4A" w:rsidRPr="00E43438" w:rsidRDefault="00F01B4A" w:rsidP="00F01B4A">
            <w:pPr>
              <w:pStyle w:val="Tabletext0"/>
              <w:jc w:val="center"/>
              <w:rPr>
                <w:snapToGrid w:val="0"/>
              </w:rPr>
            </w:pPr>
            <w:r w:rsidRPr="00E43438">
              <w:t>27 (6.4%)</w:t>
            </w:r>
          </w:p>
        </w:tc>
        <w:tc>
          <w:tcPr>
            <w:tcW w:w="978" w:type="pct"/>
            <w:tcBorders>
              <w:top w:val="dotted" w:sz="4" w:space="0" w:color="auto"/>
              <w:left w:val="single" w:sz="4" w:space="0" w:color="auto"/>
              <w:bottom w:val="dotted" w:sz="4" w:space="0" w:color="auto"/>
              <w:right w:val="single" w:sz="4" w:space="0" w:color="auto"/>
            </w:tcBorders>
            <w:shd w:val="clear" w:color="auto" w:fill="auto"/>
          </w:tcPr>
          <w:p w14:paraId="335AD7FA" w14:textId="77777777" w:rsidR="00F01B4A" w:rsidRPr="00E43438" w:rsidRDefault="00F01B4A" w:rsidP="00F01B4A">
            <w:pPr>
              <w:pStyle w:val="Tabletext0"/>
              <w:jc w:val="center"/>
              <w:rPr>
                <w:b/>
                <w:bCs/>
                <w:snapToGrid w:val="0"/>
              </w:rPr>
            </w:pPr>
            <w:r w:rsidRPr="00E43438">
              <w:rPr>
                <w:b/>
                <w:bCs/>
                <w:snapToGrid w:val="0"/>
              </w:rPr>
              <w:t>0.39 [0.19, 0.79]</w:t>
            </w:r>
          </w:p>
        </w:tc>
        <w:tc>
          <w:tcPr>
            <w:tcW w:w="880" w:type="pct"/>
            <w:tcBorders>
              <w:top w:val="dotted" w:sz="4" w:space="0" w:color="auto"/>
              <w:left w:val="single" w:sz="4" w:space="0" w:color="auto"/>
              <w:bottom w:val="dotted" w:sz="4" w:space="0" w:color="auto"/>
              <w:right w:val="single" w:sz="4" w:space="0" w:color="auto"/>
            </w:tcBorders>
          </w:tcPr>
          <w:p w14:paraId="3F1C5AE0" w14:textId="77777777" w:rsidR="00F01B4A" w:rsidRPr="00E43438" w:rsidRDefault="00F01B4A" w:rsidP="00F01B4A">
            <w:pPr>
              <w:pStyle w:val="Tabletext0"/>
              <w:jc w:val="center"/>
              <w:rPr>
                <w:i/>
                <w:iCs/>
                <w:snapToGrid w:val="0"/>
              </w:rPr>
            </w:pPr>
            <w:r w:rsidRPr="00E43438">
              <w:rPr>
                <w:i/>
                <w:iCs/>
              </w:rPr>
              <w:t>-0.04 [-0.07, -0.01]</w:t>
            </w:r>
          </w:p>
        </w:tc>
      </w:tr>
      <w:tr w:rsidR="00F01B4A" w:rsidRPr="00E43438" w14:paraId="2618FCDE" w14:textId="77777777" w:rsidTr="00F01B4A">
        <w:tc>
          <w:tcPr>
            <w:tcW w:w="1177" w:type="pct"/>
            <w:tcBorders>
              <w:top w:val="dotted" w:sz="4" w:space="0" w:color="auto"/>
              <w:left w:val="single" w:sz="4" w:space="0" w:color="auto"/>
              <w:bottom w:val="dotted" w:sz="4" w:space="0" w:color="auto"/>
              <w:right w:val="single" w:sz="4" w:space="0" w:color="auto"/>
            </w:tcBorders>
            <w:shd w:val="clear" w:color="auto" w:fill="auto"/>
          </w:tcPr>
          <w:p w14:paraId="02D46E2C" w14:textId="77777777" w:rsidR="00F01B4A" w:rsidRPr="00E43438" w:rsidRDefault="00F01B4A" w:rsidP="00F01B4A">
            <w:pPr>
              <w:pStyle w:val="Tabletext0"/>
              <w:ind w:left="224"/>
              <w:rPr>
                <w:snapToGrid w:val="0"/>
              </w:rPr>
            </w:pPr>
            <w:r w:rsidRPr="00E43438">
              <w:rPr>
                <w:snapToGrid w:val="0"/>
              </w:rPr>
              <w:t>Cardiac oversensing</w:t>
            </w:r>
          </w:p>
        </w:tc>
        <w:tc>
          <w:tcPr>
            <w:tcW w:w="639" w:type="pct"/>
            <w:tcBorders>
              <w:top w:val="dotted" w:sz="4" w:space="0" w:color="auto"/>
              <w:left w:val="single" w:sz="4" w:space="0" w:color="auto"/>
              <w:bottom w:val="dotted" w:sz="4" w:space="0" w:color="auto"/>
              <w:right w:val="single" w:sz="4" w:space="0" w:color="auto"/>
            </w:tcBorders>
            <w:shd w:val="clear" w:color="auto" w:fill="auto"/>
          </w:tcPr>
          <w:p w14:paraId="2A933EC4" w14:textId="77777777" w:rsidR="00F01B4A" w:rsidRPr="00E43438" w:rsidRDefault="00F01B4A" w:rsidP="00F01B4A">
            <w:pPr>
              <w:pStyle w:val="Tabletext0"/>
              <w:jc w:val="center"/>
              <w:rPr>
                <w:snapToGrid w:val="0"/>
              </w:rPr>
            </w:pPr>
          </w:p>
        </w:tc>
        <w:tc>
          <w:tcPr>
            <w:tcW w:w="619" w:type="pct"/>
            <w:tcBorders>
              <w:top w:val="dotted" w:sz="4" w:space="0" w:color="auto"/>
              <w:left w:val="single" w:sz="4" w:space="0" w:color="auto"/>
              <w:bottom w:val="dotted" w:sz="4" w:space="0" w:color="auto"/>
              <w:right w:val="single" w:sz="4" w:space="0" w:color="auto"/>
            </w:tcBorders>
            <w:shd w:val="clear" w:color="auto" w:fill="auto"/>
          </w:tcPr>
          <w:p w14:paraId="6DDBA232" w14:textId="77777777" w:rsidR="00F01B4A" w:rsidRPr="00E43438" w:rsidRDefault="00F01B4A" w:rsidP="00F01B4A">
            <w:pPr>
              <w:pStyle w:val="Tabletext0"/>
              <w:jc w:val="center"/>
              <w:rPr>
                <w:snapToGrid w:val="0"/>
              </w:rPr>
            </w:pPr>
            <w:r w:rsidRPr="00E43438">
              <w:t>24 (5.6%)</w:t>
            </w:r>
          </w:p>
        </w:tc>
        <w:tc>
          <w:tcPr>
            <w:tcW w:w="707" w:type="pct"/>
            <w:tcBorders>
              <w:top w:val="dotted" w:sz="4" w:space="0" w:color="auto"/>
              <w:left w:val="single" w:sz="4" w:space="0" w:color="auto"/>
              <w:bottom w:val="dotted" w:sz="4" w:space="0" w:color="auto"/>
              <w:right w:val="single" w:sz="4" w:space="0" w:color="auto"/>
            </w:tcBorders>
            <w:shd w:val="clear" w:color="auto" w:fill="auto"/>
          </w:tcPr>
          <w:p w14:paraId="1DEA4377" w14:textId="77777777" w:rsidR="00F01B4A" w:rsidRPr="00E43438" w:rsidRDefault="00F01B4A" w:rsidP="00F01B4A">
            <w:pPr>
              <w:pStyle w:val="Tabletext0"/>
              <w:jc w:val="center"/>
              <w:rPr>
                <w:snapToGrid w:val="0"/>
              </w:rPr>
            </w:pPr>
            <w:r w:rsidRPr="00E43438">
              <w:t>2 (0.5%)</w:t>
            </w:r>
          </w:p>
        </w:tc>
        <w:tc>
          <w:tcPr>
            <w:tcW w:w="978" w:type="pct"/>
            <w:tcBorders>
              <w:top w:val="dotted" w:sz="4" w:space="0" w:color="auto"/>
              <w:left w:val="single" w:sz="4" w:space="0" w:color="auto"/>
              <w:bottom w:val="dotted" w:sz="4" w:space="0" w:color="auto"/>
              <w:right w:val="single" w:sz="4" w:space="0" w:color="auto"/>
            </w:tcBorders>
            <w:shd w:val="clear" w:color="auto" w:fill="auto"/>
          </w:tcPr>
          <w:p w14:paraId="3F2AE3E7" w14:textId="77777777" w:rsidR="00F01B4A" w:rsidRPr="00E43438" w:rsidRDefault="00F01B4A" w:rsidP="00F01B4A">
            <w:pPr>
              <w:pStyle w:val="Tabletext0"/>
              <w:jc w:val="center"/>
              <w:rPr>
                <w:b/>
                <w:bCs/>
                <w:snapToGrid w:val="0"/>
              </w:rPr>
            </w:pPr>
            <w:r w:rsidRPr="00E43438">
              <w:rPr>
                <w:b/>
                <w:bCs/>
                <w:snapToGrid w:val="0"/>
              </w:rPr>
              <w:t>12.57 [2.95, 53.52]</w:t>
            </w:r>
          </w:p>
        </w:tc>
        <w:tc>
          <w:tcPr>
            <w:tcW w:w="880" w:type="pct"/>
            <w:tcBorders>
              <w:top w:val="dotted" w:sz="4" w:space="0" w:color="auto"/>
              <w:left w:val="single" w:sz="4" w:space="0" w:color="auto"/>
              <w:bottom w:val="dotted" w:sz="4" w:space="0" w:color="auto"/>
              <w:right w:val="single" w:sz="4" w:space="0" w:color="auto"/>
            </w:tcBorders>
          </w:tcPr>
          <w:p w14:paraId="6B75ED2E" w14:textId="77777777" w:rsidR="00F01B4A" w:rsidRPr="00E43438" w:rsidRDefault="00F01B4A" w:rsidP="00F01B4A">
            <w:pPr>
              <w:pStyle w:val="Tabletext0"/>
              <w:jc w:val="center"/>
              <w:rPr>
                <w:i/>
                <w:iCs/>
                <w:snapToGrid w:val="0"/>
              </w:rPr>
            </w:pPr>
            <w:r w:rsidRPr="00E43438">
              <w:rPr>
                <w:i/>
                <w:iCs/>
              </w:rPr>
              <w:t>0.05 [0.03, 0.07]</w:t>
            </w:r>
          </w:p>
        </w:tc>
      </w:tr>
      <w:tr w:rsidR="00F01B4A" w:rsidRPr="00E43438" w14:paraId="7F9182D4" w14:textId="77777777" w:rsidTr="00F01B4A">
        <w:tc>
          <w:tcPr>
            <w:tcW w:w="1177" w:type="pct"/>
            <w:tcBorders>
              <w:top w:val="dotted" w:sz="4" w:space="0" w:color="auto"/>
              <w:left w:val="single" w:sz="4" w:space="0" w:color="auto"/>
              <w:bottom w:val="single" w:sz="4" w:space="0" w:color="auto"/>
              <w:right w:val="single" w:sz="4" w:space="0" w:color="auto"/>
            </w:tcBorders>
            <w:shd w:val="clear" w:color="auto" w:fill="auto"/>
          </w:tcPr>
          <w:p w14:paraId="27A98D91" w14:textId="77777777" w:rsidR="00F01B4A" w:rsidRPr="00E43438" w:rsidRDefault="00F01B4A" w:rsidP="00F01B4A">
            <w:pPr>
              <w:pStyle w:val="Tabletext0"/>
              <w:ind w:left="224"/>
              <w:rPr>
                <w:snapToGrid w:val="0"/>
              </w:rPr>
            </w:pPr>
            <w:r w:rsidRPr="00E43438">
              <w:rPr>
                <w:snapToGrid w:val="0"/>
              </w:rPr>
              <w:t>Noncardiac oversensing</w:t>
            </w:r>
          </w:p>
        </w:tc>
        <w:tc>
          <w:tcPr>
            <w:tcW w:w="639" w:type="pct"/>
            <w:tcBorders>
              <w:top w:val="dotted" w:sz="4" w:space="0" w:color="auto"/>
              <w:left w:val="single" w:sz="4" w:space="0" w:color="auto"/>
              <w:bottom w:val="single" w:sz="4" w:space="0" w:color="auto"/>
              <w:right w:val="single" w:sz="4" w:space="0" w:color="auto"/>
            </w:tcBorders>
            <w:shd w:val="clear" w:color="auto" w:fill="auto"/>
          </w:tcPr>
          <w:p w14:paraId="2EA8C101" w14:textId="77777777" w:rsidR="00F01B4A" w:rsidRPr="00E43438" w:rsidRDefault="00F01B4A" w:rsidP="00F01B4A">
            <w:pPr>
              <w:pStyle w:val="Tabletext0"/>
              <w:jc w:val="center"/>
              <w:rPr>
                <w:snapToGrid w:val="0"/>
              </w:rPr>
            </w:pPr>
          </w:p>
        </w:tc>
        <w:tc>
          <w:tcPr>
            <w:tcW w:w="619" w:type="pct"/>
            <w:tcBorders>
              <w:top w:val="dotted" w:sz="4" w:space="0" w:color="auto"/>
              <w:left w:val="single" w:sz="4" w:space="0" w:color="auto"/>
              <w:bottom w:val="single" w:sz="4" w:space="0" w:color="auto"/>
              <w:right w:val="single" w:sz="4" w:space="0" w:color="auto"/>
            </w:tcBorders>
            <w:shd w:val="clear" w:color="auto" w:fill="auto"/>
          </w:tcPr>
          <w:p w14:paraId="1B01083A" w14:textId="77777777" w:rsidR="00F01B4A" w:rsidRPr="00E43438" w:rsidRDefault="00F01B4A" w:rsidP="00F01B4A">
            <w:pPr>
              <w:pStyle w:val="Tabletext0"/>
              <w:jc w:val="center"/>
              <w:rPr>
                <w:snapToGrid w:val="0"/>
              </w:rPr>
            </w:pPr>
            <w:r w:rsidRPr="00E43438">
              <w:t>8 (1.9%)</w:t>
            </w:r>
          </w:p>
        </w:tc>
        <w:tc>
          <w:tcPr>
            <w:tcW w:w="707" w:type="pct"/>
            <w:tcBorders>
              <w:top w:val="dotted" w:sz="4" w:space="0" w:color="auto"/>
              <w:left w:val="single" w:sz="4" w:space="0" w:color="auto"/>
              <w:bottom w:val="single" w:sz="4" w:space="0" w:color="auto"/>
              <w:right w:val="single" w:sz="4" w:space="0" w:color="auto"/>
            </w:tcBorders>
            <w:shd w:val="clear" w:color="auto" w:fill="auto"/>
          </w:tcPr>
          <w:p w14:paraId="11A549C7" w14:textId="77777777" w:rsidR="00F01B4A" w:rsidRPr="00E43438" w:rsidRDefault="00F01B4A" w:rsidP="00F01B4A">
            <w:pPr>
              <w:pStyle w:val="Tabletext0"/>
              <w:jc w:val="center"/>
              <w:rPr>
                <w:snapToGrid w:val="0"/>
              </w:rPr>
            </w:pPr>
            <w:r w:rsidRPr="00E43438">
              <w:t>0 (0%)</w:t>
            </w:r>
          </w:p>
        </w:tc>
        <w:tc>
          <w:tcPr>
            <w:tcW w:w="978" w:type="pct"/>
            <w:tcBorders>
              <w:top w:val="dotted" w:sz="4" w:space="0" w:color="auto"/>
              <w:left w:val="single" w:sz="4" w:space="0" w:color="auto"/>
              <w:bottom w:val="single" w:sz="4" w:space="0" w:color="auto"/>
              <w:right w:val="single" w:sz="4" w:space="0" w:color="auto"/>
            </w:tcBorders>
            <w:shd w:val="clear" w:color="auto" w:fill="auto"/>
          </w:tcPr>
          <w:p w14:paraId="0D0C0D52" w14:textId="77777777" w:rsidR="00F01B4A" w:rsidRPr="00E43438" w:rsidRDefault="00F01B4A" w:rsidP="00F01B4A">
            <w:pPr>
              <w:pStyle w:val="Tabletext0"/>
              <w:jc w:val="center"/>
              <w:rPr>
                <w:snapToGrid w:val="0"/>
              </w:rPr>
            </w:pPr>
            <w:r w:rsidRPr="00E43438">
              <w:rPr>
                <w:snapToGrid w:val="0"/>
              </w:rPr>
              <w:t>17.20 [0.99, 299.00]</w:t>
            </w:r>
          </w:p>
        </w:tc>
        <w:tc>
          <w:tcPr>
            <w:tcW w:w="880" w:type="pct"/>
            <w:tcBorders>
              <w:top w:val="dotted" w:sz="4" w:space="0" w:color="auto"/>
              <w:left w:val="single" w:sz="4" w:space="0" w:color="auto"/>
              <w:bottom w:val="single" w:sz="4" w:space="0" w:color="auto"/>
              <w:right w:val="single" w:sz="4" w:space="0" w:color="auto"/>
            </w:tcBorders>
          </w:tcPr>
          <w:p w14:paraId="2267B4D8" w14:textId="77777777" w:rsidR="00F01B4A" w:rsidRPr="00E43438" w:rsidRDefault="00F01B4A" w:rsidP="00F01B4A">
            <w:pPr>
              <w:pStyle w:val="Tabletext0"/>
              <w:jc w:val="center"/>
              <w:rPr>
                <w:i/>
                <w:iCs/>
                <w:snapToGrid w:val="0"/>
              </w:rPr>
            </w:pPr>
            <w:r w:rsidRPr="00E43438">
              <w:rPr>
                <w:i/>
                <w:iCs/>
              </w:rPr>
              <w:t>0.02 [0.01, 0.03]</w:t>
            </w:r>
          </w:p>
        </w:tc>
      </w:tr>
    </w:tbl>
    <w:p w14:paraId="0C550058" w14:textId="77777777" w:rsidR="00F01B4A" w:rsidRPr="00E43438" w:rsidRDefault="00F01B4A" w:rsidP="00F01B4A">
      <w:pPr>
        <w:pStyle w:val="Tablenotes"/>
        <w:rPr>
          <w:color w:val="auto"/>
        </w:rPr>
      </w:pPr>
      <w:r w:rsidRPr="00E43438">
        <w:rPr>
          <w:color w:val="auto"/>
        </w:rPr>
        <w:t xml:space="preserve">Source: Table 14, p 63 of the commentary based on Table B-10, p.56 of the ADAR, with commentary amendments in italics </w:t>
      </w:r>
    </w:p>
    <w:p w14:paraId="33FAF73A" w14:textId="77777777" w:rsidR="00F01B4A" w:rsidRPr="00E43438" w:rsidRDefault="00F01B4A" w:rsidP="00F01B4A">
      <w:pPr>
        <w:pStyle w:val="Tablenotes"/>
        <w:rPr>
          <w:color w:val="auto"/>
        </w:rPr>
      </w:pPr>
      <w:r w:rsidRPr="00E43438">
        <w:rPr>
          <w:color w:val="auto"/>
        </w:rPr>
        <w:t xml:space="preserve">Abbreviations: CI=confidence interval; HR=hazard ratio; OR=odds ratio; </w:t>
      </w:r>
      <w:r w:rsidRPr="00E43438">
        <w:rPr>
          <w:i/>
          <w:color w:val="auto"/>
        </w:rPr>
        <w:t>RD=risk difference;</w:t>
      </w:r>
      <w:r w:rsidRPr="00E43438">
        <w:rPr>
          <w:color w:val="auto"/>
        </w:rPr>
        <w:t xml:space="preserve"> S-ICD=subcutaneous implantable cardioverter defibrillator; TV-ICD=transvenous implantable cardioverter defibrillator</w:t>
      </w:r>
    </w:p>
    <w:p w14:paraId="3DEB3BF2" w14:textId="77777777" w:rsidR="00F01B4A" w:rsidRPr="00E43438" w:rsidRDefault="00F01B4A" w:rsidP="00F01B4A">
      <w:pPr>
        <w:pStyle w:val="Tablenotes"/>
        <w:rPr>
          <w:color w:val="auto"/>
        </w:rPr>
      </w:pPr>
      <w:r w:rsidRPr="00E43438">
        <w:rPr>
          <w:color w:val="auto"/>
        </w:rPr>
        <w:t>Note: Statistically significant results are shown in bold.</w:t>
      </w:r>
    </w:p>
    <w:p w14:paraId="04677E85" w14:textId="77777777" w:rsidR="00F01B4A" w:rsidRPr="00E43438" w:rsidRDefault="00F01B4A" w:rsidP="00F01B4A">
      <w:pPr>
        <w:pStyle w:val="Tablenotes"/>
        <w:rPr>
          <w:color w:val="auto"/>
        </w:rPr>
      </w:pPr>
      <w:r w:rsidRPr="00E43438">
        <w:rPr>
          <w:b/>
          <w:bCs/>
          <w:color w:val="auto"/>
        </w:rPr>
        <w:t>a</w:t>
      </w:r>
      <w:r w:rsidRPr="00E43438">
        <w:rPr>
          <w:color w:val="auto"/>
        </w:rPr>
        <w:t xml:space="preserve"> OR </w:t>
      </w:r>
      <w:r w:rsidRPr="00E43438">
        <w:rPr>
          <w:i/>
          <w:color w:val="auto"/>
        </w:rPr>
        <w:t>and RD</w:t>
      </w:r>
      <w:r w:rsidRPr="00E43438">
        <w:rPr>
          <w:color w:val="auto"/>
        </w:rPr>
        <w:t xml:space="preserve"> were calculated for the purpose of the ADAR in Attachment D. Knops 2020 reported HR for the following outcomes: composite primary outcome; overall device-related complication rate; and overall inappropriate shock rate.</w:t>
      </w:r>
    </w:p>
    <w:p w14:paraId="116D725C" w14:textId="77777777" w:rsidR="00F01B4A" w:rsidRPr="007A5149" w:rsidRDefault="00F01B4A" w:rsidP="007A5149">
      <w:pPr>
        <w:pStyle w:val="Tablenotes"/>
        <w:rPr>
          <w:color w:val="auto"/>
        </w:rPr>
      </w:pPr>
      <w:r w:rsidRPr="00E43438">
        <w:rPr>
          <w:b/>
          <w:bCs/>
          <w:color w:val="auto"/>
        </w:rPr>
        <w:t>b</w:t>
      </w:r>
      <w:r w:rsidRPr="00E43438">
        <w:rPr>
          <w:color w:val="auto"/>
        </w:rPr>
        <w:t xml:space="preserve"> These percentages were calculated for the purpose of the ADAR based on n/N. The percentages reported in Knops et al. (2020) (Table 2, p.533) refer to 4-year cumulative incidences based on Kaplan–Meier estimates in time-to-first-event analyses. Multiple end points could occur in one patient; only the first end point was included in the estimation of the cumulative incidence.</w:t>
      </w:r>
    </w:p>
    <w:p w14:paraId="2D6F8522" w14:textId="116DC318" w:rsidR="001232CF" w:rsidRDefault="00F01B4A" w:rsidP="00F01B4A">
      <w:pPr>
        <w:tabs>
          <w:tab w:val="left" w:pos="720"/>
          <w:tab w:val="left" w:pos="1140"/>
        </w:tabs>
        <w:spacing w:after="240"/>
      </w:pPr>
      <w:r>
        <w:t>T</w:t>
      </w:r>
      <w:r w:rsidRPr="00042377">
        <w:t>he</w:t>
      </w:r>
      <w:r w:rsidR="004270FC">
        <w:t xml:space="preserve"> C</w:t>
      </w:r>
      <w:r>
        <w:t>ommentary noted that the</w:t>
      </w:r>
      <w:r w:rsidRPr="00042377">
        <w:t xml:space="preserve"> confidence inter</w:t>
      </w:r>
      <w:r>
        <w:t>vals for the primary outcome were</w:t>
      </w:r>
      <w:r w:rsidRPr="00042377">
        <w:t xml:space="preserve"> wide so </w:t>
      </w:r>
      <w:r>
        <w:t xml:space="preserve">the data </w:t>
      </w:r>
      <w:r w:rsidRPr="00042377">
        <w:t>cannot rule out either substantial benefit or substantial harm with S-ICD.</w:t>
      </w:r>
      <w:r>
        <w:t xml:space="preserve"> If the high-pass sensing filter (SMART Pass) that is available in the current generation S-ICDs is confirmed in randomised trials to reduce inappropriate shocks without compromising the detection of ventricular arrhythmias (VAs) or time to therapy, then the risk-benefit profile for S-ICDs may be more favourable.</w:t>
      </w:r>
      <w:r w:rsidR="001232CF">
        <w:t xml:space="preserve"> However, no RCTs are available yet to confirm this.</w:t>
      </w:r>
      <w:r>
        <w:t xml:space="preserve"> The primary outcome data also related to only the first occurrence of an event (i.e., ‘first’ inappropriate shock). No data are yet available from </w:t>
      </w:r>
      <w:r w:rsidRPr="00A8573F">
        <w:rPr>
          <w:iCs/>
        </w:rPr>
        <w:t>PRAETORIAN</w:t>
      </w:r>
      <w:r>
        <w:t xml:space="preserve"> for ‘all’ inappropriate shocks (recurrent event </w:t>
      </w:r>
      <w:r w:rsidRPr="00F63099">
        <w:t>analysis).</w:t>
      </w:r>
      <w:r w:rsidR="004270FC">
        <w:t xml:space="preserve"> The C</w:t>
      </w:r>
      <w:r>
        <w:t>ommentary considered that the median follow-up of 4</w:t>
      </w:r>
      <w:r w:rsidR="00A002D3">
        <w:t>9</w:t>
      </w:r>
      <w:r>
        <w:t xml:space="preserve"> months was insufficient to fully assess device-related complications. It is likely that over a longer period of follow-up, device-related complications will increase for both types of ICD (e.g., the development of a pacing indication in S-ICD patients and lead-related complications in TV-ICD patients). </w:t>
      </w:r>
      <w:r w:rsidRPr="00D357A6">
        <w:t xml:space="preserve">Since some patients are prone to undergo multiple </w:t>
      </w:r>
      <w:r>
        <w:t>automatic defibrillator</w:t>
      </w:r>
      <w:r w:rsidRPr="00D357A6">
        <w:t xml:space="preserve"> replacements during their lifetime</w:t>
      </w:r>
      <w:r w:rsidR="001232CF">
        <w:t xml:space="preserve">, especially younger patients who </w:t>
      </w:r>
      <w:r w:rsidR="001232CF">
        <w:lastRenderedPageBreak/>
        <w:t>will have a longer life expectancy</w:t>
      </w:r>
      <w:r w:rsidRPr="00D357A6">
        <w:t xml:space="preserve">, data regarding </w:t>
      </w:r>
      <w:r>
        <w:t xml:space="preserve">the </w:t>
      </w:r>
      <w:r w:rsidRPr="00D357A6">
        <w:t xml:space="preserve">safety of </w:t>
      </w:r>
      <w:r>
        <w:t>replacement procedures</w:t>
      </w:r>
      <w:r w:rsidRPr="00D357A6">
        <w:t xml:space="preserve"> </w:t>
      </w:r>
      <w:r>
        <w:t>would be informative.</w:t>
      </w:r>
    </w:p>
    <w:p w14:paraId="6E993CD7" w14:textId="77777777" w:rsidR="00BC1364" w:rsidRPr="00F715D1" w:rsidRDefault="00BC1364" w:rsidP="00F715D1">
      <w:pPr>
        <w:pStyle w:val="Heading1"/>
      </w:pPr>
      <w:r w:rsidRPr="00F715D1">
        <w:t>Comparative effectiveness</w:t>
      </w:r>
    </w:p>
    <w:p w14:paraId="07C00729" w14:textId="29F2A39B" w:rsidR="00F01B4A" w:rsidRDefault="00F01B4A" w:rsidP="007A5149">
      <w:pPr>
        <w:spacing w:after="240"/>
      </w:pPr>
      <w:r>
        <w:t>All efficacy outcomes in PRAETORIAN were considered secondary endpoints. The trial was not powered for efficacy outcomes (such as mortality), and non-inferiority margins were not pre</w:t>
      </w:r>
      <w:r w:rsidR="00097499">
        <w:t>-</w:t>
      </w:r>
      <w:r>
        <w:t>specified. The</w:t>
      </w:r>
      <w:r w:rsidR="0059064A">
        <w:t xml:space="preserve"> </w:t>
      </w:r>
      <w:r>
        <w:t>total number of deaths</w:t>
      </w:r>
      <w:r w:rsidR="0059064A">
        <w:t xml:space="preserve"> from any cause</w:t>
      </w:r>
      <w:r>
        <w:t xml:space="preserve"> was numerically higher in the S-ICD group </w:t>
      </w:r>
      <w:r w:rsidR="0059064A">
        <w:t xml:space="preserve">(83 patients) </w:t>
      </w:r>
      <w:r>
        <w:t>than the TV-ICD group</w:t>
      </w:r>
      <w:r w:rsidR="0059064A">
        <w:t xml:space="preserve"> (68 patients)</w:t>
      </w:r>
      <w:r>
        <w:t xml:space="preserve"> but the number of deaths due to SCD was identical</w:t>
      </w:r>
      <w:r w:rsidR="00097499">
        <w:t xml:space="preserve"> (18</w:t>
      </w:r>
      <w:r w:rsidR="0059064A">
        <w:t xml:space="preserve"> patients from each group</w:t>
      </w:r>
      <w:r w:rsidR="00097499">
        <w:t>)</w:t>
      </w:r>
      <w:r>
        <w:t>. T</w:t>
      </w:r>
      <w:r w:rsidRPr="00393EC3">
        <w:t xml:space="preserve">here were no statistically significant differences between study </w:t>
      </w:r>
      <w:r>
        <w:t>group</w:t>
      </w:r>
      <w:r w:rsidRPr="00393EC3">
        <w:t xml:space="preserve">s in terms of </w:t>
      </w:r>
      <w:r>
        <w:t xml:space="preserve">death from other cardiovascular causes, </w:t>
      </w:r>
      <w:r w:rsidRPr="00393EC3">
        <w:t>major cardiac events, hospitalisations, or crossovers</w:t>
      </w:r>
      <w:r>
        <w:t xml:space="preserve"> (</w:t>
      </w:r>
      <w:r>
        <w:fldChar w:fldCharType="begin"/>
      </w:r>
      <w:r>
        <w:instrText xml:space="preserve"> REF _Ref60918659 \h </w:instrText>
      </w:r>
      <w:r>
        <w:fldChar w:fldCharType="separate"/>
      </w:r>
      <w:r w:rsidR="00113B4B">
        <w:t>Table</w:t>
      </w:r>
      <w:r w:rsidR="00113B4B" w:rsidRPr="007613A4">
        <w:t xml:space="preserve"> </w:t>
      </w:r>
      <w:r w:rsidR="00113B4B">
        <w:rPr>
          <w:noProof/>
        </w:rPr>
        <w:t>6</w:t>
      </w:r>
      <w:r>
        <w:fldChar w:fldCharType="end"/>
      </w:r>
      <w:r>
        <w:t>)</w:t>
      </w:r>
      <w:r w:rsidR="0067624C">
        <w:t>. H</w:t>
      </w:r>
      <w:r w:rsidR="0059064A">
        <w:t>owever</w:t>
      </w:r>
      <w:r w:rsidR="0067624C">
        <w:t>,</w:t>
      </w:r>
      <w:r w:rsidR="0059064A">
        <w:t xml:space="preserve"> there were numerically more crossover of patients from the S-ICD group to TV-ICD group than the reverse due to those patients developing the </w:t>
      </w:r>
      <w:r w:rsidR="0059064A" w:rsidRPr="00E86D24">
        <w:t>need for brady</w:t>
      </w:r>
      <w:r w:rsidR="007D51D8">
        <w:t xml:space="preserve">cardia </w:t>
      </w:r>
      <w:r w:rsidR="0059064A">
        <w:t xml:space="preserve">pacing </w:t>
      </w:r>
      <w:r w:rsidR="0059064A" w:rsidRPr="00E86D24">
        <w:t xml:space="preserve">or </w:t>
      </w:r>
      <w:proofErr w:type="spellStart"/>
      <w:r w:rsidR="0059064A">
        <w:t>antitachycardia</w:t>
      </w:r>
      <w:proofErr w:type="spellEnd"/>
      <w:r w:rsidR="0059064A">
        <w:t xml:space="preserve"> pacing (ATP)</w:t>
      </w:r>
      <w:r>
        <w:t xml:space="preserve">. </w:t>
      </w:r>
    </w:p>
    <w:p w14:paraId="6CDF5787" w14:textId="12148D79" w:rsidR="00F01B4A" w:rsidRDefault="00F01B4A" w:rsidP="00F01B4A">
      <w:pPr>
        <w:pStyle w:val="Caption"/>
        <w:rPr>
          <w:snapToGrid w:val="0"/>
          <w:szCs w:val="16"/>
        </w:rPr>
      </w:pPr>
      <w:bookmarkStart w:id="9" w:name="_Ref60918659"/>
      <w:bookmarkStart w:id="10" w:name="_Toc399251122"/>
      <w:r>
        <w:t>Table</w:t>
      </w:r>
      <w:r w:rsidRPr="007613A4">
        <w:t xml:space="preserve"> </w:t>
      </w:r>
      <w:fldSimple w:instr=" SEQ Table \* ARABIC ">
        <w:r w:rsidR="00113B4B">
          <w:rPr>
            <w:noProof/>
          </w:rPr>
          <w:t>6</w:t>
        </w:r>
      </w:fldSimple>
      <w:bookmarkEnd w:id="9"/>
      <w:r w:rsidRPr="007613A4">
        <w:tab/>
      </w:r>
      <w:r w:rsidRPr="007613A4">
        <w:rPr>
          <w:snapToGrid w:val="0"/>
          <w:szCs w:val="16"/>
        </w:rPr>
        <w:t xml:space="preserve">Results of </w:t>
      </w:r>
      <w:bookmarkEnd w:id="10"/>
      <w:r>
        <w:rPr>
          <w:snapToGrid w:val="0"/>
          <w:szCs w:val="16"/>
        </w:rPr>
        <w:t>efficacy endpoints (secondary outcomes) in the PRAETORIAN trial</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4 Results of efficacy endpoints (secondary outcomes) in the PRAETORIAN trial"/>
        <w:tblDescription w:val="This table provides a summary of the findings for the key patient-relevant efficacy outcomes. Results for the intervention and comparator arms are provided, along with an indication of the absolute difference and relative difference in results between the study arms."/>
      </w:tblPr>
      <w:tblGrid>
        <w:gridCol w:w="2661"/>
        <w:gridCol w:w="708"/>
        <w:gridCol w:w="1134"/>
        <w:gridCol w:w="1134"/>
        <w:gridCol w:w="1844"/>
        <w:gridCol w:w="1506"/>
      </w:tblGrid>
      <w:tr w:rsidR="00F01B4A" w:rsidRPr="00C807FA" w14:paraId="370184E6" w14:textId="77777777" w:rsidTr="00F01B4A">
        <w:tc>
          <w:tcPr>
            <w:tcW w:w="1480" w:type="pct"/>
            <w:tcBorders>
              <w:top w:val="single" w:sz="4" w:space="0" w:color="auto"/>
              <w:left w:val="single" w:sz="4" w:space="0" w:color="auto"/>
              <w:bottom w:val="dotted" w:sz="4" w:space="0" w:color="auto"/>
              <w:right w:val="single" w:sz="4" w:space="0" w:color="auto"/>
            </w:tcBorders>
            <w:shd w:val="clear" w:color="auto" w:fill="auto"/>
          </w:tcPr>
          <w:p w14:paraId="4F2DD99E" w14:textId="77777777" w:rsidR="00F01B4A" w:rsidRPr="00416EB2" w:rsidRDefault="00F01B4A" w:rsidP="00F01B4A">
            <w:pPr>
              <w:pStyle w:val="Tabletext0"/>
              <w:keepNext/>
              <w:ind w:left="82"/>
              <w:rPr>
                <w:b/>
                <w:snapToGrid w:val="0"/>
              </w:rPr>
            </w:pPr>
            <w:r w:rsidRPr="00416EB2">
              <w:rPr>
                <w:b/>
                <w:snapToGrid w:val="0"/>
              </w:rPr>
              <w:t xml:space="preserve">Outcome </w:t>
            </w:r>
          </w:p>
        </w:tc>
        <w:tc>
          <w:tcPr>
            <w:tcW w:w="394" w:type="pct"/>
            <w:tcBorders>
              <w:top w:val="single" w:sz="4" w:space="0" w:color="auto"/>
              <w:left w:val="single" w:sz="4" w:space="0" w:color="auto"/>
              <w:bottom w:val="dotted" w:sz="4" w:space="0" w:color="auto"/>
              <w:right w:val="single" w:sz="4" w:space="0" w:color="auto"/>
            </w:tcBorders>
            <w:shd w:val="clear" w:color="auto" w:fill="auto"/>
          </w:tcPr>
          <w:p w14:paraId="2D025ABE" w14:textId="77777777" w:rsidR="00F01B4A" w:rsidRPr="00416EB2" w:rsidRDefault="00F01B4A" w:rsidP="00F01B4A">
            <w:pPr>
              <w:pStyle w:val="Tabletext0"/>
              <w:keepNext/>
              <w:jc w:val="center"/>
              <w:rPr>
                <w:b/>
                <w:snapToGrid w:val="0"/>
              </w:rPr>
            </w:pPr>
            <w:r w:rsidRPr="00416EB2">
              <w:rPr>
                <w:b/>
                <w:snapToGrid w:val="0"/>
              </w:rPr>
              <w:t>Risk of bias</w:t>
            </w:r>
          </w:p>
        </w:tc>
        <w:tc>
          <w:tcPr>
            <w:tcW w:w="631" w:type="pct"/>
            <w:tcBorders>
              <w:top w:val="single" w:sz="4" w:space="0" w:color="auto"/>
              <w:left w:val="single" w:sz="4" w:space="0" w:color="auto"/>
              <w:bottom w:val="dotted" w:sz="4" w:space="0" w:color="auto"/>
              <w:right w:val="single" w:sz="4" w:space="0" w:color="auto"/>
            </w:tcBorders>
            <w:shd w:val="clear" w:color="auto" w:fill="auto"/>
          </w:tcPr>
          <w:p w14:paraId="4E5FE46B" w14:textId="77777777" w:rsidR="00F01B4A" w:rsidRPr="00416EB2" w:rsidRDefault="00F01B4A" w:rsidP="00F01B4A">
            <w:pPr>
              <w:pStyle w:val="Tabletext0"/>
              <w:keepNext/>
              <w:jc w:val="center"/>
              <w:rPr>
                <w:b/>
              </w:rPr>
            </w:pPr>
            <w:r w:rsidRPr="00416EB2">
              <w:rPr>
                <w:b/>
              </w:rPr>
              <w:t>S-ICD</w:t>
            </w:r>
          </w:p>
          <w:p w14:paraId="4FCABBF4" w14:textId="77777777" w:rsidR="00F01B4A" w:rsidRPr="00416EB2" w:rsidRDefault="00F01B4A" w:rsidP="00F01B4A">
            <w:pPr>
              <w:pStyle w:val="Tabletext0"/>
              <w:keepNext/>
              <w:jc w:val="center"/>
              <w:rPr>
                <w:b/>
              </w:rPr>
            </w:pPr>
            <w:r w:rsidRPr="00416EB2">
              <w:rPr>
                <w:b/>
              </w:rPr>
              <w:t xml:space="preserve">n (%) </w:t>
            </w:r>
          </w:p>
          <w:p w14:paraId="2F996CBD" w14:textId="77777777" w:rsidR="00F01B4A" w:rsidRPr="00416EB2" w:rsidRDefault="00F01B4A" w:rsidP="00F01B4A">
            <w:pPr>
              <w:pStyle w:val="Tabletext0"/>
              <w:keepNext/>
              <w:jc w:val="center"/>
              <w:rPr>
                <w:b/>
              </w:rPr>
            </w:pPr>
            <w:r w:rsidRPr="00416EB2">
              <w:rPr>
                <w:b/>
              </w:rPr>
              <w:t>N=426</w:t>
            </w:r>
          </w:p>
        </w:tc>
        <w:tc>
          <w:tcPr>
            <w:tcW w:w="631" w:type="pct"/>
            <w:tcBorders>
              <w:top w:val="single" w:sz="4" w:space="0" w:color="auto"/>
              <w:left w:val="single" w:sz="4" w:space="0" w:color="auto"/>
              <w:bottom w:val="dotted" w:sz="4" w:space="0" w:color="auto"/>
              <w:right w:val="single" w:sz="4" w:space="0" w:color="auto"/>
            </w:tcBorders>
            <w:shd w:val="clear" w:color="auto" w:fill="auto"/>
          </w:tcPr>
          <w:p w14:paraId="2BED541F" w14:textId="77777777" w:rsidR="00F01B4A" w:rsidRPr="00416EB2" w:rsidRDefault="00F01B4A" w:rsidP="00F01B4A">
            <w:pPr>
              <w:pStyle w:val="Tabletext0"/>
              <w:keepNext/>
              <w:jc w:val="center"/>
              <w:rPr>
                <w:b/>
              </w:rPr>
            </w:pPr>
            <w:r>
              <w:rPr>
                <w:b/>
              </w:rPr>
              <w:t>TV-ICD</w:t>
            </w:r>
          </w:p>
          <w:p w14:paraId="4AC0EB59" w14:textId="77777777" w:rsidR="00F01B4A" w:rsidRPr="00416EB2" w:rsidRDefault="00F01B4A" w:rsidP="00F01B4A">
            <w:pPr>
              <w:pStyle w:val="Tabletext0"/>
              <w:keepNext/>
              <w:jc w:val="center"/>
              <w:rPr>
                <w:b/>
              </w:rPr>
            </w:pPr>
            <w:r w:rsidRPr="00416EB2">
              <w:rPr>
                <w:b/>
              </w:rPr>
              <w:t>n (%)</w:t>
            </w:r>
          </w:p>
          <w:p w14:paraId="6611971D" w14:textId="77777777" w:rsidR="00F01B4A" w:rsidRPr="00416EB2" w:rsidRDefault="00F01B4A" w:rsidP="00F01B4A">
            <w:pPr>
              <w:pStyle w:val="Tabletext0"/>
              <w:keepNext/>
              <w:jc w:val="center"/>
              <w:rPr>
                <w:b/>
              </w:rPr>
            </w:pPr>
            <w:r w:rsidRPr="00416EB2">
              <w:rPr>
                <w:b/>
              </w:rPr>
              <w:t>N=423</w:t>
            </w:r>
          </w:p>
        </w:tc>
        <w:tc>
          <w:tcPr>
            <w:tcW w:w="1026" w:type="pct"/>
            <w:tcBorders>
              <w:top w:val="single" w:sz="4" w:space="0" w:color="auto"/>
              <w:left w:val="single" w:sz="4" w:space="0" w:color="auto"/>
              <w:bottom w:val="dotted" w:sz="4" w:space="0" w:color="auto"/>
              <w:right w:val="single" w:sz="4" w:space="0" w:color="auto"/>
            </w:tcBorders>
            <w:shd w:val="clear" w:color="auto" w:fill="auto"/>
          </w:tcPr>
          <w:p w14:paraId="4BDF0EF3" w14:textId="77777777" w:rsidR="00F01B4A" w:rsidRPr="00416EB2" w:rsidRDefault="00F01B4A" w:rsidP="00F01B4A">
            <w:pPr>
              <w:pStyle w:val="Tabletext0"/>
              <w:keepNext/>
              <w:jc w:val="center"/>
              <w:rPr>
                <w:b/>
                <w:snapToGrid w:val="0"/>
              </w:rPr>
            </w:pPr>
            <w:r w:rsidRPr="00416EB2">
              <w:rPr>
                <w:b/>
                <w:snapToGrid w:val="0"/>
              </w:rPr>
              <w:t>HR/OR</w:t>
            </w:r>
          </w:p>
          <w:p w14:paraId="474D4AD5" w14:textId="77777777" w:rsidR="00F01B4A" w:rsidRPr="00416EB2" w:rsidRDefault="00F01B4A" w:rsidP="00F01B4A">
            <w:pPr>
              <w:pStyle w:val="Tabletext0"/>
              <w:keepNext/>
              <w:jc w:val="center"/>
              <w:rPr>
                <w:b/>
                <w:snapToGrid w:val="0"/>
                <w:vertAlign w:val="superscript"/>
              </w:rPr>
            </w:pPr>
            <w:r w:rsidRPr="00416EB2">
              <w:rPr>
                <w:b/>
                <w:snapToGrid w:val="0"/>
              </w:rPr>
              <w:t>[95% CI]</w:t>
            </w:r>
            <w:r>
              <w:rPr>
                <w:b/>
                <w:snapToGrid w:val="0"/>
              </w:rPr>
              <w:t xml:space="preserve"> </w:t>
            </w:r>
            <w:r>
              <w:rPr>
                <w:b/>
                <w:snapToGrid w:val="0"/>
                <w:vertAlign w:val="superscript"/>
              </w:rPr>
              <w:t>a</w:t>
            </w:r>
          </w:p>
        </w:tc>
        <w:tc>
          <w:tcPr>
            <w:tcW w:w="838" w:type="pct"/>
            <w:tcBorders>
              <w:top w:val="single" w:sz="4" w:space="0" w:color="auto"/>
              <w:left w:val="single" w:sz="4" w:space="0" w:color="auto"/>
              <w:bottom w:val="dotted" w:sz="4" w:space="0" w:color="auto"/>
              <w:right w:val="single" w:sz="4" w:space="0" w:color="auto"/>
            </w:tcBorders>
          </w:tcPr>
          <w:p w14:paraId="7B3C9CF3" w14:textId="77777777" w:rsidR="00F01B4A" w:rsidRPr="00416EB2" w:rsidRDefault="00F01B4A" w:rsidP="00F01B4A">
            <w:pPr>
              <w:pStyle w:val="Tabletext0"/>
              <w:keepNext/>
              <w:jc w:val="center"/>
              <w:rPr>
                <w:b/>
              </w:rPr>
            </w:pPr>
            <w:r w:rsidRPr="00416EB2">
              <w:rPr>
                <w:b/>
              </w:rPr>
              <w:t>RD</w:t>
            </w:r>
          </w:p>
          <w:p w14:paraId="5F5E12BB" w14:textId="77777777" w:rsidR="00F01B4A" w:rsidRPr="00416EB2" w:rsidRDefault="00F01B4A" w:rsidP="00F01B4A">
            <w:pPr>
              <w:pStyle w:val="Tabletext0"/>
              <w:keepNext/>
              <w:jc w:val="center"/>
              <w:rPr>
                <w:b/>
                <w:vertAlign w:val="superscript"/>
              </w:rPr>
            </w:pPr>
            <w:r w:rsidRPr="00416EB2">
              <w:rPr>
                <w:b/>
              </w:rPr>
              <w:t>[95% CI]</w:t>
            </w:r>
            <w:r>
              <w:rPr>
                <w:b/>
              </w:rPr>
              <w:t xml:space="preserve"> </w:t>
            </w:r>
            <w:r>
              <w:rPr>
                <w:b/>
                <w:vertAlign w:val="superscript"/>
              </w:rPr>
              <w:t>a</w:t>
            </w:r>
          </w:p>
        </w:tc>
      </w:tr>
      <w:tr w:rsidR="00F01B4A" w:rsidRPr="00C807FA" w14:paraId="09DC7AD1" w14:textId="77777777" w:rsidTr="00F01B4A">
        <w:tc>
          <w:tcPr>
            <w:tcW w:w="1480" w:type="pct"/>
            <w:tcBorders>
              <w:top w:val="single" w:sz="4" w:space="0" w:color="auto"/>
              <w:left w:val="single" w:sz="4" w:space="0" w:color="auto"/>
              <w:bottom w:val="dotted" w:sz="4" w:space="0" w:color="auto"/>
              <w:right w:val="single" w:sz="4" w:space="0" w:color="auto"/>
            </w:tcBorders>
            <w:shd w:val="clear" w:color="auto" w:fill="auto"/>
          </w:tcPr>
          <w:p w14:paraId="505433C9" w14:textId="77777777" w:rsidR="00F01B4A" w:rsidRPr="00330583" w:rsidRDefault="00F01B4A" w:rsidP="00F01B4A">
            <w:pPr>
              <w:pStyle w:val="Tabletext0"/>
              <w:keepNext/>
              <w:ind w:left="82"/>
              <w:rPr>
                <w:snapToGrid w:val="0"/>
              </w:rPr>
            </w:pPr>
            <w:r>
              <w:rPr>
                <w:snapToGrid w:val="0"/>
              </w:rPr>
              <w:t>Death from any cause</w:t>
            </w:r>
          </w:p>
        </w:tc>
        <w:tc>
          <w:tcPr>
            <w:tcW w:w="394" w:type="pct"/>
            <w:tcBorders>
              <w:top w:val="single" w:sz="4" w:space="0" w:color="auto"/>
              <w:left w:val="single" w:sz="4" w:space="0" w:color="auto"/>
              <w:bottom w:val="dotted" w:sz="4" w:space="0" w:color="auto"/>
              <w:right w:val="single" w:sz="4" w:space="0" w:color="auto"/>
            </w:tcBorders>
            <w:shd w:val="clear" w:color="auto" w:fill="auto"/>
          </w:tcPr>
          <w:p w14:paraId="495383C1" w14:textId="77777777" w:rsidR="00F01B4A" w:rsidRPr="00C7414C" w:rsidRDefault="00F01B4A" w:rsidP="00F01B4A">
            <w:pPr>
              <w:pStyle w:val="Tabletext0"/>
              <w:keepNext/>
              <w:jc w:val="center"/>
              <w:rPr>
                <w:snapToGrid w:val="0"/>
              </w:rPr>
            </w:pPr>
            <w:r w:rsidRPr="00C7414C">
              <w:rPr>
                <w:snapToGrid w:val="0"/>
              </w:rPr>
              <w:t>N</w:t>
            </w:r>
            <w:r>
              <w:rPr>
                <w:snapToGrid w:val="0"/>
              </w:rPr>
              <w:t>A</w:t>
            </w:r>
          </w:p>
        </w:tc>
        <w:tc>
          <w:tcPr>
            <w:tcW w:w="631" w:type="pct"/>
            <w:tcBorders>
              <w:top w:val="single" w:sz="4" w:space="0" w:color="auto"/>
              <w:left w:val="single" w:sz="4" w:space="0" w:color="auto"/>
              <w:bottom w:val="dotted" w:sz="4" w:space="0" w:color="auto"/>
              <w:right w:val="single" w:sz="4" w:space="0" w:color="auto"/>
            </w:tcBorders>
            <w:shd w:val="clear" w:color="auto" w:fill="auto"/>
          </w:tcPr>
          <w:p w14:paraId="23F265DF" w14:textId="77777777" w:rsidR="00F01B4A" w:rsidRPr="00C7414C" w:rsidRDefault="00F01B4A" w:rsidP="00F01B4A">
            <w:pPr>
              <w:pStyle w:val="Tabletext0"/>
              <w:keepNext/>
              <w:jc w:val="center"/>
              <w:rPr>
                <w:snapToGrid w:val="0"/>
              </w:rPr>
            </w:pPr>
            <w:r w:rsidRPr="00C7414C">
              <w:t xml:space="preserve">83 (19.5) </w:t>
            </w:r>
            <w:r w:rsidRPr="00C7414C">
              <w:rPr>
                <w:vertAlign w:val="superscript"/>
              </w:rPr>
              <w:t>b</w:t>
            </w:r>
          </w:p>
        </w:tc>
        <w:tc>
          <w:tcPr>
            <w:tcW w:w="631" w:type="pct"/>
            <w:tcBorders>
              <w:top w:val="single" w:sz="4" w:space="0" w:color="auto"/>
              <w:left w:val="single" w:sz="4" w:space="0" w:color="auto"/>
              <w:bottom w:val="dotted" w:sz="4" w:space="0" w:color="auto"/>
              <w:right w:val="single" w:sz="4" w:space="0" w:color="auto"/>
            </w:tcBorders>
            <w:shd w:val="clear" w:color="auto" w:fill="auto"/>
          </w:tcPr>
          <w:p w14:paraId="253ADEED" w14:textId="77777777" w:rsidR="00F01B4A" w:rsidRPr="00C7414C" w:rsidRDefault="00F01B4A" w:rsidP="00F01B4A">
            <w:pPr>
              <w:pStyle w:val="Tabletext0"/>
              <w:keepNext/>
              <w:jc w:val="center"/>
              <w:rPr>
                <w:snapToGrid w:val="0"/>
              </w:rPr>
            </w:pPr>
            <w:r w:rsidRPr="00C7414C">
              <w:t xml:space="preserve">68 (16.1) </w:t>
            </w:r>
            <w:r w:rsidRPr="00C7414C">
              <w:rPr>
                <w:vertAlign w:val="superscript"/>
              </w:rPr>
              <w:t>b</w:t>
            </w:r>
          </w:p>
        </w:tc>
        <w:tc>
          <w:tcPr>
            <w:tcW w:w="1026" w:type="pct"/>
            <w:tcBorders>
              <w:top w:val="single" w:sz="4" w:space="0" w:color="auto"/>
              <w:left w:val="single" w:sz="4" w:space="0" w:color="auto"/>
              <w:bottom w:val="dotted" w:sz="4" w:space="0" w:color="auto"/>
              <w:right w:val="single" w:sz="4" w:space="0" w:color="auto"/>
            </w:tcBorders>
            <w:shd w:val="clear" w:color="auto" w:fill="auto"/>
          </w:tcPr>
          <w:p w14:paraId="5E86E570" w14:textId="77777777" w:rsidR="00F01B4A" w:rsidRPr="00C7414C" w:rsidRDefault="00F01B4A" w:rsidP="00F01B4A">
            <w:pPr>
              <w:pStyle w:val="Tabletext0"/>
              <w:keepNext/>
              <w:jc w:val="center"/>
              <w:rPr>
                <w:snapToGrid w:val="0"/>
              </w:rPr>
            </w:pPr>
            <w:r w:rsidRPr="00C7414C">
              <w:rPr>
                <w:snapToGrid w:val="0"/>
              </w:rPr>
              <w:t>HR 1.23 [0.89, 1.70]</w:t>
            </w:r>
            <w:r w:rsidRPr="00C7414C">
              <w:rPr>
                <w:snapToGrid w:val="0"/>
              </w:rPr>
              <w:br/>
              <w:t>OR 1.26 [0.89, 1.80]</w:t>
            </w:r>
          </w:p>
        </w:tc>
        <w:tc>
          <w:tcPr>
            <w:tcW w:w="838" w:type="pct"/>
            <w:tcBorders>
              <w:top w:val="single" w:sz="4" w:space="0" w:color="auto"/>
              <w:left w:val="single" w:sz="4" w:space="0" w:color="auto"/>
              <w:bottom w:val="dotted" w:sz="4" w:space="0" w:color="auto"/>
              <w:right w:val="single" w:sz="4" w:space="0" w:color="auto"/>
            </w:tcBorders>
          </w:tcPr>
          <w:p w14:paraId="781CF47E" w14:textId="77777777" w:rsidR="00F01B4A" w:rsidRPr="00C7414C" w:rsidRDefault="00F01B4A" w:rsidP="00F01B4A">
            <w:pPr>
              <w:pStyle w:val="Tabletext0"/>
              <w:keepNext/>
              <w:jc w:val="center"/>
              <w:rPr>
                <w:snapToGrid w:val="0"/>
              </w:rPr>
            </w:pPr>
            <w:r w:rsidRPr="00C7414C">
              <w:t>0.03 [-0.02, 0.09]</w:t>
            </w:r>
          </w:p>
        </w:tc>
      </w:tr>
      <w:tr w:rsidR="00F01B4A" w:rsidRPr="00C807FA" w14:paraId="03692BAF" w14:textId="77777777" w:rsidTr="00F01B4A">
        <w:tc>
          <w:tcPr>
            <w:tcW w:w="1480" w:type="pct"/>
            <w:tcBorders>
              <w:top w:val="dotted" w:sz="4" w:space="0" w:color="auto"/>
              <w:left w:val="single" w:sz="4" w:space="0" w:color="auto"/>
              <w:bottom w:val="dotted" w:sz="4" w:space="0" w:color="auto"/>
              <w:right w:val="single" w:sz="4" w:space="0" w:color="auto"/>
            </w:tcBorders>
            <w:shd w:val="clear" w:color="auto" w:fill="auto"/>
          </w:tcPr>
          <w:p w14:paraId="6A604CE9" w14:textId="77777777" w:rsidR="00F01B4A" w:rsidRPr="00330583" w:rsidRDefault="00F01B4A" w:rsidP="00F01B4A">
            <w:pPr>
              <w:pStyle w:val="Tabletext0"/>
              <w:keepNext/>
              <w:ind w:left="366"/>
              <w:rPr>
                <w:snapToGrid w:val="0"/>
              </w:rPr>
            </w:pPr>
            <w:r>
              <w:rPr>
                <w:snapToGrid w:val="0"/>
              </w:rPr>
              <w:t xml:space="preserve">Sudden cardiac death </w:t>
            </w:r>
            <w:r w:rsidRPr="00C7414C">
              <w:rPr>
                <w:snapToGrid w:val="0"/>
                <w:color w:val="1F497D" w:themeColor="text2"/>
                <w:vertAlign w:val="superscript"/>
              </w:rPr>
              <w:t>c</w:t>
            </w:r>
          </w:p>
        </w:tc>
        <w:tc>
          <w:tcPr>
            <w:tcW w:w="394" w:type="pct"/>
            <w:tcBorders>
              <w:top w:val="dotted" w:sz="4" w:space="0" w:color="auto"/>
              <w:left w:val="single" w:sz="4" w:space="0" w:color="auto"/>
              <w:bottom w:val="dotted" w:sz="4" w:space="0" w:color="auto"/>
              <w:right w:val="single" w:sz="4" w:space="0" w:color="auto"/>
            </w:tcBorders>
            <w:shd w:val="clear" w:color="auto" w:fill="auto"/>
          </w:tcPr>
          <w:p w14:paraId="0B736E33" w14:textId="77777777" w:rsidR="00F01B4A" w:rsidRPr="00C7414C" w:rsidRDefault="00F01B4A" w:rsidP="00F01B4A">
            <w:pPr>
              <w:pStyle w:val="Tabletext0"/>
              <w:keepNext/>
              <w:jc w:val="center"/>
              <w:rPr>
                <w:snapToGrid w:val="0"/>
              </w:rPr>
            </w:pPr>
            <w:r w:rsidRPr="00C7414C">
              <w:rPr>
                <w:snapToGrid w:val="0"/>
              </w:rPr>
              <w:t>N</w:t>
            </w:r>
            <w:r>
              <w:rPr>
                <w:snapToGrid w:val="0"/>
              </w:rPr>
              <w:t>A</w:t>
            </w:r>
          </w:p>
        </w:tc>
        <w:tc>
          <w:tcPr>
            <w:tcW w:w="631" w:type="pct"/>
            <w:tcBorders>
              <w:top w:val="dotted" w:sz="4" w:space="0" w:color="auto"/>
              <w:left w:val="single" w:sz="4" w:space="0" w:color="auto"/>
              <w:bottom w:val="dotted" w:sz="4" w:space="0" w:color="auto"/>
              <w:right w:val="single" w:sz="4" w:space="0" w:color="auto"/>
            </w:tcBorders>
            <w:shd w:val="clear" w:color="auto" w:fill="auto"/>
          </w:tcPr>
          <w:p w14:paraId="66574F0D" w14:textId="77777777" w:rsidR="00F01B4A" w:rsidRPr="00C7414C" w:rsidRDefault="00F01B4A" w:rsidP="00F01B4A">
            <w:pPr>
              <w:pStyle w:val="Tabletext0"/>
              <w:keepNext/>
              <w:jc w:val="center"/>
              <w:rPr>
                <w:snapToGrid w:val="0"/>
              </w:rPr>
            </w:pPr>
            <w:r w:rsidRPr="00C7414C">
              <w:t>18 (4.2)</w:t>
            </w:r>
          </w:p>
        </w:tc>
        <w:tc>
          <w:tcPr>
            <w:tcW w:w="631" w:type="pct"/>
            <w:tcBorders>
              <w:top w:val="dotted" w:sz="4" w:space="0" w:color="auto"/>
              <w:left w:val="single" w:sz="4" w:space="0" w:color="auto"/>
              <w:bottom w:val="dotted" w:sz="4" w:space="0" w:color="auto"/>
              <w:right w:val="single" w:sz="4" w:space="0" w:color="auto"/>
            </w:tcBorders>
            <w:shd w:val="clear" w:color="auto" w:fill="auto"/>
          </w:tcPr>
          <w:p w14:paraId="3E808C3A" w14:textId="77777777" w:rsidR="00F01B4A" w:rsidRPr="00C7414C" w:rsidRDefault="00F01B4A" w:rsidP="00F01B4A">
            <w:pPr>
              <w:pStyle w:val="Tabletext0"/>
              <w:keepNext/>
              <w:jc w:val="center"/>
              <w:rPr>
                <w:snapToGrid w:val="0"/>
              </w:rPr>
            </w:pPr>
            <w:r w:rsidRPr="00C7414C">
              <w:t>18 (4.3)</w:t>
            </w:r>
          </w:p>
        </w:tc>
        <w:tc>
          <w:tcPr>
            <w:tcW w:w="1026" w:type="pct"/>
            <w:tcBorders>
              <w:top w:val="dotted" w:sz="4" w:space="0" w:color="auto"/>
              <w:left w:val="single" w:sz="4" w:space="0" w:color="auto"/>
              <w:bottom w:val="dotted" w:sz="4" w:space="0" w:color="auto"/>
              <w:right w:val="single" w:sz="4" w:space="0" w:color="auto"/>
            </w:tcBorders>
            <w:shd w:val="clear" w:color="auto" w:fill="auto"/>
          </w:tcPr>
          <w:p w14:paraId="64905320" w14:textId="77777777" w:rsidR="00F01B4A" w:rsidRPr="00C7414C" w:rsidRDefault="00F01B4A" w:rsidP="00F01B4A">
            <w:pPr>
              <w:pStyle w:val="Tabletext0"/>
              <w:keepNext/>
              <w:jc w:val="center"/>
              <w:rPr>
                <w:snapToGrid w:val="0"/>
              </w:rPr>
            </w:pPr>
            <w:r w:rsidRPr="00C7414C">
              <w:rPr>
                <w:snapToGrid w:val="0"/>
              </w:rPr>
              <w:t>0.99 [0.51, 1.94]</w:t>
            </w:r>
          </w:p>
        </w:tc>
        <w:tc>
          <w:tcPr>
            <w:tcW w:w="838" w:type="pct"/>
            <w:tcBorders>
              <w:top w:val="dotted" w:sz="4" w:space="0" w:color="auto"/>
              <w:left w:val="single" w:sz="4" w:space="0" w:color="auto"/>
              <w:bottom w:val="dotted" w:sz="4" w:space="0" w:color="auto"/>
              <w:right w:val="single" w:sz="4" w:space="0" w:color="auto"/>
            </w:tcBorders>
          </w:tcPr>
          <w:p w14:paraId="0FD1EC76" w14:textId="77777777" w:rsidR="00F01B4A" w:rsidRPr="00C7414C" w:rsidRDefault="00F01B4A" w:rsidP="00F01B4A">
            <w:pPr>
              <w:pStyle w:val="Tabletext0"/>
              <w:keepNext/>
              <w:jc w:val="center"/>
              <w:rPr>
                <w:snapToGrid w:val="0"/>
              </w:rPr>
            </w:pPr>
            <w:r w:rsidRPr="00C7414C">
              <w:t>0.00 [-0.03, 0.03]</w:t>
            </w:r>
          </w:p>
        </w:tc>
      </w:tr>
      <w:tr w:rsidR="00F01B4A" w:rsidRPr="00C807FA" w14:paraId="6A00BA3C" w14:textId="77777777" w:rsidTr="00F01B4A">
        <w:tc>
          <w:tcPr>
            <w:tcW w:w="1480" w:type="pct"/>
            <w:tcBorders>
              <w:top w:val="dotted" w:sz="4" w:space="0" w:color="auto"/>
              <w:left w:val="single" w:sz="4" w:space="0" w:color="auto"/>
              <w:bottom w:val="dotted" w:sz="4" w:space="0" w:color="auto"/>
              <w:right w:val="single" w:sz="4" w:space="0" w:color="auto"/>
            </w:tcBorders>
            <w:shd w:val="clear" w:color="auto" w:fill="auto"/>
          </w:tcPr>
          <w:p w14:paraId="74BD909E" w14:textId="77777777" w:rsidR="00F01B4A" w:rsidRDefault="00F01B4A" w:rsidP="00F01B4A">
            <w:pPr>
              <w:pStyle w:val="Tabletext0"/>
              <w:keepNext/>
              <w:ind w:left="366"/>
              <w:rPr>
                <w:snapToGrid w:val="0"/>
              </w:rPr>
            </w:pPr>
            <w:r>
              <w:rPr>
                <w:snapToGrid w:val="0"/>
              </w:rPr>
              <w:t>Death from other cardiovascular causes</w:t>
            </w:r>
          </w:p>
        </w:tc>
        <w:tc>
          <w:tcPr>
            <w:tcW w:w="394" w:type="pct"/>
            <w:tcBorders>
              <w:top w:val="dotted" w:sz="4" w:space="0" w:color="auto"/>
              <w:left w:val="single" w:sz="4" w:space="0" w:color="auto"/>
              <w:bottom w:val="dotted" w:sz="4" w:space="0" w:color="auto"/>
              <w:right w:val="single" w:sz="4" w:space="0" w:color="auto"/>
            </w:tcBorders>
            <w:shd w:val="clear" w:color="auto" w:fill="auto"/>
          </w:tcPr>
          <w:p w14:paraId="2761F882" w14:textId="77777777" w:rsidR="00F01B4A" w:rsidRPr="00C7414C" w:rsidRDefault="00F01B4A" w:rsidP="00F01B4A">
            <w:pPr>
              <w:pStyle w:val="Tabletext0"/>
              <w:keepNext/>
              <w:jc w:val="center"/>
              <w:rPr>
                <w:snapToGrid w:val="0"/>
              </w:rPr>
            </w:pPr>
            <w:r>
              <w:rPr>
                <w:snapToGrid w:val="0"/>
              </w:rPr>
              <w:t>NA</w:t>
            </w:r>
          </w:p>
        </w:tc>
        <w:tc>
          <w:tcPr>
            <w:tcW w:w="631" w:type="pct"/>
            <w:tcBorders>
              <w:top w:val="dotted" w:sz="4" w:space="0" w:color="auto"/>
              <w:left w:val="single" w:sz="4" w:space="0" w:color="auto"/>
              <w:bottom w:val="dotted" w:sz="4" w:space="0" w:color="auto"/>
              <w:right w:val="single" w:sz="4" w:space="0" w:color="auto"/>
            </w:tcBorders>
            <w:shd w:val="clear" w:color="auto" w:fill="auto"/>
          </w:tcPr>
          <w:p w14:paraId="7487577C" w14:textId="77777777" w:rsidR="00F01B4A" w:rsidRPr="00C7414C" w:rsidRDefault="00F01B4A" w:rsidP="00F01B4A">
            <w:pPr>
              <w:pStyle w:val="Tabletext0"/>
              <w:keepNext/>
              <w:jc w:val="center"/>
            </w:pPr>
            <w:r>
              <w:t>34 (8.0)</w:t>
            </w:r>
          </w:p>
        </w:tc>
        <w:tc>
          <w:tcPr>
            <w:tcW w:w="631" w:type="pct"/>
            <w:tcBorders>
              <w:top w:val="dotted" w:sz="4" w:space="0" w:color="auto"/>
              <w:left w:val="single" w:sz="4" w:space="0" w:color="auto"/>
              <w:bottom w:val="dotted" w:sz="4" w:space="0" w:color="auto"/>
              <w:right w:val="single" w:sz="4" w:space="0" w:color="auto"/>
            </w:tcBorders>
            <w:shd w:val="clear" w:color="auto" w:fill="auto"/>
          </w:tcPr>
          <w:p w14:paraId="07341C19" w14:textId="77777777" w:rsidR="00F01B4A" w:rsidRPr="00C7414C" w:rsidRDefault="00F01B4A" w:rsidP="00F01B4A">
            <w:pPr>
              <w:pStyle w:val="Tabletext0"/>
              <w:keepNext/>
              <w:jc w:val="center"/>
            </w:pPr>
            <w:r>
              <w:t>28 (6.6)</w:t>
            </w:r>
          </w:p>
        </w:tc>
        <w:tc>
          <w:tcPr>
            <w:tcW w:w="1026" w:type="pct"/>
            <w:tcBorders>
              <w:top w:val="dotted" w:sz="4" w:space="0" w:color="auto"/>
              <w:left w:val="single" w:sz="4" w:space="0" w:color="auto"/>
              <w:bottom w:val="dotted" w:sz="4" w:space="0" w:color="auto"/>
              <w:right w:val="single" w:sz="4" w:space="0" w:color="auto"/>
            </w:tcBorders>
            <w:shd w:val="clear" w:color="auto" w:fill="auto"/>
          </w:tcPr>
          <w:p w14:paraId="75269BDC" w14:textId="77777777" w:rsidR="00F01B4A" w:rsidRPr="00C7414C" w:rsidRDefault="00F01B4A" w:rsidP="00F01B4A">
            <w:pPr>
              <w:pStyle w:val="Tabletext0"/>
              <w:keepNext/>
              <w:jc w:val="center"/>
              <w:rPr>
                <w:snapToGrid w:val="0"/>
              </w:rPr>
            </w:pPr>
            <w:r w:rsidRPr="004D35AE">
              <w:rPr>
                <w:snapToGrid w:val="0"/>
              </w:rPr>
              <w:t>1.22 [0.73, 2.06]</w:t>
            </w:r>
          </w:p>
        </w:tc>
        <w:tc>
          <w:tcPr>
            <w:tcW w:w="838" w:type="pct"/>
            <w:tcBorders>
              <w:top w:val="dotted" w:sz="4" w:space="0" w:color="auto"/>
              <w:left w:val="single" w:sz="4" w:space="0" w:color="auto"/>
              <w:bottom w:val="dotted" w:sz="4" w:space="0" w:color="auto"/>
              <w:right w:val="single" w:sz="4" w:space="0" w:color="auto"/>
            </w:tcBorders>
          </w:tcPr>
          <w:p w14:paraId="65362A46" w14:textId="77777777" w:rsidR="00F01B4A" w:rsidRPr="00C7414C" w:rsidRDefault="00F01B4A" w:rsidP="00F01B4A">
            <w:pPr>
              <w:pStyle w:val="Tabletext0"/>
              <w:keepNext/>
              <w:jc w:val="center"/>
            </w:pPr>
            <w:r w:rsidRPr="00D111A8">
              <w:t>0.01 [-0.02, 0.05]</w:t>
            </w:r>
          </w:p>
        </w:tc>
      </w:tr>
      <w:tr w:rsidR="00F01B4A" w:rsidRPr="00C807FA" w14:paraId="6DBA413B" w14:textId="77777777" w:rsidTr="00F01B4A">
        <w:tc>
          <w:tcPr>
            <w:tcW w:w="1480" w:type="pct"/>
            <w:tcBorders>
              <w:top w:val="single" w:sz="4" w:space="0" w:color="auto"/>
              <w:left w:val="single" w:sz="4" w:space="0" w:color="auto"/>
              <w:bottom w:val="single" w:sz="4" w:space="0" w:color="auto"/>
              <w:right w:val="single" w:sz="4" w:space="0" w:color="auto"/>
            </w:tcBorders>
            <w:shd w:val="clear" w:color="auto" w:fill="auto"/>
          </w:tcPr>
          <w:p w14:paraId="38F584D6" w14:textId="77777777" w:rsidR="00F01B4A" w:rsidRPr="00330583" w:rsidRDefault="00F01B4A" w:rsidP="00F01B4A">
            <w:pPr>
              <w:pStyle w:val="Tabletext0"/>
              <w:keepNext/>
              <w:ind w:left="82"/>
              <w:rPr>
                <w:snapToGrid w:val="0"/>
              </w:rPr>
            </w:pPr>
            <w:r>
              <w:rPr>
                <w:snapToGrid w:val="0"/>
              </w:rPr>
              <w:t>Appropriate shock therapy</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DF5D4F1" w14:textId="77777777" w:rsidR="00F01B4A" w:rsidRPr="00C7414C" w:rsidRDefault="00F01B4A" w:rsidP="00F01B4A">
            <w:pPr>
              <w:pStyle w:val="Tabletext0"/>
              <w:keepNext/>
              <w:jc w:val="center"/>
              <w:rPr>
                <w:snapToGrid w:val="0"/>
              </w:rPr>
            </w:pPr>
            <w:r w:rsidRPr="00177D2F">
              <w:rPr>
                <w:snapToGrid w:val="0"/>
              </w:rPr>
              <w:t>NA</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1AF6FB2B" w14:textId="77777777" w:rsidR="00F01B4A" w:rsidRPr="00C7414C" w:rsidRDefault="00F01B4A" w:rsidP="00F01B4A">
            <w:pPr>
              <w:pStyle w:val="Tabletext0"/>
              <w:keepNext/>
              <w:jc w:val="center"/>
            </w:pPr>
            <w:r w:rsidRPr="00C7414C">
              <w:t xml:space="preserve">83 (19.5) </w:t>
            </w:r>
            <w:r w:rsidRPr="00C7414C">
              <w:rPr>
                <w:vertAlign w:val="superscript"/>
              </w:rPr>
              <w:t>b</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100E5D64" w14:textId="77777777" w:rsidR="00F01B4A" w:rsidRPr="00C7414C" w:rsidRDefault="00F01B4A" w:rsidP="00F01B4A">
            <w:pPr>
              <w:pStyle w:val="Tabletext0"/>
              <w:keepNext/>
              <w:jc w:val="center"/>
            </w:pPr>
            <w:r w:rsidRPr="00C7414C">
              <w:t xml:space="preserve">57 (13.5) </w:t>
            </w:r>
            <w:r w:rsidRPr="00C7414C">
              <w:rPr>
                <w:vertAlign w:val="superscript"/>
              </w:rPr>
              <w:t>b</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122184B8" w14:textId="77777777" w:rsidR="00F01B4A" w:rsidRPr="00786144" w:rsidRDefault="00F01B4A" w:rsidP="00F01B4A">
            <w:pPr>
              <w:pStyle w:val="Tabletext0"/>
              <w:keepNext/>
              <w:jc w:val="center"/>
              <w:rPr>
                <w:b/>
                <w:bCs/>
                <w:snapToGrid w:val="0"/>
              </w:rPr>
            </w:pPr>
            <w:r w:rsidRPr="00786144">
              <w:rPr>
                <w:b/>
                <w:bCs/>
                <w:snapToGrid w:val="0"/>
              </w:rPr>
              <w:t>HR 1.52 [1.08, 2.12]</w:t>
            </w:r>
            <w:r w:rsidRPr="00786144">
              <w:rPr>
                <w:b/>
                <w:bCs/>
                <w:snapToGrid w:val="0"/>
              </w:rPr>
              <w:br/>
              <w:t>OR 1.55 [1.08, 2.24]</w:t>
            </w:r>
          </w:p>
        </w:tc>
        <w:tc>
          <w:tcPr>
            <w:tcW w:w="838" w:type="pct"/>
            <w:tcBorders>
              <w:top w:val="single" w:sz="4" w:space="0" w:color="auto"/>
              <w:left w:val="single" w:sz="4" w:space="0" w:color="auto"/>
              <w:bottom w:val="single" w:sz="4" w:space="0" w:color="auto"/>
              <w:right w:val="single" w:sz="4" w:space="0" w:color="auto"/>
            </w:tcBorders>
          </w:tcPr>
          <w:p w14:paraId="2AED53F2" w14:textId="77777777" w:rsidR="00F01B4A" w:rsidRPr="00C7414C" w:rsidRDefault="00F01B4A" w:rsidP="00F01B4A">
            <w:pPr>
              <w:pStyle w:val="Tabletext0"/>
              <w:keepNext/>
              <w:jc w:val="center"/>
            </w:pPr>
            <w:r w:rsidRPr="00C7414C">
              <w:t>0.06 [0.01, 0.11]</w:t>
            </w:r>
          </w:p>
        </w:tc>
      </w:tr>
      <w:tr w:rsidR="00F01B4A" w:rsidRPr="00C807FA" w14:paraId="1F74E3C3" w14:textId="77777777" w:rsidTr="00F01B4A">
        <w:tc>
          <w:tcPr>
            <w:tcW w:w="1480" w:type="pct"/>
            <w:tcBorders>
              <w:top w:val="single" w:sz="4" w:space="0" w:color="auto"/>
              <w:left w:val="single" w:sz="4" w:space="0" w:color="auto"/>
              <w:bottom w:val="single" w:sz="4" w:space="0" w:color="auto"/>
              <w:right w:val="single" w:sz="4" w:space="0" w:color="auto"/>
            </w:tcBorders>
            <w:shd w:val="clear" w:color="auto" w:fill="auto"/>
          </w:tcPr>
          <w:p w14:paraId="1D6557DE" w14:textId="77777777" w:rsidR="00F01B4A" w:rsidRPr="00330583" w:rsidRDefault="00F01B4A" w:rsidP="00F01B4A">
            <w:pPr>
              <w:pStyle w:val="Tabletext0"/>
              <w:keepNext/>
              <w:ind w:left="82"/>
              <w:rPr>
                <w:snapToGrid w:val="0"/>
              </w:rPr>
            </w:pPr>
            <w:r>
              <w:rPr>
                <w:snapToGrid w:val="0"/>
              </w:rPr>
              <w:t>Major adverse cardiac event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3E8949F" w14:textId="77777777" w:rsidR="00F01B4A" w:rsidRPr="00C7414C" w:rsidRDefault="00F01B4A" w:rsidP="00F01B4A">
            <w:pPr>
              <w:pStyle w:val="Tabletext0"/>
              <w:keepNext/>
              <w:jc w:val="center"/>
              <w:rPr>
                <w:snapToGrid w:val="0"/>
              </w:rPr>
            </w:pPr>
            <w:r w:rsidRPr="00177D2F">
              <w:rPr>
                <w:snapToGrid w:val="0"/>
              </w:rPr>
              <w:t>NA</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1C9A81B6" w14:textId="77777777" w:rsidR="00F01B4A" w:rsidRPr="00C7414C" w:rsidRDefault="00F01B4A" w:rsidP="00F01B4A">
            <w:pPr>
              <w:pStyle w:val="Tabletext0"/>
              <w:keepNext/>
              <w:jc w:val="center"/>
            </w:pPr>
            <w:r w:rsidRPr="00C7414C">
              <w:t xml:space="preserve">64 (15.0) </w:t>
            </w:r>
            <w:r w:rsidRPr="00C7414C">
              <w:rPr>
                <w:vertAlign w:val="superscript"/>
              </w:rPr>
              <w:t>b</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6E6EF6CF" w14:textId="77777777" w:rsidR="00F01B4A" w:rsidRPr="00C7414C" w:rsidRDefault="00F01B4A" w:rsidP="00F01B4A">
            <w:pPr>
              <w:pStyle w:val="Tabletext0"/>
              <w:keepNext/>
              <w:jc w:val="center"/>
            </w:pPr>
            <w:r w:rsidRPr="00C7414C">
              <w:t xml:space="preserve">80 (18.9) </w:t>
            </w:r>
            <w:r w:rsidRPr="00C7414C">
              <w:rPr>
                <w:vertAlign w:val="superscript"/>
              </w:rPr>
              <w:t>b</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1FF5F48" w14:textId="77777777" w:rsidR="00F01B4A" w:rsidRPr="00C7414C" w:rsidRDefault="00F01B4A" w:rsidP="00F01B4A">
            <w:pPr>
              <w:pStyle w:val="Tabletext0"/>
              <w:keepNext/>
              <w:jc w:val="center"/>
              <w:rPr>
                <w:snapToGrid w:val="0"/>
              </w:rPr>
            </w:pPr>
            <w:r w:rsidRPr="00C7414C">
              <w:rPr>
                <w:snapToGrid w:val="0"/>
              </w:rPr>
              <w:t>HR 0.80 [0.57, 1.11]</w:t>
            </w:r>
            <w:r w:rsidRPr="00C7414C">
              <w:rPr>
                <w:snapToGrid w:val="0"/>
              </w:rPr>
              <w:br/>
              <w:t>OR 0.76 [0.53, 1.09]</w:t>
            </w:r>
          </w:p>
        </w:tc>
        <w:tc>
          <w:tcPr>
            <w:tcW w:w="838" w:type="pct"/>
            <w:tcBorders>
              <w:top w:val="single" w:sz="4" w:space="0" w:color="auto"/>
              <w:left w:val="single" w:sz="4" w:space="0" w:color="auto"/>
              <w:bottom w:val="single" w:sz="4" w:space="0" w:color="auto"/>
              <w:right w:val="single" w:sz="4" w:space="0" w:color="auto"/>
            </w:tcBorders>
          </w:tcPr>
          <w:p w14:paraId="2CF71F34" w14:textId="77777777" w:rsidR="00F01B4A" w:rsidRPr="00C7414C" w:rsidRDefault="00F01B4A" w:rsidP="00F01B4A">
            <w:pPr>
              <w:pStyle w:val="Tabletext0"/>
              <w:keepNext/>
              <w:jc w:val="center"/>
            </w:pPr>
            <w:r w:rsidRPr="00C7414C">
              <w:t>-0.04 [-0.09, 0.01]</w:t>
            </w:r>
          </w:p>
        </w:tc>
      </w:tr>
      <w:tr w:rsidR="00F01B4A" w:rsidRPr="00C807FA" w14:paraId="484B17D2" w14:textId="77777777" w:rsidTr="00F01B4A">
        <w:tc>
          <w:tcPr>
            <w:tcW w:w="1480" w:type="pct"/>
            <w:tcBorders>
              <w:top w:val="dotted" w:sz="4" w:space="0" w:color="auto"/>
              <w:left w:val="single" w:sz="4" w:space="0" w:color="auto"/>
              <w:bottom w:val="single" w:sz="4" w:space="0" w:color="auto"/>
              <w:right w:val="single" w:sz="4" w:space="0" w:color="auto"/>
            </w:tcBorders>
            <w:shd w:val="clear" w:color="auto" w:fill="auto"/>
          </w:tcPr>
          <w:p w14:paraId="62526975" w14:textId="77777777" w:rsidR="00F01B4A" w:rsidRPr="00330583" w:rsidRDefault="00F01B4A" w:rsidP="00F01B4A">
            <w:pPr>
              <w:pStyle w:val="Tabletext0"/>
              <w:keepNext/>
              <w:ind w:left="82"/>
              <w:rPr>
                <w:snapToGrid w:val="0"/>
              </w:rPr>
            </w:pPr>
            <w:r>
              <w:rPr>
                <w:snapToGrid w:val="0"/>
              </w:rPr>
              <w:t>Hospitalisation for heart failure</w:t>
            </w:r>
          </w:p>
        </w:tc>
        <w:tc>
          <w:tcPr>
            <w:tcW w:w="394" w:type="pct"/>
            <w:tcBorders>
              <w:top w:val="dotted" w:sz="4" w:space="0" w:color="auto"/>
              <w:left w:val="single" w:sz="4" w:space="0" w:color="auto"/>
              <w:bottom w:val="single" w:sz="4" w:space="0" w:color="auto"/>
              <w:right w:val="single" w:sz="4" w:space="0" w:color="auto"/>
            </w:tcBorders>
            <w:shd w:val="clear" w:color="auto" w:fill="auto"/>
          </w:tcPr>
          <w:p w14:paraId="0EA4A17F" w14:textId="77777777" w:rsidR="00F01B4A" w:rsidRPr="00C7414C" w:rsidRDefault="00F01B4A" w:rsidP="00F01B4A">
            <w:pPr>
              <w:pStyle w:val="Tabletext0"/>
              <w:keepNext/>
              <w:jc w:val="center"/>
              <w:rPr>
                <w:snapToGrid w:val="0"/>
              </w:rPr>
            </w:pPr>
            <w:r w:rsidRPr="00177D2F">
              <w:rPr>
                <w:snapToGrid w:val="0"/>
              </w:rPr>
              <w:t>NA</w:t>
            </w:r>
          </w:p>
        </w:tc>
        <w:tc>
          <w:tcPr>
            <w:tcW w:w="631" w:type="pct"/>
            <w:tcBorders>
              <w:top w:val="dotted" w:sz="4" w:space="0" w:color="auto"/>
              <w:left w:val="single" w:sz="4" w:space="0" w:color="auto"/>
              <w:bottom w:val="single" w:sz="4" w:space="0" w:color="auto"/>
              <w:right w:val="single" w:sz="4" w:space="0" w:color="auto"/>
            </w:tcBorders>
            <w:shd w:val="clear" w:color="auto" w:fill="auto"/>
          </w:tcPr>
          <w:p w14:paraId="5CD43F81" w14:textId="77777777" w:rsidR="00F01B4A" w:rsidRPr="00C7414C" w:rsidRDefault="00F01B4A" w:rsidP="00F01B4A">
            <w:pPr>
              <w:pStyle w:val="Tabletext0"/>
              <w:keepNext/>
              <w:jc w:val="center"/>
            </w:pPr>
            <w:r w:rsidRPr="00C7414C">
              <w:t xml:space="preserve">79 (18.5) </w:t>
            </w:r>
            <w:r w:rsidRPr="00C7414C">
              <w:rPr>
                <w:vertAlign w:val="superscript"/>
              </w:rPr>
              <w:t>b</w:t>
            </w:r>
          </w:p>
        </w:tc>
        <w:tc>
          <w:tcPr>
            <w:tcW w:w="631" w:type="pct"/>
            <w:tcBorders>
              <w:top w:val="dotted" w:sz="4" w:space="0" w:color="auto"/>
              <w:left w:val="single" w:sz="4" w:space="0" w:color="auto"/>
              <w:bottom w:val="single" w:sz="4" w:space="0" w:color="auto"/>
              <w:right w:val="single" w:sz="4" w:space="0" w:color="auto"/>
            </w:tcBorders>
            <w:shd w:val="clear" w:color="auto" w:fill="auto"/>
          </w:tcPr>
          <w:p w14:paraId="559524CF" w14:textId="77777777" w:rsidR="00F01B4A" w:rsidRPr="00C7414C" w:rsidRDefault="00F01B4A" w:rsidP="00F01B4A">
            <w:pPr>
              <w:pStyle w:val="Tabletext0"/>
              <w:keepNext/>
              <w:jc w:val="center"/>
            </w:pPr>
            <w:r w:rsidRPr="00C7414C">
              <w:t xml:space="preserve">74 (17.5) </w:t>
            </w:r>
            <w:r w:rsidRPr="00C7414C">
              <w:rPr>
                <w:vertAlign w:val="superscript"/>
              </w:rPr>
              <w:t>b</w:t>
            </w:r>
          </w:p>
        </w:tc>
        <w:tc>
          <w:tcPr>
            <w:tcW w:w="1026" w:type="pct"/>
            <w:tcBorders>
              <w:top w:val="dotted" w:sz="4" w:space="0" w:color="auto"/>
              <w:left w:val="single" w:sz="4" w:space="0" w:color="auto"/>
              <w:bottom w:val="single" w:sz="4" w:space="0" w:color="auto"/>
              <w:right w:val="single" w:sz="4" w:space="0" w:color="auto"/>
            </w:tcBorders>
            <w:shd w:val="clear" w:color="auto" w:fill="auto"/>
          </w:tcPr>
          <w:p w14:paraId="55B1F715" w14:textId="77777777" w:rsidR="00F01B4A" w:rsidRPr="00C7414C" w:rsidRDefault="00F01B4A" w:rsidP="00F01B4A">
            <w:pPr>
              <w:pStyle w:val="Tabletext0"/>
              <w:keepNext/>
              <w:jc w:val="center"/>
              <w:rPr>
                <w:snapToGrid w:val="0"/>
              </w:rPr>
            </w:pPr>
            <w:r w:rsidRPr="00C7414C">
              <w:rPr>
                <w:snapToGrid w:val="0"/>
              </w:rPr>
              <w:t>HR 1.08 [0.79, 1.49]</w:t>
            </w:r>
            <w:r w:rsidRPr="00C7414C">
              <w:rPr>
                <w:snapToGrid w:val="0"/>
              </w:rPr>
              <w:br/>
              <w:t>OR 1.07 [0.76, 1.52]</w:t>
            </w:r>
          </w:p>
        </w:tc>
        <w:tc>
          <w:tcPr>
            <w:tcW w:w="838" w:type="pct"/>
            <w:tcBorders>
              <w:top w:val="dotted" w:sz="4" w:space="0" w:color="auto"/>
              <w:left w:val="single" w:sz="4" w:space="0" w:color="auto"/>
              <w:bottom w:val="single" w:sz="4" w:space="0" w:color="auto"/>
              <w:right w:val="single" w:sz="4" w:space="0" w:color="auto"/>
            </w:tcBorders>
          </w:tcPr>
          <w:p w14:paraId="2760D153" w14:textId="77777777" w:rsidR="00F01B4A" w:rsidRPr="00C7414C" w:rsidRDefault="00F01B4A" w:rsidP="00F01B4A">
            <w:pPr>
              <w:pStyle w:val="Tabletext0"/>
              <w:keepNext/>
              <w:jc w:val="center"/>
            </w:pPr>
            <w:r w:rsidRPr="00C7414C">
              <w:t>0.01 [-0.04, 0.06]</w:t>
            </w:r>
          </w:p>
        </w:tc>
      </w:tr>
      <w:tr w:rsidR="00F01B4A" w:rsidRPr="00C807FA" w14:paraId="319B123B" w14:textId="77777777" w:rsidTr="00F01B4A">
        <w:tc>
          <w:tcPr>
            <w:tcW w:w="1480" w:type="pct"/>
            <w:tcBorders>
              <w:top w:val="single" w:sz="4" w:space="0" w:color="auto"/>
              <w:left w:val="single" w:sz="4" w:space="0" w:color="auto"/>
              <w:bottom w:val="single" w:sz="4" w:space="0" w:color="auto"/>
              <w:right w:val="single" w:sz="4" w:space="0" w:color="auto"/>
            </w:tcBorders>
            <w:shd w:val="clear" w:color="auto" w:fill="auto"/>
          </w:tcPr>
          <w:p w14:paraId="03DDB5C0" w14:textId="77777777" w:rsidR="00F01B4A" w:rsidRPr="00330583" w:rsidRDefault="00F01B4A" w:rsidP="00F01B4A">
            <w:pPr>
              <w:pStyle w:val="Tabletext0"/>
              <w:keepNext/>
              <w:ind w:left="82"/>
              <w:rPr>
                <w:snapToGrid w:val="0"/>
              </w:rPr>
            </w:pPr>
            <w:r>
              <w:rPr>
                <w:snapToGrid w:val="0"/>
              </w:rPr>
              <w:t>Crossover to other study device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922DC9" w14:textId="77777777" w:rsidR="00F01B4A" w:rsidRPr="00C7414C" w:rsidRDefault="00F01B4A" w:rsidP="00F01B4A">
            <w:pPr>
              <w:pStyle w:val="Tabletext0"/>
              <w:keepNext/>
              <w:jc w:val="center"/>
              <w:rPr>
                <w:snapToGrid w:val="0"/>
              </w:rPr>
            </w:pPr>
            <w:r w:rsidRPr="00177D2F">
              <w:rPr>
                <w:snapToGrid w:val="0"/>
              </w:rPr>
              <w:t>NA</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61F36A35" w14:textId="77777777" w:rsidR="00F01B4A" w:rsidRPr="00C7414C" w:rsidRDefault="00F01B4A" w:rsidP="00F01B4A">
            <w:pPr>
              <w:pStyle w:val="Tabletext0"/>
              <w:keepNext/>
              <w:jc w:val="center"/>
            </w:pPr>
            <w:r w:rsidRPr="00C7414C">
              <w:t xml:space="preserve">18 (4.2) </w:t>
            </w:r>
            <w:r w:rsidRPr="00C7414C">
              <w:rPr>
                <w:vertAlign w:val="superscript"/>
              </w:rPr>
              <w:t>b</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523E6C90" w14:textId="77777777" w:rsidR="00F01B4A" w:rsidRPr="00C7414C" w:rsidRDefault="00F01B4A" w:rsidP="00F01B4A">
            <w:pPr>
              <w:pStyle w:val="Tabletext0"/>
              <w:keepNext/>
              <w:jc w:val="center"/>
            </w:pPr>
            <w:r w:rsidRPr="00C7414C">
              <w:t xml:space="preserve">11 (2.6) </w:t>
            </w:r>
            <w:r w:rsidRPr="00C7414C">
              <w:rPr>
                <w:vertAlign w:val="superscript"/>
              </w:rPr>
              <w:t>b</w:t>
            </w:r>
          </w:p>
        </w:tc>
        <w:tc>
          <w:tcPr>
            <w:tcW w:w="1026" w:type="pct"/>
            <w:tcBorders>
              <w:top w:val="single" w:sz="4" w:space="0" w:color="auto"/>
              <w:left w:val="single" w:sz="4" w:space="0" w:color="auto"/>
              <w:bottom w:val="single" w:sz="4" w:space="0" w:color="auto"/>
              <w:right w:val="single" w:sz="4" w:space="0" w:color="auto"/>
            </w:tcBorders>
            <w:shd w:val="clear" w:color="auto" w:fill="auto"/>
          </w:tcPr>
          <w:p w14:paraId="3FD7AD13" w14:textId="77777777" w:rsidR="00F01B4A" w:rsidRPr="00C7414C" w:rsidRDefault="00F01B4A" w:rsidP="00F01B4A">
            <w:pPr>
              <w:pStyle w:val="Tabletext0"/>
              <w:keepNext/>
              <w:jc w:val="center"/>
              <w:rPr>
                <w:snapToGrid w:val="0"/>
              </w:rPr>
            </w:pPr>
            <w:r w:rsidRPr="00C7414C">
              <w:rPr>
                <w:snapToGrid w:val="0"/>
              </w:rPr>
              <w:t>HR 1.64 [0.77, 3.47]</w:t>
            </w:r>
            <w:r w:rsidRPr="00C7414C">
              <w:rPr>
                <w:snapToGrid w:val="0"/>
              </w:rPr>
              <w:br/>
              <w:t>OR 1.65 [0.77, 3.54]</w:t>
            </w:r>
          </w:p>
        </w:tc>
        <w:tc>
          <w:tcPr>
            <w:tcW w:w="838" w:type="pct"/>
            <w:tcBorders>
              <w:top w:val="single" w:sz="4" w:space="0" w:color="auto"/>
              <w:left w:val="single" w:sz="4" w:space="0" w:color="auto"/>
              <w:bottom w:val="single" w:sz="4" w:space="0" w:color="auto"/>
              <w:right w:val="single" w:sz="4" w:space="0" w:color="auto"/>
            </w:tcBorders>
          </w:tcPr>
          <w:p w14:paraId="501786CC" w14:textId="77777777" w:rsidR="00F01B4A" w:rsidRPr="00C7414C" w:rsidRDefault="00F01B4A" w:rsidP="00F01B4A">
            <w:pPr>
              <w:pStyle w:val="Tabletext0"/>
              <w:keepNext/>
              <w:jc w:val="center"/>
            </w:pPr>
            <w:r w:rsidRPr="00C7414C">
              <w:t>0.02 [-0.01, 0.04]</w:t>
            </w:r>
          </w:p>
        </w:tc>
      </w:tr>
    </w:tbl>
    <w:p w14:paraId="25173E46" w14:textId="77777777" w:rsidR="00F01B4A" w:rsidRDefault="00F01B4A" w:rsidP="00F01B4A">
      <w:pPr>
        <w:pStyle w:val="Tablecaption"/>
      </w:pPr>
      <w:r>
        <w:t xml:space="preserve">Source: Table 4, </w:t>
      </w:r>
      <w:proofErr w:type="spellStart"/>
      <w:r>
        <w:t>ppXXII</w:t>
      </w:r>
      <w:proofErr w:type="spellEnd"/>
      <w:r>
        <w:t xml:space="preserve"> of commentary (Derived from Table B-11, p.59 </w:t>
      </w:r>
      <w:r w:rsidRPr="00C03585">
        <w:t xml:space="preserve">of the </w:t>
      </w:r>
      <w:r>
        <w:t xml:space="preserve">ADAR and the Attachment D Excel workbook) </w:t>
      </w:r>
    </w:p>
    <w:p w14:paraId="07BCB8EF" w14:textId="77777777" w:rsidR="00F01B4A" w:rsidRDefault="00F01B4A" w:rsidP="00F01B4A">
      <w:pPr>
        <w:pStyle w:val="Tablecaption"/>
      </w:pPr>
      <w:r>
        <w:t xml:space="preserve">Abbreviations: CI=confidence </w:t>
      </w:r>
      <w:r w:rsidRPr="00111313">
        <w:t>interval; HR</w:t>
      </w:r>
      <w:r>
        <w:t xml:space="preserve">=hazard ratio; NA=not assessed (in ADAR); OR=odds </w:t>
      </w:r>
      <w:r w:rsidRPr="00C7414C">
        <w:t>ratio; RD=risk difference; S-ICD</w:t>
      </w:r>
      <w:r>
        <w:t>=subcutaneous implantable cardioverter defibrillator; TV-ICD=transvenous implantable cardioverter defibrillator</w:t>
      </w:r>
    </w:p>
    <w:p w14:paraId="6E0F5075" w14:textId="77777777" w:rsidR="00F01B4A" w:rsidRPr="00786144" w:rsidRDefault="00F01B4A" w:rsidP="00F01B4A">
      <w:pPr>
        <w:pStyle w:val="Tablecaption"/>
      </w:pPr>
      <w:r w:rsidRPr="00786144">
        <w:t>Note: Statistically significant results are shown in bold.</w:t>
      </w:r>
    </w:p>
    <w:p w14:paraId="5C8E9C14" w14:textId="77777777" w:rsidR="00F01B4A" w:rsidRPr="00416EB2" w:rsidRDefault="00F01B4A" w:rsidP="00F01B4A">
      <w:pPr>
        <w:pStyle w:val="Tablecaption"/>
      </w:pPr>
      <w:r w:rsidRPr="00416EB2">
        <w:rPr>
          <w:bCs/>
        </w:rPr>
        <w:t>a</w:t>
      </w:r>
      <w:r w:rsidRPr="00416EB2">
        <w:t xml:space="preserve"> HR was reported in Knops et al. (2020). OR and RD were calculated for the purpose of the ADAR (Attachment D Excel workbook).</w:t>
      </w:r>
    </w:p>
    <w:p w14:paraId="6606839B" w14:textId="77777777" w:rsidR="00F01B4A" w:rsidRPr="00416EB2" w:rsidRDefault="00F01B4A" w:rsidP="00F01B4A">
      <w:pPr>
        <w:pStyle w:val="Tablecaption"/>
      </w:pPr>
      <w:r w:rsidRPr="00416EB2">
        <w:rPr>
          <w:bCs/>
        </w:rPr>
        <w:t xml:space="preserve">b </w:t>
      </w:r>
      <w:r w:rsidRPr="00416EB2">
        <w:t>These percentages were calculated for the purpose of the ADAR based on n/N.</w:t>
      </w:r>
    </w:p>
    <w:p w14:paraId="22F3B112" w14:textId="77777777" w:rsidR="00F01B4A" w:rsidRPr="00416EB2" w:rsidRDefault="00F01B4A" w:rsidP="00F01B4A">
      <w:pPr>
        <w:pStyle w:val="Tablecaption"/>
      </w:pPr>
      <w:r w:rsidRPr="00416EB2">
        <w:rPr>
          <w:bCs/>
        </w:rPr>
        <w:t>c</w:t>
      </w:r>
      <w:r w:rsidRPr="00416EB2">
        <w:t xml:space="preserve"> Includes death from unexplained causes.</w:t>
      </w:r>
    </w:p>
    <w:p w14:paraId="2395A913" w14:textId="18181025" w:rsidR="00F01B4A" w:rsidRPr="00BE4C75" w:rsidRDefault="00F01B4A" w:rsidP="00443B7C">
      <w:pPr>
        <w:spacing w:before="240"/>
      </w:pPr>
      <w:r w:rsidRPr="00BE4C75">
        <w:t xml:space="preserve">The </w:t>
      </w:r>
      <w:r w:rsidR="00443B7C">
        <w:t>C</w:t>
      </w:r>
      <w:r w:rsidRPr="00BE4C75">
        <w:t xml:space="preserve">ommentary noted a higher cumulative incidence of appropriate shocks was found for S-ICD than with </w:t>
      </w:r>
      <w:r>
        <w:t>TV-ICD</w:t>
      </w:r>
      <w:r w:rsidRPr="00BE4C75">
        <w:t>, which was mainly explained by the inability of S-ICD to deliver ATP. Eleven first ‘appropriate’ shocks were delivered in the S-ICD group for a VT below the tachycardia zone. These therapies are not ‘inappropriate’ in a strict sense but may be considered unnecessary from a clinical perspective. If these events were counted towards the primary endpoint as ‘inappropriate’ shocks, then it is possible that PRAETORIAN may have missed its non-inferiority boundary.</w:t>
      </w:r>
    </w:p>
    <w:p w14:paraId="3ED2EB29" w14:textId="4321D9BC" w:rsidR="00F37B9C" w:rsidRDefault="00C06B0B" w:rsidP="00443B7C">
      <w:pPr>
        <w:tabs>
          <w:tab w:val="left" w:pos="720"/>
          <w:tab w:val="left" w:pos="1140"/>
        </w:tabs>
        <w:spacing w:before="240" w:after="120"/>
        <w:rPr>
          <w:b/>
          <w:szCs w:val="24"/>
        </w:rPr>
      </w:pPr>
      <w:r>
        <w:rPr>
          <w:b/>
          <w:szCs w:val="24"/>
        </w:rPr>
        <w:t>Clinical c</w:t>
      </w:r>
      <w:r w:rsidR="00F37B9C" w:rsidRPr="00F37B9C">
        <w:rPr>
          <w:b/>
          <w:szCs w:val="24"/>
        </w:rPr>
        <w:t>laim</w:t>
      </w:r>
    </w:p>
    <w:p w14:paraId="3C944E73" w14:textId="77777777" w:rsidR="00F01B4A" w:rsidRDefault="00F01B4A" w:rsidP="00F01B4A">
      <w:r>
        <w:t>On the basis of the benefits and harms reported in the evidence base for</w:t>
      </w:r>
      <w:r w:rsidRPr="008B5B05">
        <w:t xml:space="preserve"> patients with an indication for defibrillator therapy but with no indication for pacing</w:t>
      </w:r>
      <w:r>
        <w:t>, the resubmission</w:t>
      </w:r>
      <w:r w:rsidRPr="007613A4">
        <w:t xml:space="preserve"> proposes that, relative to </w:t>
      </w:r>
      <w:r>
        <w:t>TV-ICD</w:t>
      </w:r>
      <w:r w:rsidRPr="007613A4">
        <w:t>,</w:t>
      </w:r>
      <w:r>
        <w:t xml:space="preserve"> S-ICD</w:t>
      </w:r>
      <w:r w:rsidRPr="007613A4">
        <w:t xml:space="preserve"> </w:t>
      </w:r>
      <w:r w:rsidRPr="006F7A61">
        <w:t xml:space="preserve">has </w:t>
      </w:r>
      <w:r w:rsidRPr="00911828">
        <w:rPr>
          <w:bCs/>
        </w:rPr>
        <w:t>non-inferior safety</w:t>
      </w:r>
      <w:r w:rsidRPr="00911828">
        <w:t xml:space="preserve"> with respect to device-related complications and inappropriate shocks, and </w:t>
      </w:r>
      <w:r w:rsidRPr="00911828">
        <w:rPr>
          <w:bCs/>
        </w:rPr>
        <w:t>non-inferior effectiveness</w:t>
      </w:r>
      <w:r w:rsidRPr="00911828">
        <w:t xml:space="preserve"> with</w:t>
      </w:r>
      <w:r w:rsidRPr="006F7A61">
        <w:t xml:space="preserve"> respect to the incidence of SCDs.</w:t>
      </w:r>
      <w:r>
        <w:t xml:space="preserve"> </w:t>
      </w:r>
    </w:p>
    <w:p w14:paraId="2AAD8FCA" w14:textId="3E50036E" w:rsidR="00F01B4A" w:rsidRPr="00BE4C75" w:rsidRDefault="00F01B4A" w:rsidP="00F01B4A">
      <w:pPr>
        <w:rPr>
          <w:i/>
        </w:rPr>
      </w:pPr>
      <w:r w:rsidRPr="00BE4C75">
        <w:lastRenderedPageBreak/>
        <w:t xml:space="preserve">The </w:t>
      </w:r>
      <w:r w:rsidR="00443B7C" w:rsidRPr="00443B7C">
        <w:t>C</w:t>
      </w:r>
      <w:r w:rsidRPr="00443B7C">
        <w:t>o</w:t>
      </w:r>
      <w:r w:rsidRPr="00BE4C75">
        <w:t>mmentary considered this clinical claim based on evidence from the PRAETORIAN trial to be reasonable because (</w:t>
      </w:r>
      <w:proofErr w:type="spellStart"/>
      <w:r w:rsidRPr="00BE4C75">
        <w:t>i</w:t>
      </w:r>
      <w:proofErr w:type="spellEnd"/>
      <w:r w:rsidRPr="00BE4C75">
        <w:t xml:space="preserve">) device-related complications are trending towards being lower for S-ICD than </w:t>
      </w:r>
      <w:r>
        <w:t>TV-ICD</w:t>
      </w:r>
      <w:r w:rsidRPr="00BE4C75">
        <w:t>, (ii) the incidence of inappropriate shocks is anticipated to be lower in practice than in PRAETORIAN because of the availability of more modern devices and improvements in programming, and (iii) the incidence of SCDs was similar across the two groups in PRAETORIAN. Nevertheless, the trial was not powered for efficacy outcomes and a higher significant risk of ‘appropriate’ shocks and a trend toward an increase in non-cardiovascular deaths were encountered in the S-ICD group, leaving some uncertainties regarding the true equivalence of the two technologies. Long-term follow-up is therefore warranted and is ongoing.</w:t>
      </w:r>
    </w:p>
    <w:p w14:paraId="347FD9E8" w14:textId="1551E9B2" w:rsidR="00C55E02" w:rsidRPr="006C7DE6" w:rsidDel="000D07E2" w:rsidRDefault="00443B7C" w:rsidP="00443B7C">
      <w:pPr>
        <w:spacing w:before="240" w:after="240"/>
        <w:rPr>
          <w:i/>
        </w:rPr>
      </w:pPr>
      <w:r>
        <w:t>The resubmission</w:t>
      </w:r>
      <w:r w:rsidR="00F01B4A" w:rsidRPr="000D07E2">
        <w:t xml:space="preserve"> also claimed that while the clinical claim is one of non-inferiority, “it is reasonable to predict many patients in the subgroups described earlier will benefit from an MBS listing of S-ICD via reduced infection risk and/or improved quality of life (QoL)”. </w:t>
      </w:r>
      <w:r w:rsidR="00C55E02">
        <w:t>MSAC considered</w:t>
      </w:r>
      <w:r w:rsidR="000D07E2" w:rsidRPr="000D07E2">
        <w:t xml:space="preserve"> that </w:t>
      </w:r>
      <w:r w:rsidR="000D07E2" w:rsidRPr="00C55E02">
        <w:t xml:space="preserve">this claim was </w:t>
      </w:r>
      <w:r w:rsidR="00C55E02">
        <w:t>not su</w:t>
      </w:r>
      <w:r w:rsidR="000D07E2" w:rsidRPr="00C55E02">
        <w:t>bstantiated</w:t>
      </w:r>
      <w:r w:rsidR="000D07E2">
        <w:t xml:space="preserve"> </w:t>
      </w:r>
      <w:r w:rsidR="00C55E02">
        <w:t>by</w:t>
      </w:r>
      <w:r w:rsidR="000D07E2">
        <w:t xml:space="preserve"> the data presented in the original application and resubmission</w:t>
      </w:r>
      <w:r w:rsidR="00C55E02">
        <w:t>.</w:t>
      </w:r>
    </w:p>
    <w:p w14:paraId="448B1584" w14:textId="5DC5E6B5" w:rsidR="00F01B4A" w:rsidRPr="00F01B4A" w:rsidRDefault="00F01B4A" w:rsidP="00F01B4A">
      <w:pPr>
        <w:tabs>
          <w:tab w:val="left" w:pos="720"/>
          <w:tab w:val="left" w:pos="1140"/>
        </w:tabs>
        <w:spacing w:after="120"/>
        <w:rPr>
          <w:b/>
          <w:szCs w:val="24"/>
        </w:rPr>
      </w:pPr>
      <w:r w:rsidRPr="00F01B4A">
        <w:rPr>
          <w:b/>
          <w:szCs w:val="24"/>
        </w:rPr>
        <w:t>Translation issues</w:t>
      </w:r>
    </w:p>
    <w:p w14:paraId="26C538E7" w14:textId="7D9A8088" w:rsidR="00F01B4A" w:rsidRDefault="00F01B4A" w:rsidP="00F01B4A">
      <w:r w:rsidRPr="005235BF">
        <w:t xml:space="preserve">There were no Australian study sites in any of the studies </w:t>
      </w:r>
      <w:r>
        <w:t>included in</w:t>
      </w:r>
      <w:r w:rsidRPr="005235BF">
        <w:t xml:space="preserve"> the </w:t>
      </w:r>
      <w:r>
        <w:t>resubmission</w:t>
      </w:r>
      <w:r w:rsidRPr="005235BF">
        <w:t>.</w:t>
      </w:r>
    </w:p>
    <w:p w14:paraId="592C43B1" w14:textId="7B6912A8" w:rsidR="00F01B4A" w:rsidRDefault="00F01B4A" w:rsidP="00443B7C">
      <w:pPr>
        <w:spacing w:before="240"/>
      </w:pPr>
      <w:r>
        <w:t>T</w:t>
      </w:r>
      <w:r w:rsidRPr="00475353">
        <w:t xml:space="preserve">he </w:t>
      </w:r>
      <w:r w:rsidR="00443B7C">
        <w:t>C</w:t>
      </w:r>
      <w:r>
        <w:t>ommentary noted that the resubmission did not</w:t>
      </w:r>
      <w:r w:rsidRPr="00475353">
        <w:t xml:space="preserve"> address the applicability of the evidence base to the target population eligible for ICD implantation services on the MBS, despite this being</w:t>
      </w:r>
      <w:r>
        <w:t xml:space="preserve"> a concern raised in the PSD for the previous application (MSAC Application 1374 PSD, pp.8, 12). The resubmission did not provide any evidence to support the use of S-ICD in younger patients (including children and adolescents) who could potentially benefit from a subcutaneous rather than transvenous leads. Further, p</w:t>
      </w:r>
      <w:r w:rsidRPr="0030425B">
        <w:t>atients who were not suitable for TV-ICD implantation, according to the discretion of the physician, were not screened for enrolment in PRAETORIAN. As a consequence, patients in whom S-ICD may be particularly useful (e.g., cases where insertion of transvenous leads is particularly challenging or contraindicated) may not be represented in the trial.</w:t>
      </w:r>
    </w:p>
    <w:p w14:paraId="122DC6E1" w14:textId="77777777" w:rsidR="00BC1364" w:rsidRPr="00F715D1" w:rsidRDefault="00BC1364" w:rsidP="00F715D1">
      <w:pPr>
        <w:pStyle w:val="Heading1"/>
      </w:pPr>
      <w:r w:rsidRPr="00F715D1">
        <w:t>Economic evaluation</w:t>
      </w:r>
    </w:p>
    <w:p w14:paraId="3F6BB9E3" w14:textId="24E3E40C" w:rsidR="00F01B4A" w:rsidRDefault="00F01B4A" w:rsidP="00F01B4A">
      <w:r>
        <w:t>A cost-minimisation analysis (CMA) was presented comparing S-ICD with TV-ICD which is appropriate for a clinical claim of non-inferior safety and efficacy (</w:t>
      </w:r>
      <w:r>
        <w:fldChar w:fldCharType="begin"/>
      </w:r>
      <w:r>
        <w:instrText xml:space="preserve"> REF _Ref404370956 \h </w:instrText>
      </w:r>
      <w:r>
        <w:fldChar w:fldCharType="separate"/>
      </w:r>
      <w:r w:rsidR="00113B4B">
        <w:t xml:space="preserve">Table </w:t>
      </w:r>
      <w:r w:rsidR="00113B4B">
        <w:rPr>
          <w:noProof/>
        </w:rPr>
        <w:t>7</w:t>
      </w:r>
      <w:r>
        <w:fldChar w:fldCharType="end"/>
      </w:r>
      <w:r>
        <w:t xml:space="preserve">). The costs captured in the CMA included those for the primary procedure (MBS services, </w:t>
      </w:r>
      <w:proofErr w:type="gramStart"/>
      <w:r>
        <w:t>prostheses</w:t>
      </w:r>
      <w:proofErr w:type="gramEnd"/>
      <w:r>
        <w:t xml:space="preserve"> and hospitalisation costs) and follow-up costs, including those associated with device-related complications and consequent crossover from S-ICD to TV-ICD.</w:t>
      </w:r>
    </w:p>
    <w:p w14:paraId="48410FDF" w14:textId="196D207D" w:rsidR="00F01B4A" w:rsidRPr="00183E4D" w:rsidRDefault="00F01B4A" w:rsidP="00443B7C">
      <w:pPr>
        <w:pStyle w:val="Caption"/>
        <w:spacing w:before="240"/>
      </w:pPr>
      <w:bookmarkStart w:id="11" w:name="_Ref404370956"/>
      <w:bookmarkStart w:id="12" w:name="_Ref394419656"/>
      <w:bookmarkStart w:id="13" w:name="_Toc399251123"/>
      <w:r>
        <w:t xml:space="preserve">Table </w:t>
      </w:r>
      <w:fldSimple w:instr=" SEQ Table \* ARABIC ">
        <w:r w:rsidR="00113B4B">
          <w:rPr>
            <w:noProof/>
          </w:rPr>
          <w:t>7</w:t>
        </w:r>
      </w:fldSimple>
      <w:bookmarkEnd w:id="11"/>
      <w:r w:rsidRPr="00183E4D">
        <w:tab/>
        <w:t>Summary of the economic evaluation</w:t>
      </w:r>
      <w:bookmarkEnd w:id="12"/>
      <w:bookmarkEnd w:id="13"/>
    </w:p>
    <w:tbl>
      <w:tblPr>
        <w:tblStyle w:val="TableGrid1"/>
        <w:tblW w:w="8908" w:type="dxa"/>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830"/>
        <w:gridCol w:w="6078"/>
      </w:tblGrid>
      <w:tr w:rsidR="00F01B4A" w:rsidRPr="00183E4D" w14:paraId="2E211EDB" w14:textId="77777777" w:rsidTr="00CA49B8">
        <w:trPr>
          <w:cnfStyle w:val="100000000000" w:firstRow="1" w:lastRow="0" w:firstColumn="0" w:lastColumn="0" w:oddVBand="0" w:evenVBand="0" w:oddHBand="0" w:evenHBand="0" w:firstRowFirstColumn="0" w:firstRowLastColumn="0" w:lastRowFirstColumn="0" w:lastRowLastColumn="0"/>
          <w:trHeight w:val="20"/>
          <w:tblHeader/>
        </w:trPr>
        <w:tc>
          <w:tcPr>
            <w:tcW w:w="2830" w:type="dxa"/>
          </w:tcPr>
          <w:p w14:paraId="030AB95A" w14:textId="77777777" w:rsidR="00F01B4A" w:rsidRPr="00C47DE9" w:rsidRDefault="00F01B4A" w:rsidP="00443B7C">
            <w:pPr>
              <w:pStyle w:val="Tabletext0"/>
              <w:spacing w:before="0" w:after="0"/>
              <w:rPr>
                <w:b/>
              </w:rPr>
            </w:pPr>
            <w:r w:rsidRPr="00C47DE9">
              <w:rPr>
                <w:b/>
              </w:rPr>
              <w:t>Perspective</w:t>
            </w:r>
          </w:p>
        </w:tc>
        <w:tc>
          <w:tcPr>
            <w:tcW w:w="6078" w:type="dxa"/>
          </w:tcPr>
          <w:p w14:paraId="4D757548" w14:textId="77777777" w:rsidR="00F01B4A" w:rsidRPr="00183E4D" w:rsidRDefault="00F01B4A" w:rsidP="00443B7C">
            <w:pPr>
              <w:pStyle w:val="Tabletext0"/>
              <w:spacing w:before="0" w:after="0"/>
            </w:pPr>
            <w:r w:rsidRPr="00A8305B">
              <w:t xml:space="preserve">Health care </w:t>
            </w:r>
          </w:p>
        </w:tc>
      </w:tr>
      <w:tr w:rsidR="00F01B4A" w:rsidRPr="00183E4D" w14:paraId="43E67863" w14:textId="77777777" w:rsidTr="00F01B4A">
        <w:trPr>
          <w:trHeight w:val="20"/>
        </w:trPr>
        <w:tc>
          <w:tcPr>
            <w:tcW w:w="2830" w:type="dxa"/>
          </w:tcPr>
          <w:p w14:paraId="47A97DEB" w14:textId="77777777" w:rsidR="00F01B4A" w:rsidRPr="00C47DE9" w:rsidRDefault="00F01B4A" w:rsidP="00443B7C">
            <w:pPr>
              <w:pStyle w:val="Tabletext0"/>
              <w:spacing w:before="0" w:after="0"/>
              <w:rPr>
                <w:b/>
              </w:rPr>
            </w:pPr>
            <w:r w:rsidRPr="00C47DE9">
              <w:rPr>
                <w:b/>
              </w:rPr>
              <w:t>Comparator</w:t>
            </w:r>
          </w:p>
        </w:tc>
        <w:tc>
          <w:tcPr>
            <w:tcW w:w="6078" w:type="dxa"/>
          </w:tcPr>
          <w:p w14:paraId="4C50695A" w14:textId="77777777" w:rsidR="00F01B4A" w:rsidRPr="00183E4D" w:rsidRDefault="00F01B4A" w:rsidP="00443B7C">
            <w:pPr>
              <w:pStyle w:val="Tabletext0"/>
              <w:spacing w:before="0" w:after="0"/>
            </w:pPr>
            <w:r>
              <w:t>TV-ICD</w:t>
            </w:r>
          </w:p>
        </w:tc>
      </w:tr>
      <w:tr w:rsidR="00F01B4A" w:rsidRPr="00183E4D" w14:paraId="6D9684D5" w14:textId="77777777" w:rsidTr="00F01B4A">
        <w:trPr>
          <w:trHeight w:val="20"/>
        </w:trPr>
        <w:tc>
          <w:tcPr>
            <w:tcW w:w="2830" w:type="dxa"/>
          </w:tcPr>
          <w:p w14:paraId="7BA54DDF" w14:textId="77777777" w:rsidR="00F01B4A" w:rsidRPr="00C47DE9" w:rsidRDefault="00F01B4A" w:rsidP="00443B7C">
            <w:pPr>
              <w:pStyle w:val="Tabletext0"/>
              <w:spacing w:before="0" w:after="0"/>
              <w:rPr>
                <w:b/>
              </w:rPr>
            </w:pPr>
            <w:r w:rsidRPr="00C47DE9">
              <w:rPr>
                <w:b/>
              </w:rPr>
              <w:t>Type of economic evaluation</w:t>
            </w:r>
          </w:p>
        </w:tc>
        <w:tc>
          <w:tcPr>
            <w:tcW w:w="6078" w:type="dxa"/>
          </w:tcPr>
          <w:p w14:paraId="0FA95109" w14:textId="77777777" w:rsidR="00F01B4A" w:rsidRPr="00183E4D" w:rsidRDefault="00F01B4A" w:rsidP="00443B7C">
            <w:pPr>
              <w:pStyle w:val="Tabletext0"/>
              <w:spacing w:before="0" w:after="0"/>
            </w:pPr>
            <w:r w:rsidRPr="00A10068">
              <w:t>CMA</w:t>
            </w:r>
          </w:p>
        </w:tc>
      </w:tr>
      <w:tr w:rsidR="00F01B4A" w:rsidRPr="00183E4D" w14:paraId="3DCBF215" w14:textId="77777777" w:rsidTr="00F01B4A">
        <w:trPr>
          <w:trHeight w:val="20"/>
        </w:trPr>
        <w:tc>
          <w:tcPr>
            <w:tcW w:w="2830" w:type="dxa"/>
          </w:tcPr>
          <w:p w14:paraId="4272D2EB" w14:textId="77777777" w:rsidR="00F01B4A" w:rsidRPr="00C47DE9" w:rsidRDefault="00F01B4A" w:rsidP="00443B7C">
            <w:pPr>
              <w:pStyle w:val="Tabletext0"/>
              <w:spacing w:before="0" w:after="0"/>
              <w:rPr>
                <w:b/>
              </w:rPr>
            </w:pPr>
            <w:r w:rsidRPr="00C47DE9">
              <w:rPr>
                <w:b/>
              </w:rPr>
              <w:t>Sources of evidence</w:t>
            </w:r>
          </w:p>
        </w:tc>
        <w:tc>
          <w:tcPr>
            <w:tcW w:w="6078" w:type="dxa"/>
          </w:tcPr>
          <w:p w14:paraId="4A125ECE" w14:textId="77777777" w:rsidR="00F01B4A" w:rsidRPr="00183E4D" w:rsidRDefault="00F01B4A" w:rsidP="00443B7C">
            <w:pPr>
              <w:pStyle w:val="Tabletext0"/>
              <w:spacing w:before="0" w:after="0"/>
            </w:pPr>
            <w:r w:rsidRPr="00D111A8">
              <w:t>Primarily</w:t>
            </w:r>
            <w:r w:rsidRPr="005235BF">
              <w:t xml:space="preserve"> PRAETORIAN trial </w:t>
            </w:r>
            <w:r w:rsidRPr="00D111A8">
              <w:t>(Knops et al. 2020)</w:t>
            </w:r>
          </w:p>
        </w:tc>
      </w:tr>
      <w:tr w:rsidR="00F01B4A" w:rsidRPr="00183E4D" w14:paraId="4BEBE17F" w14:textId="77777777" w:rsidTr="00F01B4A">
        <w:trPr>
          <w:trHeight w:val="20"/>
        </w:trPr>
        <w:tc>
          <w:tcPr>
            <w:tcW w:w="2830" w:type="dxa"/>
            <w:hideMark/>
          </w:tcPr>
          <w:p w14:paraId="5412E306" w14:textId="77777777" w:rsidR="00F01B4A" w:rsidRPr="00C47DE9" w:rsidRDefault="00F01B4A" w:rsidP="00443B7C">
            <w:pPr>
              <w:pStyle w:val="Tabletext0"/>
              <w:spacing w:before="0" w:after="0"/>
              <w:rPr>
                <w:b/>
              </w:rPr>
            </w:pPr>
            <w:r w:rsidRPr="00C47DE9">
              <w:rPr>
                <w:b/>
              </w:rPr>
              <w:t>Time horizon</w:t>
            </w:r>
          </w:p>
        </w:tc>
        <w:tc>
          <w:tcPr>
            <w:tcW w:w="6078" w:type="dxa"/>
          </w:tcPr>
          <w:p w14:paraId="739C3D63" w14:textId="77777777" w:rsidR="00F01B4A" w:rsidRPr="00183E4D" w:rsidRDefault="00F01B4A" w:rsidP="00443B7C">
            <w:pPr>
              <w:pStyle w:val="Tabletext0"/>
              <w:spacing w:before="0" w:after="0"/>
            </w:pPr>
            <w:r w:rsidRPr="00D111A8">
              <w:t>Device crossover in both directions captured to 5 years</w:t>
            </w:r>
          </w:p>
        </w:tc>
      </w:tr>
      <w:tr w:rsidR="00F01B4A" w:rsidRPr="00183E4D" w14:paraId="59CE2909" w14:textId="77777777" w:rsidTr="00F01B4A">
        <w:trPr>
          <w:trHeight w:val="20"/>
        </w:trPr>
        <w:tc>
          <w:tcPr>
            <w:tcW w:w="2830" w:type="dxa"/>
            <w:hideMark/>
          </w:tcPr>
          <w:p w14:paraId="33369995" w14:textId="77777777" w:rsidR="00F01B4A" w:rsidRPr="00C47DE9" w:rsidRDefault="00F01B4A" w:rsidP="00443B7C">
            <w:pPr>
              <w:pStyle w:val="Tabletext0"/>
              <w:spacing w:before="0" w:after="0"/>
              <w:rPr>
                <w:b/>
              </w:rPr>
            </w:pPr>
            <w:r w:rsidRPr="00C47DE9">
              <w:rPr>
                <w:b/>
              </w:rPr>
              <w:t>Outcomes</w:t>
            </w:r>
          </w:p>
        </w:tc>
        <w:tc>
          <w:tcPr>
            <w:tcW w:w="6078" w:type="dxa"/>
          </w:tcPr>
          <w:p w14:paraId="50AEB7CE" w14:textId="77777777" w:rsidR="00F01B4A" w:rsidRPr="00183E4D" w:rsidRDefault="00F01B4A" w:rsidP="00443B7C">
            <w:pPr>
              <w:pStyle w:val="Tabletext0"/>
              <w:spacing w:before="0" w:after="0"/>
            </w:pPr>
            <w:r w:rsidRPr="00D111A8">
              <w:t>Not applicable (safety and efficacy outcomes considered non-inferior in ADAR)</w:t>
            </w:r>
          </w:p>
        </w:tc>
      </w:tr>
      <w:tr w:rsidR="00F01B4A" w:rsidRPr="00183E4D" w14:paraId="0ED5E931" w14:textId="77777777" w:rsidTr="00F01B4A">
        <w:trPr>
          <w:trHeight w:val="20"/>
        </w:trPr>
        <w:tc>
          <w:tcPr>
            <w:tcW w:w="2830" w:type="dxa"/>
            <w:hideMark/>
          </w:tcPr>
          <w:p w14:paraId="550917E2" w14:textId="77777777" w:rsidR="00F01B4A" w:rsidRPr="00C47DE9" w:rsidRDefault="00F01B4A" w:rsidP="00443B7C">
            <w:pPr>
              <w:pStyle w:val="Tabletext0"/>
              <w:spacing w:before="0" w:after="0"/>
              <w:rPr>
                <w:b/>
              </w:rPr>
            </w:pPr>
            <w:r>
              <w:rPr>
                <w:b/>
              </w:rPr>
              <w:t>Costs considered</w:t>
            </w:r>
          </w:p>
        </w:tc>
        <w:tc>
          <w:tcPr>
            <w:tcW w:w="6078" w:type="dxa"/>
          </w:tcPr>
          <w:p w14:paraId="58E61C3B" w14:textId="77777777" w:rsidR="00F01B4A" w:rsidRPr="00183E4D" w:rsidRDefault="00F01B4A" w:rsidP="00443B7C">
            <w:pPr>
              <w:pStyle w:val="Tabletext0"/>
              <w:spacing w:before="0" w:after="0"/>
            </w:pPr>
            <w:r w:rsidRPr="00A10068">
              <w:t xml:space="preserve">Medical services, prostheses, </w:t>
            </w:r>
            <w:proofErr w:type="gramStart"/>
            <w:r w:rsidRPr="00A10068">
              <w:t>hospitalisation</w:t>
            </w:r>
            <w:proofErr w:type="gramEnd"/>
            <w:r w:rsidRPr="00A10068">
              <w:t xml:space="preserve"> and safety costs</w:t>
            </w:r>
            <w:r w:rsidRPr="00D111A8">
              <w:t xml:space="preserve"> (device-related complications, including crossovers to alternative device)</w:t>
            </w:r>
          </w:p>
        </w:tc>
      </w:tr>
      <w:tr w:rsidR="00F01B4A" w:rsidRPr="00183E4D" w14:paraId="6A510E34" w14:textId="77777777" w:rsidTr="00F01B4A">
        <w:trPr>
          <w:trHeight w:val="20"/>
        </w:trPr>
        <w:tc>
          <w:tcPr>
            <w:tcW w:w="2830" w:type="dxa"/>
            <w:hideMark/>
          </w:tcPr>
          <w:p w14:paraId="3F5FA38A" w14:textId="77777777" w:rsidR="00F01B4A" w:rsidRPr="00C47DE9" w:rsidRDefault="00F01B4A" w:rsidP="00443B7C">
            <w:pPr>
              <w:pStyle w:val="Tabletext0"/>
              <w:spacing w:before="0" w:after="0"/>
              <w:rPr>
                <w:b/>
              </w:rPr>
            </w:pPr>
            <w:r w:rsidRPr="00C47DE9">
              <w:rPr>
                <w:b/>
              </w:rPr>
              <w:t>Software packages used</w:t>
            </w:r>
          </w:p>
        </w:tc>
        <w:tc>
          <w:tcPr>
            <w:tcW w:w="6078" w:type="dxa"/>
          </w:tcPr>
          <w:p w14:paraId="5311BB73" w14:textId="77777777" w:rsidR="00F01B4A" w:rsidRPr="00183E4D" w:rsidRDefault="00F01B4A" w:rsidP="00443B7C">
            <w:pPr>
              <w:pStyle w:val="Tabletext0"/>
              <w:spacing w:before="0" w:after="0"/>
            </w:pPr>
            <w:r w:rsidRPr="00D111A8">
              <w:t xml:space="preserve">Microsoft </w:t>
            </w:r>
            <w:r w:rsidRPr="005235BF">
              <w:t xml:space="preserve">Excel </w:t>
            </w:r>
          </w:p>
        </w:tc>
      </w:tr>
    </w:tbl>
    <w:p w14:paraId="429AE284" w14:textId="77777777" w:rsidR="00F01B4A" w:rsidRDefault="00F01B4A" w:rsidP="00F01B4A">
      <w:pPr>
        <w:pStyle w:val="Tablecaption"/>
      </w:pPr>
      <w:r>
        <w:t>Source: Table D-1, p.73 of the ADAR, with commentary additions</w:t>
      </w:r>
    </w:p>
    <w:p w14:paraId="11BFDCA5" w14:textId="3025DCB0" w:rsidR="00443B7C" w:rsidRDefault="00F01B4A" w:rsidP="00443B7C">
      <w:pPr>
        <w:pStyle w:val="Tablecaption"/>
      </w:pPr>
      <w:r>
        <w:t xml:space="preserve">Abbreviations: ADAR=Applicant developed assessment report; </w:t>
      </w:r>
      <w:r w:rsidRPr="00E86D24">
        <w:t>CMA</w:t>
      </w:r>
      <w:r>
        <w:t>=</w:t>
      </w:r>
      <w:r w:rsidRPr="00E86D24">
        <w:t>cost-minimisation analysis; TV-ICD</w:t>
      </w:r>
      <w:r>
        <w:t>=</w:t>
      </w:r>
      <w:r w:rsidRPr="00E86D24">
        <w:t>transvenous implantable cardioverter</w:t>
      </w:r>
      <w:r>
        <w:t xml:space="preserve"> </w:t>
      </w:r>
      <w:r w:rsidRPr="00E86D24">
        <w:t>defibrillator</w:t>
      </w:r>
      <w:r w:rsidR="00443B7C">
        <w:br w:type="page"/>
      </w:r>
    </w:p>
    <w:p w14:paraId="088054ED" w14:textId="1338FA19" w:rsidR="00F01B4A" w:rsidRDefault="00F01B4A" w:rsidP="00F01B4A">
      <w:r>
        <w:lastRenderedPageBreak/>
        <w:t xml:space="preserve">Key assumptions, primarily drawn from the PRAETORIAN trial, included: </w:t>
      </w:r>
    </w:p>
    <w:p w14:paraId="3E46B74E" w14:textId="77777777" w:rsidR="00F01B4A" w:rsidRDefault="00F01B4A" w:rsidP="00F01B4A">
      <w:pPr>
        <w:pStyle w:val="ListParagraph"/>
        <w:numPr>
          <w:ilvl w:val="0"/>
          <w:numId w:val="29"/>
        </w:numPr>
      </w:pPr>
      <w:r>
        <w:t>rates of general anaesthesia during the implantation procedure</w:t>
      </w:r>
    </w:p>
    <w:p w14:paraId="39F2EF72" w14:textId="77777777" w:rsidR="00F01B4A" w:rsidRDefault="00F01B4A" w:rsidP="00F01B4A">
      <w:pPr>
        <w:pStyle w:val="ListParagraph"/>
        <w:numPr>
          <w:ilvl w:val="0"/>
          <w:numId w:val="29"/>
        </w:numPr>
      </w:pPr>
      <w:r>
        <w:t xml:space="preserve">rates of device-related complications (requiring hospitalisations) </w:t>
      </w:r>
    </w:p>
    <w:p w14:paraId="1244E1EB" w14:textId="074E2949" w:rsidR="00F01B4A" w:rsidRDefault="00F01B4A" w:rsidP="00F01B4A">
      <w:pPr>
        <w:pStyle w:val="ListParagraph"/>
        <w:numPr>
          <w:ilvl w:val="0"/>
          <w:numId w:val="29"/>
        </w:numPr>
      </w:pPr>
      <w:r>
        <w:t xml:space="preserve">rates of crossover to the alternative device and the timing of crossover. </w:t>
      </w:r>
    </w:p>
    <w:p w14:paraId="779BA2AC" w14:textId="0B9A0B79" w:rsidR="00F01B4A" w:rsidRDefault="00F01B4A" w:rsidP="00443B7C">
      <w:pPr>
        <w:spacing w:before="240"/>
      </w:pPr>
      <w:r>
        <w:t>T</w:t>
      </w:r>
      <w:r w:rsidR="00443B7C">
        <w:t>he C</w:t>
      </w:r>
      <w:r>
        <w:t xml:space="preserve">ommentary highlighted several limitations and uncertainties to the submission’s model: </w:t>
      </w:r>
    </w:p>
    <w:p w14:paraId="28BCAA6E" w14:textId="77777777" w:rsidR="00F01B4A" w:rsidRDefault="00F01B4A" w:rsidP="00F01B4A">
      <w:pPr>
        <w:pStyle w:val="ListParagraph"/>
        <w:numPr>
          <w:ilvl w:val="0"/>
          <w:numId w:val="30"/>
        </w:numPr>
      </w:pPr>
      <w:r>
        <w:t>exclusion of some costs from the CMA (e.g., ECG screening pre-implant to assess oversensing; assistance during the insertion procedure; management of inappropriate shocks)</w:t>
      </w:r>
    </w:p>
    <w:p w14:paraId="68E300DF" w14:textId="77777777" w:rsidR="00F01B4A" w:rsidRDefault="00F01B4A" w:rsidP="00F01B4A">
      <w:pPr>
        <w:pStyle w:val="ListParagraph"/>
        <w:numPr>
          <w:ilvl w:val="0"/>
          <w:numId w:val="30"/>
        </w:numPr>
      </w:pPr>
      <w:r>
        <w:t>the assumption that follow-up testing of the implanted defibrillator is performed in only 3.6% of patients and is similar for S-ICD and TV-ICD</w:t>
      </w:r>
    </w:p>
    <w:p w14:paraId="67A54CB7" w14:textId="77777777" w:rsidR="00F01B4A" w:rsidRDefault="00F01B4A" w:rsidP="00F01B4A">
      <w:pPr>
        <w:pStyle w:val="ListParagraph"/>
        <w:numPr>
          <w:ilvl w:val="0"/>
          <w:numId w:val="30"/>
        </w:numPr>
      </w:pPr>
      <w:r>
        <w:t>allocation of hospital costs given the short median length of stay in the PRAETORIAN trial (with these then applied to device-related complications, which are higher for TV-ICD versus S-ICD)</w:t>
      </w:r>
    </w:p>
    <w:p w14:paraId="4B7D034A" w14:textId="77777777" w:rsidR="00F01B4A" w:rsidRDefault="00F01B4A" w:rsidP="00F01B4A">
      <w:pPr>
        <w:pStyle w:val="ListParagraph"/>
        <w:numPr>
          <w:ilvl w:val="0"/>
          <w:numId w:val="30"/>
        </w:numPr>
      </w:pPr>
      <w:r>
        <w:t>the assumption that general anaesthesia is used in only 48.8% of S-ICD procedures and 3.1% of TV-ICD procedures</w:t>
      </w:r>
    </w:p>
    <w:p w14:paraId="15F3FC8F" w14:textId="77777777" w:rsidR="00F01B4A" w:rsidRDefault="00F01B4A" w:rsidP="00F01B4A">
      <w:pPr>
        <w:pStyle w:val="ListParagraph"/>
        <w:numPr>
          <w:ilvl w:val="0"/>
          <w:numId w:val="30"/>
        </w:numPr>
      </w:pPr>
      <w:r>
        <w:t>estimates of battery longevity, which are assumed equivalent despite information suggesting that TV-ICD may have a longer battery life</w:t>
      </w:r>
    </w:p>
    <w:p w14:paraId="4C2CC926" w14:textId="77777777" w:rsidR="00F01B4A" w:rsidRDefault="00F01B4A" w:rsidP="00F01B4A">
      <w:pPr>
        <w:pStyle w:val="ListParagraph"/>
        <w:numPr>
          <w:ilvl w:val="0"/>
          <w:numId w:val="30"/>
        </w:numPr>
      </w:pPr>
      <w:r>
        <w:t>the impact of battery longevity and the risks associated with device replacement over the longer term (i.e., beyond 5 years)</w:t>
      </w:r>
    </w:p>
    <w:p w14:paraId="6D2D906B" w14:textId="77777777" w:rsidR="00F01B4A" w:rsidRDefault="00F01B4A" w:rsidP="00F01B4A">
      <w:pPr>
        <w:pStyle w:val="ListParagraph"/>
        <w:numPr>
          <w:ilvl w:val="0"/>
          <w:numId w:val="30"/>
        </w:numPr>
      </w:pPr>
      <w:r>
        <w:t>the assumption that battery replacement is always performed as an outpatient procedure and therefore incurs no hospitalisation costs</w:t>
      </w:r>
    </w:p>
    <w:p w14:paraId="080A3C01" w14:textId="77777777" w:rsidR="00F01B4A" w:rsidRDefault="00F01B4A" w:rsidP="00F01B4A">
      <w:pPr>
        <w:pStyle w:val="ListParagraph"/>
        <w:numPr>
          <w:ilvl w:val="0"/>
          <w:numId w:val="30"/>
        </w:numPr>
      </w:pPr>
      <w:r>
        <w:t>chronic complications and crossover from S-ICD to TV-ICD beyond five years of follow-up.</w:t>
      </w:r>
    </w:p>
    <w:p w14:paraId="7B2EE615" w14:textId="0A6A4EDB" w:rsidR="00F01B4A" w:rsidRDefault="00F01B4A" w:rsidP="00443B7C">
      <w:pPr>
        <w:spacing w:before="240"/>
      </w:pPr>
      <w:r>
        <w:t xml:space="preserve">The resubmission estimated that </w:t>
      </w:r>
      <w:r w:rsidRPr="007E087C">
        <w:t xml:space="preserve">S-ICD </w:t>
      </w:r>
      <w:r>
        <w:t>would</w:t>
      </w:r>
      <w:r w:rsidRPr="007E087C">
        <w:t xml:space="preserve"> provide cost savings of </w:t>
      </w:r>
      <w:r w:rsidRPr="003D4190">
        <w:t>$</w:t>
      </w:r>
      <w:r w:rsidR="00403187" w:rsidRPr="00403187">
        <w:rPr>
          <w:b/>
          <w:bCs/>
          <w:color w:val="000000"/>
        </w:rPr>
        <w:t>redacted</w:t>
      </w:r>
      <w:r w:rsidRPr="007E087C">
        <w:t xml:space="preserve"> relative to </w:t>
      </w:r>
      <w:r>
        <w:t>TV-ICD</w:t>
      </w:r>
      <w:r w:rsidRPr="007E087C">
        <w:t xml:space="preserve"> in the CMA base case. Th</w:t>
      </w:r>
      <w:r>
        <w:t>e</w:t>
      </w:r>
      <w:r w:rsidRPr="007E087C">
        <w:t xml:space="preserve"> cost saving </w:t>
      </w:r>
      <w:r>
        <w:t>was</w:t>
      </w:r>
      <w:r w:rsidRPr="007E087C">
        <w:t xml:space="preserve"> a result of lower prostheses and medical service costs during the primary procedure, which are somewhat offset by higher safety costs due to increased crossover from S-ICD to </w:t>
      </w:r>
      <w:r>
        <w:t>TV-ICD</w:t>
      </w:r>
      <w:r w:rsidRPr="007E087C">
        <w:t xml:space="preserve"> and </w:t>
      </w:r>
      <w:r>
        <w:t>cardiac resynchronisation therapy defibrillator (</w:t>
      </w:r>
      <w:r w:rsidRPr="007E087C">
        <w:t>CRT-D</w:t>
      </w:r>
      <w:r>
        <w:t xml:space="preserve">). </w:t>
      </w:r>
      <w:r w:rsidRPr="00461989">
        <w:rPr>
          <w:iCs/>
        </w:rPr>
        <w:t xml:space="preserve">When the costs are recalculated assuming 100% follow-up testing for S-ICD patients (who require </w:t>
      </w:r>
      <w:r w:rsidR="00736C08">
        <w:rPr>
          <w:iCs/>
        </w:rPr>
        <w:t>defibrillation testing (</w:t>
      </w:r>
      <w:r w:rsidRPr="00461989">
        <w:rPr>
          <w:iCs/>
        </w:rPr>
        <w:t>DFT</w:t>
      </w:r>
      <w:r w:rsidR="00736C08">
        <w:rPr>
          <w:iCs/>
        </w:rPr>
        <w:t>)</w:t>
      </w:r>
      <w:r w:rsidRPr="00461989">
        <w:rPr>
          <w:iCs/>
        </w:rPr>
        <w:t xml:space="preserve">) instead of 3.6%, and application of an alternative MBS item for ICD testing, S-ICD is no longer cost-saving relative to </w:t>
      </w:r>
      <w:r>
        <w:rPr>
          <w:iCs/>
        </w:rPr>
        <w:t>TV-ICD</w:t>
      </w:r>
      <w:r w:rsidRPr="00461989">
        <w:t>.</w:t>
      </w:r>
      <w:r>
        <w:t xml:space="preserve"> A comparison of costs adjusted in the commentary is presented in </w:t>
      </w:r>
      <w:r>
        <w:fldChar w:fldCharType="begin"/>
      </w:r>
      <w:r>
        <w:instrText xml:space="preserve"> REF _Ref62801609 \h </w:instrText>
      </w:r>
      <w:r>
        <w:fldChar w:fldCharType="separate"/>
      </w:r>
      <w:r w:rsidR="00113B4B">
        <w:t>Table</w:t>
      </w:r>
      <w:r w:rsidR="00113B4B" w:rsidRPr="0035691E">
        <w:t xml:space="preserve"> </w:t>
      </w:r>
      <w:r w:rsidR="00113B4B">
        <w:rPr>
          <w:noProof/>
        </w:rPr>
        <w:t>8</w:t>
      </w:r>
      <w:r>
        <w:fldChar w:fldCharType="end"/>
      </w:r>
      <w:r>
        <w:t xml:space="preserve">. </w:t>
      </w:r>
    </w:p>
    <w:p w14:paraId="513DAC30" w14:textId="48F4B351" w:rsidR="00F01B4A" w:rsidRDefault="008324EB" w:rsidP="00443B7C">
      <w:pPr>
        <w:spacing w:before="240"/>
      </w:pPr>
      <w:r>
        <w:t>MSAC noted that key assumptions made in the economic model are derived from the PRAETORIAN trial. MSAC noted that younger patients, whom were not a population included in the trial, would require more replacements over their lifetime. Due to S-ICD having a shorter battery lifespan (5-6 years according to literature) compared to TV-ICD (12-14 years), younger patients will be subject to even more replacements if given S-ICD as opposed to TV-IC</w:t>
      </w:r>
      <w:r w:rsidR="00443B7C">
        <w:t>D.</w:t>
      </w:r>
    </w:p>
    <w:p w14:paraId="46039151" w14:textId="1ACB7006" w:rsidR="00F01B4A" w:rsidRDefault="00F01B4A" w:rsidP="00F01B4A">
      <w:pPr>
        <w:pStyle w:val="Caption"/>
      </w:pPr>
      <w:bookmarkStart w:id="14" w:name="_Ref62801609"/>
      <w:bookmarkStart w:id="15" w:name="_Toc399251124"/>
      <w:r>
        <w:lastRenderedPageBreak/>
        <w:t>Table</w:t>
      </w:r>
      <w:r w:rsidRPr="0035691E">
        <w:t xml:space="preserve"> </w:t>
      </w:r>
      <w:fldSimple w:instr=" SEQ Table \* ARABIC ">
        <w:r w:rsidR="00113B4B">
          <w:rPr>
            <w:noProof/>
          </w:rPr>
          <w:t>8</w:t>
        </w:r>
      </w:fldSimple>
      <w:bookmarkEnd w:id="14"/>
      <w:r w:rsidRPr="0035691E">
        <w:tab/>
      </w:r>
      <w:r w:rsidRPr="00E86D24">
        <w:t xml:space="preserve">Comparison of </w:t>
      </w:r>
      <w:r>
        <w:t xml:space="preserve">total </w:t>
      </w:r>
      <w:r w:rsidRPr="00E86D24">
        <w:t xml:space="preserve">health care costs </w:t>
      </w:r>
      <w:r w:rsidRPr="00DC0D0B">
        <w:t>associated</w:t>
      </w:r>
      <w:r w:rsidRPr="00E86D24">
        <w:t xml:space="preserve"> with S-ICD and TV-ICD procedures</w:t>
      </w:r>
    </w:p>
    <w:tbl>
      <w:tblPr>
        <w:tblStyle w:val="OPTUMTableNormal"/>
        <w:tblW w:w="5000" w:type="pct"/>
        <w:tblLook w:val="04A0" w:firstRow="1" w:lastRow="0" w:firstColumn="1" w:lastColumn="0" w:noHBand="0" w:noVBand="1"/>
        <w:tblCaption w:val="Table 6 Comparison of total health care costs associated with S-ICD and TV-ICD procedures"/>
        <w:tblDescription w:val="This table provides a comparison of total health care costs associated with S-ICD and TV-ICD procedures"/>
      </w:tblPr>
      <w:tblGrid>
        <w:gridCol w:w="3396"/>
        <w:gridCol w:w="1874"/>
        <w:gridCol w:w="1874"/>
        <w:gridCol w:w="1872"/>
      </w:tblGrid>
      <w:tr w:rsidR="00F01B4A" w:rsidRPr="00E86D24" w14:paraId="24C71AF1" w14:textId="77777777" w:rsidTr="00F01B4A">
        <w:trPr>
          <w:cnfStyle w:val="100000000000" w:firstRow="1" w:lastRow="0" w:firstColumn="0" w:lastColumn="0" w:oddVBand="0" w:evenVBand="0" w:oddHBand="0" w:evenHBand="0" w:firstRowFirstColumn="0" w:firstRowLastColumn="0" w:lastRowFirstColumn="0" w:lastRowLastColumn="0"/>
          <w:trHeight w:val="290"/>
          <w:tblHeader/>
        </w:trPr>
        <w:tc>
          <w:tcPr>
            <w:tcW w:w="1883" w:type="pct"/>
            <w:noWrap/>
            <w:hideMark/>
          </w:tcPr>
          <w:bookmarkEnd w:id="15"/>
          <w:p w14:paraId="11EAAF23" w14:textId="77777777" w:rsidR="00F01B4A" w:rsidRPr="00E86D24" w:rsidRDefault="00F01B4A" w:rsidP="00F01B4A">
            <w:pPr>
              <w:pStyle w:val="TableHeading"/>
            </w:pPr>
            <w:r>
              <w:t>Input costs</w:t>
            </w:r>
          </w:p>
        </w:tc>
        <w:tc>
          <w:tcPr>
            <w:tcW w:w="1039" w:type="pct"/>
            <w:noWrap/>
            <w:hideMark/>
          </w:tcPr>
          <w:p w14:paraId="734D9BF7" w14:textId="77777777" w:rsidR="00F01B4A" w:rsidRPr="00E86D24" w:rsidRDefault="00F01B4A" w:rsidP="00F01B4A">
            <w:pPr>
              <w:pStyle w:val="TableHeading"/>
              <w:rPr>
                <w:bCs/>
              </w:rPr>
            </w:pPr>
            <w:r w:rsidRPr="00E86D24">
              <w:rPr>
                <w:bCs/>
              </w:rPr>
              <w:t>S-ICD</w:t>
            </w:r>
          </w:p>
        </w:tc>
        <w:tc>
          <w:tcPr>
            <w:tcW w:w="1039" w:type="pct"/>
            <w:noWrap/>
            <w:hideMark/>
          </w:tcPr>
          <w:p w14:paraId="03655329" w14:textId="77777777" w:rsidR="00F01B4A" w:rsidRPr="00E86D24" w:rsidRDefault="00F01B4A" w:rsidP="00F01B4A">
            <w:pPr>
              <w:pStyle w:val="TableHeading"/>
              <w:rPr>
                <w:bCs/>
              </w:rPr>
            </w:pPr>
            <w:r w:rsidRPr="00E86D24">
              <w:rPr>
                <w:bCs/>
              </w:rPr>
              <w:t>TV-ICD</w:t>
            </w:r>
          </w:p>
        </w:tc>
        <w:tc>
          <w:tcPr>
            <w:tcW w:w="1038" w:type="pct"/>
          </w:tcPr>
          <w:p w14:paraId="61340C42" w14:textId="77777777" w:rsidR="00F01B4A" w:rsidRPr="00E86D24" w:rsidRDefault="00F01B4A" w:rsidP="00F01B4A">
            <w:pPr>
              <w:pStyle w:val="TableHeading"/>
              <w:rPr>
                <w:bCs/>
              </w:rPr>
            </w:pPr>
            <w:r w:rsidRPr="00E86D24">
              <w:rPr>
                <w:bCs/>
              </w:rPr>
              <w:t>Difference</w:t>
            </w:r>
          </w:p>
        </w:tc>
      </w:tr>
      <w:tr w:rsidR="00F01B4A" w:rsidRPr="00E86D24" w14:paraId="7BB05A17" w14:textId="77777777" w:rsidTr="00F01B4A">
        <w:trPr>
          <w:trHeight w:val="290"/>
        </w:trPr>
        <w:tc>
          <w:tcPr>
            <w:tcW w:w="1883" w:type="pct"/>
            <w:tcBorders>
              <w:bottom w:val="dotted" w:sz="4" w:space="0" w:color="auto"/>
            </w:tcBorders>
            <w:noWrap/>
          </w:tcPr>
          <w:p w14:paraId="056156A9" w14:textId="77777777" w:rsidR="00F01B4A" w:rsidRPr="00461989" w:rsidRDefault="00F01B4A" w:rsidP="00F01B4A">
            <w:pPr>
              <w:pStyle w:val="TableText1"/>
            </w:pPr>
            <w:r w:rsidRPr="00461989">
              <w:t>Primary procedure costs</w:t>
            </w:r>
          </w:p>
        </w:tc>
        <w:tc>
          <w:tcPr>
            <w:tcW w:w="1039" w:type="pct"/>
            <w:tcBorders>
              <w:bottom w:val="dotted" w:sz="4" w:space="0" w:color="auto"/>
            </w:tcBorders>
            <w:noWrap/>
          </w:tcPr>
          <w:p w14:paraId="02465356" w14:textId="77777777" w:rsidR="00F01B4A" w:rsidRPr="00461989" w:rsidRDefault="00F01B4A" w:rsidP="00F01B4A">
            <w:pPr>
              <w:pStyle w:val="TableText1"/>
            </w:pPr>
            <w:r w:rsidRPr="00461989">
              <w:rPr>
                <w:strike/>
              </w:rPr>
              <w:t>$46,671</w:t>
            </w:r>
            <w:r w:rsidRPr="00461989">
              <w:t xml:space="preserve"> </w:t>
            </w:r>
            <w:r w:rsidRPr="00461989">
              <w:rPr>
                <w:i/>
                <w:iCs/>
              </w:rPr>
              <w:t>$47,300</w:t>
            </w:r>
          </w:p>
        </w:tc>
        <w:tc>
          <w:tcPr>
            <w:tcW w:w="1039" w:type="pct"/>
            <w:tcBorders>
              <w:bottom w:val="dotted" w:sz="4" w:space="0" w:color="auto"/>
            </w:tcBorders>
            <w:noWrap/>
          </w:tcPr>
          <w:p w14:paraId="5EF7B7B9" w14:textId="77777777" w:rsidR="00F01B4A" w:rsidRPr="00461989" w:rsidRDefault="00F01B4A" w:rsidP="00F01B4A">
            <w:pPr>
              <w:pStyle w:val="TableText1"/>
            </w:pPr>
            <w:r w:rsidRPr="00461989">
              <w:rPr>
                <w:strike/>
              </w:rPr>
              <w:t>$47,563</w:t>
            </w:r>
            <w:r w:rsidRPr="00461989">
              <w:t xml:space="preserve"> </w:t>
            </w:r>
            <w:r w:rsidRPr="00461989">
              <w:rPr>
                <w:i/>
                <w:iCs/>
              </w:rPr>
              <w:t>$47,581</w:t>
            </w:r>
          </w:p>
        </w:tc>
        <w:tc>
          <w:tcPr>
            <w:tcW w:w="1038" w:type="pct"/>
            <w:tcBorders>
              <w:bottom w:val="dotted" w:sz="4" w:space="0" w:color="auto"/>
            </w:tcBorders>
          </w:tcPr>
          <w:p w14:paraId="605017DD" w14:textId="77777777" w:rsidR="00F01B4A" w:rsidRPr="00461989" w:rsidRDefault="00F01B4A" w:rsidP="00F01B4A">
            <w:pPr>
              <w:pStyle w:val="TableText1"/>
            </w:pPr>
            <w:r w:rsidRPr="00461989">
              <w:rPr>
                <w:strike/>
              </w:rPr>
              <w:t>-$892</w:t>
            </w:r>
            <w:r w:rsidRPr="00461989">
              <w:t xml:space="preserve"> </w:t>
            </w:r>
            <w:r w:rsidRPr="00461989">
              <w:rPr>
                <w:i/>
                <w:iCs/>
              </w:rPr>
              <w:t>-$282</w:t>
            </w:r>
          </w:p>
        </w:tc>
      </w:tr>
      <w:tr w:rsidR="00F01B4A" w:rsidRPr="00E86D24" w14:paraId="4CD70822" w14:textId="77777777" w:rsidTr="00F01B4A">
        <w:trPr>
          <w:trHeight w:val="290"/>
        </w:trPr>
        <w:tc>
          <w:tcPr>
            <w:tcW w:w="1883" w:type="pct"/>
            <w:tcBorders>
              <w:top w:val="dotted" w:sz="4" w:space="0" w:color="auto"/>
              <w:bottom w:val="dotted" w:sz="4" w:space="0" w:color="auto"/>
            </w:tcBorders>
            <w:noWrap/>
          </w:tcPr>
          <w:p w14:paraId="377D1845" w14:textId="77777777" w:rsidR="00F01B4A" w:rsidRPr="00461989" w:rsidRDefault="00F01B4A" w:rsidP="00F01B4A">
            <w:pPr>
              <w:pStyle w:val="TableText1"/>
              <w:ind w:left="306"/>
              <w:rPr>
                <w:i/>
                <w:iCs/>
              </w:rPr>
            </w:pPr>
            <w:r w:rsidRPr="00461989">
              <w:rPr>
                <w:i/>
                <w:iCs/>
              </w:rPr>
              <w:t>Medical service costs</w:t>
            </w:r>
          </w:p>
        </w:tc>
        <w:tc>
          <w:tcPr>
            <w:tcW w:w="1039" w:type="pct"/>
            <w:tcBorders>
              <w:top w:val="dotted" w:sz="4" w:space="0" w:color="auto"/>
              <w:bottom w:val="dotted" w:sz="4" w:space="0" w:color="auto"/>
            </w:tcBorders>
            <w:noWrap/>
          </w:tcPr>
          <w:p w14:paraId="5518E8E8" w14:textId="77777777" w:rsidR="00F01B4A" w:rsidRPr="00461989" w:rsidRDefault="00F01B4A" w:rsidP="00F01B4A">
            <w:pPr>
              <w:pStyle w:val="TableText1"/>
              <w:ind w:left="177"/>
              <w:rPr>
                <w:i/>
                <w:iCs/>
              </w:rPr>
            </w:pPr>
            <w:r w:rsidRPr="00461989">
              <w:rPr>
                <w:i/>
                <w:iCs/>
                <w:strike/>
              </w:rPr>
              <w:t>$1,476</w:t>
            </w:r>
            <w:r w:rsidRPr="00461989">
              <w:rPr>
                <w:i/>
                <w:iCs/>
              </w:rPr>
              <w:t xml:space="preserve"> $2,104</w:t>
            </w:r>
          </w:p>
        </w:tc>
        <w:tc>
          <w:tcPr>
            <w:tcW w:w="1039" w:type="pct"/>
            <w:tcBorders>
              <w:top w:val="dotted" w:sz="4" w:space="0" w:color="auto"/>
              <w:bottom w:val="dotted" w:sz="4" w:space="0" w:color="auto"/>
            </w:tcBorders>
            <w:noWrap/>
          </w:tcPr>
          <w:p w14:paraId="37ABDDF4" w14:textId="77777777" w:rsidR="00F01B4A" w:rsidRPr="00461989" w:rsidRDefault="00F01B4A" w:rsidP="00F01B4A">
            <w:pPr>
              <w:pStyle w:val="TableText1"/>
              <w:ind w:left="177"/>
              <w:rPr>
                <w:i/>
                <w:iCs/>
              </w:rPr>
            </w:pPr>
            <w:r w:rsidRPr="00461989">
              <w:rPr>
                <w:i/>
                <w:iCs/>
                <w:strike/>
              </w:rPr>
              <w:t>$1,633</w:t>
            </w:r>
            <w:r w:rsidRPr="00461989">
              <w:rPr>
                <w:i/>
                <w:iCs/>
              </w:rPr>
              <w:t xml:space="preserve"> $1,651</w:t>
            </w:r>
          </w:p>
        </w:tc>
        <w:tc>
          <w:tcPr>
            <w:tcW w:w="1038" w:type="pct"/>
            <w:tcBorders>
              <w:top w:val="dotted" w:sz="4" w:space="0" w:color="auto"/>
              <w:bottom w:val="dotted" w:sz="4" w:space="0" w:color="auto"/>
            </w:tcBorders>
          </w:tcPr>
          <w:p w14:paraId="576EB307" w14:textId="77777777" w:rsidR="00F01B4A" w:rsidRPr="00461989" w:rsidRDefault="00F01B4A" w:rsidP="00F01B4A">
            <w:pPr>
              <w:pStyle w:val="TableText1"/>
              <w:ind w:left="177"/>
              <w:rPr>
                <w:i/>
                <w:iCs/>
              </w:rPr>
            </w:pPr>
            <w:r w:rsidRPr="00461989">
              <w:rPr>
                <w:i/>
                <w:iCs/>
                <w:strike/>
              </w:rPr>
              <w:t>-$157</w:t>
            </w:r>
            <w:r w:rsidRPr="00461989">
              <w:rPr>
                <w:i/>
                <w:iCs/>
              </w:rPr>
              <w:t xml:space="preserve"> $453</w:t>
            </w:r>
          </w:p>
        </w:tc>
      </w:tr>
      <w:tr w:rsidR="00F01B4A" w:rsidRPr="003D4190" w14:paraId="646DD21C" w14:textId="77777777" w:rsidTr="00F01B4A">
        <w:trPr>
          <w:trHeight w:val="290"/>
        </w:trPr>
        <w:tc>
          <w:tcPr>
            <w:tcW w:w="1883" w:type="pct"/>
            <w:tcBorders>
              <w:top w:val="dotted" w:sz="4" w:space="0" w:color="auto"/>
              <w:bottom w:val="dotted" w:sz="4" w:space="0" w:color="auto"/>
            </w:tcBorders>
            <w:noWrap/>
          </w:tcPr>
          <w:p w14:paraId="705FCC1A" w14:textId="77777777" w:rsidR="00F01B4A" w:rsidRPr="003D4190" w:rsidRDefault="00F01B4A" w:rsidP="00F01B4A">
            <w:pPr>
              <w:pStyle w:val="TableText1"/>
              <w:ind w:left="306"/>
              <w:rPr>
                <w:i/>
                <w:iCs/>
              </w:rPr>
            </w:pPr>
            <w:r w:rsidRPr="003D4190">
              <w:rPr>
                <w:i/>
                <w:iCs/>
              </w:rPr>
              <w:t>Prostheses costs</w:t>
            </w:r>
          </w:p>
        </w:tc>
        <w:tc>
          <w:tcPr>
            <w:tcW w:w="1039" w:type="pct"/>
            <w:tcBorders>
              <w:top w:val="dotted" w:sz="4" w:space="0" w:color="auto"/>
              <w:bottom w:val="dotted" w:sz="4" w:space="0" w:color="auto"/>
            </w:tcBorders>
            <w:noWrap/>
          </w:tcPr>
          <w:p w14:paraId="2625F3CA" w14:textId="77777777" w:rsidR="00F01B4A" w:rsidRPr="003D4190" w:rsidRDefault="00F01B4A" w:rsidP="00F01B4A">
            <w:pPr>
              <w:pStyle w:val="TableText1"/>
              <w:ind w:left="177"/>
              <w:rPr>
                <w:i/>
                <w:iCs/>
              </w:rPr>
            </w:pPr>
            <w:r w:rsidRPr="003D4190">
              <w:rPr>
                <w:i/>
                <w:iCs/>
              </w:rPr>
              <w:t>$34,392</w:t>
            </w:r>
          </w:p>
        </w:tc>
        <w:tc>
          <w:tcPr>
            <w:tcW w:w="1039" w:type="pct"/>
            <w:tcBorders>
              <w:top w:val="dotted" w:sz="4" w:space="0" w:color="auto"/>
              <w:bottom w:val="dotted" w:sz="4" w:space="0" w:color="auto"/>
            </w:tcBorders>
            <w:noWrap/>
          </w:tcPr>
          <w:p w14:paraId="1906470E" w14:textId="77777777" w:rsidR="00F01B4A" w:rsidRPr="003D4190" w:rsidRDefault="00F01B4A" w:rsidP="00F01B4A">
            <w:pPr>
              <w:pStyle w:val="TableText1"/>
              <w:ind w:left="177"/>
              <w:rPr>
                <w:i/>
                <w:iCs/>
              </w:rPr>
            </w:pPr>
            <w:r w:rsidRPr="003D4190">
              <w:rPr>
                <w:i/>
                <w:iCs/>
              </w:rPr>
              <w:t>$35,127</w:t>
            </w:r>
          </w:p>
        </w:tc>
        <w:tc>
          <w:tcPr>
            <w:tcW w:w="1038" w:type="pct"/>
            <w:tcBorders>
              <w:top w:val="dotted" w:sz="4" w:space="0" w:color="auto"/>
              <w:bottom w:val="dotted" w:sz="4" w:space="0" w:color="auto"/>
            </w:tcBorders>
          </w:tcPr>
          <w:p w14:paraId="20E0A02E" w14:textId="77777777" w:rsidR="00F01B4A" w:rsidRPr="003D4190" w:rsidRDefault="00F01B4A" w:rsidP="00F01B4A">
            <w:pPr>
              <w:pStyle w:val="TableText1"/>
              <w:ind w:left="177"/>
              <w:rPr>
                <w:i/>
                <w:iCs/>
              </w:rPr>
            </w:pPr>
            <w:r w:rsidRPr="003D4190">
              <w:rPr>
                <w:i/>
                <w:iCs/>
              </w:rPr>
              <w:t>-$735</w:t>
            </w:r>
          </w:p>
        </w:tc>
      </w:tr>
      <w:tr w:rsidR="00F01B4A" w:rsidRPr="003D4190" w14:paraId="25092713" w14:textId="77777777" w:rsidTr="00F01B4A">
        <w:trPr>
          <w:trHeight w:val="290"/>
        </w:trPr>
        <w:tc>
          <w:tcPr>
            <w:tcW w:w="1883" w:type="pct"/>
            <w:tcBorders>
              <w:top w:val="dotted" w:sz="4" w:space="0" w:color="auto"/>
              <w:bottom w:val="single" w:sz="4" w:space="0" w:color="auto"/>
            </w:tcBorders>
            <w:noWrap/>
          </w:tcPr>
          <w:p w14:paraId="64226E5C" w14:textId="77777777" w:rsidR="00F01B4A" w:rsidRPr="003D4190" w:rsidRDefault="00F01B4A" w:rsidP="00F01B4A">
            <w:pPr>
              <w:pStyle w:val="TableText1"/>
              <w:ind w:left="306"/>
              <w:rPr>
                <w:i/>
                <w:iCs/>
              </w:rPr>
            </w:pPr>
            <w:r w:rsidRPr="003D4190">
              <w:rPr>
                <w:i/>
                <w:iCs/>
              </w:rPr>
              <w:t>Hospitalisation costs</w:t>
            </w:r>
          </w:p>
        </w:tc>
        <w:tc>
          <w:tcPr>
            <w:tcW w:w="1039" w:type="pct"/>
            <w:tcBorders>
              <w:top w:val="dotted" w:sz="4" w:space="0" w:color="auto"/>
              <w:bottom w:val="single" w:sz="4" w:space="0" w:color="auto"/>
            </w:tcBorders>
            <w:noWrap/>
          </w:tcPr>
          <w:p w14:paraId="17F0B8BC" w14:textId="77777777" w:rsidR="00F01B4A" w:rsidRPr="003D4190" w:rsidRDefault="00F01B4A" w:rsidP="00F01B4A">
            <w:pPr>
              <w:pStyle w:val="TableText1"/>
              <w:ind w:left="177"/>
              <w:rPr>
                <w:i/>
                <w:iCs/>
              </w:rPr>
            </w:pPr>
            <w:r w:rsidRPr="003D4190">
              <w:rPr>
                <w:i/>
                <w:iCs/>
              </w:rPr>
              <w:t>$10,803</w:t>
            </w:r>
          </w:p>
        </w:tc>
        <w:tc>
          <w:tcPr>
            <w:tcW w:w="1039" w:type="pct"/>
            <w:tcBorders>
              <w:top w:val="dotted" w:sz="4" w:space="0" w:color="auto"/>
              <w:bottom w:val="single" w:sz="4" w:space="0" w:color="auto"/>
            </w:tcBorders>
            <w:noWrap/>
          </w:tcPr>
          <w:p w14:paraId="08EBBAB3" w14:textId="77777777" w:rsidR="00F01B4A" w:rsidRPr="003D4190" w:rsidRDefault="00F01B4A" w:rsidP="00F01B4A">
            <w:pPr>
              <w:pStyle w:val="TableText1"/>
              <w:ind w:left="177"/>
              <w:rPr>
                <w:i/>
                <w:iCs/>
              </w:rPr>
            </w:pPr>
            <w:r w:rsidRPr="003D4190">
              <w:rPr>
                <w:i/>
                <w:iCs/>
              </w:rPr>
              <w:t>$10,803</w:t>
            </w:r>
          </w:p>
        </w:tc>
        <w:tc>
          <w:tcPr>
            <w:tcW w:w="1038" w:type="pct"/>
            <w:tcBorders>
              <w:top w:val="dotted" w:sz="4" w:space="0" w:color="auto"/>
              <w:bottom w:val="single" w:sz="4" w:space="0" w:color="auto"/>
            </w:tcBorders>
          </w:tcPr>
          <w:p w14:paraId="5666138F" w14:textId="77777777" w:rsidR="00F01B4A" w:rsidRPr="003D4190" w:rsidRDefault="00F01B4A" w:rsidP="00F01B4A">
            <w:pPr>
              <w:pStyle w:val="TableText1"/>
              <w:ind w:left="177"/>
              <w:rPr>
                <w:i/>
                <w:iCs/>
              </w:rPr>
            </w:pPr>
            <w:r w:rsidRPr="003D4190">
              <w:rPr>
                <w:i/>
                <w:iCs/>
              </w:rPr>
              <w:t>$0</w:t>
            </w:r>
          </w:p>
        </w:tc>
      </w:tr>
      <w:tr w:rsidR="00F01B4A" w:rsidRPr="003D4190" w14:paraId="37EC8695" w14:textId="77777777" w:rsidTr="00F01B4A">
        <w:trPr>
          <w:trHeight w:val="300"/>
        </w:trPr>
        <w:tc>
          <w:tcPr>
            <w:tcW w:w="1883" w:type="pct"/>
            <w:tcBorders>
              <w:bottom w:val="dotted" w:sz="4" w:space="0" w:color="auto"/>
            </w:tcBorders>
            <w:noWrap/>
          </w:tcPr>
          <w:p w14:paraId="6B2CBA5F" w14:textId="77777777" w:rsidR="00F01B4A" w:rsidRPr="003D4190" w:rsidRDefault="00F01B4A" w:rsidP="00F01B4A">
            <w:pPr>
              <w:pStyle w:val="TableText1"/>
            </w:pPr>
            <w:r w:rsidRPr="003D4190">
              <w:t>Safety costs</w:t>
            </w:r>
          </w:p>
        </w:tc>
        <w:tc>
          <w:tcPr>
            <w:tcW w:w="1039" w:type="pct"/>
            <w:tcBorders>
              <w:bottom w:val="dotted" w:sz="4" w:space="0" w:color="auto"/>
            </w:tcBorders>
            <w:noWrap/>
          </w:tcPr>
          <w:p w14:paraId="2DF6D0BD" w14:textId="77777777" w:rsidR="00F01B4A" w:rsidRPr="003D4190" w:rsidRDefault="00F01B4A" w:rsidP="00F01B4A">
            <w:pPr>
              <w:pStyle w:val="TableText1"/>
            </w:pPr>
            <w:r w:rsidRPr="003D4190">
              <w:rPr>
                <w:strike/>
              </w:rPr>
              <w:t>$1,773</w:t>
            </w:r>
            <w:r w:rsidRPr="003D4190">
              <w:t xml:space="preserve"> </w:t>
            </w:r>
            <w:r w:rsidRPr="003D4190">
              <w:rPr>
                <w:i/>
                <w:iCs/>
              </w:rPr>
              <w:t>$1,766</w:t>
            </w:r>
          </w:p>
        </w:tc>
        <w:tc>
          <w:tcPr>
            <w:tcW w:w="1039" w:type="pct"/>
            <w:tcBorders>
              <w:bottom w:val="dotted" w:sz="4" w:space="0" w:color="auto"/>
            </w:tcBorders>
            <w:noWrap/>
          </w:tcPr>
          <w:p w14:paraId="70B2B0CF" w14:textId="77777777" w:rsidR="00F01B4A" w:rsidRPr="003D4190" w:rsidRDefault="00F01B4A" w:rsidP="00F01B4A">
            <w:pPr>
              <w:pStyle w:val="TableText1"/>
            </w:pPr>
            <w:r w:rsidRPr="003D4190">
              <w:rPr>
                <w:strike/>
              </w:rPr>
              <w:t>$1,370</w:t>
            </w:r>
            <w:r w:rsidRPr="003D4190">
              <w:t xml:space="preserve"> </w:t>
            </w:r>
            <w:r w:rsidRPr="003D4190">
              <w:rPr>
                <w:i/>
                <w:iCs/>
              </w:rPr>
              <w:t>$1,374</w:t>
            </w:r>
          </w:p>
        </w:tc>
        <w:tc>
          <w:tcPr>
            <w:tcW w:w="1038" w:type="pct"/>
            <w:tcBorders>
              <w:bottom w:val="dotted" w:sz="4" w:space="0" w:color="auto"/>
            </w:tcBorders>
          </w:tcPr>
          <w:p w14:paraId="1235E05A" w14:textId="77777777" w:rsidR="00F01B4A" w:rsidRPr="003D4190" w:rsidRDefault="00F01B4A" w:rsidP="00F01B4A">
            <w:pPr>
              <w:pStyle w:val="TableText1"/>
            </w:pPr>
            <w:r w:rsidRPr="003D4190">
              <w:rPr>
                <w:strike/>
              </w:rPr>
              <w:t>$403</w:t>
            </w:r>
            <w:r w:rsidRPr="003D4190">
              <w:t xml:space="preserve"> </w:t>
            </w:r>
            <w:r w:rsidRPr="003D4190">
              <w:rPr>
                <w:i/>
                <w:iCs/>
              </w:rPr>
              <w:t>$391</w:t>
            </w:r>
          </w:p>
        </w:tc>
      </w:tr>
      <w:tr w:rsidR="00F01B4A" w:rsidRPr="003D4190" w14:paraId="540449CA" w14:textId="77777777" w:rsidTr="00F01B4A">
        <w:trPr>
          <w:trHeight w:val="300"/>
        </w:trPr>
        <w:tc>
          <w:tcPr>
            <w:tcW w:w="1883" w:type="pct"/>
            <w:tcBorders>
              <w:top w:val="dotted" w:sz="4" w:space="0" w:color="auto"/>
              <w:bottom w:val="dotted" w:sz="4" w:space="0" w:color="auto"/>
            </w:tcBorders>
            <w:noWrap/>
          </w:tcPr>
          <w:p w14:paraId="07F3CA37" w14:textId="77777777" w:rsidR="00F01B4A" w:rsidRPr="003D4190" w:rsidRDefault="00F01B4A" w:rsidP="00F01B4A">
            <w:pPr>
              <w:pStyle w:val="TableText1"/>
              <w:ind w:left="306"/>
              <w:rPr>
                <w:i/>
                <w:iCs/>
              </w:rPr>
            </w:pPr>
            <w:r w:rsidRPr="003D4190">
              <w:rPr>
                <w:i/>
                <w:iCs/>
              </w:rPr>
              <w:t>Device-related complication costs</w:t>
            </w:r>
          </w:p>
        </w:tc>
        <w:tc>
          <w:tcPr>
            <w:tcW w:w="1039" w:type="pct"/>
            <w:tcBorders>
              <w:top w:val="dotted" w:sz="4" w:space="0" w:color="auto"/>
              <w:bottom w:val="dotted" w:sz="4" w:space="0" w:color="auto"/>
            </w:tcBorders>
            <w:noWrap/>
          </w:tcPr>
          <w:p w14:paraId="2EA1496B" w14:textId="77777777" w:rsidR="00F01B4A" w:rsidRPr="003D4190" w:rsidRDefault="00F01B4A" w:rsidP="00F01B4A">
            <w:pPr>
              <w:pStyle w:val="TableText1"/>
              <w:ind w:left="177"/>
              <w:rPr>
                <w:i/>
                <w:iCs/>
              </w:rPr>
            </w:pPr>
            <w:r w:rsidRPr="003D4190">
              <w:rPr>
                <w:i/>
                <w:iCs/>
              </w:rPr>
              <w:t>$637</w:t>
            </w:r>
          </w:p>
        </w:tc>
        <w:tc>
          <w:tcPr>
            <w:tcW w:w="1039" w:type="pct"/>
            <w:tcBorders>
              <w:top w:val="dotted" w:sz="4" w:space="0" w:color="auto"/>
              <w:bottom w:val="dotted" w:sz="4" w:space="0" w:color="auto"/>
            </w:tcBorders>
            <w:noWrap/>
          </w:tcPr>
          <w:p w14:paraId="7C8A5281" w14:textId="77777777" w:rsidR="00F01B4A" w:rsidRPr="003D4190" w:rsidRDefault="00F01B4A" w:rsidP="00F01B4A">
            <w:pPr>
              <w:pStyle w:val="TableText1"/>
              <w:ind w:left="177"/>
              <w:rPr>
                <w:i/>
                <w:iCs/>
              </w:rPr>
            </w:pPr>
            <w:r w:rsidRPr="003D4190">
              <w:rPr>
                <w:i/>
                <w:iCs/>
              </w:rPr>
              <w:t>$1,059</w:t>
            </w:r>
          </w:p>
        </w:tc>
        <w:tc>
          <w:tcPr>
            <w:tcW w:w="1038" w:type="pct"/>
            <w:tcBorders>
              <w:top w:val="dotted" w:sz="4" w:space="0" w:color="auto"/>
              <w:bottom w:val="dotted" w:sz="4" w:space="0" w:color="auto"/>
            </w:tcBorders>
          </w:tcPr>
          <w:p w14:paraId="618C0763" w14:textId="77777777" w:rsidR="00F01B4A" w:rsidRPr="003D4190" w:rsidRDefault="00F01B4A" w:rsidP="00F01B4A">
            <w:pPr>
              <w:pStyle w:val="TableText1"/>
              <w:ind w:left="177"/>
              <w:rPr>
                <w:i/>
                <w:iCs/>
              </w:rPr>
            </w:pPr>
            <w:r w:rsidRPr="003D4190">
              <w:rPr>
                <w:i/>
                <w:iCs/>
              </w:rPr>
              <w:t>-$421</w:t>
            </w:r>
          </w:p>
        </w:tc>
      </w:tr>
      <w:tr w:rsidR="00F01B4A" w:rsidRPr="003D4190" w14:paraId="165DF315" w14:textId="77777777" w:rsidTr="00F01B4A">
        <w:trPr>
          <w:trHeight w:val="300"/>
        </w:trPr>
        <w:tc>
          <w:tcPr>
            <w:tcW w:w="1883" w:type="pct"/>
            <w:tcBorders>
              <w:top w:val="dotted" w:sz="4" w:space="0" w:color="auto"/>
            </w:tcBorders>
            <w:noWrap/>
          </w:tcPr>
          <w:p w14:paraId="438FA8A5" w14:textId="77777777" w:rsidR="00F01B4A" w:rsidRPr="003D4190" w:rsidRDefault="00F01B4A" w:rsidP="00F01B4A">
            <w:pPr>
              <w:pStyle w:val="TableText1"/>
              <w:ind w:left="306"/>
              <w:rPr>
                <w:i/>
                <w:iCs/>
              </w:rPr>
            </w:pPr>
            <w:r w:rsidRPr="003D4190">
              <w:rPr>
                <w:i/>
                <w:iCs/>
              </w:rPr>
              <w:t>Crossover costs</w:t>
            </w:r>
          </w:p>
        </w:tc>
        <w:tc>
          <w:tcPr>
            <w:tcW w:w="1039" w:type="pct"/>
            <w:tcBorders>
              <w:top w:val="dotted" w:sz="4" w:space="0" w:color="auto"/>
            </w:tcBorders>
            <w:noWrap/>
          </w:tcPr>
          <w:p w14:paraId="794588BF" w14:textId="77777777" w:rsidR="00F01B4A" w:rsidRPr="003D4190" w:rsidRDefault="00F01B4A" w:rsidP="00F01B4A">
            <w:pPr>
              <w:pStyle w:val="TableText1"/>
              <w:ind w:left="177"/>
              <w:rPr>
                <w:i/>
                <w:iCs/>
              </w:rPr>
            </w:pPr>
            <w:r w:rsidRPr="003D4190">
              <w:rPr>
                <w:i/>
                <w:iCs/>
                <w:strike/>
              </w:rPr>
              <w:t>$1,136</w:t>
            </w:r>
            <w:r w:rsidRPr="003D4190">
              <w:rPr>
                <w:i/>
                <w:iCs/>
              </w:rPr>
              <w:t xml:space="preserve"> $1,128</w:t>
            </w:r>
          </w:p>
        </w:tc>
        <w:tc>
          <w:tcPr>
            <w:tcW w:w="1039" w:type="pct"/>
            <w:tcBorders>
              <w:top w:val="dotted" w:sz="4" w:space="0" w:color="auto"/>
            </w:tcBorders>
            <w:noWrap/>
          </w:tcPr>
          <w:p w14:paraId="7B9BFA2C" w14:textId="77777777" w:rsidR="00F01B4A" w:rsidRPr="003D4190" w:rsidRDefault="00F01B4A" w:rsidP="00F01B4A">
            <w:pPr>
              <w:pStyle w:val="TableText1"/>
              <w:ind w:left="177"/>
              <w:rPr>
                <w:i/>
                <w:iCs/>
              </w:rPr>
            </w:pPr>
            <w:r w:rsidRPr="003D4190">
              <w:rPr>
                <w:i/>
                <w:iCs/>
                <w:strike/>
              </w:rPr>
              <w:t>$311</w:t>
            </w:r>
            <w:r w:rsidRPr="003D4190">
              <w:rPr>
                <w:i/>
                <w:iCs/>
              </w:rPr>
              <w:t xml:space="preserve"> $316</w:t>
            </w:r>
          </w:p>
        </w:tc>
        <w:tc>
          <w:tcPr>
            <w:tcW w:w="1038" w:type="pct"/>
            <w:tcBorders>
              <w:top w:val="dotted" w:sz="4" w:space="0" w:color="auto"/>
            </w:tcBorders>
          </w:tcPr>
          <w:p w14:paraId="29D974AE" w14:textId="77777777" w:rsidR="00F01B4A" w:rsidRPr="003D4190" w:rsidRDefault="00F01B4A" w:rsidP="00F01B4A">
            <w:pPr>
              <w:pStyle w:val="TableText1"/>
              <w:ind w:left="177"/>
              <w:rPr>
                <w:i/>
                <w:iCs/>
              </w:rPr>
            </w:pPr>
            <w:r w:rsidRPr="003D4190">
              <w:rPr>
                <w:i/>
                <w:iCs/>
                <w:strike/>
              </w:rPr>
              <w:t>$825</w:t>
            </w:r>
            <w:r w:rsidRPr="003D4190">
              <w:rPr>
                <w:i/>
                <w:iCs/>
              </w:rPr>
              <w:t xml:space="preserve"> $813</w:t>
            </w:r>
          </w:p>
        </w:tc>
      </w:tr>
      <w:tr w:rsidR="00F01B4A" w:rsidRPr="00E86D24" w14:paraId="6B04BF76" w14:textId="77777777" w:rsidTr="00F01B4A">
        <w:trPr>
          <w:trHeight w:val="300"/>
        </w:trPr>
        <w:tc>
          <w:tcPr>
            <w:tcW w:w="1883" w:type="pct"/>
            <w:noWrap/>
            <w:hideMark/>
          </w:tcPr>
          <w:p w14:paraId="2D432520" w14:textId="77777777" w:rsidR="00F01B4A" w:rsidRPr="003D4190" w:rsidRDefault="00F01B4A" w:rsidP="00F01B4A">
            <w:pPr>
              <w:pStyle w:val="TableText1"/>
              <w:rPr>
                <w:b/>
                <w:bCs/>
              </w:rPr>
            </w:pPr>
            <w:r w:rsidRPr="003D4190">
              <w:rPr>
                <w:b/>
                <w:bCs/>
              </w:rPr>
              <w:t>Total costs</w:t>
            </w:r>
          </w:p>
        </w:tc>
        <w:tc>
          <w:tcPr>
            <w:tcW w:w="1039" w:type="pct"/>
            <w:noWrap/>
            <w:hideMark/>
          </w:tcPr>
          <w:p w14:paraId="03F414D2" w14:textId="77777777" w:rsidR="00F01B4A" w:rsidRPr="003D4190" w:rsidRDefault="00F01B4A" w:rsidP="00F01B4A">
            <w:pPr>
              <w:pStyle w:val="TableText1"/>
              <w:rPr>
                <w:b/>
                <w:bCs/>
              </w:rPr>
            </w:pPr>
            <w:r w:rsidRPr="003D4190">
              <w:rPr>
                <w:b/>
                <w:bCs/>
                <w:strike/>
              </w:rPr>
              <w:t>$48,444</w:t>
            </w:r>
            <w:r w:rsidRPr="003D4190">
              <w:rPr>
                <w:b/>
                <w:bCs/>
              </w:rPr>
              <w:t xml:space="preserve"> </w:t>
            </w:r>
            <w:r w:rsidRPr="003D4190">
              <w:rPr>
                <w:b/>
                <w:bCs/>
                <w:i/>
                <w:iCs/>
              </w:rPr>
              <w:t>$49,065</w:t>
            </w:r>
          </w:p>
        </w:tc>
        <w:tc>
          <w:tcPr>
            <w:tcW w:w="1039" w:type="pct"/>
            <w:noWrap/>
            <w:hideMark/>
          </w:tcPr>
          <w:p w14:paraId="45CF67BF" w14:textId="77777777" w:rsidR="00F01B4A" w:rsidRPr="003D4190" w:rsidRDefault="00F01B4A" w:rsidP="00F01B4A">
            <w:pPr>
              <w:pStyle w:val="TableText1"/>
              <w:rPr>
                <w:b/>
                <w:bCs/>
              </w:rPr>
            </w:pPr>
            <w:r w:rsidRPr="003D4190">
              <w:rPr>
                <w:b/>
                <w:bCs/>
                <w:strike/>
              </w:rPr>
              <w:t>$48,933</w:t>
            </w:r>
            <w:r w:rsidRPr="003D4190">
              <w:rPr>
                <w:b/>
                <w:bCs/>
              </w:rPr>
              <w:t xml:space="preserve"> </w:t>
            </w:r>
            <w:r w:rsidRPr="003D4190">
              <w:rPr>
                <w:b/>
                <w:bCs/>
                <w:i/>
                <w:iCs/>
              </w:rPr>
              <w:t>$48,956</w:t>
            </w:r>
          </w:p>
        </w:tc>
        <w:tc>
          <w:tcPr>
            <w:tcW w:w="1038" w:type="pct"/>
          </w:tcPr>
          <w:p w14:paraId="40CBF1B7" w14:textId="77777777" w:rsidR="00F01B4A" w:rsidRPr="003D4190" w:rsidRDefault="00F01B4A" w:rsidP="00F01B4A">
            <w:pPr>
              <w:pStyle w:val="TableText1"/>
              <w:rPr>
                <w:b/>
                <w:bCs/>
              </w:rPr>
            </w:pPr>
            <w:r w:rsidRPr="003D4190">
              <w:rPr>
                <w:b/>
                <w:bCs/>
                <w:strike/>
              </w:rPr>
              <w:t>-$489</w:t>
            </w:r>
            <w:r w:rsidRPr="003D4190">
              <w:rPr>
                <w:b/>
                <w:bCs/>
              </w:rPr>
              <w:t xml:space="preserve"> </w:t>
            </w:r>
            <w:r w:rsidRPr="003D4190">
              <w:rPr>
                <w:b/>
                <w:bCs/>
                <w:i/>
                <w:iCs/>
              </w:rPr>
              <w:t>$110</w:t>
            </w:r>
          </w:p>
        </w:tc>
      </w:tr>
    </w:tbl>
    <w:p w14:paraId="303204BC" w14:textId="77777777" w:rsidR="00F01B4A" w:rsidRDefault="00F01B4A" w:rsidP="00F01B4A">
      <w:pPr>
        <w:pStyle w:val="Tablecaption"/>
      </w:pPr>
      <w:r>
        <w:t xml:space="preserve">Source: Table 6, </w:t>
      </w:r>
      <w:proofErr w:type="spellStart"/>
      <w:r>
        <w:t>pxxiii</w:t>
      </w:r>
      <w:proofErr w:type="spellEnd"/>
      <w:r>
        <w:t xml:space="preserve"> of the commentary; based on Table D-18, p.87 of the ADAR, with commentary amendments in italics and strikethrough</w:t>
      </w:r>
    </w:p>
    <w:p w14:paraId="09EC654F" w14:textId="77777777" w:rsidR="00F01B4A" w:rsidRPr="00D80861" w:rsidRDefault="00F01B4A" w:rsidP="00F01B4A">
      <w:pPr>
        <w:pStyle w:val="Tablecaption"/>
        <w:rPr>
          <w:iCs/>
          <w:snapToGrid w:val="0"/>
        </w:rPr>
      </w:pPr>
      <w:r w:rsidRPr="00D80861">
        <w:rPr>
          <w:iCs/>
          <w:snapToGrid w:val="0"/>
        </w:rPr>
        <w:t>Abbreviations: S-ICD=subcutaneous implantable cardioverter defibrillator; TV-ICD=transvenous implantable cardioverter defibrillator</w:t>
      </w:r>
    </w:p>
    <w:p w14:paraId="45524BC0" w14:textId="69DF2B00" w:rsidR="00F01B4A" w:rsidRDefault="009D0D88" w:rsidP="00443B7C">
      <w:pPr>
        <w:spacing w:before="240"/>
      </w:pPr>
      <w:r>
        <w:t>No</w:t>
      </w:r>
      <w:r w:rsidR="00F01B4A">
        <w:t xml:space="preserve"> sensitivity analyses were provided in the resubmission.</w:t>
      </w:r>
      <w:r w:rsidR="00F01B4A" w:rsidRPr="00461989">
        <w:t xml:space="preserve"> </w:t>
      </w:r>
      <w:r w:rsidR="00F01B4A" w:rsidRPr="00BE4C75">
        <w:t>The</w:t>
      </w:r>
      <w:r w:rsidR="00F01B4A" w:rsidRPr="000C130F">
        <w:rPr>
          <w:i/>
        </w:rPr>
        <w:t xml:space="preserve"> </w:t>
      </w:r>
      <w:r w:rsidR="00443B7C">
        <w:t>C</w:t>
      </w:r>
      <w:r w:rsidR="00F01B4A" w:rsidRPr="00BE4C75">
        <w:t xml:space="preserve">ommentary conducted some limited sensitivity analyses in which all but two of the analyses, the CMA showed higher costs for S-ICD relative to </w:t>
      </w:r>
      <w:r w:rsidR="00F01B4A">
        <w:t>TV-ICD (</w:t>
      </w:r>
      <w:r w:rsidR="00F01B4A">
        <w:fldChar w:fldCharType="begin"/>
      </w:r>
      <w:r w:rsidR="00F01B4A">
        <w:instrText xml:space="preserve"> REF _Ref58313059 \h </w:instrText>
      </w:r>
      <w:r w:rsidR="00F01B4A">
        <w:fldChar w:fldCharType="separate"/>
      </w:r>
      <w:r w:rsidR="00113B4B">
        <w:t xml:space="preserve">Table </w:t>
      </w:r>
      <w:r w:rsidR="00113B4B">
        <w:rPr>
          <w:noProof/>
        </w:rPr>
        <w:t>9</w:t>
      </w:r>
      <w:r w:rsidR="00F01B4A">
        <w:fldChar w:fldCharType="end"/>
      </w:r>
      <w:r w:rsidR="00F01B4A">
        <w:t>)</w:t>
      </w:r>
      <w:r w:rsidR="00F01B4A" w:rsidRPr="00BE4C75">
        <w:t>.</w:t>
      </w:r>
    </w:p>
    <w:p w14:paraId="4ABE39B1" w14:textId="1F7A2C8B" w:rsidR="00F01B4A" w:rsidRPr="00E86D24" w:rsidRDefault="00F01B4A" w:rsidP="00443B7C">
      <w:pPr>
        <w:pStyle w:val="Caption"/>
        <w:spacing w:before="240"/>
      </w:pPr>
      <w:bookmarkStart w:id="16" w:name="_Ref58313059"/>
      <w:r>
        <w:t xml:space="preserve">Table </w:t>
      </w:r>
      <w:fldSimple w:instr=" SEQ Table \* ARABIC ">
        <w:r w:rsidR="00113B4B">
          <w:rPr>
            <w:noProof/>
          </w:rPr>
          <w:t>9</w:t>
        </w:r>
      </w:fldSimple>
      <w:bookmarkEnd w:id="16"/>
      <w:r>
        <w:t xml:space="preserve"> </w:t>
      </w:r>
      <w:r w:rsidRPr="00E86D24">
        <w:t xml:space="preserve">Comparison of </w:t>
      </w:r>
      <w:r>
        <w:t xml:space="preserve">total </w:t>
      </w:r>
      <w:r w:rsidRPr="00E86D24">
        <w:t xml:space="preserve">health care costs </w:t>
      </w:r>
      <w:r w:rsidRPr="00DC0D0B">
        <w:t>associated</w:t>
      </w:r>
      <w:r w:rsidRPr="00E86D24">
        <w:t xml:space="preserve"> with S-ICD and TV-ICD procedures</w:t>
      </w:r>
    </w:p>
    <w:tbl>
      <w:tblPr>
        <w:tblStyle w:val="OPTUMTableNormal"/>
        <w:tblW w:w="5000" w:type="pct"/>
        <w:tblLayout w:type="fixed"/>
        <w:tblLook w:val="04A0" w:firstRow="1" w:lastRow="0" w:firstColumn="1" w:lastColumn="0" w:noHBand="0" w:noVBand="1"/>
        <w:tblCaption w:val="Table 32 Comparison of total health care costs associated with S-ICD and TV-ICD procedures"/>
        <w:tblDescription w:val="This table provides a comparison of total health care costs associated with S-ICD and TV-ICD procedures."/>
      </w:tblPr>
      <w:tblGrid>
        <w:gridCol w:w="5951"/>
        <w:gridCol w:w="1022"/>
        <w:gridCol w:w="1022"/>
        <w:gridCol w:w="1021"/>
      </w:tblGrid>
      <w:tr w:rsidR="00F01B4A" w:rsidRPr="00E86D24" w14:paraId="1BCA827F" w14:textId="77777777" w:rsidTr="00F01B4A">
        <w:trPr>
          <w:cnfStyle w:val="100000000000" w:firstRow="1" w:lastRow="0" w:firstColumn="0" w:lastColumn="0" w:oddVBand="0" w:evenVBand="0" w:oddHBand="0" w:evenHBand="0" w:firstRowFirstColumn="0" w:firstRowLastColumn="0" w:lastRowFirstColumn="0" w:lastRowLastColumn="0"/>
          <w:trHeight w:val="290"/>
          <w:tblHeader/>
        </w:trPr>
        <w:tc>
          <w:tcPr>
            <w:tcW w:w="3300" w:type="pct"/>
            <w:noWrap/>
            <w:hideMark/>
          </w:tcPr>
          <w:p w14:paraId="7EB8136A" w14:textId="77777777" w:rsidR="00F01B4A" w:rsidRPr="00711033" w:rsidRDefault="00F01B4A" w:rsidP="00F01B4A">
            <w:pPr>
              <w:pStyle w:val="TableHeading"/>
            </w:pPr>
            <w:r w:rsidRPr="00711033">
              <w:t>Analysis</w:t>
            </w:r>
          </w:p>
        </w:tc>
        <w:tc>
          <w:tcPr>
            <w:tcW w:w="567" w:type="pct"/>
            <w:noWrap/>
            <w:hideMark/>
          </w:tcPr>
          <w:p w14:paraId="76CDC62F" w14:textId="77777777" w:rsidR="00F01B4A" w:rsidRPr="00711033" w:rsidRDefault="00F01B4A" w:rsidP="00F01B4A">
            <w:pPr>
              <w:pStyle w:val="TableHeading"/>
            </w:pPr>
            <w:r w:rsidRPr="00711033">
              <w:t>S-ICD</w:t>
            </w:r>
          </w:p>
        </w:tc>
        <w:tc>
          <w:tcPr>
            <w:tcW w:w="567" w:type="pct"/>
            <w:noWrap/>
            <w:hideMark/>
          </w:tcPr>
          <w:p w14:paraId="4F3902DE" w14:textId="77777777" w:rsidR="00F01B4A" w:rsidRPr="00711033" w:rsidRDefault="00F01B4A" w:rsidP="00F01B4A">
            <w:pPr>
              <w:pStyle w:val="TableHeading"/>
            </w:pPr>
            <w:r w:rsidRPr="00711033">
              <w:t>TV-ICD</w:t>
            </w:r>
          </w:p>
        </w:tc>
        <w:tc>
          <w:tcPr>
            <w:tcW w:w="566" w:type="pct"/>
          </w:tcPr>
          <w:p w14:paraId="592FD9FC" w14:textId="77777777" w:rsidR="00F01B4A" w:rsidRPr="00711033" w:rsidRDefault="00F01B4A" w:rsidP="00F01B4A">
            <w:pPr>
              <w:pStyle w:val="TableHeading"/>
            </w:pPr>
            <w:r w:rsidRPr="00711033">
              <w:t>Difference</w:t>
            </w:r>
          </w:p>
        </w:tc>
      </w:tr>
      <w:tr w:rsidR="00F01B4A" w:rsidRPr="00E86D24" w14:paraId="73F4D68B" w14:textId="77777777" w:rsidTr="00F01B4A">
        <w:trPr>
          <w:trHeight w:val="300"/>
        </w:trPr>
        <w:tc>
          <w:tcPr>
            <w:tcW w:w="3300" w:type="pct"/>
            <w:noWrap/>
          </w:tcPr>
          <w:p w14:paraId="42FD15D5" w14:textId="77777777" w:rsidR="00F01B4A" w:rsidRPr="00711033" w:rsidRDefault="00F01B4A" w:rsidP="00F01B4A">
            <w:pPr>
              <w:pStyle w:val="Tabletextboldleft"/>
            </w:pPr>
            <w:r w:rsidRPr="00711033">
              <w:t>Base case (</w:t>
            </w:r>
            <w:r w:rsidRPr="00711033">
              <w:fldChar w:fldCharType="begin"/>
            </w:r>
            <w:r w:rsidRPr="00711033">
              <w:instrText xml:space="preserve"> REF _Ref58245712 \h  \* MERGEFORMAT </w:instrText>
            </w:r>
            <w:r w:rsidRPr="00711033">
              <w:fldChar w:fldCharType="separate"/>
            </w:r>
            <w:r w:rsidRPr="00711033">
              <w:t xml:space="preserve">Table </w:t>
            </w:r>
            <w:r w:rsidRPr="00711033">
              <w:rPr>
                <w:noProof/>
              </w:rPr>
              <w:t>31</w:t>
            </w:r>
            <w:r w:rsidRPr="00711033">
              <w:fldChar w:fldCharType="end"/>
            </w:r>
            <w:r w:rsidRPr="00711033">
              <w:t>)</w:t>
            </w:r>
          </w:p>
        </w:tc>
        <w:tc>
          <w:tcPr>
            <w:tcW w:w="567" w:type="pct"/>
            <w:noWrap/>
          </w:tcPr>
          <w:p w14:paraId="023B621A" w14:textId="77777777" w:rsidR="00F01B4A" w:rsidRPr="00711033" w:rsidRDefault="00F01B4A" w:rsidP="00F01B4A">
            <w:pPr>
              <w:pStyle w:val="Tabletextboldleft"/>
            </w:pPr>
            <w:r w:rsidRPr="00711033">
              <w:rPr>
                <w:strike/>
              </w:rPr>
              <w:t>$48,444</w:t>
            </w:r>
            <w:r w:rsidRPr="00711033">
              <w:t xml:space="preserve"> </w:t>
            </w:r>
            <w:r w:rsidRPr="00711033">
              <w:rPr>
                <w:i/>
                <w:iCs/>
              </w:rPr>
              <w:t>$49,065</w:t>
            </w:r>
          </w:p>
        </w:tc>
        <w:tc>
          <w:tcPr>
            <w:tcW w:w="567" w:type="pct"/>
            <w:noWrap/>
          </w:tcPr>
          <w:p w14:paraId="3B2F2B21" w14:textId="77777777" w:rsidR="00F01B4A" w:rsidRPr="00711033" w:rsidRDefault="00F01B4A" w:rsidP="00F01B4A">
            <w:pPr>
              <w:pStyle w:val="Tabletextboldleft"/>
            </w:pPr>
            <w:r w:rsidRPr="00711033">
              <w:rPr>
                <w:strike/>
              </w:rPr>
              <w:t>$48,933</w:t>
            </w:r>
            <w:r w:rsidRPr="00711033">
              <w:t xml:space="preserve"> </w:t>
            </w:r>
            <w:r w:rsidRPr="00711033">
              <w:rPr>
                <w:i/>
                <w:iCs/>
              </w:rPr>
              <w:t>$48,956</w:t>
            </w:r>
          </w:p>
        </w:tc>
        <w:tc>
          <w:tcPr>
            <w:tcW w:w="566" w:type="pct"/>
          </w:tcPr>
          <w:p w14:paraId="1B9666DC" w14:textId="77777777" w:rsidR="00F01B4A" w:rsidRPr="00711033" w:rsidRDefault="00F01B4A" w:rsidP="00F01B4A">
            <w:pPr>
              <w:pStyle w:val="Tabletextboldleft"/>
            </w:pPr>
            <w:r w:rsidRPr="00711033">
              <w:rPr>
                <w:strike/>
              </w:rPr>
              <w:t>-$489</w:t>
            </w:r>
            <w:r w:rsidRPr="00711033">
              <w:t xml:space="preserve"> </w:t>
            </w:r>
            <w:r w:rsidRPr="00711033">
              <w:rPr>
                <w:i/>
                <w:iCs/>
              </w:rPr>
              <w:t>$110</w:t>
            </w:r>
          </w:p>
        </w:tc>
      </w:tr>
      <w:tr w:rsidR="00F01B4A" w:rsidRPr="00FC694C" w14:paraId="5F1C3AFB" w14:textId="77777777" w:rsidTr="00F01B4A">
        <w:trPr>
          <w:trHeight w:val="300"/>
        </w:trPr>
        <w:tc>
          <w:tcPr>
            <w:tcW w:w="3300" w:type="pct"/>
            <w:noWrap/>
          </w:tcPr>
          <w:p w14:paraId="12D77D6C" w14:textId="77777777" w:rsidR="00F01B4A" w:rsidRPr="00711033" w:rsidRDefault="00F01B4A" w:rsidP="00F01B4A">
            <w:pPr>
              <w:pStyle w:val="CommentTabletext"/>
              <w:ind w:left="0"/>
              <w:rPr>
                <w:color w:val="auto"/>
              </w:rPr>
            </w:pPr>
            <w:r w:rsidRPr="00711033">
              <w:rPr>
                <w:color w:val="auto"/>
              </w:rPr>
              <w:t xml:space="preserve">Including a physician assistant (1/5 of total operation fees) </w:t>
            </w:r>
          </w:p>
        </w:tc>
        <w:tc>
          <w:tcPr>
            <w:tcW w:w="567" w:type="pct"/>
            <w:noWrap/>
          </w:tcPr>
          <w:p w14:paraId="6FF35380" w14:textId="77777777" w:rsidR="00F01B4A" w:rsidRPr="00711033" w:rsidRDefault="00F01B4A" w:rsidP="00F01B4A">
            <w:pPr>
              <w:pStyle w:val="CommentTabletext"/>
              <w:ind w:left="0"/>
              <w:jc w:val="left"/>
              <w:rPr>
                <w:color w:val="auto"/>
              </w:rPr>
            </w:pPr>
            <w:r w:rsidRPr="00711033">
              <w:rPr>
                <w:color w:val="auto"/>
              </w:rPr>
              <w:t>$49,445</w:t>
            </w:r>
          </w:p>
        </w:tc>
        <w:tc>
          <w:tcPr>
            <w:tcW w:w="567" w:type="pct"/>
            <w:noWrap/>
          </w:tcPr>
          <w:p w14:paraId="64D74956" w14:textId="77777777" w:rsidR="00F01B4A" w:rsidRPr="00711033" w:rsidRDefault="00F01B4A" w:rsidP="00F01B4A">
            <w:pPr>
              <w:pStyle w:val="CommentTabletext"/>
              <w:ind w:left="0"/>
              <w:rPr>
                <w:color w:val="auto"/>
              </w:rPr>
            </w:pPr>
            <w:r w:rsidRPr="00711033">
              <w:rPr>
                <w:color w:val="auto"/>
              </w:rPr>
              <w:t>$49,210</w:t>
            </w:r>
          </w:p>
        </w:tc>
        <w:tc>
          <w:tcPr>
            <w:tcW w:w="566" w:type="pct"/>
          </w:tcPr>
          <w:p w14:paraId="3225618D" w14:textId="77777777" w:rsidR="00F01B4A" w:rsidRPr="00711033" w:rsidRDefault="00F01B4A" w:rsidP="00F01B4A">
            <w:pPr>
              <w:pStyle w:val="CommentTabletext"/>
              <w:ind w:left="0"/>
              <w:jc w:val="left"/>
              <w:rPr>
                <w:color w:val="auto"/>
              </w:rPr>
            </w:pPr>
            <w:r w:rsidRPr="00711033">
              <w:rPr>
                <w:color w:val="auto"/>
              </w:rPr>
              <w:t>$236</w:t>
            </w:r>
          </w:p>
        </w:tc>
      </w:tr>
      <w:tr w:rsidR="00F01B4A" w:rsidRPr="00E86D24" w14:paraId="561BCD2B" w14:textId="77777777" w:rsidTr="00F01B4A">
        <w:trPr>
          <w:trHeight w:val="300"/>
        </w:trPr>
        <w:tc>
          <w:tcPr>
            <w:tcW w:w="3300" w:type="pct"/>
            <w:noWrap/>
            <w:hideMark/>
          </w:tcPr>
          <w:p w14:paraId="590FAA70" w14:textId="77777777" w:rsidR="00F01B4A" w:rsidRPr="00711033" w:rsidRDefault="00F01B4A" w:rsidP="00F01B4A">
            <w:pPr>
              <w:pStyle w:val="CommentTabletext"/>
              <w:ind w:left="0"/>
              <w:rPr>
                <w:color w:val="auto"/>
              </w:rPr>
            </w:pPr>
            <w:r w:rsidRPr="00711033">
              <w:rPr>
                <w:color w:val="auto"/>
              </w:rPr>
              <w:t>100% general anaesthesia for S-ICD</w:t>
            </w:r>
          </w:p>
        </w:tc>
        <w:tc>
          <w:tcPr>
            <w:tcW w:w="567" w:type="pct"/>
            <w:noWrap/>
            <w:hideMark/>
          </w:tcPr>
          <w:p w14:paraId="490A832C" w14:textId="77777777" w:rsidR="00F01B4A" w:rsidRPr="00711033" w:rsidRDefault="00F01B4A" w:rsidP="00F01B4A">
            <w:pPr>
              <w:pStyle w:val="CommentTabletext"/>
              <w:ind w:left="0"/>
              <w:jc w:val="left"/>
              <w:rPr>
                <w:color w:val="auto"/>
              </w:rPr>
            </w:pPr>
            <w:r w:rsidRPr="00711033">
              <w:rPr>
                <w:color w:val="auto"/>
              </w:rPr>
              <w:t>$49,114</w:t>
            </w:r>
          </w:p>
        </w:tc>
        <w:tc>
          <w:tcPr>
            <w:tcW w:w="567" w:type="pct"/>
            <w:noWrap/>
            <w:hideMark/>
          </w:tcPr>
          <w:p w14:paraId="33570BD2" w14:textId="77777777" w:rsidR="00F01B4A" w:rsidRPr="00711033" w:rsidRDefault="00F01B4A" w:rsidP="00F01B4A">
            <w:pPr>
              <w:pStyle w:val="TableText1"/>
              <w:rPr>
                <w:b/>
                <w:bCs/>
              </w:rPr>
            </w:pPr>
            <w:r w:rsidRPr="00711033">
              <w:rPr>
                <w:i/>
                <w:iCs/>
              </w:rPr>
              <w:t>$48,956</w:t>
            </w:r>
          </w:p>
        </w:tc>
        <w:tc>
          <w:tcPr>
            <w:tcW w:w="566" w:type="pct"/>
          </w:tcPr>
          <w:p w14:paraId="2D6D5327" w14:textId="77777777" w:rsidR="00F01B4A" w:rsidRPr="00711033" w:rsidRDefault="00F01B4A" w:rsidP="00F01B4A">
            <w:pPr>
              <w:pStyle w:val="CommentTabletext"/>
              <w:ind w:left="0"/>
              <w:jc w:val="left"/>
              <w:rPr>
                <w:color w:val="auto"/>
              </w:rPr>
            </w:pPr>
            <w:r w:rsidRPr="00711033">
              <w:rPr>
                <w:color w:val="auto"/>
              </w:rPr>
              <w:t>$158</w:t>
            </w:r>
          </w:p>
        </w:tc>
      </w:tr>
      <w:tr w:rsidR="00F01B4A" w:rsidRPr="00E86D24" w14:paraId="5AC008A3" w14:textId="77777777" w:rsidTr="00F01B4A">
        <w:trPr>
          <w:trHeight w:val="300"/>
        </w:trPr>
        <w:tc>
          <w:tcPr>
            <w:tcW w:w="3300" w:type="pct"/>
            <w:noWrap/>
          </w:tcPr>
          <w:p w14:paraId="039AC7D6" w14:textId="77777777" w:rsidR="00F01B4A" w:rsidRPr="00711033" w:rsidRDefault="00F01B4A" w:rsidP="00F01B4A">
            <w:pPr>
              <w:pStyle w:val="CommentTabletext"/>
              <w:ind w:left="0"/>
              <w:rPr>
                <w:color w:val="auto"/>
              </w:rPr>
            </w:pPr>
            <w:r w:rsidRPr="00711033">
              <w:rPr>
                <w:color w:val="auto"/>
              </w:rPr>
              <w:t>90.4% follow-up ICD testing for S-ICD and 46.1% for TV-ICD (taken from Knops et al. 2020)</w:t>
            </w:r>
          </w:p>
        </w:tc>
        <w:tc>
          <w:tcPr>
            <w:tcW w:w="567" w:type="pct"/>
            <w:noWrap/>
          </w:tcPr>
          <w:p w14:paraId="63F10EB8" w14:textId="77777777" w:rsidR="00F01B4A" w:rsidRPr="00711033" w:rsidRDefault="00F01B4A" w:rsidP="00F01B4A">
            <w:pPr>
              <w:pStyle w:val="CommentTabletext"/>
              <w:ind w:left="0"/>
              <w:jc w:val="left"/>
              <w:rPr>
                <w:color w:val="auto"/>
              </w:rPr>
            </w:pPr>
            <w:r w:rsidRPr="00711033">
              <w:rPr>
                <w:color w:val="auto"/>
              </w:rPr>
              <w:t>$49,012</w:t>
            </w:r>
          </w:p>
        </w:tc>
        <w:tc>
          <w:tcPr>
            <w:tcW w:w="567" w:type="pct"/>
            <w:noWrap/>
          </w:tcPr>
          <w:p w14:paraId="31CE889A" w14:textId="77777777" w:rsidR="00F01B4A" w:rsidRPr="00711033" w:rsidRDefault="00F01B4A" w:rsidP="00F01B4A">
            <w:pPr>
              <w:pStyle w:val="CommentTabletext"/>
              <w:ind w:left="0"/>
              <w:jc w:val="left"/>
              <w:rPr>
                <w:b/>
                <w:bCs/>
                <w:color w:val="auto"/>
              </w:rPr>
            </w:pPr>
            <w:r w:rsidRPr="00711033">
              <w:rPr>
                <w:color w:val="auto"/>
              </w:rPr>
              <w:t>$49,224</w:t>
            </w:r>
          </w:p>
        </w:tc>
        <w:tc>
          <w:tcPr>
            <w:tcW w:w="566" w:type="pct"/>
          </w:tcPr>
          <w:p w14:paraId="5B5B5B07" w14:textId="77777777" w:rsidR="00F01B4A" w:rsidRPr="00711033" w:rsidRDefault="00F01B4A" w:rsidP="00F01B4A">
            <w:pPr>
              <w:pStyle w:val="CommentTabletext"/>
              <w:ind w:left="0"/>
              <w:jc w:val="left"/>
              <w:rPr>
                <w:color w:val="auto"/>
              </w:rPr>
            </w:pPr>
            <w:r w:rsidRPr="00711033">
              <w:rPr>
                <w:color w:val="auto"/>
              </w:rPr>
              <w:t>-$212</w:t>
            </w:r>
          </w:p>
        </w:tc>
      </w:tr>
      <w:tr w:rsidR="00F01B4A" w:rsidRPr="003D4190" w14:paraId="328B4F27" w14:textId="77777777" w:rsidTr="00F01B4A">
        <w:trPr>
          <w:trHeight w:val="274"/>
        </w:trPr>
        <w:tc>
          <w:tcPr>
            <w:tcW w:w="3300" w:type="pct"/>
            <w:noWrap/>
          </w:tcPr>
          <w:p w14:paraId="1418410A" w14:textId="77777777" w:rsidR="00F01B4A" w:rsidRPr="003D4190" w:rsidRDefault="00F01B4A" w:rsidP="00F01B4A">
            <w:pPr>
              <w:pStyle w:val="CommentTabletext"/>
              <w:ind w:left="0"/>
              <w:rPr>
                <w:color w:val="auto"/>
                <w:vertAlign w:val="superscript"/>
              </w:rPr>
            </w:pPr>
            <w:r w:rsidRPr="003D4190">
              <w:rPr>
                <w:color w:val="auto"/>
              </w:rPr>
              <w:t xml:space="preserve">Minimum TV-ICD prosthesis cost ($28,398) </w:t>
            </w:r>
            <w:r w:rsidRPr="003D4190">
              <w:rPr>
                <w:color w:val="auto"/>
                <w:vertAlign w:val="superscript"/>
              </w:rPr>
              <w:t>a</w:t>
            </w:r>
          </w:p>
        </w:tc>
        <w:tc>
          <w:tcPr>
            <w:tcW w:w="567" w:type="pct"/>
            <w:noWrap/>
          </w:tcPr>
          <w:p w14:paraId="0183DEB9" w14:textId="77777777" w:rsidR="00F01B4A" w:rsidRPr="003D4190" w:rsidRDefault="00F01B4A" w:rsidP="00F01B4A">
            <w:pPr>
              <w:pStyle w:val="CommentTabletext"/>
              <w:ind w:left="0"/>
              <w:rPr>
                <w:color w:val="auto"/>
              </w:rPr>
            </w:pPr>
            <w:r w:rsidRPr="003D4190">
              <w:rPr>
                <w:color w:val="auto"/>
              </w:rPr>
              <w:t>$49,057</w:t>
            </w:r>
          </w:p>
        </w:tc>
        <w:tc>
          <w:tcPr>
            <w:tcW w:w="567" w:type="pct"/>
            <w:noWrap/>
          </w:tcPr>
          <w:p w14:paraId="3B041AA0" w14:textId="77777777" w:rsidR="00F01B4A" w:rsidRPr="003D4190" w:rsidRDefault="00F01B4A" w:rsidP="00F01B4A">
            <w:pPr>
              <w:pStyle w:val="CommentTabletext"/>
              <w:ind w:left="0"/>
              <w:rPr>
                <w:color w:val="auto"/>
              </w:rPr>
            </w:pPr>
            <w:r w:rsidRPr="003D4190">
              <w:rPr>
                <w:color w:val="auto"/>
              </w:rPr>
              <w:t>$48,221</w:t>
            </w:r>
          </w:p>
        </w:tc>
        <w:tc>
          <w:tcPr>
            <w:tcW w:w="566" w:type="pct"/>
          </w:tcPr>
          <w:p w14:paraId="277E478A" w14:textId="77777777" w:rsidR="00F01B4A" w:rsidRPr="003D4190" w:rsidRDefault="00F01B4A" w:rsidP="00F01B4A">
            <w:pPr>
              <w:pStyle w:val="CommentTabletext"/>
              <w:ind w:left="0"/>
              <w:rPr>
                <w:color w:val="auto"/>
              </w:rPr>
            </w:pPr>
            <w:r w:rsidRPr="003D4190">
              <w:rPr>
                <w:color w:val="auto"/>
              </w:rPr>
              <w:t>$836</w:t>
            </w:r>
          </w:p>
        </w:tc>
      </w:tr>
      <w:tr w:rsidR="00F01B4A" w:rsidRPr="00E86D24" w14:paraId="2B254D4C" w14:textId="77777777" w:rsidTr="00F01B4A">
        <w:trPr>
          <w:trHeight w:val="274"/>
        </w:trPr>
        <w:tc>
          <w:tcPr>
            <w:tcW w:w="3300" w:type="pct"/>
            <w:noWrap/>
          </w:tcPr>
          <w:p w14:paraId="256852BA" w14:textId="77777777" w:rsidR="00F01B4A" w:rsidRPr="003D4190" w:rsidRDefault="00F01B4A" w:rsidP="00F01B4A">
            <w:pPr>
              <w:pStyle w:val="CommentTabletext"/>
              <w:ind w:left="0"/>
              <w:rPr>
                <w:color w:val="auto"/>
              </w:rPr>
            </w:pPr>
            <w:r w:rsidRPr="003D4190">
              <w:rPr>
                <w:color w:val="auto"/>
              </w:rPr>
              <w:t>Maximum TV-ICD prosthesis cost ($29,750)</w:t>
            </w:r>
          </w:p>
        </w:tc>
        <w:tc>
          <w:tcPr>
            <w:tcW w:w="567" w:type="pct"/>
            <w:noWrap/>
          </w:tcPr>
          <w:p w14:paraId="2E3A6EF5" w14:textId="77777777" w:rsidR="00F01B4A" w:rsidRPr="003D4190" w:rsidRDefault="00F01B4A" w:rsidP="00F01B4A">
            <w:pPr>
              <w:pStyle w:val="CommentTabletext"/>
              <w:ind w:left="0"/>
              <w:rPr>
                <w:color w:val="auto"/>
              </w:rPr>
            </w:pPr>
            <w:r w:rsidRPr="003D4190">
              <w:rPr>
                <w:color w:val="auto"/>
              </w:rPr>
              <w:t>$49,072</w:t>
            </w:r>
          </w:p>
        </w:tc>
        <w:tc>
          <w:tcPr>
            <w:tcW w:w="567" w:type="pct"/>
            <w:noWrap/>
          </w:tcPr>
          <w:p w14:paraId="12BF6820" w14:textId="77777777" w:rsidR="00F01B4A" w:rsidRPr="003D4190" w:rsidRDefault="00F01B4A" w:rsidP="00F01B4A">
            <w:pPr>
              <w:pStyle w:val="CommentTabletext"/>
              <w:ind w:left="0"/>
              <w:rPr>
                <w:color w:val="auto"/>
              </w:rPr>
            </w:pPr>
            <w:r w:rsidRPr="003D4190">
              <w:rPr>
                <w:color w:val="auto"/>
              </w:rPr>
              <w:t>$49,573</w:t>
            </w:r>
          </w:p>
        </w:tc>
        <w:tc>
          <w:tcPr>
            <w:tcW w:w="566" w:type="pct"/>
          </w:tcPr>
          <w:p w14:paraId="540A532A" w14:textId="77777777" w:rsidR="00F01B4A" w:rsidRPr="003D4190" w:rsidRDefault="00F01B4A" w:rsidP="00F01B4A">
            <w:pPr>
              <w:pStyle w:val="CommentTabletext"/>
              <w:ind w:left="0"/>
              <w:rPr>
                <w:color w:val="auto"/>
              </w:rPr>
            </w:pPr>
            <w:r w:rsidRPr="003D4190">
              <w:rPr>
                <w:color w:val="auto"/>
              </w:rPr>
              <w:t>-$500</w:t>
            </w:r>
          </w:p>
        </w:tc>
      </w:tr>
      <w:tr w:rsidR="00F01B4A" w:rsidRPr="00D765B7" w14:paraId="4B27F2A7" w14:textId="77777777" w:rsidTr="00F01B4A">
        <w:trPr>
          <w:trHeight w:val="274"/>
        </w:trPr>
        <w:tc>
          <w:tcPr>
            <w:tcW w:w="3300" w:type="pct"/>
            <w:noWrap/>
          </w:tcPr>
          <w:p w14:paraId="51132AAF" w14:textId="77777777" w:rsidR="00F01B4A" w:rsidRPr="00711033" w:rsidRDefault="00F01B4A" w:rsidP="00F01B4A">
            <w:pPr>
              <w:pStyle w:val="CommentTabletext"/>
              <w:ind w:left="0"/>
              <w:rPr>
                <w:color w:val="auto"/>
              </w:rPr>
            </w:pPr>
            <w:r w:rsidRPr="00711033">
              <w:rPr>
                <w:color w:val="auto"/>
              </w:rPr>
              <w:t>6 years expected battery life for S-ICD, 10 years for TV-ICD</w:t>
            </w:r>
          </w:p>
        </w:tc>
        <w:tc>
          <w:tcPr>
            <w:tcW w:w="567" w:type="pct"/>
            <w:noWrap/>
          </w:tcPr>
          <w:p w14:paraId="67595FC0" w14:textId="77777777" w:rsidR="00F01B4A" w:rsidRPr="00711033" w:rsidRDefault="00F01B4A" w:rsidP="00F01B4A">
            <w:pPr>
              <w:pStyle w:val="CommentTabletext"/>
              <w:ind w:left="0"/>
              <w:rPr>
                <w:color w:val="auto"/>
              </w:rPr>
            </w:pPr>
            <w:r w:rsidRPr="00711033">
              <w:rPr>
                <w:color w:val="auto"/>
              </w:rPr>
              <w:t>$49,035</w:t>
            </w:r>
          </w:p>
        </w:tc>
        <w:tc>
          <w:tcPr>
            <w:tcW w:w="567" w:type="pct"/>
            <w:noWrap/>
          </w:tcPr>
          <w:p w14:paraId="6ABB4355" w14:textId="77777777" w:rsidR="00F01B4A" w:rsidRPr="00711033" w:rsidRDefault="00F01B4A" w:rsidP="00F01B4A">
            <w:pPr>
              <w:pStyle w:val="CommentTabletext"/>
              <w:ind w:left="0"/>
              <w:rPr>
                <w:color w:val="auto"/>
              </w:rPr>
            </w:pPr>
            <w:r w:rsidRPr="00711033">
              <w:rPr>
                <w:color w:val="auto"/>
              </w:rPr>
              <w:t>$48,962</w:t>
            </w:r>
          </w:p>
        </w:tc>
        <w:tc>
          <w:tcPr>
            <w:tcW w:w="566" w:type="pct"/>
          </w:tcPr>
          <w:p w14:paraId="2D12F403" w14:textId="77777777" w:rsidR="00F01B4A" w:rsidRPr="00711033" w:rsidRDefault="00F01B4A" w:rsidP="00F01B4A">
            <w:pPr>
              <w:pStyle w:val="CommentTabletext"/>
              <w:ind w:left="0"/>
              <w:rPr>
                <w:color w:val="auto"/>
              </w:rPr>
            </w:pPr>
            <w:r w:rsidRPr="00711033">
              <w:rPr>
                <w:color w:val="auto"/>
              </w:rPr>
              <w:t>$73</w:t>
            </w:r>
          </w:p>
        </w:tc>
      </w:tr>
    </w:tbl>
    <w:p w14:paraId="5694C928" w14:textId="77777777" w:rsidR="00F01B4A" w:rsidRPr="00E43438" w:rsidRDefault="00F01B4A" w:rsidP="00F01B4A">
      <w:pPr>
        <w:pStyle w:val="Tablenotes"/>
        <w:rPr>
          <w:rStyle w:val="TablenotesChar"/>
          <w:color w:val="auto"/>
        </w:rPr>
      </w:pPr>
      <w:r w:rsidRPr="00E43438">
        <w:rPr>
          <w:rStyle w:val="TablenotesChar"/>
          <w:color w:val="auto"/>
        </w:rPr>
        <w:t>Source: Table 32, p96 of the commentary</w:t>
      </w:r>
    </w:p>
    <w:p w14:paraId="24F5F13A" w14:textId="77777777" w:rsidR="00F01B4A" w:rsidRPr="00E43438" w:rsidRDefault="00F01B4A" w:rsidP="00F01B4A">
      <w:pPr>
        <w:pStyle w:val="Tablenotes"/>
        <w:rPr>
          <w:rStyle w:val="TablenotesChar"/>
          <w:color w:val="auto"/>
        </w:rPr>
      </w:pPr>
      <w:proofErr w:type="spellStart"/>
      <w:r w:rsidRPr="00E43438">
        <w:rPr>
          <w:rStyle w:val="TablenotesChar"/>
          <w:b/>
          <w:bCs/>
          <w:color w:val="auto"/>
        </w:rPr>
        <w:t>a</w:t>
      </w:r>
      <w:proofErr w:type="spellEnd"/>
      <w:r w:rsidRPr="00E43438">
        <w:rPr>
          <w:rStyle w:val="TablenotesChar"/>
          <w:color w:val="auto"/>
        </w:rPr>
        <w:t xml:space="preserve"> This device has reduced functionality (e.g., no wireless monitoring) p 77 of the ADAR.</w:t>
      </w:r>
    </w:p>
    <w:p w14:paraId="0A3414EA" w14:textId="77777777" w:rsidR="00F01B4A" w:rsidRPr="00E43438" w:rsidRDefault="00F01B4A" w:rsidP="00F01B4A">
      <w:pPr>
        <w:pStyle w:val="Tablenotes"/>
        <w:rPr>
          <w:rStyle w:val="TablenotesChar"/>
          <w:color w:val="auto"/>
        </w:rPr>
      </w:pPr>
      <w:r w:rsidRPr="00E43438">
        <w:rPr>
          <w:rStyle w:val="TablenotesChar"/>
          <w:color w:val="auto"/>
        </w:rPr>
        <w:t>Abbreviations: S-ICD=subcutaneous implantable cardioverter defibrillator; TV-ICD=transvenous implantable cardioverter defibrillator</w:t>
      </w:r>
    </w:p>
    <w:p w14:paraId="0B131C7E" w14:textId="77777777" w:rsidR="00F01B4A" w:rsidRPr="00E43438" w:rsidRDefault="00F01B4A" w:rsidP="00F01B4A">
      <w:pPr>
        <w:pStyle w:val="Tablenotes"/>
        <w:rPr>
          <w:color w:val="auto"/>
        </w:rPr>
      </w:pPr>
      <w:r w:rsidRPr="00E43438">
        <w:rPr>
          <w:rStyle w:val="TablenotesChar"/>
          <w:color w:val="auto"/>
        </w:rPr>
        <w:t>Note: Rounding errors may apply. See spreadsheet “</w:t>
      </w:r>
      <w:proofErr w:type="spellStart"/>
      <w:r w:rsidRPr="00E43438">
        <w:rPr>
          <w:rStyle w:val="TablenotesChar"/>
          <w:color w:val="auto"/>
        </w:rPr>
        <w:t>SICD_Section</w:t>
      </w:r>
      <w:proofErr w:type="spellEnd"/>
      <w:r w:rsidRPr="00E43438">
        <w:rPr>
          <w:rStyle w:val="TablenotesChar"/>
          <w:color w:val="auto"/>
        </w:rPr>
        <w:t xml:space="preserve"> </w:t>
      </w:r>
      <w:proofErr w:type="spellStart"/>
      <w:r w:rsidRPr="00E43438">
        <w:rPr>
          <w:rStyle w:val="TablenotesChar"/>
          <w:color w:val="auto"/>
        </w:rPr>
        <w:t>E”xlsx</w:t>
      </w:r>
      <w:proofErr w:type="spellEnd"/>
      <w:r w:rsidRPr="00E43438">
        <w:rPr>
          <w:rStyle w:val="TablenotesChar"/>
          <w:color w:val="auto"/>
        </w:rPr>
        <w:t xml:space="preserve"> for complete calculations.</w:t>
      </w:r>
    </w:p>
    <w:p w14:paraId="16464EF6" w14:textId="2ED71FA4" w:rsidR="00443B7C" w:rsidRPr="00443B7C" w:rsidRDefault="00F01B4A" w:rsidP="00443B7C">
      <w:pPr>
        <w:spacing w:before="240"/>
      </w:pPr>
      <w:r>
        <w:t xml:space="preserve">The pre-ESC response acknowledged </w:t>
      </w:r>
      <w:r w:rsidRPr="00871526">
        <w:t xml:space="preserve">the Department’s advice </w:t>
      </w:r>
      <w:r>
        <w:t xml:space="preserve">that MBS item </w:t>
      </w:r>
      <w:r w:rsidRPr="00871526">
        <w:t>38213</w:t>
      </w:r>
      <w:r>
        <w:t xml:space="preserve"> is not eligible to be used</w:t>
      </w:r>
      <w:r w:rsidRPr="00871526">
        <w:t xml:space="preserve"> for DFT</w:t>
      </w:r>
      <w:r w:rsidR="008324EB">
        <w:t>,</w:t>
      </w:r>
      <w:r w:rsidRPr="00871526">
        <w:t xml:space="preserve"> </w:t>
      </w:r>
      <w:r>
        <w:t xml:space="preserve">and that the </w:t>
      </w:r>
      <w:r w:rsidRPr="00924432">
        <w:t xml:space="preserve">DFT rate </w:t>
      </w:r>
      <w:r w:rsidR="008324EB">
        <w:t xml:space="preserve">of 3.6% </w:t>
      </w:r>
      <w:r w:rsidRPr="00924432">
        <w:t>applied to both S-ICD and TV-ICD in the submission, may not be appropriate</w:t>
      </w:r>
      <w:r>
        <w:t>. Therefore, the pre-ESC response provided a revised analysis that applied</w:t>
      </w:r>
      <w:r w:rsidRPr="00924432">
        <w:t xml:space="preserve"> </w:t>
      </w:r>
      <w:r>
        <w:t xml:space="preserve">DFT costs based on MBS item 38212 and </w:t>
      </w:r>
      <w:r w:rsidRPr="00924432">
        <w:t>DFT rates from the PRAETORIAN trial, 90.4%</w:t>
      </w:r>
      <w:r>
        <w:t xml:space="preserve"> for S-ICD and 46.1% for TV-ICD (</w:t>
      </w:r>
      <w:r>
        <w:fldChar w:fldCharType="begin"/>
      </w:r>
      <w:r>
        <w:instrText xml:space="preserve"> REF _Ref65400619 \h </w:instrText>
      </w:r>
      <w:r>
        <w:fldChar w:fldCharType="separate"/>
      </w:r>
      <w:r w:rsidR="00113B4B" w:rsidRPr="00EE4EAE">
        <w:t xml:space="preserve">Table </w:t>
      </w:r>
      <w:r w:rsidR="00113B4B">
        <w:rPr>
          <w:noProof/>
        </w:rPr>
        <w:t>10</w:t>
      </w:r>
      <w:r>
        <w:fldChar w:fldCharType="end"/>
      </w:r>
      <w:r>
        <w:t>)</w:t>
      </w:r>
      <w:r w:rsidRPr="00871526">
        <w:t>.</w:t>
      </w:r>
      <w:bookmarkStart w:id="17" w:name="_Ref65400619"/>
      <w:r w:rsidR="00443B7C">
        <w:br w:type="page"/>
      </w:r>
    </w:p>
    <w:p w14:paraId="2AF8EC2A" w14:textId="479ABCB5" w:rsidR="00F01B4A" w:rsidRPr="00EE4EAE" w:rsidRDefault="00F01B4A" w:rsidP="00443B7C">
      <w:pPr>
        <w:pStyle w:val="Caption"/>
        <w:spacing w:before="240" w:after="60"/>
      </w:pPr>
      <w:r w:rsidRPr="00EE4EAE">
        <w:lastRenderedPageBreak/>
        <w:t xml:space="preserve">Table </w:t>
      </w:r>
      <w:fldSimple w:instr=" SEQ Table \* ARABIC ">
        <w:r w:rsidR="00113B4B">
          <w:rPr>
            <w:noProof/>
          </w:rPr>
          <w:t>10</w:t>
        </w:r>
      </w:fldSimple>
      <w:bookmarkEnd w:id="17"/>
      <w:r w:rsidRPr="00EE4EAE">
        <w:t>: Revised cost-minimisation analysis applying MBS item 38212 for DFT testing</w:t>
      </w:r>
    </w:p>
    <w:tbl>
      <w:tblPr>
        <w:tblStyle w:val="TableGrid"/>
        <w:tblW w:w="0" w:type="auto"/>
        <w:tblInd w:w="-5" w:type="dxa"/>
        <w:tblLook w:val="04A0" w:firstRow="1" w:lastRow="0" w:firstColumn="1" w:lastColumn="0" w:noHBand="0" w:noVBand="1"/>
        <w:tblDescription w:val=": Revised cost-minimisation analysis applying MBS item 38212 for DFT testing"/>
      </w:tblPr>
      <w:tblGrid>
        <w:gridCol w:w="567"/>
        <w:gridCol w:w="2181"/>
        <w:gridCol w:w="1266"/>
        <w:gridCol w:w="1266"/>
        <w:gridCol w:w="1273"/>
        <w:gridCol w:w="2468"/>
      </w:tblGrid>
      <w:tr w:rsidR="00F01B4A" w:rsidRPr="00C55E02" w14:paraId="08AD4E57" w14:textId="77777777" w:rsidTr="00CA49B8">
        <w:trPr>
          <w:tblHeader/>
        </w:trPr>
        <w:tc>
          <w:tcPr>
            <w:tcW w:w="567" w:type="dxa"/>
            <w:tcBorders>
              <w:bottom w:val="single" w:sz="4" w:space="0" w:color="auto"/>
            </w:tcBorders>
          </w:tcPr>
          <w:p w14:paraId="2A88BF75" w14:textId="77777777" w:rsidR="00F01B4A" w:rsidRPr="00C55E02" w:rsidRDefault="00F01B4A" w:rsidP="00F01B4A">
            <w:pPr>
              <w:pStyle w:val="Tabletextboldleft"/>
            </w:pPr>
            <w:r w:rsidRPr="00C55E02">
              <w:t>Row</w:t>
            </w:r>
          </w:p>
        </w:tc>
        <w:tc>
          <w:tcPr>
            <w:tcW w:w="2181" w:type="dxa"/>
            <w:tcBorders>
              <w:bottom w:val="single" w:sz="4" w:space="0" w:color="auto"/>
            </w:tcBorders>
          </w:tcPr>
          <w:p w14:paraId="5B25A7D2" w14:textId="77777777" w:rsidR="00F01B4A" w:rsidRPr="00C55E02" w:rsidRDefault="00F01B4A" w:rsidP="00F01B4A">
            <w:pPr>
              <w:pStyle w:val="Tabletextboldleft"/>
            </w:pPr>
          </w:p>
        </w:tc>
        <w:tc>
          <w:tcPr>
            <w:tcW w:w="1266" w:type="dxa"/>
            <w:tcBorders>
              <w:bottom w:val="single" w:sz="4" w:space="0" w:color="auto"/>
            </w:tcBorders>
          </w:tcPr>
          <w:p w14:paraId="4EA40598" w14:textId="77777777" w:rsidR="00F01B4A" w:rsidRPr="00C55E02" w:rsidRDefault="00F01B4A" w:rsidP="00F01B4A">
            <w:pPr>
              <w:pStyle w:val="Tabletextboldleft"/>
            </w:pPr>
            <w:r w:rsidRPr="00C55E02">
              <w:t>S-ICD</w:t>
            </w:r>
          </w:p>
        </w:tc>
        <w:tc>
          <w:tcPr>
            <w:tcW w:w="1266" w:type="dxa"/>
            <w:tcBorders>
              <w:bottom w:val="single" w:sz="4" w:space="0" w:color="auto"/>
            </w:tcBorders>
          </w:tcPr>
          <w:p w14:paraId="05777E0D" w14:textId="77777777" w:rsidR="00F01B4A" w:rsidRPr="00C55E02" w:rsidRDefault="00F01B4A" w:rsidP="00F01B4A">
            <w:pPr>
              <w:pStyle w:val="Tabletextboldleft"/>
            </w:pPr>
            <w:r w:rsidRPr="00C55E02">
              <w:t>TV-ICD</w:t>
            </w:r>
          </w:p>
        </w:tc>
        <w:tc>
          <w:tcPr>
            <w:tcW w:w="1273" w:type="dxa"/>
            <w:tcBorders>
              <w:bottom w:val="single" w:sz="4" w:space="0" w:color="auto"/>
            </w:tcBorders>
          </w:tcPr>
          <w:p w14:paraId="542B666E" w14:textId="77777777" w:rsidR="00F01B4A" w:rsidRPr="00C55E02" w:rsidRDefault="00F01B4A" w:rsidP="00F01B4A">
            <w:pPr>
              <w:pStyle w:val="Tabletextboldleft"/>
            </w:pPr>
            <w:r w:rsidRPr="00C55E02">
              <w:t>Difference</w:t>
            </w:r>
          </w:p>
        </w:tc>
        <w:tc>
          <w:tcPr>
            <w:tcW w:w="2468" w:type="dxa"/>
            <w:tcBorders>
              <w:bottom w:val="single" w:sz="4" w:space="0" w:color="auto"/>
            </w:tcBorders>
          </w:tcPr>
          <w:p w14:paraId="20055C29" w14:textId="77777777" w:rsidR="00F01B4A" w:rsidRPr="00C55E02" w:rsidRDefault="00F01B4A" w:rsidP="00F01B4A">
            <w:pPr>
              <w:pStyle w:val="Tabletextboldleft"/>
            </w:pPr>
            <w:r w:rsidRPr="00C55E02">
              <w:t>Source / calculation</w:t>
            </w:r>
          </w:p>
        </w:tc>
      </w:tr>
      <w:tr w:rsidR="00F01B4A" w:rsidRPr="00C55E02" w14:paraId="7B26AB35" w14:textId="77777777" w:rsidTr="00F01B4A">
        <w:tc>
          <w:tcPr>
            <w:tcW w:w="567" w:type="dxa"/>
            <w:tcBorders>
              <w:bottom w:val="nil"/>
            </w:tcBorders>
          </w:tcPr>
          <w:p w14:paraId="7BA310FB" w14:textId="77777777" w:rsidR="00F01B4A" w:rsidRPr="00C55E02" w:rsidRDefault="00F01B4A" w:rsidP="00F01B4A">
            <w:pPr>
              <w:pStyle w:val="Tabletext0"/>
              <w:rPr>
                <w:szCs w:val="20"/>
              </w:rPr>
            </w:pPr>
          </w:p>
        </w:tc>
        <w:tc>
          <w:tcPr>
            <w:tcW w:w="2181" w:type="dxa"/>
            <w:tcBorders>
              <w:bottom w:val="nil"/>
            </w:tcBorders>
          </w:tcPr>
          <w:p w14:paraId="39CF61EC" w14:textId="77777777" w:rsidR="00F01B4A" w:rsidRPr="00C55E02" w:rsidRDefault="00F01B4A" w:rsidP="00F01B4A">
            <w:pPr>
              <w:pStyle w:val="Tabletext0"/>
              <w:rPr>
                <w:szCs w:val="20"/>
              </w:rPr>
            </w:pPr>
            <w:r w:rsidRPr="00C55E02">
              <w:rPr>
                <w:szCs w:val="20"/>
              </w:rPr>
              <w:t>DFT</w:t>
            </w:r>
          </w:p>
        </w:tc>
        <w:tc>
          <w:tcPr>
            <w:tcW w:w="1266" w:type="dxa"/>
            <w:tcBorders>
              <w:bottom w:val="nil"/>
            </w:tcBorders>
          </w:tcPr>
          <w:p w14:paraId="63EC7492" w14:textId="77777777" w:rsidR="00F01B4A" w:rsidRPr="00C55E02" w:rsidRDefault="00F01B4A" w:rsidP="00F01B4A">
            <w:pPr>
              <w:pStyle w:val="Tabletext0"/>
              <w:rPr>
                <w:szCs w:val="20"/>
              </w:rPr>
            </w:pPr>
          </w:p>
        </w:tc>
        <w:tc>
          <w:tcPr>
            <w:tcW w:w="1266" w:type="dxa"/>
            <w:tcBorders>
              <w:bottom w:val="nil"/>
            </w:tcBorders>
          </w:tcPr>
          <w:p w14:paraId="0140FD14" w14:textId="77777777" w:rsidR="00F01B4A" w:rsidRPr="00C55E02" w:rsidRDefault="00F01B4A" w:rsidP="00F01B4A">
            <w:pPr>
              <w:pStyle w:val="Tabletext0"/>
              <w:rPr>
                <w:szCs w:val="20"/>
              </w:rPr>
            </w:pPr>
          </w:p>
        </w:tc>
        <w:tc>
          <w:tcPr>
            <w:tcW w:w="1273" w:type="dxa"/>
            <w:tcBorders>
              <w:bottom w:val="nil"/>
            </w:tcBorders>
          </w:tcPr>
          <w:p w14:paraId="35399B4B" w14:textId="77777777" w:rsidR="00F01B4A" w:rsidRPr="00C55E02" w:rsidRDefault="00F01B4A" w:rsidP="00F01B4A">
            <w:pPr>
              <w:pStyle w:val="Tabletext0"/>
              <w:rPr>
                <w:szCs w:val="20"/>
              </w:rPr>
            </w:pPr>
          </w:p>
        </w:tc>
        <w:tc>
          <w:tcPr>
            <w:tcW w:w="2468" w:type="dxa"/>
            <w:tcBorders>
              <w:bottom w:val="nil"/>
            </w:tcBorders>
          </w:tcPr>
          <w:p w14:paraId="7E075A78" w14:textId="77777777" w:rsidR="00F01B4A" w:rsidRPr="00C55E02" w:rsidRDefault="00F01B4A" w:rsidP="00F01B4A">
            <w:pPr>
              <w:pStyle w:val="Tabletext0"/>
              <w:rPr>
                <w:szCs w:val="20"/>
              </w:rPr>
            </w:pPr>
          </w:p>
        </w:tc>
      </w:tr>
      <w:tr w:rsidR="00F01B4A" w:rsidRPr="00C55E02" w14:paraId="1926F882" w14:textId="77777777" w:rsidTr="00F01B4A">
        <w:tc>
          <w:tcPr>
            <w:tcW w:w="567" w:type="dxa"/>
            <w:tcBorders>
              <w:top w:val="nil"/>
              <w:bottom w:val="nil"/>
            </w:tcBorders>
          </w:tcPr>
          <w:p w14:paraId="1583115C" w14:textId="77777777" w:rsidR="00F01B4A" w:rsidRPr="00C55E02" w:rsidRDefault="00F01B4A" w:rsidP="00F01B4A">
            <w:pPr>
              <w:pStyle w:val="Tabletext0"/>
              <w:rPr>
                <w:szCs w:val="20"/>
              </w:rPr>
            </w:pPr>
            <w:r w:rsidRPr="00C55E02">
              <w:rPr>
                <w:szCs w:val="20"/>
              </w:rPr>
              <w:t>A</w:t>
            </w:r>
          </w:p>
        </w:tc>
        <w:tc>
          <w:tcPr>
            <w:tcW w:w="2181" w:type="dxa"/>
            <w:tcBorders>
              <w:top w:val="nil"/>
              <w:bottom w:val="nil"/>
            </w:tcBorders>
          </w:tcPr>
          <w:p w14:paraId="603DA8B2" w14:textId="77777777" w:rsidR="00F01B4A" w:rsidRPr="00C55E02" w:rsidRDefault="00F01B4A" w:rsidP="00F01B4A">
            <w:pPr>
              <w:pStyle w:val="Tabletext0"/>
              <w:rPr>
                <w:szCs w:val="20"/>
              </w:rPr>
            </w:pPr>
            <w:r w:rsidRPr="00C55E02">
              <w:rPr>
                <w:szCs w:val="20"/>
              </w:rPr>
              <w:t>% of patients tested</w:t>
            </w:r>
          </w:p>
        </w:tc>
        <w:tc>
          <w:tcPr>
            <w:tcW w:w="1266" w:type="dxa"/>
            <w:tcBorders>
              <w:top w:val="nil"/>
              <w:bottom w:val="nil"/>
            </w:tcBorders>
          </w:tcPr>
          <w:p w14:paraId="387DB04C" w14:textId="77777777" w:rsidR="00F01B4A" w:rsidRPr="00C55E02" w:rsidRDefault="00F01B4A" w:rsidP="00F01B4A">
            <w:pPr>
              <w:pStyle w:val="Tabletext0"/>
              <w:rPr>
                <w:szCs w:val="20"/>
              </w:rPr>
            </w:pPr>
            <w:r w:rsidRPr="00C55E02">
              <w:rPr>
                <w:szCs w:val="20"/>
              </w:rPr>
              <w:t>90.4%</w:t>
            </w:r>
          </w:p>
        </w:tc>
        <w:tc>
          <w:tcPr>
            <w:tcW w:w="1266" w:type="dxa"/>
            <w:tcBorders>
              <w:top w:val="nil"/>
              <w:bottom w:val="nil"/>
            </w:tcBorders>
          </w:tcPr>
          <w:p w14:paraId="48E12235" w14:textId="77777777" w:rsidR="00F01B4A" w:rsidRPr="00C55E02" w:rsidRDefault="00F01B4A" w:rsidP="00F01B4A">
            <w:pPr>
              <w:pStyle w:val="Tabletext0"/>
              <w:rPr>
                <w:szCs w:val="20"/>
              </w:rPr>
            </w:pPr>
            <w:r w:rsidRPr="00C55E02">
              <w:rPr>
                <w:szCs w:val="20"/>
              </w:rPr>
              <w:t>46.1%</w:t>
            </w:r>
          </w:p>
        </w:tc>
        <w:tc>
          <w:tcPr>
            <w:tcW w:w="1273" w:type="dxa"/>
            <w:tcBorders>
              <w:top w:val="nil"/>
              <w:bottom w:val="nil"/>
            </w:tcBorders>
          </w:tcPr>
          <w:p w14:paraId="7FEA39D8" w14:textId="77777777" w:rsidR="00F01B4A" w:rsidRPr="00C55E02" w:rsidRDefault="00F01B4A" w:rsidP="00F01B4A">
            <w:pPr>
              <w:pStyle w:val="Tabletext0"/>
              <w:rPr>
                <w:szCs w:val="20"/>
              </w:rPr>
            </w:pPr>
          </w:p>
        </w:tc>
        <w:tc>
          <w:tcPr>
            <w:tcW w:w="2468" w:type="dxa"/>
            <w:tcBorders>
              <w:top w:val="nil"/>
              <w:bottom w:val="nil"/>
            </w:tcBorders>
          </w:tcPr>
          <w:p w14:paraId="57BA1791" w14:textId="77777777" w:rsidR="00F01B4A" w:rsidRPr="00C55E02" w:rsidRDefault="00F01B4A" w:rsidP="00F01B4A">
            <w:pPr>
              <w:pStyle w:val="Tabletext0"/>
              <w:rPr>
                <w:szCs w:val="20"/>
              </w:rPr>
            </w:pPr>
            <w:r w:rsidRPr="00C55E02">
              <w:rPr>
                <w:szCs w:val="20"/>
              </w:rPr>
              <w:t>PRAETORIAN (Knops 2020)</w:t>
            </w:r>
          </w:p>
        </w:tc>
      </w:tr>
      <w:tr w:rsidR="00F01B4A" w:rsidRPr="00C55E02" w14:paraId="0364A9A0" w14:textId="77777777" w:rsidTr="00F01B4A">
        <w:tc>
          <w:tcPr>
            <w:tcW w:w="567" w:type="dxa"/>
            <w:tcBorders>
              <w:top w:val="nil"/>
            </w:tcBorders>
          </w:tcPr>
          <w:p w14:paraId="07185D1C" w14:textId="77777777" w:rsidR="00F01B4A" w:rsidRPr="00C55E02" w:rsidRDefault="00F01B4A" w:rsidP="00F01B4A">
            <w:pPr>
              <w:pStyle w:val="Tabletext0"/>
              <w:rPr>
                <w:szCs w:val="20"/>
              </w:rPr>
            </w:pPr>
            <w:r w:rsidRPr="00C55E02">
              <w:rPr>
                <w:szCs w:val="20"/>
              </w:rPr>
              <w:t>B</w:t>
            </w:r>
          </w:p>
        </w:tc>
        <w:tc>
          <w:tcPr>
            <w:tcW w:w="2181" w:type="dxa"/>
            <w:tcBorders>
              <w:top w:val="nil"/>
            </w:tcBorders>
          </w:tcPr>
          <w:p w14:paraId="4CB8B265" w14:textId="77777777" w:rsidR="00F01B4A" w:rsidRPr="00C55E02" w:rsidRDefault="00F01B4A" w:rsidP="00F01B4A">
            <w:pPr>
              <w:pStyle w:val="Tabletext0"/>
              <w:rPr>
                <w:szCs w:val="20"/>
              </w:rPr>
            </w:pPr>
            <w:r w:rsidRPr="00C55E02">
              <w:rPr>
                <w:szCs w:val="20"/>
              </w:rPr>
              <w:t>Cost of DFT</w:t>
            </w:r>
          </w:p>
        </w:tc>
        <w:tc>
          <w:tcPr>
            <w:tcW w:w="1266" w:type="dxa"/>
            <w:tcBorders>
              <w:top w:val="nil"/>
            </w:tcBorders>
          </w:tcPr>
          <w:p w14:paraId="64A0A182" w14:textId="77777777" w:rsidR="00F01B4A" w:rsidRPr="00C55E02" w:rsidRDefault="00F01B4A" w:rsidP="00F01B4A">
            <w:pPr>
              <w:pStyle w:val="Tabletext0"/>
              <w:rPr>
                <w:szCs w:val="20"/>
              </w:rPr>
            </w:pPr>
            <w:r w:rsidRPr="00C55E02">
              <w:rPr>
                <w:szCs w:val="20"/>
              </w:rPr>
              <w:t>$1,279.43</w:t>
            </w:r>
          </w:p>
        </w:tc>
        <w:tc>
          <w:tcPr>
            <w:tcW w:w="1266" w:type="dxa"/>
            <w:tcBorders>
              <w:top w:val="nil"/>
            </w:tcBorders>
          </w:tcPr>
          <w:p w14:paraId="0160E9BF" w14:textId="77777777" w:rsidR="00F01B4A" w:rsidRPr="00C55E02" w:rsidRDefault="00F01B4A" w:rsidP="00F01B4A">
            <w:pPr>
              <w:pStyle w:val="Tabletext0"/>
              <w:rPr>
                <w:szCs w:val="20"/>
              </w:rPr>
            </w:pPr>
            <w:r w:rsidRPr="00C55E02">
              <w:rPr>
                <w:szCs w:val="20"/>
              </w:rPr>
              <w:t>$652.45</w:t>
            </w:r>
          </w:p>
        </w:tc>
        <w:tc>
          <w:tcPr>
            <w:tcW w:w="1273" w:type="dxa"/>
            <w:tcBorders>
              <w:top w:val="nil"/>
            </w:tcBorders>
          </w:tcPr>
          <w:p w14:paraId="7DF3FEFA" w14:textId="77777777" w:rsidR="00F01B4A" w:rsidRPr="00C55E02" w:rsidRDefault="00F01B4A" w:rsidP="00F01B4A">
            <w:pPr>
              <w:pStyle w:val="Tabletext0"/>
              <w:rPr>
                <w:szCs w:val="20"/>
              </w:rPr>
            </w:pPr>
          </w:p>
        </w:tc>
        <w:tc>
          <w:tcPr>
            <w:tcW w:w="2468" w:type="dxa"/>
            <w:tcBorders>
              <w:top w:val="nil"/>
            </w:tcBorders>
          </w:tcPr>
          <w:p w14:paraId="1489BEAD" w14:textId="77777777" w:rsidR="00F01B4A" w:rsidRPr="00C55E02" w:rsidRDefault="00F01B4A" w:rsidP="00F01B4A">
            <w:pPr>
              <w:pStyle w:val="Tabletext0"/>
              <w:rPr>
                <w:szCs w:val="20"/>
              </w:rPr>
            </w:pPr>
            <w:r w:rsidRPr="00C55E02">
              <w:rPr>
                <w:szCs w:val="20"/>
              </w:rPr>
              <w:t>A * MBS item 38212 (MOR, x 100%)</w:t>
            </w:r>
          </w:p>
        </w:tc>
      </w:tr>
      <w:tr w:rsidR="00F01B4A" w:rsidRPr="00C55E02" w14:paraId="0BB727E9" w14:textId="77777777" w:rsidTr="00F01B4A">
        <w:tc>
          <w:tcPr>
            <w:tcW w:w="567" w:type="dxa"/>
          </w:tcPr>
          <w:p w14:paraId="47CC0A22" w14:textId="77777777" w:rsidR="00F01B4A" w:rsidRPr="00C55E02" w:rsidRDefault="00F01B4A" w:rsidP="00F01B4A">
            <w:pPr>
              <w:pStyle w:val="Tabletext0"/>
              <w:rPr>
                <w:szCs w:val="20"/>
              </w:rPr>
            </w:pPr>
            <w:r w:rsidRPr="00C55E02">
              <w:rPr>
                <w:szCs w:val="20"/>
              </w:rPr>
              <w:t>C</w:t>
            </w:r>
          </w:p>
        </w:tc>
        <w:tc>
          <w:tcPr>
            <w:tcW w:w="2181" w:type="dxa"/>
          </w:tcPr>
          <w:p w14:paraId="79AD9E3A" w14:textId="77777777" w:rsidR="00F01B4A" w:rsidRPr="00C55E02" w:rsidRDefault="00F01B4A" w:rsidP="00F01B4A">
            <w:pPr>
              <w:pStyle w:val="Tabletext0"/>
              <w:rPr>
                <w:szCs w:val="20"/>
              </w:rPr>
            </w:pPr>
            <w:r w:rsidRPr="00C55E02">
              <w:rPr>
                <w:szCs w:val="20"/>
              </w:rPr>
              <w:t>Lead placement</w:t>
            </w:r>
          </w:p>
        </w:tc>
        <w:tc>
          <w:tcPr>
            <w:tcW w:w="1266" w:type="dxa"/>
          </w:tcPr>
          <w:p w14:paraId="149C1C25" w14:textId="77777777" w:rsidR="00F01B4A" w:rsidRPr="00C55E02" w:rsidRDefault="00F01B4A" w:rsidP="00F01B4A">
            <w:pPr>
              <w:pStyle w:val="Tabletext0"/>
              <w:rPr>
                <w:szCs w:val="20"/>
              </w:rPr>
            </w:pPr>
            <w:r w:rsidRPr="00C55E02">
              <w:rPr>
                <w:szCs w:val="20"/>
              </w:rPr>
              <w:t>$595</w:t>
            </w:r>
          </w:p>
        </w:tc>
        <w:tc>
          <w:tcPr>
            <w:tcW w:w="1266" w:type="dxa"/>
          </w:tcPr>
          <w:p w14:paraId="43F081B2" w14:textId="77777777" w:rsidR="00F01B4A" w:rsidRPr="00C55E02" w:rsidRDefault="00F01B4A" w:rsidP="00F01B4A">
            <w:pPr>
              <w:pStyle w:val="Tabletext0"/>
              <w:rPr>
                <w:szCs w:val="20"/>
              </w:rPr>
            </w:pPr>
            <w:r w:rsidRPr="00C55E02">
              <w:rPr>
                <w:szCs w:val="20"/>
              </w:rPr>
              <w:t>$835</w:t>
            </w:r>
          </w:p>
        </w:tc>
        <w:tc>
          <w:tcPr>
            <w:tcW w:w="1273" w:type="dxa"/>
          </w:tcPr>
          <w:p w14:paraId="7CAC63B9" w14:textId="77777777" w:rsidR="00F01B4A" w:rsidRPr="00C55E02" w:rsidRDefault="00F01B4A" w:rsidP="00F01B4A">
            <w:pPr>
              <w:pStyle w:val="Tabletext0"/>
              <w:rPr>
                <w:szCs w:val="20"/>
              </w:rPr>
            </w:pPr>
          </w:p>
        </w:tc>
        <w:tc>
          <w:tcPr>
            <w:tcW w:w="2468" w:type="dxa"/>
          </w:tcPr>
          <w:p w14:paraId="7C7ABD25" w14:textId="77777777" w:rsidR="00F01B4A" w:rsidRPr="00C55E02" w:rsidRDefault="00F01B4A" w:rsidP="00F01B4A">
            <w:pPr>
              <w:pStyle w:val="Tabletext0"/>
              <w:rPr>
                <w:szCs w:val="20"/>
              </w:rPr>
            </w:pPr>
            <w:r w:rsidRPr="00C55E02">
              <w:rPr>
                <w:szCs w:val="20"/>
              </w:rPr>
              <w:t>Proposed; MBS item 38384/38390 (MOR, x50% with DFT, x100% without DFT)</w:t>
            </w:r>
          </w:p>
        </w:tc>
      </w:tr>
      <w:tr w:rsidR="00F01B4A" w:rsidRPr="00C55E02" w14:paraId="3B62552B" w14:textId="77777777" w:rsidTr="00F01B4A">
        <w:tc>
          <w:tcPr>
            <w:tcW w:w="567" w:type="dxa"/>
            <w:tcBorders>
              <w:bottom w:val="single" w:sz="4" w:space="0" w:color="auto"/>
            </w:tcBorders>
          </w:tcPr>
          <w:p w14:paraId="0C82C5AD" w14:textId="77777777" w:rsidR="00F01B4A" w:rsidRPr="00C55E02" w:rsidRDefault="00F01B4A" w:rsidP="00F01B4A">
            <w:pPr>
              <w:pStyle w:val="Tabletext0"/>
              <w:rPr>
                <w:szCs w:val="20"/>
              </w:rPr>
            </w:pPr>
            <w:r w:rsidRPr="00C55E02">
              <w:rPr>
                <w:szCs w:val="20"/>
              </w:rPr>
              <w:t>D</w:t>
            </w:r>
          </w:p>
        </w:tc>
        <w:tc>
          <w:tcPr>
            <w:tcW w:w="2181" w:type="dxa"/>
            <w:tcBorders>
              <w:bottom w:val="single" w:sz="4" w:space="0" w:color="auto"/>
            </w:tcBorders>
          </w:tcPr>
          <w:p w14:paraId="0FE641E3" w14:textId="77777777" w:rsidR="00F01B4A" w:rsidRPr="00C55E02" w:rsidRDefault="00F01B4A" w:rsidP="00F01B4A">
            <w:pPr>
              <w:pStyle w:val="Tabletext0"/>
              <w:rPr>
                <w:szCs w:val="20"/>
              </w:rPr>
            </w:pPr>
            <w:r w:rsidRPr="00C55E02">
              <w:rPr>
                <w:szCs w:val="20"/>
              </w:rPr>
              <w:t>Implant of generator</w:t>
            </w:r>
          </w:p>
        </w:tc>
        <w:tc>
          <w:tcPr>
            <w:tcW w:w="1266" w:type="dxa"/>
            <w:tcBorders>
              <w:bottom w:val="single" w:sz="4" w:space="0" w:color="auto"/>
            </w:tcBorders>
          </w:tcPr>
          <w:p w14:paraId="0F7A523F" w14:textId="77777777" w:rsidR="00F01B4A" w:rsidRPr="00C55E02" w:rsidRDefault="00F01B4A" w:rsidP="00F01B4A">
            <w:pPr>
              <w:pStyle w:val="Tabletext0"/>
              <w:rPr>
                <w:szCs w:val="20"/>
              </w:rPr>
            </w:pPr>
            <w:r w:rsidRPr="00C55E02">
              <w:rPr>
                <w:szCs w:val="20"/>
              </w:rPr>
              <w:t>$81.34</w:t>
            </w:r>
          </w:p>
        </w:tc>
        <w:tc>
          <w:tcPr>
            <w:tcW w:w="1266" w:type="dxa"/>
            <w:tcBorders>
              <w:bottom w:val="single" w:sz="4" w:space="0" w:color="auto"/>
            </w:tcBorders>
          </w:tcPr>
          <w:p w14:paraId="62B1F7E0" w14:textId="77777777" w:rsidR="00F01B4A" w:rsidRPr="00C55E02" w:rsidRDefault="00F01B4A" w:rsidP="00F01B4A">
            <w:pPr>
              <w:pStyle w:val="Tabletext0"/>
              <w:rPr>
                <w:szCs w:val="20"/>
              </w:rPr>
            </w:pPr>
            <w:r w:rsidRPr="00C55E02">
              <w:rPr>
                <w:szCs w:val="20"/>
              </w:rPr>
              <w:t>$114.21</w:t>
            </w:r>
          </w:p>
        </w:tc>
        <w:tc>
          <w:tcPr>
            <w:tcW w:w="1273" w:type="dxa"/>
            <w:tcBorders>
              <w:bottom w:val="single" w:sz="4" w:space="0" w:color="auto"/>
            </w:tcBorders>
          </w:tcPr>
          <w:p w14:paraId="607F4708" w14:textId="77777777" w:rsidR="00F01B4A" w:rsidRPr="00C55E02" w:rsidRDefault="00F01B4A" w:rsidP="00F01B4A">
            <w:pPr>
              <w:pStyle w:val="Tabletext0"/>
              <w:rPr>
                <w:szCs w:val="20"/>
              </w:rPr>
            </w:pPr>
          </w:p>
        </w:tc>
        <w:tc>
          <w:tcPr>
            <w:tcW w:w="2468" w:type="dxa"/>
            <w:tcBorders>
              <w:bottom w:val="single" w:sz="4" w:space="0" w:color="auto"/>
            </w:tcBorders>
          </w:tcPr>
          <w:p w14:paraId="0DD4E503" w14:textId="77777777" w:rsidR="00F01B4A" w:rsidRPr="00C55E02" w:rsidRDefault="00F01B4A" w:rsidP="00F01B4A">
            <w:pPr>
              <w:pStyle w:val="Tabletext0"/>
              <w:rPr>
                <w:szCs w:val="20"/>
              </w:rPr>
            </w:pPr>
            <w:r w:rsidRPr="00C55E02">
              <w:rPr>
                <w:szCs w:val="20"/>
              </w:rPr>
              <w:t>MBS item 38387/38393 (MOR, x25% with DFT, x50% without DFT)</w:t>
            </w:r>
          </w:p>
        </w:tc>
      </w:tr>
      <w:tr w:rsidR="00F01B4A" w:rsidRPr="00C55E02" w14:paraId="31917DC3" w14:textId="77777777" w:rsidTr="00F01B4A">
        <w:tc>
          <w:tcPr>
            <w:tcW w:w="567" w:type="dxa"/>
          </w:tcPr>
          <w:p w14:paraId="466A2B7C" w14:textId="77777777" w:rsidR="00F01B4A" w:rsidRPr="00C55E02" w:rsidRDefault="00F01B4A" w:rsidP="00F01B4A">
            <w:pPr>
              <w:pStyle w:val="Tabletext0"/>
              <w:rPr>
                <w:szCs w:val="20"/>
              </w:rPr>
            </w:pPr>
            <w:r w:rsidRPr="00C55E02">
              <w:rPr>
                <w:szCs w:val="20"/>
              </w:rPr>
              <w:t>E</w:t>
            </w:r>
          </w:p>
        </w:tc>
        <w:tc>
          <w:tcPr>
            <w:tcW w:w="2181" w:type="dxa"/>
          </w:tcPr>
          <w:p w14:paraId="72131E38" w14:textId="77777777" w:rsidR="00F01B4A" w:rsidRPr="00C55E02" w:rsidRDefault="00F01B4A" w:rsidP="00F01B4A">
            <w:pPr>
              <w:pStyle w:val="Tabletext0"/>
              <w:rPr>
                <w:szCs w:val="20"/>
              </w:rPr>
            </w:pPr>
            <w:r w:rsidRPr="00C55E02">
              <w:rPr>
                <w:szCs w:val="20"/>
              </w:rPr>
              <w:t>Fluoroscopy guidance of lead</w:t>
            </w:r>
          </w:p>
        </w:tc>
        <w:tc>
          <w:tcPr>
            <w:tcW w:w="1266" w:type="dxa"/>
          </w:tcPr>
          <w:p w14:paraId="627B32F1" w14:textId="77777777" w:rsidR="00F01B4A" w:rsidRPr="00C55E02" w:rsidRDefault="00F01B4A" w:rsidP="00F01B4A">
            <w:pPr>
              <w:pStyle w:val="Tabletext0"/>
              <w:rPr>
                <w:szCs w:val="20"/>
              </w:rPr>
            </w:pPr>
            <w:r w:rsidRPr="00C55E02">
              <w:rPr>
                <w:szCs w:val="20"/>
              </w:rPr>
              <w:t>-</w:t>
            </w:r>
          </w:p>
        </w:tc>
        <w:tc>
          <w:tcPr>
            <w:tcW w:w="1266" w:type="dxa"/>
          </w:tcPr>
          <w:p w14:paraId="2B5E3745" w14:textId="77777777" w:rsidR="00F01B4A" w:rsidRPr="00C55E02" w:rsidRDefault="00F01B4A" w:rsidP="00F01B4A">
            <w:pPr>
              <w:pStyle w:val="Tabletext0"/>
              <w:rPr>
                <w:szCs w:val="20"/>
              </w:rPr>
            </w:pPr>
            <w:r w:rsidRPr="00C55E02">
              <w:rPr>
                <w:szCs w:val="20"/>
              </w:rPr>
              <w:t>$262.80</w:t>
            </w:r>
          </w:p>
        </w:tc>
        <w:tc>
          <w:tcPr>
            <w:tcW w:w="1273" w:type="dxa"/>
          </w:tcPr>
          <w:p w14:paraId="587B253C" w14:textId="77777777" w:rsidR="00F01B4A" w:rsidRPr="00C55E02" w:rsidRDefault="00F01B4A" w:rsidP="00F01B4A">
            <w:pPr>
              <w:pStyle w:val="Tabletext0"/>
              <w:rPr>
                <w:szCs w:val="20"/>
              </w:rPr>
            </w:pPr>
          </w:p>
        </w:tc>
        <w:tc>
          <w:tcPr>
            <w:tcW w:w="2468" w:type="dxa"/>
          </w:tcPr>
          <w:p w14:paraId="07506078" w14:textId="77777777" w:rsidR="00F01B4A" w:rsidRPr="00C55E02" w:rsidRDefault="00F01B4A" w:rsidP="00F01B4A">
            <w:pPr>
              <w:pStyle w:val="Tabletext0"/>
              <w:rPr>
                <w:szCs w:val="20"/>
              </w:rPr>
            </w:pPr>
            <w:r w:rsidRPr="00C55E02">
              <w:rPr>
                <w:szCs w:val="20"/>
              </w:rPr>
              <w:t>MBS item 61109</w:t>
            </w:r>
          </w:p>
        </w:tc>
      </w:tr>
      <w:tr w:rsidR="00F01B4A" w:rsidRPr="00C55E02" w14:paraId="05E26EA6" w14:textId="77777777" w:rsidTr="00F01B4A">
        <w:tc>
          <w:tcPr>
            <w:tcW w:w="567" w:type="dxa"/>
          </w:tcPr>
          <w:p w14:paraId="35927516" w14:textId="77777777" w:rsidR="00F01B4A" w:rsidRPr="00C55E02" w:rsidRDefault="00F01B4A" w:rsidP="00F01B4A">
            <w:pPr>
              <w:pStyle w:val="Tabletext0"/>
              <w:rPr>
                <w:szCs w:val="20"/>
              </w:rPr>
            </w:pPr>
            <w:r w:rsidRPr="00C55E02">
              <w:rPr>
                <w:szCs w:val="20"/>
              </w:rPr>
              <w:t>F</w:t>
            </w:r>
          </w:p>
        </w:tc>
        <w:tc>
          <w:tcPr>
            <w:tcW w:w="2181" w:type="dxa"/>
          </w:tcPr>
          <w:p w14:paraId="4EA29F43" w14:textId="77777777" w:rsidR="00F01B4A" w:rsidRPr="00C55E02" w:rsidRDefault="00F01B4A" w:rsidP="00F01B4A">
            <w:pPr>
              <w:pStyle w:val="Tabletext0"/>
              <w:rPr>
                <w:szCs w:val="20"/>
              </w:rPr>
            </w:pPr>
            <w:r w:rsidRPr="00C55E02">
              <w:rPr>
                <w:szCs w:val="20"/>
              </w:rPr>
              <w:t>Chest x-ray with fluoroscopic screening</w:t>
            </w:r>
          </w:p>
        </w:tc>
        <w:tc>
          <w:tcPr>
            <w:tcW w:w="1266" w:type="dxa"/>
          </w:tcPr>
          <w:p w14:paraId="4FC4B81D" w14:textId="77777777" w:rsidR="00F01B4A" w:rsidRPr="00C55E02" w:rsidRDefault="00F01B4A" w:rsidP="00F01B4A">
            <w:pPr>
              <w:pStyle w:val="Tabletext0"/>
              <w:rPr>
                <w:szCs w:val="20"/>
              </w:rPr>
            </w:pPr>
            <w:r w:rsidRPr="00C55E02">
              <w:rPr>
                <w:szCs w:val="20"/>
              </w:rPr>
              <w:t>$61.65</w:t>
            </w:r>
          </w:p>
        </w:tc>
        <w:tc>
          <w:tcPr>
            <w:tcW w:w="1266" w:type="dxa"/>
          </w:tcPr>
          <w:p w14:paraId="48D80428" w14:textId="77777777" w:rsidR="00F01B4A" w:rsidRPr="00C55E02" w:rsidRDefault="00F01B4A" w:rsidP="00F01B4A">
            <w:pPr>
              <w:pStyle w:val="Tabletext0"/>
              <w:rPr>
                <w:szCs w:val="20"/>
              </w:rPr>
            </w:pPr>
            <w:r w:rsidRPr="00C55E02">
              <w:rPr>
                <w:szCs w:val="20"/>
              </w:rPr>
              <w:t>-</w:t>
            </w:r>
          </w:p>
        </w:tc>
        <w:tc>
          <w:tcPr>
            <w:tcW w:w="1273" w:type="dxa"/>
          </w:tcPr>
          <w:p w14:paraId="22244148" w14:textId="77777777" w:rsidR="00F01B4A" w:rsidRPr="00C55E02" w:rsidRDefault="00F01B4A" w:rsidP="00F01B4A">
            <w:pPr>
              <w:pStyle w:val="Tabletext0"/>
              <w:rPr>
                <w:szCs w:val="20"/>
              </w:rPr>
            </w:pPr>
          </w:p>
        </w:tc>
        <w:tc>
          <w:tcPr>
            <w:tcW w:w="2468" w:type="dxa"/>
          </w:tcPr>
          <w:p w14:paraId="63E93D52" w14:textId="77777777" w:rsidR="00F01B4A" w:rsidRPr="00C55E02" w:rsidRDefault="00F01B4A" w:rsidP="00F01B4A">
            <w:pPr>
              <w:pStyle w:val="Tabletext0"/>
              <w:rPr>
                <w:szCs w:val="20"/>
              </w:rPr>
            </w:pPr>
            <w:r w:rsidRPr="00C55E02">
              <w:rPr>
                <w:szCs w:val="20"/>
              </w:rPr>
              <w:t>MBS item 58506</w:t>
            </w:r>
          </w:p>
        </w:tc>
      </w:tr>
      <w:tr w:rsidR="00F01B4A" w:rsidRPr="00C55E02" w14:paraId="6272D0B3" w14:textId="77777777" w:rsidTr="00F01B4A">
        <w:tc>
          <w:tcPr>
            <w:tcW w:w="567" w:type="dxa"/>
          </w:tcPr>
          <w:p w14:paraId="5ABB9372" w14:textId="77777777" w:rsidR="00F01B4A" w:rsidRPr="00C55E02" w:rsidRDefault="00F01B4A" w:rsidP="00F01B4A">
            <w:pPr>
              <w:pStyle w:val="Tabletext0"/>
              <w:rPr>
                <w:szCs w:val="20"/>
              </w:rPr>
            </w:pPr>
            <w:r w:rsidRPr="00C55E02">
              <w:rPr>
                <w:szCs w:val="20"/>
              </w:rPr>
              <w:t>G</w:t>
            </w:r>
          </w:p>
        </w:tc>
        <w:tc>
          <w:tcPr>
            <w:tcW w:w="2181" w:type="dxa"/>
          </w:tcPr>
          <w:p w14:paraId="69145EA5" w14:textId="77777777" w:rsidR="00F01B4A" w:rsidRPr="00C55E02" w:rsidRDefault="00F01B4A" w:rsidP="00F01B4A">
            <w:pPr>
              <w:pStyle w:val="Tabletext0"/>
              <w:rPr>
                <w:szCs w:val="20"/>
              </w:rPr>
            </w:pPr>
            <w:r w:rsidRPr="00C55E02">
              <w:rPr>
                <w:szCs w:val="20"/>
              </w:rPr>
              <w:t>Anaesthesia service costs</w:t>
            </w:r>
          </w:p>
        </w:tc>
        <w:tc>
          <w:tcPr>
            <w:tcW w:w="1266" w:type="dxa"/>
          </w:tcPr>
          <w:p w14:paraId="4D7FBECD" w14:textId="77777777" w:rsidR="00F01B4A" w:rsidRPr="00C55E02" w:rsidRDefault="00F01B4A" w:rsidP="00F01B4A">
            <w:pPr>
              <w:pStyle w:val="Tabletext0"/>
              <w:rPr>
                <w:szCs w:val="20"/>
              </w:rPr>
            </w:pPr>
            <w:r w:rsidRPr="00C55E02">
              <w:rPr>
                <w:szCs w:val="20"/>
              </w:rPr>
              <w:t>$175.43</w:t>
            </w:r>
          </w:p>
        </w:tc>
        <w:tc>
          <w:tcPr>
            <w:tcW w:w="1266" w:type="dxa"/>
          </w:tcPr>
          <w:p w14:paraId="38C796AA" w14:textId="77777777" w:rsidR="00F01B4A" w:rsidRPr="00C55E02" w:rsidRDefault="00F01B4A" w:rsidP="00F01B4A">
            <w:pPr>
              <w:pStyle w:val="Tabletext0"/>
              <w:rPr>
                <w:szCs w:val="20"/>
              </w:rPr>
            </w:pPr>
            <w:r w:rsidRPr="00C55E02">
              <w:rPr>
                <w:szCs w:val="20"/>
              </w:rPr>
              <w:t>$131.72</w:t>
            </w:r>
          </w:p>
        </w:tc>
        <w:tc>
          <w:tcPr>
            <w:tcW w:w="1273" w:type="dxa"/>
          </w:tcPr>
          <w:p w14:paraId="5BEBC994" w14:textId="77777777" w:rsidR="00F01B4A" w:rsidRPr="00C55E02" w:rsidRDefault="00F01B4A" w:rsidP="00F01B4A">
            <w:pPr>
              <w:pStyle w:val="Tabletext0"/>
              <w:rPr>
                <w:szCs w:val="20"/>
              </w:rPr>
            </w:pPr>
          </w:p>
        </w:tc>
        <w:tc>
          <w:tcPr>
            <w:tcW w:w="2468" w:type="dxa"/>
          </w:tcPr>
          <w:p w14:paraId="7FA11A17" w14:textId="77777777" w:rsidR="00F01B4A" w:rsidRPr="00C55E02" w:rsidRDefault="00F01B4A" w:rsidP="00F01B4A">
            <w:pPr>
              <w:pStyle w:val="Tabletext0"/>
              <w:rPr>
                <w:szCs w:val="20"/>
              </w:rPr>
            </w:pPr>
            <w:r w:rsidRPr="00C55E02">
              <w:rPr>
                <w:szCs w:val="20"/>
              </w:rPr>
              <w:t>MSAC ADAR 1374.1 (Table D-4)</w:t>
            </w:r>
          </w:p>
        </w:tc>
      </w:tr>
      <w:tr w:rsidR="00F01B4A" w:rsidRPr="00C55E02" w14:paraId="53548DD2" w14:textId="77777777" w:rsidTr="00F01B4A">
        <w:tc>
          <w:tcPr>
            <w:tcW w:w="567" w:type="dxa"/>
          </w:tcPr>
          <w:p w14:paraId="69BD560A" w14:textId="77777777" w:rsidR="00F01B4A" w:rsidRPr="00C55E02" w:rsidRDefault="00F01B4A" w:rsidP="00F01B4A">
            <w:pPr>
              <w:pStyle w:val="Tabletext0"/>
              <w:rPr>
                <w:b/>
                <w:bCs/>
                <w:szCs w:val="20"/>
              </w:rPr>
            </w:pPr>
            <w:r w:rsidRPr="00C55E02">
              <w:rPr>
                <w:b/>
                <w:szCs w:val="20"/>
              </w:rPr>
              <w:t>I</w:t>
            </w:r>
          </w:p>
        </w:tc>
        <w:tc>
          <w:tcPr>
            <w:tcW w:w="2181" w:type="dxa"/>
          </w:tcPr>
          <w:p w14:paraId="1F9AB6DE" w14:textId="77777777" w:rsidR="00F01B4A" w:rsidRPr="00C55E02" w:rsidRDefault="00F01B4A" w:rsidP="00F01B4A">
            <w:pPr>
              <w:pStyle w:val="Tabletext0"/>
              <w:rPr>
                <w:b/>
                <w:bCs/>
                <w:szCs w:val="20"/>
              </w:rPr>
            </w:pPr>
            <w:r w:rsidRPr="00C55E02">
              <w:rPr>
                <w:b/>
                <w:szCs w:val="20"/>
              </w:rPr>
              <w:t>Total medical service costs</w:t>
            </w:r>
          </w:p>
        </w:tc>
        <w:tc>
          <w:tcPr>
            <w:tcW w:w="1266" w:type="dxa"/>
          </w:tcPr>
          <w:p w14:paraId="0D663872" w14:textId="77777777" w:rsidR="00F01B4A" w:rsidRPr="00C55E02" w:rsidRDefault="00F01B4A" w:rsidP="00F01B4A">
            <w:pPr>
              <w:pStyle w:val="Tabletext0"/>
              <w:rPr>
                <w:b/>
                <w:bCs/>
                <w:szCs w:val="20"/>
              </w:rPr>
            </w:pPr>
            <w:r w:rsidRPr="00C55E02">
              <w:rPr>
                <w:b/>
                <w:szCs w:val="20"/>
              </w:rPr>
              <w:t>$2,192.73</w:t>
            </w:r>
          </w:p>
        </w:tc>
        <w:tc>
          <w:tcPr>
            <w:tcW w:w="1266" w:type="dxa"/>
          </w:tcPr>
          <w:p w14:paraId="25902011" w14:textId="77777777" w:rsidR="00F01B4A" w:rsidRPr="00C55E02" w:rsidRDefault="00F01B4A" w:rsidP="00F01B4A">
            <w:pPr>
              <w:pStyle w:val="Tabletext0"/>
              <w:rPr>
                <w:b/>
                <w:bCs/>
                <w:szCs w:val="20"/>
              </w:rPr>
            </w:pPr>
            <w:r w:rsidRPr="00C55E02">
              <w:rPr>
                <w:b/>
                <w:szCs w:val="20"/>
              </w:rPr>
              <w:t>$1,996.51</w:t>
            </w:r>
          </w:p>
        </w:tc>
        <w:tc>
          <w:tcPr>
            <w:tcW w:w="1273" w:type="dxa"/>
          </w:tcPr>
          <w:p w14:paraId="252AFDED" w14:textId="77777777" w:rsidR="00F01B4A" w:rsidRPr="00C55E02" w:rsidRDefault="00F01B4A" w:rsidP="00F01B4A">
            <w:pPr>
              <w:pStyle w:val="Tabletext0"/>
              <w:rPr>
                <w:b/>
                <w:bCs/>
                <w:szCs w:val="20"/>
              </w:rPr>
            </w:pPr>
            <w:r w:rsidRPr="00C55E02">
              <w:rPr>
                <w:b/>
                <w:szCs w:val="20"/>
              </w:rPr>
              <w:t>$196</w:t>
            </w:r>
          </w:p>
        </w:tc>
        <w:tc>
          <w:tcPr>
            <w:tcW w:w="2468" w:type="dxa"/>
          </w:tcPr>
          <w:p w14:paraId="7D5C2717" w14:textId="77777777" w:rsidR="00F01B4A" w:rsidRPr="00C55E02" w:rsidRDefault="00F01B4A" w:rsidP="00F01B4A">
            <w:pPr>
              <w:pStyle w:val="Tabletext0"/>
              <w:rPr>
                <w:b/>
                <w:bCs/>
                <w:szCs w:val="20"/>
              </w:rPr>
            </w:pPr>
            <w:r w:rsidRPr="00C55E02">
              <w:rPr>
                <w:b/>
                <w:szCs w:val="20"/>
              </w:rPr>
              <w:t>B+C+D+E+F+G</w:t>
            </w:r>
          </w:p>
        </w:tc>
      </w:tr>
      <w:tr w:rsidR="00F01B4A" w:rsidRPr="003D4190" w14:paraId="63392170" w14:textId="77777777" w:rsidTr="00F01B4A">
        <w:tc>
          <w:tcPr>
            <w:tcW w:w="567" w:type="dxa"/>
          </w:tcPr>
          <w:p w14:paraId="6DD1A3DA" w14:textId="77777777" w:rsidR="00F01B4A" w:rsidRPr="003D4190" w:rsidRDefault="00F01B4A" w:rsidP="00F01B4A">
            <w:pPr>
              <w:pStyle w:val="Tabletext0"/>
              <w:rPr>
                <w:b/>
                <w:bCs/>
                <w:szCs w:val="20"/>
              </w:rPr>
            </w:pPr>
            <w:r w:rsidRPr="003D4190">
              <w:rPr>
                <w:b/>
                <w:szCs w:val="20"/>
              </w:rPr>
              <w:t>J</w:t>
            </w:r>
          </w:p>
        </w:tc>
        <w:tc>
          <w:tcPr>
            <w:tcW w:w="2181" w:type="dxa"/>
          </w:tcPr>
          <w:p w14:paraId="1E87D7FC" w14:textId="77777777" w:rsidR="00F01B4A" w:rsidRPr="003D4190" w:rsidRDefault="00F01B4A" w:rsidP="00F01B4A">
            <w:pPr>
              <w:pStyle w:val="Tabletext0"/>
              <w:rPr>
                <w:b/>
                <w:bCs/>
                <w:szCs w:val="20"/>
              </w:rPr>
            </w:pPr>
            <w:r w:rsidRPr="003D4190">
              <w:rPr>
                <w:b/>
                <w:szCs w:val="20"/>
              </w:rPr>
              <w:t>Prostheses costs</w:t>
            </w:r>
          </w:p>
        </w:tc>
        <w:tc>
          <w:tcPr>
            <w:tcW w:w="1266" w:type="dxa"/>
          </w:tcPr>
          <w:p w14:paraId="5C75A6B4" w14:textId="77777777" w:rsidR="00F01B4A" w:rsidRPr="003D4190" w:rsidRDefault="00F01B4A" w:rsidP="00F01B4A">
            <w:pPr>
              <w:pStyle w:val="Tabletext0"/>
              <w:rPr>
                <w:b/>
                <w:bCs/>
                <w:szCs w:val="20"/>
              </w:rPr>
            </w:pPr>
            <w:r w:rsidRPr="003D4190">
              <w:rPr>
                <w:b/>
                <w:szCs w:val="20"/>
              </w:rPr>
              <w:t>$34,392</w:t>
            </w:r>
          </w:p>
        </w:tc>
        <w:tc>
          <w:tcPr>
            <w:tcW w:w="1266" w:type="dxa"/>
          </w:tcPr>
          <w:p w14:paraId="28891E29" w14:textId="77777777" w:rsidR="00F01B4A" w:rsidRPr="003D4190" w:rsidRDefault="00F01B4A" w:rsidP="00F01B4A">
            <w:pPr>
              <w:pStyle w:val="Tabletext0"/>
              <w:rPr>
                <w:b/>
                <w:bCs/>
                <w:szCs w:val="20"/>
              </w:rPr>
            </w:pPr>
            <w:r w:rsidRPr="003D4190">
              <w:rPr>
                <w:b/>
                <w:szCs w:val="20"/>
              </w:rPr>
              <w:t>$35,127</w:t>
            </w:r>
          </w:p>
        </w:tc>
        <w:tc>
          <w:tcPr>
            <w:tcW w:w="1273" w:type="dxa"/>
          </w:tcPr>
          <w:p w14:paraId="2F56CB69" w14:textId="77777777" w:rsidR="00F01B4A" w:rsidRPr="003D4190" w:rsidRDefault="00F01B4A" w:rsidP="00F01B4A">
            <w:pPr>
              <w:pStyle w:val="Tabletext0"/>
              <w:rPr>
                <w:b/>
                <w:bCs/>
                <w:szCs w:val="20"/>
              </w:rPr>
            </w:pPr>
            <w:r w:rsidRPr="003D4190">
              <w:rPr>
                <w:b/>
                <w:szCs w:val="20"/>
              </w:rPr>
              <w:t>-$735</w:t>
            </w:r>
          </w:p>
        </w:tc>
        <w:tc>
          <w:tcPr>
            <w:tcW w:w="2468" w:type="dxa"/>
          </w:tcPr>
          <w:p w14:paraId="2FC63DAF" w14:textId="77777777" w:rsidR="00F01B4A" w:rsidRPr="003D4190" w:rsidRDefault="00F01B4A" w:rsidP="00F01B4A">
            <w:pPr>
              <w:pStyle w:val="Tabletext0"/>
              <w:rPr>
                <w:szCs w:val="20"/>
              </w:rPr>
            </w:pPr>
            <w:r w:rsidRPr="003D4190">
              <w:rPr>
                <w:b/>
                <w:szCs w:val="20"/>
              </w:rPr>
              <w:t>MSAC ADAR 1374.1 (Table D-18)</w:t>
            </w:r>
          </w:p>
        </w:tc>
      </w:tr>
      <w:tr w:rsidR="00F01B4A" w:rsidRPr="003D4190" w14:paraId="483BABDC" w14:textId="77777777" w:rsidTr="00F01B4A">
        <w:tc>
          <w:tcPr>
            <w:tcW w:w="567" w:type="dxa"/>
          </w:tcPr>
          <w:p w14:paraId="21C4AEBD" w14:textId="77777777" w:rsidR="00F01B4A" w:rsidRPr="003D4190" w:rsidRDefault="00F01B4A" w:rsidP="00F01B4A">
            <w:pPr>
              <w:pStyle w:val="Tabletext0"/>
              <w:rPr>
                <w:b/>
                <w:bCs/>
                <w:szCs w:val="20"/>
              </w:rPr>
            </w:pPr>
            <w:r w:rsidRPr="003D4190">
              <w:rPr>
                <w:b/>
                <w:szCs w:val="20"/>
              </w:rPr>
              <w:t>K</w:t>
            </w:r>
          </w:p>
        </w:tc>
        <w:tc>
          <w:tcPr>
            <w:tcW w:w="2181" w:type="dxa"/>
          </w:tcPr>
          <w:p w14:paraId="11705577" w14:textId="77777777" w:rsidR="00F01B4A" w:rsidRPr="003D4190" w:rsidRDefault="00F01B4A" w:rsidP="00F01B4A">
            <w:pPr>
              <w:pStyle w:val="Tabletext0"/>
              <w:rPr>
                <w:b/>
                <w:bCs/>
                <w:szCs w:val="20"/>
              </w:rPr>
            </w:pPr>
            <w:r w:rsidRPr="003D4190">
              <w:rPr>
                <w:b/>
                <w:szCs w:val="20"/>
              </w:rPr>
              <w:t>Hospitalisation costs</w:t>
            </w:r>
          </w:p>
        </w:tc>
        <w:tc>
          <w:tcPr>
            <w:tcW w:w="1266" w:type="dxa"/>
          </w:tcPr>
          <w:p w14:paraId="1D8B70AD" w14:textId="77777777" w:rsidR="00F01B4A" w:rsidRPr="003D4190" w:rsidRDefault="00F01B4A" w:rsidP="00F01B4A">
            <w:pPr>
              <w:pStyle w:val="Tabletext0"/>
              <w:rPr>
                <w:b/>
                <w:bCs/>
                <w:szCs w:val="20"/>
              </w:rPr>
            </w:pPr>
            <w:r w:rsidRPr="003D4190">
              <w:rPr>
                <w:b/>
                <w:szCs w:val="20"/>
              </w:rPr>
              <w:t>$10,803</w:t>
            </w:r>
          </w:p>
        </w:tc>
        <w:tc>
          <w:tcPr>
            <w:tcW w:w="1266" w:type="dxa"/>
          </w:tcPr>
          <w:p w14:paraId="096E6A67" w14:textId="77777777" w:rsidR="00F01B4A" w:rsidRPr="003D4190" w:rsidRDefault="00F01B4A" w:rsidP="00F01B4A">
            <w:pPr>
              <w:pStyle w:val="Tabletext0"/>
              <w:rPr>
                <w:b/>
                <w:bCs/>
                <w:szCs w:val="20"/>
              </w:rPr>
            </w:pPr>
            <w:r w:rsidRPr="003D4190">
              <w:rPr>
                <w:b/>
                <w:szCs w:val="20"/>
              </w:rPr>
              <w:t>$10,803</w:t>
            </w:r>
          </w:p>
        </w:tc>
        <w:tc>
          <w:tcPr>
            <w:tcW w:w="1273" w:type="dxa"/>
          </w:tcPr>
          <w:p w14:paraId="6BF4A4D1" w14:textId="77777777" w:rsidR="00F01B4A" w:rsidRPr="003D4190" w:rsidRDefault="00F01B4A" w:rsidP="00F01B4A">
            <w:pPr>
              <w:pStyle w:val="Tabletext0"/>
              <w:rPr>
                <w:b/>
                <w:bCs/>
                <w:szCs w:val="20"/>
              </w:rPr>
            </w:pPr>
            <w:r w:rsidRPr="003D4190">
              <w:rPr>
                <w:b/>
                <w:szCs w:val="20"/>
              </w:rPr>
              <w:t>$0</w:t>
            </w:r>
          </w:p>
        </w:tc>
        <w:tc>
          <w:tcPr>
            <w:tcW w:w="2468" w:type="dxa"/>
          </w:tcPr>
          <w:p w14:paraId="2363D6FF" w14:textId="77777777" w:rsidR="00F01B4A" w:rsidRPr="003D4190" w:rsidRDefault="00F01B4A" w:rsidP="00F01B4A">
            <w:pPr>
              <w:pStyle w:val="Tabletext0"/>
              <w:rPr>
                <w:szCs w:val="20"/>
              </w:rPr>
            </w:pPr>
            <w:r w:rsidRPr="003D4190">
              <w:rPr>
                <w:b/>
                <w:szCs w:val="20"/>
              </w:rPr>
              <w:t>MSAC ADAR 1374.1 (Table D-18)</w:t>
            </w:r>
          </w:p>
        </w:tc>
      </w:tr>
      <w:tr w:rsidR="00F01B4A" w:rsidRPr="003D4190" w14:paraId="7A8C1AD4" w14:textId="77777777" w:rsidTr="00F01B4A">
        <w:tc>
          <w:tcPr>
            <w:tcW w:w="567" w:type="dxa"/>
          </w:tcPr>
          <w:p w14:paraId="343CEBBE" w14:textId="77777777" w:rsidR="00F01B4A" w:rsidRPr="003D4190" w:rsidRDefault="00F01B4A" w:rsidP="00F01B4A">
            <w:pPr>
              <w:pStyle w:val="Tabletext0"/>
              <w:rPr>
                <w:b/>
                <w:bCs/>
                <w:szCs w:val="20"/>
              </w:rPr>
            </w:pPr>
            <w:r w:rsidRPr="003D4190">
              <w:rPr>
                <w:b/>
                <w:szCs w:val="20"/>
              </w:rPr>
              <w:t>L</w:t>
            </w:r>
          </w:p>
        </w:tc>
        <w:tc>
          <w:tcPr>
            <w:tcW w:w="2181" w:type="dxa"/>
          </w:tcPr>
          <w:p w14:paraId="202CA32E" w14:textId="77777777" w:rsidR="00F01B4A" w:rsidRPr="003D4190" w:rsidRDefault="00F01B4A" w:rsidP="00F01B4A">
            <w:pPr>
              <w:pStyle w:val="Tabletext0"/>
              <w:rPr>
                <w:b/>
                <w:bCs/>
                <w:szCs w:val="20"/>
              </w:rPr>
            </w:pPr>
            <w:r w:rsidRPr="003D4190">
              <w:rPr>
                <w:b/>
                <w:szCs w:val="20"/>
              </w:rPr>
              <w:t>Safety costs</w:t>
            </w:r>
          </w:p>
        </w:tc>
        <w:tc>
          <w:tcPr>
            <w:tcW w:w="1266" w:type="dxa"/>
          </w:tcPr>
          <w:p w14:paraId="6B7CD64D" w14:textId="77777777" w:rsidR="00F01B4A" w:rsidRPr="003D4190" w:rsidRDefault="00F01B4A" w:rsidP="00F01B4A">
            <w:pPr>
              <w:pStyle w:val="Tabletext0"/>
              <w:rPr>
                <w:b/>
                <w:bCs/>
                <w:szCs w:val="20"/>
              </w:rPr>
            </w:pPr>
            <w:r w:rsidRPr="003D4190">
              <w:rPr>
                <w:b/>
                <w:szCs w:val="20"/>
              </w:rPr>
              <w:t>$1,782</w:t>
            </w:r>
          </w:p>
        </w:tc>
        <w:tc>
          <w:tcPr>
            <w:tcW w:w="1266" w:type="dxa"/>
          </w:tcPr>
          <w:p w14:paraId="2F3649D3" w14:textId="77777777" w:rsidR="00F01B4A" w:rsidRPr="003D4190" w:rsidRDefault="00F01B4A" w:rsidP="00F01B4A">
            <w:pPr>
              <w:pStyle w:val="Tabletext0"/>
              <w:rPr>
                <w:b/>
                <w:bCs/>
                <w:szCs w:val="20"/>
              </w:rPr>
            </w:pPr>
            <w:r w:rsidRPr="003D4190">
              <w:rPr>
                <w:b/>
                <w:szCs w:val="20"/>
              </w:rPr>
              <w:t>$1,375</w:t>
            </w:r>
          </w:p>
        </w:tc>
        <w:tc>
          <w:tcPr>
            <w:tcW w:w="1273" w:type="dxa"/>
          </w:tcPr>
          <w:p w14:paraId="50BAF540" w14:textId="77777777" w:rsidR="00F01B4A" w:rsidRPr="003D4190" w:rsidRDefault="00F01B4A" w:rsidP="00F01B4A">
            <w:pPr>
              <w:pStyle w:val="Tabletext0"/>
              <w:rPr>
                <w:b/>
                <w:bCs/>
                <w:szCs w:val="20"/>
              </w:rPr>
            </w:pPr>
            <w:r w:rsidRPr="003D4190">
              <w:rPr>
                <w:b/>
                <w:szCs w:val="20"/>
              </w:rPr>
              <w:t>$408</w:t>
            </w:r>
          </w:p>
        </w:tc>
        <w:tc>
          <w:tcPr>
            <w:tcW w:w="2468" w:type="dxa"/>
          </w:tcPr>
          <w:p w14:paraId="2F5F6AAC" w14:textId="77777777" w:rsidR="00F01B4A" w:rsidRPr="003D4190" w:rsidRDefault="00F01B4A" w:rsidP="00F01B4A">
            <w:pPr>
              <w:pStyle w:val="Tabletext0"/>
              <w:rPr>
                <w:b/>
                <w:bCs/>
                <w:szCs w:val="20"/>
              </w:rPr>
            </w:pPr>
            <w:r w:rsidRPr="003D4190">
              <w:rPr>
                <w:b/>
                <w:szCs w:val="20"/>
              </w:rPr>
              <w:t>Recalculated assuming 90.4% of S-ICD and 46.1% of TV-ICD patients receive MBS item 38212 for DFT.</w:t>
            </w:r>
          </w:p>
        </w:tc>
      </w:tr>
      <w:tr w:rsidR="00F01B4A" w:rsidRPr="00C55E02" w14:paraId="5FD46C16" w14:textId="77777777" w:rsidTr="00F01B4A">
        <w:tc>
          <w:tcPr>
            <w:tcW w:w="567" w:type="dxa"/>
          </w:tcPr>
          <w:p w14:paraId="6BEE28C1" w14:textId="77777777" w:rsidR="00F01B4A" w:rsidRPr="003D4190" w:rsidRDefault="00F01B4A" w:rsidP="00F01B4A">
            <w:pPr>
              <w:pStyle w:val="Tabletext0"/>
              <w:rPr>
                <w:b/>
                <w:bCs/>
                <w:szCs w:val="20"/>
              </w:rPr>
            </w:pPr>
            <w:r w:rsidRPr="003D4190">
              <w:rPr>
                <w:b/>
                <w:szCs w:val="20"/>
              </w:rPr>
              <w:t>M</w:t>
            </w:r>
          </w:p>
        </w:tc>
        <w:tc>
          <w:tcPr>
            <w:tcW w:w="2181" w:type="dxa"/>
          </w:tcPr>
          <w:p w14:paraId="2A9E6A21" w14:textId="77777777" w:rsidR="00F01B4A" w:rsidRPr="003D4190" w:rsidRDefault="00F01B4A" w:rsidP="00F01B4A">
            <w:pPr>
              <w:pStyle w:val="Tabletext0"/>
              <w:rPr>
                <w:b/>
                <w:bCs/>
                <w:szCs w:val="20"/>
              </w:rPr>
            </w:pPr>
            <w:r w:rsidRPr="003D4190">
              <w:rPr>
                <w:b/>
                <w:szCs w:val="20"/>
              </w:rPr>
              <w:t>Total costs</w:t>
            </w:r>
          </w:p>
        </w:tc>
        <w:tc>
          <w:tcPr>
            <w:tcW w:w="1266" w:type="dxa"/>
          </w:tcPr>
          <w:p w14:paraId="1A5A2AC3" w14:textId="77777777" w:rsidR="00F01B4A" w:rsidRPr="003D4190" w:rsidRDefault="00F01B4A" w:rsidP="00F01B4A">
            <w:pPr>
              <w:pStyle w:val="Tabletext0"/>
              <w:rPr>
                <w:b/>
                <w:bCs/>
                <w:szCs w:val="20"/>
              </w:rPr>
            </w:pPr>
            <w:r w:rsidRPr="003D4190">
              <w:rPr>
                <w:b/>
                <w:szCs w:val="20"/>
              </w:rPr>
              <w:t>$49,170</w:t>
            </w:r>
          </w:p>
        </w:tc>
        <w:tc>
          <w:tcPr>
            <w:tcW w:w="1266" w:type="dxa"/>
          </w:tcPr>
          <w:p w14:paraId="10274C37" w14:textId="77777777" w:rsidR="00F01B4A" w:rsidRPr="003D4190" w:rsidRDefault="00F01B4A" w:rsidP="00F01B4A">
            <w:pPr>
              <w:pStyle w:val="Tabletext0"/>
              <w:rPr>
                <w:b/>
                <w:bCs/>
                <w:szCs w:val="20"/>
              </w:rPr>
            </w:pPr>
            <w:r w:rsidRPr="003D4190">
              <w:rPr>
                <w:b/>
                <w:szCs w:val="20"/>
              </w:rPr>
              <w:t>$49,301</w:t>
            </w:r>
          </w:p>
        </w:tc>
        <w:tc>
          <w:tcPr>
            <w:tcW w:w="1273" w:type="dxa"/>
          </w:tcPr>
          <w:p w14:paraId="4EA3977F" w14:textId="77777777" w:rsidR="00F01B4A" w:rsidRPr="003D4190" w:rsidRDefault="00F01B4A" w:rsidP="00F01B4A">
            <w:pPr>
              <w:pStyle w:val="Tabletext0"/>
              <w:rPr>
                <w:b/>
                <w:bCs/>
                <w:szCs w:val="20"/>
              </w:rPr>
            </w:pPr>
            <w:r w:rsidRPr="003D4190">
              <w:rPr>
                <w:b/>
                <w:szCs w:val="20"/>
              </w:rPr>
              <w:t>-$131</w:t>
            </w:r>
          </w:p>
        </w:tc>
        <w:tc>
          <w:tcPr>
            <w:tcW w:w="2468" w:type="dxa"/>
          </w:tcPr>
          <w:p w14:paraId="74F7C1D8" w14:textId="77777777" w:rsidR="00F01B4A" w:rsidRPr="003D4190" w:rsidRDefault="00F01B4A" w:rsidP="00F01B4A">
            <w:pPr>
              <w:pStyle w:val="Tabletext0"/>
              <w:rPr>
                <w:b/>
                <w:bCs/>
                <w:szCs w:val="20"/>
              </w:rPr>
            </w:pPr>
            <w:r w:rsidRPr="003D4190">
              <w:rPr>
                <w:b/>
                <w:szCs w:val="20"/>
              </w:rPr>
              <w:t>I+J+K+L</w:t>
            </w:r>
          </w:p>
        </w:tc>
      </w:tr>
    </w:tbl>
    <w:p w14:paraId="73436221" w14:textId="77777777" w:rsidR="00F01B4A" w:rsidRDefault="00F01B4A" w:rsidP="00F01B4A">
      <w:pPr>
        <w:pStyle w:val="Tablenotes1"/>
      </w:pPr>
      <w:r>
        <w:t>Source: Table 1, p6 of the pre-ESC response.</w:t>
      </w:r>
    </w:p>
    <w:p w14:paraId="4D555B6A" w14:textId="1F130DA7" w:rsidR="00DB7EF0" w:rsidRDefault="00F01B4A" w:rsidP="00F01B4A">
      <w:pPr>
        <w:pStyle w:val="Tablenotes1"/>
        <w:rPr>
          <w:iCs/>
          <w:snapToGrid/>
        </w:rPr>
      </w:pPr>
      <w:r>
        <w:t>Abbreviations: ADAR=Applicant Developed Assessment Report; DFT=defibrillation testing;</w:t>
      </w:r>
      <w:r w:rsidRPr="00F01B4A">
        <w:rPr>
          <w:iCs/>
          <w:snapToGrid/>
        </w:rPr>
        <w:t xml:space="preserve"> MBS=Medicare Benefits Schedule; MSAC=Medical Services Advisory Committee; S-ICD=subcutaneous implantable cardioverter defibrillator; TV-ICD=transvenous implantable cardioverter defibrillator</w:t>
      </w:r>
    </w:p>
    <w:p w14:paraId="39F61D34" w14:textId="09C40E47" w:rsidR="00DB7EF0" w:rsidRPr="00F01B4A" w:rsidRDefault="00DB7EF0" w:rsidP="00443B7C">
      <w:r>
        <w:t xml:space="preserve">MSAC considered that an extended CMA should be performed including at least a </w:t>
      </w:r>
      <w:proofErr w:type="gramStart"/>
      <w:r>
        <w:t>20 year</w:t>
      </w:r>
      <w:proofErr w:type="gramEnd"/>
      <w:r>
        <w:t xml:space="preserve"> time horizon (rather than 10 year). MSAC considered that the base case should also include a comparison of battery lifespans for both devices’ current models, ongoing conversion to TV-ICD using registry data, </w:t>
      </w:r>
      <w:r w:rsidR="00AC5AA9">
        <w:t xml:space="preserve">along with </w:t>
      </w:r>
      <w:r>
        <w:t xml:space="preserve">DFT and </w:t>
      </w:r>
      <w:r w:rsidR="00AC5AA9">
        <w:t xml:space="preserve">general anaesthesia rates </w:t>
      </w:r>
      <w:r>
        <w:t xml:space="preserve">based on local experience. </w:t>
      </w:r>
    </w:p>
    <w:p w14:paraId="74FB45D2" w14:textId="77777777" w:rsidR="00BC1364" w:rsidRPr="00F715D1" w:rsidRDefault="00BC1364" w:rsidP="00F715D1">
      <w:pPr>
        <w:pStyle w:val="Heading1"/>
      </w:pPr>
      <w:r w:rsidRPr="00F715D1">
        <w:t>Financial/budgetary impacts</w:t>
      </w:r>
    </w:p>
    <w:p w14:paraId="68260FB2" w14:textId="77777777" w:rsidR="00D80861" w:rsidRDefault="00D80861" w:rsidP="00D80861">
      <w:r w:rsidRPr="0097344E">
        <w:t xml:space="preserve">A market share approach was applied in estimating the financial implications to the MBS of introducing S-ICD for primary and secondary prevention of SCD. </w:t>
      </w:r>
      <w:r>
        <w:t xml:space="preserve">The ICD market was projected based on the historical MBS use of TV-ICD lead insertion services (MBS items 38384 and 38390). The resubmission assumed that S-ICD use will derive from substitution of </w:t>
      </w:r>
      <w:r w:rsidRPr="003D4190">
        <w:t>existing TV-ICD use and is not expected to grow the market since it is proposed for a subset (75%) of TV-ICD eligible patients. Uptake of S-ICD was assumed to start with 10% of the existing TV-ICD market in Year 1, increasing to 20% in Year 3 and remaining constant</w:t>
      </w:r>
      <w:r>
        <w:t xml:space="preserve"> thereafter. The proportion of S-ICD patients expected to crossover to TV-ICD was taken from the PRAETORIAN trial. </w:t>
      </w:r>
    </w:p>
    <w:p w14:paraId="68A4C0E4" w14:textId="2892ABA1" w:rsidR="00D80861" w:rsidRDefault="00D80861" w:rsidP="00443B7C">
      <w:pPr>
        <w:spacing w:before="240"/>
      </w:pPr>
      <w:r>
        <w:t xml:space="preserve">The estimated number of patients receiving S-ICD and the number of services for S-ICD lead insertion/removal is shown in </w:t>
      </w:r>
      <w:r>
        <w:fldChar w:fldCharType="begin"/>
      </w:r>
      <w:r>
        <w:instrText xml:space="preserve"> REF _Ref62801652 \h </w:instrText>
      </w:r>
      <w:r>
        <w:fldChar w:fldCharType="separate"/>
      </w:r>
      <w:r w:rsidR="00113B4B">
        <w:t xml:space="preserve">Table </w:t>
      </w:r>
      <w:r w:rsidR="00113B4B">
        <w:rPr>
          <w:noProof/>
        </w:rPr>
        <w:t>11</w:t>
      </w:r>
      <w:r>
        <w:fldChar w:fldCharType="end"/>
      </w:r>
      <w:r>
        <w:t xml:space="preserve">. </w:t>
      </w:r>
    </w:p>
    <w:p w14:paraId="05DE6CE5" w14:textId="67F4DBFC" w:rsidR="00D80861" w:rsidRDefault="00D80861" w:rsidP="00D80861">
      <w:pPr>
        <w:pStyle w:val="Caption"/>
      </w:pPr>
      <w:bookmarkStart w:id="18" w:name="_Ref62801652"/>
      <w:r>
        <w:lastRenderedPageBreak/>
        <w:t xml:space="preserve">Table </w:t>
      </w:r>
      <w:fldSimple w:instr=" SEQ Table \* ARABIC ">
        <w:r w:rsidR="00113B4B">
          <w:rPr>
            <w:noProof/>
          </w:rPr>
          <w:t>11</w:t>
        </w:r>
      </w:fldSimple>
      <w:bookmarkEnd w:id="18"/>
      <w:r w:rsidRPr="00183E4D">
        <w:tab/>
        <w:t xml:space="preserve">Total </w:t>
      </w:r>
      <w:r>
        <w:t>number of patients and services for S-ICD</w:t>
      </w:r>
    </w:p>
    <w:tbl>
      <w:tblPr>
        <w:tblStyle w:val="TableGrid"/>
        <w:tblW w:w="0" w:type="auto"/>
        <w:tblLook w:val="04A0" w:firstRow="1" w:lastRow="0" w:firstColumn="1" w:lastColumn="0" w:noHBand="0" w:noVBand="1"/>
        <w:tblDescription w:val="Total number of patients and services for S-ICD"/>
      </w:tblPr>
      <w:tblGrid>
        <w:gridCol w:w="3681"/>
        <w:gridCol w:w="1067"/>
        <w:gridCol w:w="1067"/>
        <w:gridCol w:w="1067"/>
        <w:gridCol w:w="1067"/>
        <w:gridCol w:w="1067"/>
      </w:tblGrid>
      <w:tr w:rsidR="00D80861" w14:paraId="6DA986CA" w14:textId="77777777" w:rsidTr="00CA49B8">
        <w:trPr>
          <w:tblHeader/>
        </w:trPr>
        <w:tc>
          <w:tcPr>
            <w:tcW w:w="3681" w:type="dxa"/>
          </w:tcPr>
          <w:p w14:paraId="41043607" w14:textId="77777777" w:rsidR="00D80861" w:rsidRDefault="00D80861" w:rsidP="007A5149">
            <w:pPr>
              <w:pStyle w:val="Tabletextcentred"/>
              <w:jc w:val="left"/>
            </w:pPr>
          </w:p>
        </w:tc>
        <w:tc>
          <w:tcPr>
            <w:tcW w:w="1067" w:type="dxa"/>
          </w:tcPr>
          <w:p w14:paraId="59998428" w14:textId="77777777" w:rsidR="00D80861" w:rsidRPr="009D7B7E" w:rsidRDefault="00D80861" w:rsidP="007A5149">
            <w:pPr>
              <w:pStyle w:val="Tabletextcentred"/>
              <w:rPr>
                <w:b/>
              </w:rPr>
            </w:pPr>
            <w:r w:rsidRPr="009D7B7E">
              <w:rPr>
                <w:b/>
              </w:rPr>
              <w:t>2021</w:t>
            </w:r>
            <w:r w:rsidRPr="009D7B7E">
              <w:rPr>
                <w:b/>
              </w:rPr>
              <w:br/>
              <w:t>Year 1</w:t>
            </w:r>
          </w:p>
        </w:tc>
        <w:tc>
          <w:tcPr>
            <w:tcW w:w="1067" w:type="dxa"/>
          </w:tcPr>
          <w:p w14:paraId="716FD5A9" w14:textId="77777777" w:rsidR="00D80861" w:rsidRPr="009D7B7E" w:rsidRDefault="00D80861" w:rsidP="007A5149">
            <w:pPr>
              <w:pStyle w:val="Tabletextcentred"/>
              <w:rPr>
                <w:b/>
              </w:rPr>
            </w:pPr>
            <w:r w:rsidRPr="009D7B7E">
              <w:rPr>
                <w:b/>
              </w:rPr>
              <w:t>2022</w:t>
            </w:r>
            <w:r w:rsidRPr="009D7B7E">
              <w:rPr>
                <w:b/>
              </w:rPr>
              <w:br/>
              <w:t>Year 2</w:t>
            </w:r>
          </w:p>
        </w:tc>
        <w:tc>
          <w:tcPr>
            <w:tcW w:w="1067" w:type="dxa"/>
          </w:tcPr>
          <w:p w14:paraId="6A649A25" w14:textId="77777777" w:rsidR="00D80861" w:rsidRPr="009D7B7E" w:rsidRDefault="00D80861" w:rsidP="007A5149">
            <w:pPr>
              <w:pStyle w:val="Tabletextcentred"/>
              <w:rPr>
                <w:b/>
              </w:rPr>
            </w:pPr>
            <w:r w:rsidRPr="009D7B7E">
              <w:rPr>
                <w:b/>
              </w:rPr>
              <w:t>2023</w:t>
            </w:r>
            <w:r w:rsidRPr="009D7B7E">
              <w:rPr>
                <w:b/>
              </w:rPr>
              <w:br/>
              <w:t>Year 3</w:t>
            </w:r>
          </w:p>
        </w:tc>
        <w:tc>
          <w:tcPr>
            <w:tcW w:w="1067" w:type="dxa"/>
          </w:tcPr>
          <w:p w14:paraId="307A710F" w14:textId="77777777" w:rsidR="00D80861" w:rsidRPr="009D7B7E" w:rsidRDefault="00D80861" w:rsidP="007A5149">
            <w:pPr>
              <w:pStyle w:val="Tabletextcentred"/>
              <w:rPr>
                <w:b/>
              </w:rPr>
            </w:pPr>
            <w:r w:rsidRPr="009D7B7E">
              <w:rPr>
                <w:b/>
              </w:rPr>
              <w:t xml:space="preserve">2024 </w:t>
            </w:r>
            <w:r w:rsidRPr="009D7B7E">
              <w:rPr>
                <w:b/>
              </w:rPr>
              <w:br/>
              <w:t>Year 4</w:t>
            </w:r>
          </w:p>
        </w:tc>
        <w:tc>
          <w:tcPr>
            <w:tcW w:w="1067" w:type="dxa"/>
          </w:tcPr>
          <w:p w14:paraId="64500A57" w14:textId="77777777" w:rsidR="00D80861" w:rsidRPr="009D7B7E" w:rsidRDefault="00D80861" w:rsidP="007A5149">
            <w:pPr>
              <w:pStyle w:val="Tabletextcentred"/>
              <w:rPr>
                <w:b/>
              </w:rPr>
            </w:pPr>
            <w:r w:rsidRPr="009D7B7E">
              <w:rPr>
                <w:b/>
              </w:rPr>
              <w:t xml:space="preserve">2025 </w:t>
            </w:r>
            <w:r w:rsidRPr="009D7B7E">
              <w:rPr>
                <w:b/>
              </w:rPr>
              <w:br/>
              <w:t>Year 5</w:t>
            </w:r>
          </w:p>
        </w:tc>
      </w:tr>
      <w:tr w:rsidR="00D80861" w:rsidRPr="003D4190" w14:paraId="5969C022" w14:textId="77777777" w:rsidTr="007A5149">
        <w:tc>
          <w:tcPr>
            <w:tcW w:w="3681" w:type="dxa"/>
          </w:tcPr>
          <w:p w14:paraId="1BA4F5C3" w14:textId="77777777" w:rsidR="00D80861" w:rsidRPr="003D4190" w:rsidRDefault="00D80861" w:rsidP="007A5149">
            <w:pPr>
              <w:pStyle w:val="Tabletextcentred"/>
              <w:jc w:val="left"/>
            </w:pPr>
            <w:r w:rsidRPr="003D4190">
              <w:t>Total number of patients receiving S-ICD</w:t>
            </w:r>
          </w:p>
        </w:tc>
        <w:tc>
          <w:tcPr>
            <w:tcW w:w="1067" w:type="dxa"/>
          </w:tcPr>
          <w:p w14:paraId="2274EF6A" w14:textId="77777777" w:rsidR="00D80861" w:rsidRPr="003D4190" w:rsidRDefault="00D80861" w:rsidP="007A5149">
            <w:pPr>
              <w:pStyle w:val="Tabletextcentred"/>
            </w:pPr>
            <w:r w:rsidRPr="003D4190">
              <w:t>158</w:t>
            </w:r>
          </w:p>
        </w:tc>
        <w:tc>
          <w:tcPr>
            <w:tcW w:w="1067" w:type="dxa"/>
          </w:tcPr>
          <w:p w14:paraId="7B118A79" w14:textId="77777777" w:rsidR="00D80861" w:rsidRPr="003D4190" w:rsidRDefault="00D80861" w:rsidP="007A5149">
            <w:pPr>
              <w:pStyle w:val="Tabletextcentred"/>
            </w:pPr>
            <w:r w:rsidRPr="003D4190">
              <w:t>237</w:t>
            </w:r>
          </w:p>
        </w:tc>
        <w:tc>
          <w:tcPr>
            <w:tcW w:w="1067" w:type="dxa"/>
          </w:tcPr>
          <w:p w14:paraId="6AFA4368" w14:textId="77777777" w:rsidR="00D80861" w:rsidRPr="003D4190" w:rsidRDefault="00D80861" w:rsidP="007A5149">
            <w:pPr>
              <w:pStyle w:val="Tabletextcentred"/>
            </w:pPr>
            <w:r w:rsidRPr="003D4190">
              <w:t>315</w:t>
            </w:r>
          </w:p>
        </w:tc>
        <w:tc>
          <w:tcPr>
            <w:tcW w:w="1067" w:type="dxa"/>
          </w:tcPr>
          <w:p w14:paraId="1DF8EBF0" w14:textId="77777777" w:rsidR="00D80861" w:rsidRPr="003D4190" w:rsidRDefault="00D80861" w:rsidP="007A5149">
            <w:pPr>
              <w:pStyle w:val="Tabletextcentred"/>
            </w:pPr>
            <w:r w:rsidRPr="003D4190">
              <w:t>315</w:t>
            </w:r>
          </w:p>
        </w:tc>
        <w:tc>
          <w:tcPr>
            <w:tcW w:w="1067" w:type="dxa"/>
          </w:tcPr>
          <w:p w14:paraId="7180131A" w14:textId="77777777" w:rsidR="00D80861" w:rsidRPr="003D4190" w:rsidRDefault="00D80861" w:rsidP="007A5149">
            <w:pPr>
              <w:pStyle w:val="Tabletextcentred"/>
            </w:pPr>
            <w:r w:rsidRPr="003D4190">
              <w:t>315</w:t>
            </w:r>
          </w:p>
        </w:tc>
      </w:tr>
      <w:tr w:rsidR="00D80861" w14:paraId="478B62DD" w14:textId="77777777" w:rsidTr="007A5149">
        <w:tc>
          <w:tcPr>
            <w:tcW w:w="3681" w:type="dxa"/>
          </w:tcPr>
          <w:p w14:paraId="48FCC393" w14:textId="77777777" w:rsidR="00D80861" w:rsidRPr="003D4190" w:rsidRDefault="00D80861" w:rsidP="007A5149">
            <w:pPr>
              <w:pStyle w:val="Tabletextcentred"/>
              <w:jc w:val="left"/>
            </w:pPr>
            <w:r w:rsidRPr="003D4190">
              <w:t>Total S-ICD lead placement/ removal services</w:t>
            </w:r>
          </w:p>
        </w:tc>
        <w:tc>
          <w:tcPr>
            <w:tcW w:w="1067" w:type="dxa"/>
          </w:tcPr>
          <w:p w14:paraId="23E7B579" w14:textId="77777777" w:rsidR="00D80861" w:rsidRPr="003D4190" w:rsidRDefault="00D80861" w:rsidP="007A5149">
            <w:pPr>
              <w:pStyle w:val="Tabletextcentred"/>
            </w:pPr>
            <w:r w:rsidRPr="003D4190">
              <w:t>159</w:t>
            </w:r>
          </w:p>
        </w:tc>
        <w:tc>
          <w:tcPr>
            <w:tcW w:w="1067" w:type="dxa"/>
          </w:tcPr>
          <w:p w14:paraId="0B2998FC" w14:textId="77777777" w:rsidR="00D80861" w:rsidRPr="003D4190" w:rsidRDefault="00D80861" w:rsidP="007A5149">
            <w:pPr>
              <w:pStyle w:val="Tabletextcentred"/>
            </w:pPr>
            <w:r w:rsidRPr="003D4190">
              <w:t>239</w:t>
            </w:r>
          </w:p>
        </w:tc>
        <w:tc>
          <w:tcPr>
            <w:tcW w:w="1067" w:type="dxa"/>
          </w:tcPr>
          <w:p w14:paraId="55DEAD99" w14:textId="77777777" w:rsidR="00D80861" w:rsidRPr="003D4190" w:rsidRDefault="00D80861" w:rsidP="007A5149">
            <w:pPr>
              <w:pStyle w:val="Tabletextcentred"/>
            </w:pPr>
            <w:r w:rsidRPr="003D4190">
              <w:t>320</w:t>
            </w:r>
          </w:p>
        </w:tc>
        <w:tc>
          <w:tcPr>
            <w:tcW w:w="1067" w:type="dxa"/>
          </w:tcPr>
          <w:p w14:paraId="5AB6AD4F" w14:textId="77777777" w:rsidR="00D80861" w:rsidRPr="003D4190" w:rsidRDefault="00D80861" w:rsidP="007A5149">
            <w:pPr>
              <w:pStyle w:val="Tabletextcentred"/>
            </w:pPr>
            <w:r w:rsidRPr="003D4190">
              <w:t>322</w:t>
            </w:r>
          </w:p>
        </w:tc>
        <w:tc>
          <w:tcPr>
            <w:tcW w:w="1067" w:type="dxa"/>
          </w:tcPr>
          <w:p w14:paraId="2D238AAA" w14:textId="77777777" w:rsidR="00D80861" w:rsidRPr="003D4190" w:rsidRDefault="00D80861" w:rsidP="007A5149">
            <w:pPr>
              <w:pStyle w:val="Tabletextcentred"/>
            </w:pPr>
            <w:r w:rsidRPr="003D4190">
              <w:t>323</w:t>
            </w:r>
          </w:p>
        </w:tc>
      </w:tr>
    </w:tbl>
    <w:p w14:paraId="495CA096" w14:textId="77777777" w:rsidR="00D80861" w:rsidRDefault="00D80861" w:rsidP="00D80861">
      <w:pPr>
        <w:pStyle w:val="Tablecaption"/>
      </w:pPr>
      <w:r w:rsidRPr="00396030">
        <w:t xml:space="preserve">Source: </w:t>
      </w:r>
      <w:r>
        <w:t xml:space="preserve">Table 7, </w:t>
      </w:r>
      <w:proofErr w:type="spellStart"/>
      <w:r>
        <w:t>pxxv</w:t>
      </w:r>
      <w:proofErr w:type="spellEnd"/>
      <w:r>
        <w:t xml:space="preserve"> of the commentary, based </w:t>
      </w:r>
      <w:proofErr w:type="spellStart"/>
      <w:r>
        <w:t>on</w:t>
      </w:r>
      <w:r w:rsidRPr="00396030">
        <w:t>Table</w:t>
      </w:r>
      <w:proofErr w:type="spellEnd"/>
      <w:r w:rsidRPr="00396030">
        <w:t xml:space="preserve"> E-</w:t>
      </w:r>
      <w:r>
        <w:t>7</w:t>
      </w:r>
      <w:r w:rsidRPr="00396030">
        <w:t>, p.9</w:t>
      </w:r>
      <w:r>
        <w:t>3</w:t>
      </w:r>
      <w:r w:rsidRPr="00396030">
        <w:t xml:space="preserve"> of the ADAR</w:t>
      </w:r>
      <w:r>
        <w:t>, with commentary additions</w:t>
      </w:r>
    </w:p>
    <w:p w14:paraId="01896E57" w14:textId="77777777" w:rsidR="00D80861" w:rsidRPr="00D80861" w:rsidRDefault="00D80861" w:rsidP="00D80861">
      <w:pPr>
        <w:pStyle w:val="Tablecaption"/>
        <w:rPr>
          <w:iCs/>
          <w:snapToGrid w:val="0"/>
        </w:rPr>
      </w:pPr>
      <w:r w:rsidRPr="00D80861">
        <w:rPr>
          <w:iCs/>
          <w:snapToGrid w:val="0"/>
        </w:rPr>
        <w:t>Abbreviations: S-ICD=subcutaneous implantable cardioverter defibrillator</w:t>
      </w:r>
    </w:p>
    <w:p w14:paraId="040D8D5D" w14:textId="7F56F30B" w:rsidR="00D80861" w:rsidRPr="00534FE1" w:rsidRDefault="00D80861" w:rsidP="00443B7C">
      <w:pPr>
        <w:spacing w:before="240"/>
      </w:pPr>
      <w:r w:rsidRPr="00D80861">
        <w:t xml:space="preserve">The </w:t>
      </w:r>
      <w:r w:rsidR="00443B7C">
        <w:t>C</w:t>
      </w:r>
      <w:r w:rsidR="00C92CCB">
        <w:t>ommentary</w:t>
      </w:r>
      <w:r w:rsidR="002B07C3" w:rsidRPr="00D80861">
        <w:t xml:space="preserve"> </w:t>
      </w:r>
      <w:r w:rsidRPr="00D80861">
        <w:t>noted that there is the potential for the number of eligible patients to be greater than or less than these estimates, as some of the underlying assumptions are subject to uncertainty.</w:t>
      </w:r>
      <w:r w:rsidRPr="000C130F">
        <w:rPr>
          <w:rStyle w:val="Emphasis"/>
        </w:rPr>
        <w:t xml:space="preserve"> </w:t>
      </w:r>
      <w:r w:rsidRPr="000C130F">
        <w:t xml:space="preserve">The estimate of patients with an indication for ICD therapy but without an indication for pacing was not based on Australian data. Additionally, PRAETORIAN did not enrol any Australian sites and the resubmission did not address this. ‘Suitability’ for S-ICD was not </w:t>
      </w:r>
      <w:proofErr w:type="gramStart"/>
      <w:r w:rsidRPr="000C130F">
        <w:t>taken into account</w:t>
      </w:r>
      <w:proofErr w:type="gramEnd"/>
      <w:r w:rsidRPr="000C130F">
        <w:t xml:space="preserve">; some patients who are considered for S-ICD therapy will fail the patient screening tool provided by the manufacturer. Furthermore, if there is currently a pool of patients who are unsuitable for </w:t>
      </w:r>
      <w:r>
        <w:t>TV-ICD</w:t>
      </w:r>
      <w:r w:rsidRPr="000C130F">
        <w:t xml:space="preserve"> (e.g., due to structural abnormalities or difficult venous anatomy) or who are reluctant to attempt (or re-attempt) ICD therapy with a transvenous system (e.g., patients who are younger or have comorbidities or who have undergone previous ICD explant), then uptake of S-ICDs could be faster and grow larger than predicted in the resubmission. Uptake of S-ICD therapy could also increase if a modular approach (i.e., an ‘add-on’ leadless pacing option) becomes available in the future; however, this is unlikely to happen in the 5-year time horizon of the financial analysis.</w:t>
      </w:r>
    </w:p>
    <w:p w14:paraId="4BF069B9" w14:textId="4C8D8EE2" w:rsidR="00D80861" w:rsidRDefault="00D80861" w:rsidP="00443B7C">
      <w:pPr>
        <w:spacing w:before="240"/>
      </w:pPr>
      <w:r>
        <w:t>The resubmission claimed the proposed listing will decrease TV-ICD services secondary to substitution for S-ICD, affecting relevant MBS items associated with TV-ICD, including fluoroscopic imaging.</w:t>
      </w:r>
    </w:p>
    <w:p w14:paraId="70B37F46" w14:textId="07675854" w:rsidR="00D80861" w:rsidRDefault="00D80861" w:rsidP="00443B7C">
      <w:pPr>
        <w:spacing w:before="240"/>
      </w:pPr>
      <w:r>
        <w:t xml:space="preserve">The financial implications to the MBS resulting from the proposed listing of S-ICD are summarised in </w:t>
      </w:r>
      <w:r>
        <w:fldChar w:fldCharType="begin"/>
      </w:r>
      <w:r>
        <w:instrText xml:space="preserve"> REF _Ref404372077 \h </w:instrText>
      </w:r>
      <w:r>
        <w:fldChar w:fldCharType="separate"/>
      </w:r>
      <w:r w:rsidR="00113B4B">
        <w:t xml:space="preserve">Table </w:t>
      </w:r>
      <w:r w:rsidR="00113B4B">
        <w:rPr>
          <w:noProof/>
        </w:rPr>
        <w:t>12</w:t>
      </w:r>
      <w:r>
        <w:fldChar w:fldCharType="end"/>
      </w:r>
      <w:r w:rsidRPr="009D7B7E">
        <w:t>.</w:t>
      </w:r>
    </w:p>
    <w:p w14:paraId="01B289C7" w14:textId="7074367C" w:rsidR="00443B7C" w:rsidRDefault="00443B7C" w:rsidP="00443B7C">
      <w:pPr>
        <w:spacing w:before="240"/>
      </w:pPr>
      <w:r>
        <w:t>The C</w:t>
      </w:r>
      <w:r w:rsidR="00D80861" w:rsidRPr="00D80861">
        <w:t xml:space="preserve">ommentary noted that while the resubmission showed a net cost saving, this is subject to some uncertainty and may not be the case if there is growth in the ICD market due to S-ICD availability, as opposed to substitution only. Recalculation of the costs associated with </w:t>
      </w:r>
      <w:r w:rsidR="00D80861" w:rsidRPr="003D4190">
        <w:t>follow-up ICD testing results in a net impact to the MBS of $64,800 in Year 1 rising to $139,948 in Year 5.</w:t>
      </w:r>
      <w:r>
        <w:br w:type="page"/>
      </w:r>
    </w:p>
    <w:p w14:paraId="39B90E1D" w14:textId="3CC40868" w:rsidR="00D80861" w:rsidRPr="00183E4D" w:rsidRDefault="00D80861" w:rsidP="00443B7C">
      <w:pPr>
        <w:pStyle w:val="Caption"/>
        <w:spacing w:before="240"/>
      </w:pPr>
      <w:bookmarkStart w:id="19" w:name="_Ref404372077"/>
      <w:bookmarkStart w:id="20" w:name="_Toc393197779"/>
      <w:bookmarkStart w:id="21" w:name="_Toc393378192"/>
      <w:bookmarkStart w:id="22" w:name="_Toc399251128"/>
      <w:r>
        <w:lastRenderedPageBreak/>
        <w:t xml:space="preserve">Table </w:t>
      </w:r>
      <w:fldSimple w:instr=" SEQ Table \* ARABIC ">
        <w:r w:rsidR="00113B4B">
          <w:rPr>
            <w:noProof/>
          </w:rPr>
          <w:t>12</w:t>
        </w:r>
      </w:fldSimple>
      <w:bookmarkEnd w:id="19"/>
      <w:r w:rsidRPr="00183E4D">
        <w:tab/>
        <w:t xml:space="preserve">Total costs to the MBS associated with </w:t>
      </w:r>
      <w:bookmarkEnd w:id="20"/>
      <w:bookmarkEnd w:id="21"/>
      <w:bookmarkEnd w:id="22"/>
      <w:r>
        <w:t>S-ICD</w:t>
      </w:r>
    </w:p>
    <w:tbl>
      <w:tblPr>
        <w:tblStyle w:val="TableGrid"/>
        <w:tblW w:w="0" w:type="auto"/>
        <w:tblLayout w:type="fixed"/>
        <w:tblLook w:val="04A0" w:firstRow="1" w:lastRow="0" w:firstColumn="1" w:lastColumn="0" w:noHBand="0" w:noVBand="1"/>
        <w:tblDescription w:val="Total costs to the MBS associated with S-ICD"/>
      </w:tblPr>
      <w:tblGrid>
        <w:gridCol w:w="703"/>
        <w:gridCol w:w="1844"/>
        <w:gridCol w:w="1078"/>
        <w:gridCol w:w="1078"/>
        <w:gridCol w:w="1078"/>
        <w:gridCol w:w="1078"/>
        <w:gridCol w:w="1078"/>
        <w:gridCol w:w="1079"/>
      </w:tblGrid>
      <w:tr w:rsidR="00D80861" w:rsidRPr="00D900D4" w14:paraId="4EE7E33F" w14:textId="77777777" w:rsidTr="00CA49B8">
        <w:trPr>
          <w:tblHeader/>
        </w:trPr>
        <w:tc>
          <w:tcPr>
            <w:tcW w:w="703" w:type="dxa"/>
          </w:tcPr>
          <w:p w14:paraId="0B5F31F9" w14:textId="77777777" w:rsidR="00D80861" w:rsidRPr="00D900D4" w:rsidRDefault="00D80861" w:rsidP="007A5149">
            <w:pPr>
              <w:pStyle w:val="Tabletextcentred"/>
              <w:jc w:val="left"/>
              <w:rPr>
                <w:b/>
              </w:rPr>
            </w:pPr>
            <w:r w:rsidRPr="00D900D4">
              <w:rPr>
                <w:b/>
              </w:rPr>
              <w:t>Row</w:t>
            </w:r>
          </w:p>
        </w:tc>
        <w:tc>
          <w:tcPr>
            <w:tcW w:w="1844" w:type="dxa"/>
          </w:tcPr>
          <w:p w14:paraId="5E0CE337" w14:textId="77777777" w:rsidR="00D80861" w:rsidRPr="00D900D4" w:rsidRDefault="00D80861" w:rsidP="007A5149">
            <w:pPr>
              <w:pStyle w:val="Tabletextcentred"/>
              <w:jc w:val="left"/>
              <w:rPr>
                <w:b/>
              </w:rPr>
            </w:pPr>
          </w:p>
        </w:tc>
        <w:tc>
          <w:tcPr>
            <w:tcW w:w="1078" w:type="dxa"/>
          </w:tcPr>
          <w:p w14:paraId="2F7592F1" w14:textId="77777777" w:rsidR="00D80861" w:rsidRPr="00D900D4" w:rsidRDefault="00D80861" w:rsidP="007A5149">
            <w:pPr>
              <w:pStyle w:val="Tabletextcentred"/>
              <w:rPr>
                <w:b/>
              </w:rPr>
            </w:pPr>
            <w:r w:rsidRPr="00D900D4">
              <w:rPr>
                <w:b/>
              </w:rPr>
              <w:t>2021</w:t>
            </w:r>
            <w:r w:rsidRPr="00D900D4">
              <w:rPr>
                <w:b/>
              </w:rPr>
              <w:br/>
              <w:t>Year 1</w:t>
            </w:r>
          </w:p>
        </w:tc>
        <w:tc>
          <w:tcPr>
            <w:tcW w:w="1078" w:type="dxa"/>
          </w:tcPr>
          <w:p w14:paraId="4C92F8D9" w14:textId="77777777" w:rsidR="00D80861" w:rsidRPr="00D900D4" w:rsidRDefault="00D80861" w:rsidP="007A5149">
            <w:pPr>
              <w:pStyle w:val="Tabletextcentred"/>
              <w:rPr>
                <w:b/>
              </w:rPr>
            </w:pPr>
            <w:r w:rsidRPr="00D900D4">
              <w:rPr>
                <w:b/>
              </w:rPr>
              <w:t>2022</w:t>
            </w:r>
            <w:r w:rsidRPr="00D900D4">
              <w:rPr>
                <w:b/>
              </w:rPr>
              <w:br/>
              <w:t>Year 2</w:t>
            </w:r>
          </w:p>
        </w:tc>
        <w:tc>
          <w:tcPr>
            <w:tcW w:w="1078" w:type="dxa"/>
          </w:tcPr>
          <w:p w14:paraId="3D6179BE" w14:textId="77777777" w:rsidR="00D80861" w:rsidRPr="00D900D4" w:rsidRDefault="00D80861" w:rsidP="007A5149">
            <w:pPr>
              <w:pStyle w:val="Tabletextcentred"/>
              <w:rPr>
                <w:b/>
              </w:rPr>
            </w:pPr>
            <w:r w:rsidRPr="00D900D4">
              <w:rPr>
                <w:b/>
              </w:rPr>
              <w:t>2023</w:t>
            </w:r>
            <w:r w:rsidRPr="00D900D4">
              <w:rPr>
                <w:b/>
              </w:rPr>
              <w:br/>
              <w:t>Year 3</w:t>
            </w:r>
          </w:p>
        </w:tc>
        <w:tc>
          <w:tcPr>
            <w:tcW w:w="1078" w:type="dxa"/>
          </w:tcPr>
          <w:p w14:paraId="5F8850DA" w14:textId="77777777" w:rsidR="00D80861" w:rsidRPr="00D900D4" w:rsidRDefault="00D80861" w:rsidP="007A5149">
            <w:pPr>
              <w:pStyle w:val="Tabletextcentred"/>
              <w:rPr>
                <w:b/>
              </w:rPr>
            </w:pPr>
            <w:r w:rsidRPr="00D900D4">
              <w:rPr>
                <w:b/>
              </w:rPr>
              <w:t xml:space="preserve">2024 </w:t>
            </w:r>
            <w:r w:rsidRPr="00D900D4">
              <w:rPr>
                <w:b/>
              </w:rPr>
              <w:br/>
              <w:t>Year 4</w:t>
            </w:r>
          </w:p>
        </w:tc>
        <w:tc>
          <w:tcPr>
            <w:tcW w:w="1078" w:type="dxa"/>
          </w:tcPr>
          <w:p w14:paraId="0B92AB71" w14:textId="77777777" w:rsidR="00D80861" w:rsidRPr="00D900D4" w:rsidRDefault="00D80861" w:rsidP="007A5149">
            <w:pPr>
              <w:pStyle w:val="Tabletextcentred"/>
              <w:rPr>
                <w:b/>
              </w:rPr>
            </w:pPr>
            <w:r w:rsidRPr="00D900D4">
              <w:rPr>
                <w:b/>
              </w:rPr>
              <w:t xml:space="preserve">2025 </w:t>
            </w:r>
            <w:r w:rsidRPr="00D900D4">
              <w:rPr>
                <w:b/>
              </w:rPr>
              <w:br/>
              <w:t>Year 5</w:t>
            </w:r>
          </w:p>
        </w:tc>
        <w:tc>
          <w:tcPr>
            <w:tcW w:w="1079" w:type="dxa"/>
          </w:tcPr>
          <w:p w14:paraId="14C7C547" w14:textId="77777777" w:rsidR="00D80861" w:rsidRPr="00D900D4" w:rsidRDefault="00D80861" w:rsidP="007A5149">
            <w:pPr>
              <w:pStyle w:val="Tabletextcentred"/>
              <w:rPr>
                <w:b/>
              </w:rPr>
            </w:pPr>
            <w:r w:rsidRPr="00D900D4">
              <w:rPr>
                <w:b/>
              </w:rPr>
              <w:t>Source / calculation</w:t>
            </w:r>
          </w:p>
        </w:tc>
      </w:tr>
      <w:tr w:rsidR="00D80861" w:rsidRPr="003D4190" w14:paraId="10743285" w14:textId="77777777" w:rsidTr="007A5149">
        <w:tc>
          <w:tcPr>
            <w:tcW w:w="703" w:type="dxa"/>
          </w:tcPr>
          <w:p w14:paraId="3105D968" w14:textId="77777777" w:rsidR="00D80861" w:rsidRPr="003D4190" w:rsidRDefault="00D80861" w:rsidP="007A5149">
            <w:pPr>
              <w:pStyle w:val="Tabletextcentred"/>
              <w:jc w:val="left"/>
            </w:pPr>
            <w:r w:rsidRPr="003D4190">
              <w:t>-</w:t>
            </w:r>
          </w:p>
        </w:tc>
        <w:tc>
          <w:tcPr>
            <w:tcW w:w="1844" w:type="dxa"/>
          </w:tcPr>
          <w:p w14:paraId="48722560" w14:textId="77777777" w:rsidR="00D80861" w:rsidRPr="003D4190" w:rsidRDefault="00D80861" w:rsidP="007A5149">
            <w:pPr>
              <w:pStyle w:val="Tabletextcentred"/>
              <w:jc w:val="left"/>
            </w:pPr>
            <w:r w:rsidRPr="003D4190">
              <w:rPr>
                <w:b/>
                <w:bCs/>
              </w:rPr>
              <w:t>Cost of proposed new S-ICD service</w:t>
            </w:r>
          </w:p>
        </w:tc>
        <w:tc>
          <w:tcPr>
            <w:tcW w:w="1078" w:type="dxa"/>
          </w:tcPr>
          <w:p w14:paraId="5E10AF5C" w14:textId="77777777" w:rsidR="00D80861" w:rsidRPr="003D4190" w:rsidRDefault="00D80861" w:rsidP="007A5149">
            <w:pPr>
              <w:pStyle w:val="Tabletextcentred"/>
            </w:pPr>
            <w:r w:rsidRPr="003D4190">
              <w:t>-</w:t>
            </w:r>
          </w:p>
        </w:tc>
        <w:tc>
          <w:tcPr>
            <w:tcW w:w="1078" w:type="dxa"/>
          </w:tcPr>
          <w:p w14:paraId="4124544F" w14:textId="77777777" w:rsidR="00D80861" w:rsidRPr="003D4190" w:rsidRDefault="00D80861" w:rsidP="007A5149">
            <w:pPr>
              <w:pStyle w:val="Tabletextcentred"/>
            </w:pPr>
            <w:r w:rsidRPr="003D4190">
              <w:t>-</w:t>
            </w:r>
          </w:p>
        </w:tc>
        <w:tc>
          <w:tcPr>
            <w:tcW w:w="1078" w:type="dxa"/>
          </w:tcPr>
          <w:p w14:paraId="29C32627" w14:textId="77777777" w:rsidR="00D80861" w:rsidRPr="003D4190" w:rsidRDefault="00D80861" w:rsidP="007A5149">
            <w:pPr>
              <w:pStyle w:val="Tabletextcentred"/>
            </w:pPr>
            <w:r w:rsidRPr="003D4190">
              <w:t>-</w:t>
            </w:r>
          </w:p>
        </w:tc>
        <w:tc>
          <w:tcPr>
            <w:tcW w:w="1078" w:type="dxa"/>
          </w:tcPr>
          <w:p w14:paraId="3E9B7CA3" w14:textId="77777777" w:rsidR="00D80861" w:rsidRPr="003D4190" w:rsidRDefault="00D80861" w:rsidP="007A5149">
            <w:pPr>
              <w:pStyle w:val="Tabletextcentred"/>
            </w:pPr>
            <w:r w:rsidRPr="003D4190">
              <w:t>-</w:t>
            </w:r>
          </w:p>
        </w:tc>
        <w:tc>
          <w:tcPr>
            <w:tcW w:w="1078" w:type="dxa"/>
          </w:tcPr>
          <w:p w14:paraId="6E094437" w14:textId="77777777" w:rsidR="00D80861" w:rsidRPr="003D4190" w:rsidRDefault="00D80861" w:rsidP="007A5149">
            <w:pPr>
              <w:pStyle w:val="Tabletextcentred"/>
            </w:pPr>
            <w:r w:rsidRPr="003D4190">
              <w:t>-</w:t>
            </w:r>
          </w:p>
        </w:tc>
        <w:tc>
          <w:tcPr>
            <w:tcW w:w="1079" w:type="dxa"/>
          </w:tcPr>
          <w:p w14:paraId="748AEB5D" w14:textId="77777777" w:rsidR="00D80861" w:rsidRPr="003D4190" w:rsidRDefault="00D80861" w:rsidP="007A5149">
            <w:pPr>
              <w:pStyle w:val="Tabletextcentred"/>
            </w:pPr>
            <w:r w:rsidRPr="003D4190">
              <w:t>-</w:t>
            </w:r>
          </w:p>
        </w:tc>
      </w:tr>
      <w:tr w:rsidR="00D80861" w:rsidRPr="003D4190" w14:paraId="78146A22" w14:textId="77777777" w:rsidTr="007A5149">
        <w:tc>
          <w:tcPr>
            <w:tcW w:w="703" w:type="dxa"/>
          </w:tcPr>
          <w:p w14:paraId="54C2C2CD" w14:textId="77777777" w:rsidR="00D80861" w:rsidRPr="003D4190" w:rsidRDefault="00D80861" w:rsidP="007A5149">
            <w:pPr>
              <w:pStyle w:val="Tabletextcentred"/>
              <w:jc w:val="left"/>
            </w:pPr>
            <w:r w:rsidRPr="003D4190">
              <w:t>A</w:t>
            </w:r>
          </w:p>
        </w:tc>
        <w:tc>
          <w:tcPr>
            <w:tcW w:w="1844" w:type="dxa"/>
          </w:tcPr>
          <w:p w14:paraId="4EB80BF0" w14:textId="77777777" w:rsidR="00D80861" w:rsidRPr="003D4190" w:rsidRDefault="00D80861" w:rsidP="007A5149">
            <w:pPr>
              <w:pStyle w:val="Tabletextcentred"/>
              <w:jc w:val="left"/>
            </w:pPr>
            <w:r w:rsidRPr="003D4190">
              <w:t>Total cost</w:t>
            </w:r>
          </w:p>
        </w:tc>
        <w:tc>
          <w:tcPr>
            <w:tcW w:w="1078" w:type="dxa"/>
          </w:tcPr>
          <w:p w14:paraId="05AECB63" w14:textId="77777777" w:rsidR="00D80861" w:rsidRPr="003D4190" w:rsidRDefault="00D80861" w:rsidP="007A5149">
            <w:pPr>
              <w:pStyle w:val="Tabletextcentred"/>
            </w:pPr>
            <w:r w:rsidRPr="003D4190">
              <w:t>$171,821</w:t>
            </w:r>
          </w:p>
        </w:tc>
        <w:tc>
          <w:tcPr>
            <w:tcW w:w="1078" w:type="dxa"/>
          </w:tcPr>
          <w:p w14:paraId="1DBD363C" w14:textId="77777777" w:rsidR="00D80861" w:rsidRPr="003D4190" w:rsidRDefault="00D80861" w:rsidP="007A5149">
            <w:pPr>
              <w:pStyle w:val="Tabletextcentred"/>
            </w:pPr>
            <w:r w:rsidRPr="003D4190">
              <w:t>$259,440</w:t>
            </w:r>
          </w:p>
        </w:tc>
        <w:tc>
          <w:tcPr>
            <w:tcW w:w="1078" w:type="dxa"/>
          </w:tcPr>
          <w:p w14:paraId="7ED66825" w14:textId="77777777" w:rsidR="00D80861" w:rsidRPr="003D4190" w:rsidRDefault="00D80861" w:rsidP="007A5149">
            <w:pPr>
              <w:pStyle w:val="Tabletextcentred"/>
            </w:pPr>
            <w:r w:rsidRPr="003D4190">
              <w:t>$347,260</w:t>
            </w:r>
          </w:p>
        </w:tc>
        <w:tc>
          <w:tcPr>
            <w:tcW w:w="1078" w:type="dxa"/>
          </w:tcPr>
          <w:p w14:paraId="0266572B" w14:textId="77777777" w:rsidR="00D80861" w:rsidRPr="003D4190" w:rsidRDefault="00D80861" w:rsidP="007A5149">
            <w:pPr>
              <w:pStyle w:val="Tabletextcentred"/>
            </w:pPr>
            <w:r w:rsidRPr="003D4190">
              <w:t>$349,068</w:t>
            </w:r>
          </w:p>
        </w:tc>
        <w:tc>
          <w:tcPr>
            <w:tcW w:w="1078" w:type="dxa"/>
          </w:tcPr>
          <w:p w14:paraId="2B2ACCB0" w14:textId="77777777" w:rsidR="00D80861" w:rsidRPr="003D4190" w:rsidRDefault="00D80861" w:rsidP="007A5149">
            <w:pPr>
              <w:pStyle w:val="Tabletextcentred"/>
            </w:pPr>
            <w:r w:rsidRPr="003D4190">
              <w:t>$350,475</w:t>
            </w:r>
          </w:p>
        </w:tc>
        <w:tc>
          <w:tcPr>
            <w:tcW w:w="1079" w:type="dxa"/>
          </w:tcPr>
          <w:p w14:paraId="23FB3B08" w14:textId="5210C653" w:rsidR="00D80861" w:rsidRPr="003D4190" w:rsidRDefault="000C4E79" w:rsidP="007A5149">
            <w:pPr>
              <w:pStyle w:val="Tabletextcentred"/>
            </w:pPr>
            <w:r w:rsidRPr="003D4190">
              <w:t>ADAR Table 35</w:t>
            </w:r>
          </w:p>
        </w:tc>
      </w:tr>
      <w:tr w:rsidR="00D80861" w:rsidRPr="003D4190" w14:paraId="01582225" w14:textId="77777777" w:rsidTr="007A5149">
        <w:tc>
          <w:tcPr>
            <w:tcW w:w="703" w:type="dxa"/>
          </w:tcPr>
          <w:p w14:paraId="42389E73" w14:textId="77777777" w:rsidR="00D80861" w:rsidRPr="003D4190" w:rsidRDefault="00D80861" w:rsidP="007A5149">
            <w:pPr>
              <w:pStyle w:val="Tabletextcentred"/>
              <w:jc w:val="left"/>
            </w:pPr>
            <w:r w:rsidRPr="003D4190">
              <w:t>B</w:t>
            </w:r>
          </w:p>
        </w:tc>
        <w:tc>
          <w:tcPr>
            <w:tcW w:w="1844" w:type="dxa"/>
          </w:tcPr>
          <w:p w14:paraId="1123849C" w14:textId="77777777" w:rsidR="00D80861" w:rsidRPr="003D4190" w:rsidRDefault="00D80861" w:rsidP="007A5149">
            <w:pPr>
              <w:pStyle w:val="Tabletextcentred"/>
              <w:jc w:val="left"/>
            </w:pPr>
            <w:r w:rsidRPr="003D4190">
              <w:t>-to MBS</w:t>
            </w:r>
          </w:p>
        </w:tc>
        <w:tc>
          <w:tcPr>
            <w:tcW w:w="1078" w:type="dxa"/>
          </w:tcPr>
          <w:p w14:paraId="1AA31E8E" w14:textId="77777777" w:rsidR="00D80861" w:rsidRPr="003D4190" w:rsidRDefault="00D80861" w:rsidP="007A5149">
            <w:pPr>
              <w:pStyle w:val="Tabletextcentred"/>
            </w:pPr>
            <w:r w:rsidRPr="003D4190">
              <w:t>$128,872</w:t>
            </w:r>
          </w:p>
        </w:tc>
        <w:tc>
          <w:tcPr>
            <w:tcW w:w="1078" w:type="dxa"/>
          </w:tcPr>
          <w:p w14:paraId="7ED7E4CE" w14:textId="77777777" w:rsidR="00D80861" w:rsidRPr="003D4190" w:rsidRDefault="00D80861" w:rsidP="007A5149">
            <w:pPr>
              <w:pStyle w:val="Tabletextcentred"/>
            </w:pPr>
            <w:r w:rsidRPr="003D4190">
              <w:t>$193,909</w:t>
            </w:r>
          </w:p>
        </w:tc>
        <w:tc>
          <w:tcPr>
            <w:tcW w:w="1078" w:type="dxa"/>
          </w:tcPr>
          <w:p w14:paraId="3B71AE05" w14:textId="77777777" w:rsidR="00D80861" w:rsidRPr="003D4190" w:rsidRDefault="00D80861" w:rsidP="007A5149">
            <w:pPr>
              <w:pStyle w:val="Tabletextcentred"/>
            </w:pPr>
            <w:r w:rsidRPr="003D4190">
              <w:t>$259,546</w:t>
            </w:r>
          </w:p>
        </w:tc>
        <w:tc>
          <w:tcPr>
            <w:tcW w:w="1078" w:type="dxa"/>
          </w:tcPr>
          <w:p w14:paraId="132DC0F9" w14:textId="77777777" w:rsidR="00D80861" w:rsidRPr="003D4190" w:rsidRDefault="00D80861" w:rsidP="007A5149">
            <w:pPr>
              <w:pStyle w:val="Tabletextcentred"/>
            </w:pPr>
            <w:r w:rsidRPr="003D4190">
              <w:t>$260,898</w:t>
            </w:r>
          </w:p>
        </w:tc>
        <w:tc>
          <w:tcPr>
            <w:tcW w:w="1078" w:type="dxa"/>
          </w:tcPr>
          <w:p w14:paraId="5D50CB0D" w14:textId="77777777" w:rsidR="00D80861" w:rsidRPr="003D4190" w:rsidRDefault="00D80861" w:rsidP="007A5149">
            <w:pPr>
              <w:pStyle w:val="Tabletextcentred"/>
            </w:pPr>
            <w:r w:rsidRPr="003D4190">
              <w:t>$261,949</w:t>
            </w:r>
          </w:p>
        </w:tc>
        <w:tc>
          <w:tcPr>
            <w:tcW w:w="1079" w:type="dxa"/>
          </w:tcPr>
          <w:p w14:paraId="7F8A8D35" w14:textId="6895525D" w:rsidR="00D80861" w:rsidRPr="003D4190" w:rsidRDefault="000C4E79" w:rsidP="007A5149">
            <w:pPr>
              <w:pStyle w:val="Tabletextcentred"/>
            </w:pPr>
            <w:r w:rsidRPr="003D4190">
              <w:t>ADAR Table 35</w:t>
            </w:r>
          </w:p>
        </w:tc>
      </w:tr>
      <w:tr w:rsidR="00D80861" w:rsidRPr="003D4190" w14:paraId="247AAB10" w14:textId="77777777" w:rsidTr="007A5149">
        <w:tc>
          <w:tcPr>
            <w:tcW w:w="703" w:type="dxa"/>
          </w:tcPr>
          <w:p w14:paraId="2D228A88" w14:textId="77777777" w:rsidR="00D80861" w:rsidRPr="003D4190" w:rsidRDefault="00D80861" w:rsidP="007A5149">
            <w:pPr>
              <w:pStyle w:val="Tabletextcentred"/>
              <w:jc w:val="left"/>
            </w:pPr>
            <w:r w:rsidRPr="003D4190">
              <w:t>C</w:t>
            </w:r>
          </w:p>
        </w:tc>
        <w:tc>
          <w:tcPr>
            <w:tcW w:w="1844" w:type="dxa"/>
          </w:tcPr>
          <w:p w14:paraId="212959E0" w14:textId="77777777" w:rsidR="00D80861" w:rsidRPr="003D4190" w:rsidRDefault="00D80861" w:rsidP="007A5149">
            <w:pPr>
              <w:pStyle w:val="Tabletextcentred"/>
              <w:jc w:val="left"/>
            </w:pPr>
            <w:r w:rsidRPr="003D4190">
              <w:t xml:space="preserve">-to patients </w:t>
            </w:r>
            <w:r w:rsidRPr="003D4190">
              <w:rPr>
                <w:vertAlign w:val="superscript"/>
              </w:rPr>
              <w:t>a</w:t>
            </w:r>
          </w:p>
        </w:tc>
        <w:tc>
          <w:tcPr>
            <w:tcW w:w="1078" w:type="dxa"/>
          </w:tcPr>
          <w:p w14:paraId="4A69BCE1" w14:textId="77777777" w:rsidR="00D80861" w:rsidRPr="003D4190" w:rsidRDefault="00D80861" w:rsidP="007A5149">
            <w:pPr>
              <w:pStyle w:val="Tabletextcentred"/>
            </w:pPr>
            <w:r w:rsidRPr="003D4190">
              <w:t>$42,949</w:t>
            </w:r>
          </w:p>
        </w:tc>
        <w:tc>
          <w:tcPr>
            <w:tcW w:w="1078" w:type="dxa"/>
          </w:tcPr>
          <w:p w14:paraId="557FE568" w14:textId="77777777" w:rsidR="00D80861" w:rsidRPr="003D4190" w:rsidRDefault="00D80861" w:rsidP="007A5149">
            <w:pPr>
              <w:pStyle w:val="Tabletextcentred"/>
            </w:pPr>
            <w:r w:rsidRPr="003D4190">
              <w:t>$65,531</w:t>
            </w:r>
          </w:p>
        </w:tc>
        <w:tc>
          <w:tcPr>
            <w:tcW w:w="1078" w:type="dxa"/>
          </w:tcPr>
          <w:p w14:paraId="2690AAE3" w14:textId="77777777" w:rsidR="00D80861" w:rsidRPr="003D4190" w:rsidRDefault="00D80861" w:rsidP="007A5149">
            <w:pPr>
              <w:pStyle w:val="Tabletextcentred"/>
            </w:pPr>
            <w:r w:rsidRPr="003D4190">
              <w:t>$87,714</w:t>
            </w:r>
          </w:p>
        </w:tc>
        <w:tc>
          <w:tcPr>
            <w:tcW w:w="1078" w:type="dxa"/>
          </w:tcPr>
          <w:p w14:paraId="16F893B8" w14:textId="77777777" w:rsidR="00D80861" w:rsidRPr="003D4190" w:rsidRDefault="00D80861" w:rsidP="007A5149">
            <w:pPr>
              <w:pStyle w:val="Tabletextcentred"/>
            </w:pPr>
            <w:r w:rsidRPr="003D4190">
              <w:t>$88,170</w:t>
            </w:r>
          </w:p>
        </w:tc>
        <w:tc>
          <w:tcPr>
            <w:tcW w:w="1078" w:type="dxa"/>
          </w:tcPr>
          <w:p w14:paraId="5947B7BC" w14:textId="77777777" w:rsidR="00D80861" w:rsidRPr="003D4190" w:rsidRDefault="00D80861" w:rsidP="007A5149">
            <w:pPr>
              <w:pStyle w:val="Tabletextcentred"/>
            </w:pPr>
            <w:r w:rsidRPr="003D4190">
              <w:t>$88,526</w:t>
            </w:r>
          </w:p>
        </w:tc>
        <w:tc>
          <w:tcPr>
            <w:tcW w:w="1079" w:type="dxa"/>
          </w:tcPr>
          <w:p w14:paraId="2F60827C" w14:textId="5B621691" w:rsidR="00D80861" w:rsidRPr="003D4190" w:rsidRDefault="00D80861" w:rsidP="007A5149">
            <w:pPr>
              <w:pStyle w:val="Tabletextcentred"/>
            </w:pPr>
            <w:r w:rsidRPr="003D4190">
              <w:fldChar w:fldCharType="begin"/>
            </w:r>
            <w:r w:rsidRPr="003D4190">
              <w:instrText xml:space="preserve"> REF _Ref51842767 \h </w:instrText>
            </w:r>
            <w:r w:rsidR="003D4190">
              <w:instrText xml:space="preserve"> \* MERGEFORMAT </w:instrText>
            </w:r>
            <w:r w:rsidRPr="003D4190">
              <w:fldChar w:fldCharType="separate"/>
            </w:r>
            <w:r w:rsidR="000C4E79" w:rsidRPr="003D4190">
              <w:t xml:space="preserve"> ADAR Table 35</w:t>
            </w:r>
            <w:r w:rsidRPr="003D4190">
              <w:fldChar w:fldCharType="end"/>
            </w:r>
          </w:p>
        </w:tc>
      </w:tr>
      <w:tr w:rsidR="00D80861" w:rsidRPr="003D4190" w14:paraId="21970037" w14:textId="77777777" w:rsidTr="007A5149">
        <w:tc>
          <w:tcPr>
            <w:tcW w:w="703" w:type="dxa"/>
          </w:tcPr>
          <w:p w14:paraId="11013A64" w14:textId="77777777" w:rsidR="00D80861" w:rsidRPr="003D4190" w:rsidRDefault="00D80861" w:rsidP="007A5149">
            <w:pPr>
              <w:pStyle w:val="Tabletextcentred"/>
              <w:jc w:val="left"/>
            </w:pPr>
            <w:r w:rsidRPr="003D4190">
              <w:t>-</w:t>
            </w:r>
          </w:p>
        </w:tc>
        <w:tc>
          <w:tcPr>
            <w:tcW w:w="1844" w:type="dxa"/>
          </w:tcPr>
          <w:p w14:paraId="7729BCEE" w14:textId="77777777" w:rsidR="00D80861" w:rsidRPr="003D4190" w:rsidRDefault="00D80861" w:rsidP="007A5149">
            <w:pPr>
              <w:pStyle w:val="Tabletextcentred"/>
              <w:jc w:val="left"/>
            </w:pPr>
            <w:r w:rsidRPr="003D4190">
              <w:rPr>
                <w:b/>
                <w:bCs/>
              </w:rPr>
              <w:t>Impact on other MBS services</w:t>
            </w:r>
          </w:p>
        </w:tc>
        <w:tc>
          <w:tcPr>
            <w:tcW w:w="1078" w:type="dxa"/>
          </w:tcPr>
          <w:p w14:paraId="1741F5EB" w14:textId="77777777" w:rsidR="00D80861" w:rsidRPr="003D4190" w:rsidRDefault="00D80861" w:rsidP="007A5149">
            <w:pPr>
              <w:pStyle w:val="Tabletextcentred"/>
            </w:pPr>
            <w:r w:rsidRPr="003D4190">
              <w:t>-</w:t>
            </w:r>
          </w:p>
        </w:tc>
        <w:tc>
          <w:tcPr>
            <w:tcW w:w="1078" w:type="dxa"/>
          </w:tcPr>
          <w:p w14:paraId="5883EACC" w14:textId="77777777" w:rsidR="00D80861" w:rsidRPr="003D4190" w:rsidRDefault="00D80861" w:rsidP="007A5149">
            <w:pPr>
              <w:pStyle w:val="Tabletextcentred"/>
            </w:pPr>
            <w:r w:rsidRPr="003D4190">
              <w:t>-</w:t>
            </w:r>
          </w:p>
        </w:tc>
        <w:tc>
          <w:tcPr>
            <w:tcW w:w="1078" w:type="dxa"/>
          </w:tcPr>
          <w:p w14:paraId="57D37750" w14:textId="77777777" w:rsidR="00D80861" w:rsidRPr="003D4190" w:rsidRDefault="00D80861" w:rsidP="007A5149">
            <w:pPr>
              <w:pStyle w:val="Tabletextcentred"/>
            </w:pPr>
            <w:r w:rsidRPr="003D4190">
              <w:t>-</w:t>
            </w:r>
          </w:p>
        </w:tc>
        <w:tc>
          <w:tcPr>
            <w:tcW w:w="1078" w:type="dxa"/>
          </w:tcPr>
          <w:p w14:paraId="669524C8" w14:textId="77777777" w:rsidR="00D80861" w:rsidRPr="003D4190" w:rsidRDefault="00D80861" w:rsidP="007A5149">
            <w:pPr>
              <w:pStyle w:val="Tabletextcentred"/>
            </w:pPr>
            <w:r w:rsidRPr="003D4190">
              <w:t>-</w:t>
            </w:r>
          </w:p>
        </w:tc>
        <w:tc>
          <w:tcPr>
            <w:tcW w:w="1078" w:type="dxa"/>
          </w:tcPr>
          <w:p w14:paraId="02B0FC01" w14:textId="77777777" w:rsidR="00D80861" w:rsidRPr="003D4190" w:rsidRDefault="00D80861" w:rsidP="007A5149">
            <w:pPr>
              <w:pStyle w:val="Tabletextcentred"/>
            </w:pPr>
            <w:r w:rsidRPr="003D4190">
              <w:t>-</w:t>
            </w:r>
          </w:p>
        </w:tc>
        <w:tc>
          <w:tcPr>
            <w:tcW w:w="1079" w:type="dxa"/>
          </w:tcPr>
          <w:p w14:paraId="5AC062B1" w14:textId="77777777" w:rsidR="00D80861" w:rsidRPr="003D4190" w:rsidRDefault="00D80861" w:rsidP="007A5149">
            <w:pPr>
              <w:pStyle w:val="Tabletextcentred"/>
            </w:pPr>
            <w:r w:rsidRPr="003D4190">
              <w:t>-</w:t>
            </w:r>
          </w:p>
        </w:tc>
      </w:tr>
      <w:tr w:rsidR="00D80861" w:rsidRPr="003D4190" w14:paraId="27DB1EB3" w14:textId="77777777" w:rsidTr="007A5149">
        <w:tc>
          <w:tcPr>
            <w:tcW w:w="703" w:type="dxa"/>
          </w:tcPr>
          <w:p w14:paraId="38EFF547" w14:textId="77777777" w:rsidR="00D80861" w:rsidRPr="003D4190" w:rsidRDefault="00D80861" w:rsidP="007A5149">
            <w:pPr>
              <w:pStyle w:val="Tabletextcentred"/>
              <w:jc w:val="left"/>
            </w:pPr>
            <w:r w:rsidRPr="003D4190">
              <w:t>D</w:t>
            </w:r>
          </w:p>
        </w:tc>
        <w:tc>
          <w:tcPr>
            <w:tcW w:w="1844" w:type="dxa"/>
          </w:tcPr>
          <w:p w14:paraId="68A18094" w14:textId="77777777" w:rsidR="00D80861" w:rsidRPr="003D4190" w:rsidRDefault="00D80861" w:rsidP="007A5149">
            <w:pPr>
              <w:pStyle w:val="Tabletextcentred"/>
              <w:jc w:val="left"/>
              <w:rPr>
                <w:b/>
                <w:bCs/>
              </w:rPr>
            </w:pPr>
            <w:r w:rsidRPr="003D4190">
              <w:t>Total cost</w:t>
            </w:r>
          </w:p>
        </w:tc>
        <w:tc>
          <w:tcPr>
            <w:tcW w:w="1078" w:type="dxa"/>
          </w:tcPr>
          <w:p w14:paraId="16CE9B2A" w14:textId="77777777" w:rsidR="00D80861" w:rsidRPr="003D4190" w:rsidRDefault="00D80861" w:rsidP="007A5149">
            <w:pPr>
              <w:pStyle w:val="Tabletextcentred"/>
            </w:pPr>
            <w:r w:rsidRPr="003D4190">
              <w:rPr>
                <w:strike/>
              </w:rPr>
              <w:t>-$194,236</w:t>
            </w:r>
            <w:r w:rsidRPr="003D4190">
              <w:t xml:space="preserve"> </w:t>
            </w:r>
            <w:r w:rsidRPr="003D4190">
              <w:rPr>
                <w:i/>
                <w:iCs/>
              </w:rPr>
              <w:t>-$86,727</w:t>
            </w:r>
          </w:p>
        </w:tc>
        <w:tc>
          <w:tcPr>
            <w:tcW w:w="1078" w:type="dxa"/>
          </w:tcPr>
          <w:p w14:paraId="0F23553B" w14:textId="77777777" w:rsidR="00D80861" w:rsidRPr="003D4190" w:rsidRDefault="00D80861" w:rsidP="007A5149">
            <w:pPr>
              <w:pStyle w:val="Tabletextcentred"/>
            </w:pPr>
            <w:r w:rsidRPr="003D4190">
              <w:rPr>
                <w:strike/>
              </w:rPr>
              <w:t>-$290,144</w:t>
            </w:r>
            <w:r w:rsidRPr="003D4190">
              <w:t xml:space="preserve"> </w:t>
            </w:r>
            <w:r w:rsidRPr="003D4190">
              <w:rPr>
                <w:i/>
                <w:iCs/>
              </w:rPr>
              <w:t>-$128,920</w:t>
            </w:r>
          </w:p>
        </w:tc>
        <w:tc>
          <w:tcPr>
            <w:tcW w:w="1078" w:type="dxa"/>
          </w:tcPr>
          <w:p w14:paraId="59896A09" w14:textId="77777777" w:rsidR="00D80861" w:rsidRPr="003D4190" w:rsidRDefault="00D80861" w:rsidP="007A5149">
            <w:pPr>
              <w:pStyle w:val="Tabletextcentred"/>
            </w:pPr>
            <w:r w:rsidRPr="003D4190">
              <w:rPr>
                <w:strike/>
              </w:rPr>
              <w:t>-$384,843</w:t>
            </w:r>
            <w:r w:rsidRPr="003D4190">
              <w:t xml:space="preserve"> </w:t>
            </w:r>
            <w:r w:rsidRPr="003D4190">
              <w:rPr>
                <w:i/>
                <w:iCs/>
              </w:rPr>
              <w:t>-$169,944</w:t>
            </w:r>
          </w:p>
        </w:tc>
        <w:tc>
          <w:tcPr>
            <w:tcW w:w="1078" w:type="dxa"/>
          </w:tcPr>
          <w:p w14:paraId="07B5BE8E" w14:textId="77777777" w:rsidR="00D80861" w:rsidRPr="003D4190" w:rsidRDefault="00D80861" w:rsidP="007A5149">
            <w:pPr>
              <w:pStyle w:val="Tabletextcentred"/>
            </w:pPr>
            <w:r w:rsidRPr="003D4190">
              <w:rPr>
                <w:strike/>
              </w:rPr>
              <w:t>-$382,122</w:t>
            </w:r>
            <w:r w:rsidRPr="003D4190">
              <w:t xml:space="preserve"> </w:t>
            </w:r>
            <w:r w:rsidRPr="003D4190">
              <w:rPr>
                <w:i/>
                <w:iCs/>
              </w:rPr>
              <w:t>-$167,312</w:t>
            </w:r>
          </w:p>
        </w:tc>
        <w:tc>
          <w:tcPr>
            <w:tcW w:w="1078" w:type="dxa"/>
          </w:tcPr>
          <w:p w14:paraId="625BF48C" w14:textId="77777777" w:rsidR="00D80861" w:rsidRPr="003D4190" w:rsidRDefault="00D80861" w:rsidP="007A5149">
            <w:pPr>
              <w:pStyle w:val="Tabletextcentred"/>
            </w:pPr>
            <w:r w:rsidRPr="003D4190">
              <w:rPr>
                <w:strike/>
              </w:rPr>
              <w:t>-$380,005</w:t>
            </w:r>
            <w:r w:rsidRPr="003D4190">
              <w:t xml:space="preserve"> </w:t>
            </w:r>
            <w:r w:rsidRPr="003D4190">
              <w:rPr>
                <w:i/>
                <w:iCs/>
              </w:rPr>
              <w:t>-$165,264</w:t>
            </w:r>
          </w:p>
        </w:tc>
        <w:tc>
          <w:tcPr>
            <w:tcW w:w="1079" w:type="dxa"/>
          </w:tcPr>
          <w:p w14:paraId="7CC18A14" w14:textId="0C1E0AF0" w:rsidR="00D80861" w:rsidRPr="003D4190" w:rsidRDefault="000C4E79" w:rsidP="007A5149">
            <w:pPr>
              <w:pStyle w:val="Tabletextcentred"/>
            </w:pPr>
            <w:r w:rsidRPr="003D4190">
              <w:t>ADAR Table 49</w:t>
            </w:r>
          </w:p>
        </w:tc>
      </w:tr>
      <w:tr w:rsidR="00D80861" w:rsidRPr="003D4190" w14:paraId="60A6FE0E" w14:textId="77777777" w:rsidTr="007A5149">
        <w:tc>
          <w:tcPr>
            <w:tcW w:w="703" w:type="dxa"/>
          </w:tcPr>
          <w:p w14:paraId="1C356F34" w14:textId="77777777" w:rsidR="00D80861" w:rsidRPr="003D4190" w:rsidRDefault="00D80861" w:rsidP="007A5149">
            <w:pPr>
              <w:pStyle w:val="Tabletextcentred"/>
              <w:jc w:val="left"/>
            </w:pPr>
            <w:r w:rsidRPr="003D4190">
              <w:t>E</w:t>
            </w:r>
          </w:p>
        </w:tc>
        <w:tc>
          <w:tcPr>
            <w:tcW w:w="1844" w:type="dxa"/>
          </w:tcPr>
          <w:p w14:paraId="48F7DDE1" w14:textId="77777777" w:rsidR="00D80861" w:rsidRPr="003D4190" w:rsidRDefault="00D80861" w:rsidP="007A5149">
            <w:pPr>
              <w:pStyle w:val="Tabletextcentred"/>
              <w:jc w:val="left"/>
            </w:pPr>
            <w:r w:rsidRPr="003D4190">
              <w:t>-to MBS</w:t>
            </w:r>
          </w:p>
        </w:tc>
        <w:tc>
          <w:tcPr>
            <w:tcW w:w="1078" w:type="dxa"/>
          </w:tcPr>
          <w:p w14:paraId="6807DF39" w14:textId="77777777" w:rsidR="00D80861" w:rsidRPr="003D4190" w:rsidRDefault="00D80861" w:rsidP="007A5149">
            <w:pPr>
              <w:pStyle w:val="Tabletextcentred"/>
              <w:rPr>
                <w:strike/>
              </w:rPr>
            </w:pPr>
            <w:r w:rsidRPr="003D4190">
              <w:rPr>
                <w:strike/>
              </w:rPr>
              <w:t>-$144,706</w:t>
            </w:r>
            <w:r w:rsidRPr="003D4190">
              <w:t xml:space="preserve"> </w:t>
            </w:r>
            <w:r w:rsidRPr="003D4190">
              <w:rPr>
                <w:i/>
                <w:iCs/>
              </w:rPr>
              <w:t>-$64,072</w:t>
            </w:r>
          </w:p>
        </w:tc>
        <w:tc>
          <w:tcPr>
            <w:tcW w:w="1078" w:type="dxa"/>
          </w:tcPr>
          <w:p w14:paraId="110B696C" w14:textId="77777777" w:rsidR="00D80861" w:rsidRPr="003D4190" w:rsidRDefault="00D80861" w:rsidP="007A5149">
            <w:pPr>
              <w:pStyle w:val="Tabletextcentred"/>
              <w:rPr>
                <w:strike/>
              </w:rPr>
            </w:pPr>
            <w:r w:rsidRPr="003D4190">
              <w:rPr>
                <w:strike/>
              </w:rPr>
              <w:t>-$216,151</w:t>
            </w:r>
            <w:r w:rsidRPr="003D4190">
              <w:t xml:space="preserve"> </w:t>
            </w:r>
            <w:r w:rsidRPr="003D4190">
              <w:rPr>
                <w:i/>
                <w:iCs/>
              </w:rPr>
              <w:t>-$95,230</w:t>
            </w:r>
          </w:p>
        </w:tc>
        <w:tc>
          <w:tcPr>
            <w:tcW w:w="1078" w:type="dxa"/>
          </w:tcPr>
          <w:p w14:paraId="7DD8144B" w14:textId="77777777" w:rsidR="00D80861" w:rsidRPr="003D4190" w:rsidRDefault="00D80861" w:rsidP="007A5149">
            <w:pPr>
              <w:pStyle w:val="Tabletextcentred"/>
              <w:rPr>
                <w:strike/>
              </w:rPr>
            </w:pPr>
            <w:r w:rsidRPr="003D4190">
              <w:rPr>
                <w:strike/>
              </w:rPr>
              <w:t>-$286,690</w:t>
            </w:r>
            <w:r w:rsidRPr="003D4190">
              <w:t xml:space="preserve"> </w:t>
            </w:r>
            <w:r w:rsidRPr="003D4190">
              <w:rPr>
                <w:i/>
                <w:iCs/>
              </w:rPr>
              <w:t>-$125,511</w:t>
            </w:r>
          </w:p>
        </w:tc>
        <w:tc>
          <w:tcPr>
            <w:tcW w:w="1078" w:type="dxa"/>
          </w:tcPr>
          <w:p w14:paraId="658F8D0F" w14:textId="77777777" w:rsidR="00D80861" w:rsidRPr="003D4190" w:rsidRDefault="00D80861" w:rsidP="007A5149">
            <w:pPr>
              <w:pStyle w:val="Tabletextcentred"/>
              <w:rPr>
                <w:strike/>
              </w:rPr>
            </w:pPr>
            <w:r w:rsidRPr="003D4190">
              <w:rPr>
                <w:strike/>
              </w:rPr>
              <w:t>-$284,648</w:t>
            </w:r>
            <w:r w:rsidRPr="003D4190">
              <w:t xml:space="preserve"> </w:t>
            </w:r>
            <w:r w:rsidRPr="003D4190">
              <w:rPr>
                <w:i/>
                <w:iCs/>
              </w:rPr>
              <w:t>-$123,537</w:t>
            </w:r>
          </w:p>
        </w:tc>
        <w:tc>
          <w:tcPr>
            <w:tcW w:w="1078" w:type="dxa"/>
          </w:tcPr>
          <w:p w14:paraId="4F23768E" w14:textId="77777777" w:rsidR="00D80861" w:rsidRPr="003D4190" w:rsidRDefault="00D80861" w:rsidP="007A5149">
            <w:pPr>
              <w:pStyle w:val="Tabletextcentred"/>
              <w:rPr>
                <w:strike/>
              </w:rPr>
            </w:pPr>
            <w:r w:rsidRPr="003D4190">
              <w:rPr>
                <w:strike/>
              </w:rPr>
              <w:t>-$283,061</w:t>
            </w:r>
            <w:r w:rsidRPr="003D4190">
              <w:t xml:space="preserve"> </w:t>
            </w:r>
            <w:r w:rsidRPr="003D4190">
              <w:rPr>
                <w:i/>
                <w:iCs/>
              </w:rPr>
              <w:t>-$122,001</w:t>
            </w:r>
          </w:p>
        </w:tc>
        <w:tc>
          <w:tcPr>
            <w:tcW w:w="1079" w:type="dxa"/>
          </w:tcPr>
          <w:p w14:paraId="1E87F3F7" w14:textId="779658F3" w:rsidR="00D80861" w:rsidRPr="003D4190" w:rsidRDefault="000C4E79" w:rsidP="007A5149">
            <w:pPr>
              <w:pStyle w:val="Tabletextcentred"/>
            </w:pPr>
            <w:r w:rsidRPr="003D4190">
              <w:t>ADAR Table 49</w:t>
            </w:r>
          </w:p>
        </w:tc>
      </w:tr>
      <w:tr w:rsidR="00D80861" w:rsidRPr="003D4190" w14:paraId="6505504A" w14:textId="77777777" w:rsidTr="007A5149">
        <w:tc>
          <w:tcPr>
            <w:tcW w:w="703" w:type="dxa"/>
          </w:tcPr>
          <w:p w14:paraId="016D4930" w14:textId="77777777" w:rsidR="00D80861" w:rsidRPr="003D4190" w:rsidRDefault="00D80861" w:rsidP="007A5149">
            <w:pPr>
              <w:pStyle w:val="Tabletextcentred"/>
              <w:jc w:val="left"/>
            </w:pPr>
            <w:r w:rsidRPr="003D4190">
              <w:t>F</w:t>
            </w:r>
          </w:p>
        </w:tc>
        <w:tc>
          <w:tcPr>
            <w:tcW w:w="1844" w:type="dxa"/>
          </w:tcPr>
          <w:p w14:paraId="589D71B4" w14:textId="77777777" w:rsidR="00D80861" w:rsidRPr="003D4190" w:rsidRDefault="00D80861" w:rsidP="007A5149">
            <w:pPr>
              <w:pStyle w:val="Tabletextcentred"/>
              <w:jc w:val="left"/>
            </w:pPr>
            <w:r w:rsidRPr="003D4190">
              <w:t xml:space="preserve">-to patients </w:t>
            </w:r>
            <w:r w:rsidRPr="003D4190">
              <w:rPr>
                <w:vertAlign w:val="superscript"/>
              </w:rPr>
              <w:t>a</w:t>
            </w:r>
          </w:p>
        </w:tc>
        <w:tc>
          <w:tcPr>
            <w:tcW w:w="1078" w:type="dxa"/>
          </w:tcPr>
          <w:p w14:paraId="2B1FFA3C" w14:textId="77777777" w:rsidR="00D80861" w:rsidRPr="003D4190" w:rsidRDefault="00D80861" w:rsidP="007A5149">
            <w:pPr>
              <w:pStyle w:val="Tabletextcentred"/>
              <w:rPr>
                <w:strike/>
              </w:rPr>
            </w:pPr>
            <w:r w:rsidRPr="003D4190">
              <w:rPr>
                <w:strike/>
              </w:rPr>
              <w:t>-$49,530</w:t>
            </w:r>
            <w:r w:rsidRPr="003D4190">
              <w:t xml:space="preserve"> </w:t>
            </w:r>
            <w:r w:rsidRPr="003D4190">
              <w:rPr>
                <w:i/>
                <w:iCs/>
              </w:rPr>
              <w:t>- $22,655</w:t>
            </w:r>
          </w:p>
        </w:tc>
        <w:tc>
          <w:tcPr>
            <w:tcW w:w="1078" w:type="dxa"/>
          </w:tcPr>
          <w:p w14:paraId="04CF87B3" w14:textId="77777777" w:rsidR="00D80861" w:rsidRPr="003D4190" w:rsidRDefault="00D80861" w:rsidP="007A5149">
            <w:pPr>
              <w:pStyle w:val="Tabletextcentred"/>
              <w:rPr>
                <w:strike/>
              </w:rPr>
            </w:pPr>
            <w:r w:rsidRPr="003D4190">
              <w:rPr>
                <w:strike/>
              </w:rPr>
              <w:t>-$73,993</w:t>
            </w:r>
            <w:r w:rsidRPr="003D4190">
              <w:t xml:space="preserve"> </w:t>
            </w:r>
            <w:r w:rsidRPr="003D4190">
              <w:rPr>
                <w:i/>
                <w:iCs/>
              </w:rPr>
              <w:t>- $33,690</w:t>
            </w:r>
          </w:p>
        </w:tc>
        <w:tc>
          <w:tcPr>
            <w:tcW w:w="1078" w:type="dxa"/>
          </w:tcPr>
          <w:p w14:paraId="28957E79" w14:textId="77777777" w:rsidR="00D80861" w:rsidRPr="003D4190" w:rsidRDefault="00D80861" w:rsidP="007A5149">
            <w:pPr>
              <w:pStyle w:val="Tabletextcentred"/>
              <w:rPr>
                <w:strike/>
              </w:rPr>
            </w:pPr>
            <w:r w:rsidRPr="003D4190">
              <w:rPr>
                <w:strike/>
              </w:rPr>
              <w:t>-$98,154</w:t>
            </w:r>
            <w:r w:rsidRPr="003D4190">
              <w:t xml:space="preserve"> </w:t>
            </w:r>
            <w:r w:rsidRPr="003D4190">
              <w:rPr>
                <w:i/>
                <w:iCs/>
              </w:rPr>
              <w:t>- $44,433</w:t>
            </w:r>
          </w:p>
        </w:tc>
        <w:tc>
          <w:tcPr>
            <w:tcW w:w="1078" w:type="dxa"/>
          </w:tcPr>
          <w:p w14:paraId="0A21B463" w14:textId="77777777" w:rsidR="00D80861" w:rsidRPr="003D4190" w:rsidRDefault="00D80861" w:rsidP="007A5149">
            <w:pPr>
              <w:pStyle w:val="Tabletextcentred"/>
              <w:rPr>
                <w:strike/>
              </w:rPr>
            </w:pPr>
            <w:r w:rsidRPr="003D4190">
              <w:rPr>
                <w:strike/>
              </w:rPr>
              <w:t>-$97,473</w:t>
            </w:r>
            <w:r w:rsidRPr="003D4190">
              <w:t xml:space="preserve"> </w:t>
            </w:r>
            <w:r w:rsidRPr="003D4190">
              <w:rPr>
                <w:i/>
                <w:iCs/>
              </w:rPr>
              <w:t>- $43,775</w:t>
            </w:r>
          </w:p>
        </w:tc>
        <w:tc>
          <w:tcPr>
            <w:tcW w:w="1078" w:type="dxa"/>
          </w:tcPr>
          <w:p w14:paraId="4A11F7EE" w14:textId="77777777" w:rsidR="00D80861" w:rsidRPr="003D4190" w:rsidRDefault="00D80861" w:rsidP="007A5149">
            <w:pPr>
              <w:pStyle w:val="Tabletextcentred"/>
              <w:rPr>
                <w:strike/>
              </w:rPr>
            </w:pPr>
            <w:r w:rsidRPr="003D4190">
              <w:rPr>
                <w:strike/>
              </w:rPr>
              <w:t>-$96,944</w:t>
            </w:r>
            <w:r w:rsidRPr="003D4190">
              <w:t xml:space="preserve"> </w:t>
            </w:r>
            <w:r w:rsidRPr="003D4190">
              <w:rPr>
                <w:i/>
                <w:iCs/>
              </w:rPr>
              <w:t>- $43,263</w:t>
            </w:r>
          </w:p>
        </w:tc>
        <w:tc>
          <w:tcPr>
            <w:tcW w:w="1079" w:type="dxa"/>
          </w:tcPr>
          <w:p w14:paraId="2E61479E" w14:textId="5DDF5238" w:rsidR="00D80861" w:rsidRPr="003D4190" w:rsidRDefault="000C4E79" w:rsidP="007A5149">
            <w:pPr>
              <w:pStyle w:val="Tabletextcentred"/>
            </w:pPr>
            <w:r w:rsidRPr="003D4190">
              <w:t>ADAR Table 49</w:t>
            </w:r>
          </w:p>
        </w:tc>
      </w:tr>
      <w:tr w:rsidR="00D80861" w:rsidRPr="003D4190" w14:paraId="626475E9" w14:textId="77777777" w:rsidTr="007A5149">
        <w:tc>
          <w:tcPr>
            <w:tcW w:w="703" w:type="dxa"/>
          </w:tcPr>
          <w:p w14:paraId="17E60332" w14:textId="77777777" w:rsidR="00D80861" w:rsidRPr="003D4190" w:rsidRDefault="00D80861" w:rsidP="007A5149">
            <w:pPr>
              <w:pStyle w:val="Tabletextcentred"/>
              <w:jc w:val="left"/>
            </w:pPr>
            <w:r w:rsidRPr="003D4190">
              <w:t>-</w:t>
            </w:r>
          </w:p>
        </w:tc>
        <w:tc>
          <w:tcPr>
            <w:tcW w:w="1844" w:type="dxa"/>
          </w:tcPr>
          <w:p w14:paraId="6E15669C" w14:textId="77777777" w:rsidR="00D80861" w:rsidRPr="003D4190" w:rsidRDefault="00D80861" w:rsidP="007A5149">
            <w:pPr>
              <w:pStyle w:val="Tabletextcentred"/>
              <w:jc w:val="left"/>
            </w:pPr>
            <w:r w:rsidRPr="003D4190">
              <w:rPr>
                <w:b/>
                <w:bCs/>
              </w:rPr>
              <w:t>Net impact</w:t>
            </w:r>
          </w:p>
        </w:tc>
        <w:tc>
          <w:tcPr>
            <w:tcW w:w="1078" w:type="dxa"/>
          </w:tcPr>
          <w:p w14:paraId="460E5985" w14:textId="77777777" w:rsidR="00D80861" w:rsidRPr="003D4190" w:rsidRDefault="00D80861" w:rsidP="007A5149">
            <w:pPr>
              <w:pStyle w:val="Tabletextcentred"/>
              <w:rPr>
                <w:strike/>
              </w:rPr>
            </w:pPr>
            <w:r w:rsidRPr="003D4190">
              <w:t>-</w:t>
            </w:r>
          </w:p>
        </w:tc>
        <w:tc>
          <w:tcPr>
            <w:tcW w:w="1078" w:type="dxa"/>
          </w:tcPr>
          <w:p w14:paraId="2F8D1E0E" w14:textId="77777777" w:rsidR="00D80861" w:rsidRPr="003D4190" w:rsidRDefault="00D80861" w:rsidP="007A5149">
            <w:pPr>
              <w:pStyle w:val="Tabletextcentred"/>
              <w:rPr>
                <w:strike/>
              </w:rPr>
            </w:pPr>
            <w:r w:rsidRPr="003D4190">
              <w:t>-</w:t>
            </w:r>
          </w:p>
        </w:tc>
        <w:tc>
          <w:tcPr>
            <w:tcW w:w="1078" w:type="dxa"/>
          </w:tcPr>
          <w:p w14:paraId="53C6D7A6" w14:textId="77777777" w:rsidR="00D80861" w:rsidRPr="003D4190" w:rsidRDefault="00D80861" w:rsidP="007A5149">
            <w:pPr>
              <w:pStyle w:val="Tabletextcentred"/>
              <w:rPr>
                <w:strike/>
              </w:rPr>
            </w:pPr>
            <w:r w:rsidRPr="003D4190">
              <w:t>-</w:t>
            </w:r>
          </w:p>
        </w:tc>
        <w:tc>
          <w:tcPr>
            <w:tcW w:w="1078" w:type="dxa"/>
          </w:tcPr>
          <w:p w14:paraId="0E4BEFF9" w14:textId="77777777" w:rsidR="00D80861" w:rsidRPr="003D4190" w:rsidRDefault="00D80861" w:rsidP="007A5149">
            <w:pPr>
              <w:pStyle w:val="Tabletextcentred"/>
              <w:rPr>
                <w:strike/>
              </w:rPr>
            </w:pPr>
            <w:r w:rsidRPr="003D4190">
              <w:t>-</w:t>
            </w:r>
          </w:p>
        </w:tc>
        <w:tc>
          <w:tcPr>
            <w:tcW w:w="1078" w:type="dxa"/>
          </w:tcPr>
          <w:p w14:paraId="1241CFD1" w14:textId="77777777" w:rsidR="00D80861" w:rsidRPr="003D4190" w:rsidRDefault="00D80861" w:rsidP="007A5149">
            <w:pPr>
              <w:pStyle w:val="Tabletextcentred"/>
              <w:rPr>
                <w:strike/>
              </w:rPr>
            </w:pPr>
            <w:r w:rsidRPr="003D4190">
              <w:t>-</w:t>
            </w:r>
          </w:p>
        </w:tc>
        <w:tc>
          <w:tcPr>
            <w:tcW w:w="1079" w:type="dxa"/>
          </w:tcPr>
          <w:p w14:paraId="01CE4CC9" w14:textId="77777777" w:rsidR="00D80861" w:rsidRPr="003D4190" w:rsidRDefault="00D80861" w:rsidP="007A5149">
            <w:pPr>
              <w:pStyle w:val="Tabletextcentred"/>
            </w:pPr>
            <w:r w:rsidRPr="003D4190">
              <w:t>-</w:t>
            </w:r>
          </w:p>
        </w:tc>
      </w:tr>
      <w:tr w:rsidR="00D80861" w:rsidRPr="003D4190" w14:paraId="25B73F6F" w14:textId="77777777" w:rsidTr="007A5149">
        <w:tc>
          <w:tcPr>
            <w:tcW w:w="703" w:type="dxa"/>
          </w:tcPr>
          <w:p w14:paraId="430C6302" w14:textId="77777777" w:rsidR="00D80861" w:rsidRPr="003D4190" w:rsidRDefault="00D80861" w:rsidP="007A5149">
            <w:pPr>
              <w:pStyle w:val="Tabletextcentred"/>
              <w:jc w:val="left"/>
            </w:pPr>
            <w:r w:rsidRPr="003D4190">
              <w:t>G</w:t>
            </w:r>
          </w:p>
        </w:tc>
        <w:tc>
          <w:tcPr>
            <w:tcW w:w="1844" w:type="dxa"/>
          </w:tcPr>
          <w:p w14:paraId="4D3F1BC4" w14:textId="77777777" w:rsidR="00D80861" w:rsidRPr="003D4190" w:rsidRDefault="00D80861" w:rsidP="007A5149">
            <w:pPr>
              <w:pStyle w:val="Tabletextcentred"/>
              <w:jc w:val="left"/>
              <w:rPr>
                <w:b/>
                <w:bCs/>
              </w:rPr>
            </w:pPr>
            <w:r w:rsidRPr="003D4190">
              <w:t>Total cost</w:t>
            </w:r>
          </w:p>
        </w:tc>
        <w:tc>
          <w:tcPr>
            <w:tcW w:w="1078" w:type="dxa"/>
          </w:tcPr>
          <w:p w14:paraId="09191875" w14:textId="77777777" w:rsidR="00D80861" w:rsidRPr="003D4190" w:rsidRDefault="00D80861" w:rsidP="007A5149">
            <w:pPr>
              <w:pStyle w:val="Tabletextcentred"/>
            </w:pPr>
            <w:r w:rsidRPr="003D4190">
              <w:rPr>
                <w:strike/>
              </w:rPr>
              <w:t>-$22,415</w:t>
            </w:r>
            <w:r w:rsidRPr="003D4190">
              <w:t xml:space="preserve"> </w:t>
            </w:r>
            <w:r w:rsidRPr="003D4190">
              <w:rPr>
                <w:i/>
                <w:iCs/>
              </w:rPr>
              <w:t>$85,094</w:t>
            </w:r>
          </w:p>
        </w:tc>
        <w:tc>
          <w:tcPr>
            <w:tcW w:w="1078" w:type="dxa"/>
          </w:tcPr>
          <w:p w14:paraId="22CBE359" w14:textId="77777777" w:rsidR="00D80861" w:rsidRPr="003D4190" w:rsidRDefault="00D80861" w:rsidP="007A5149">
            <w:pPr>
              <w:pStyle w:val="Tabletextcentred"/>
            </w:pPr>
            <w:r w:rsidRPr="003D4190">
              <w:rPr>
                <w:strike/>
              </w:rPr>
              <w:t>-$30,704</w:t>
            </w:r>
            <w:r w:rsidRPr="003D4190">
              <w:t xml:space="preserve"> </w:t>
            </w:r>
            <w:r w:rsidRPr="003D4190">
              <w:rPr>
                <w:i/>
                <w:iCs/>
              </w:rPr>
              <w:t>$130,520</w:t>
            </w:r>
          </w:p>
        </w:tc>
        <w:tc>
          <w:tcPr>
            <w:tcW w:w="1078" w:type="dxa"/>
          </w:tcPr>
          <w:p w14:paraId="02DD9292" w14:textId="77777777" w:rsidR="00D80861" w:rsidRPr="003D4190" w:rsidRDefault="00D80861" w:rsidP="007A5149">
            <w:pPr>
              <w:pStyle w:val="Tabletextcentred"/>
            </w:pPr>
            <w:r w:rsidRPr="003D4190">
              <w:rPr>
                <w:strike/>
              </w:rPr>
              <w:t>-$37,583</w:t>
            </w:r>
            <w:r w:rsidRPr="003D4190">
              <w:t xml:space="preserve"> </w:t>
            </w:r>
            <w:r w:rsidRPr="003D4190">
              <w:rPr>
                <w:i/>
                <w:iCs/>
              </w:rPr>
              <w:t>$177,316</w:t>
            </w:r>
          </w:p>
        </w:tc>
        <w:tc>
          <w:tcPr>
            <w:tcW w:w="1078" w:type="dxa"/>
          </w:tcPr>
          <w:p w14:paraId="094C9839" w14:textId="77777777" w:rsidR="00D80861" w:rsidRPr="003D4190" w:rsidRDefault="00D80861" w:rsidP="007A5149">
            <w:pPr>
              <w:pStyle w:val="Tabletextcentred"/>
            </w:pPr>
            <w:r w:rsidRPr="003D4190">
              <w:rPr>
                <w:strike/>
              </w:rPr>
              <w:t>-$33,053</w:t>
            </w:r>
            <w:r w:rsidRPr="003D4190">
              <w:t xml:space="preserve"> </w:t>
            </w:r>
            <w:r w:rsidRPr="003D4190">
              <w:rPr>
                <w:i/>
                <w:iCs/>
              </w:rPr>
              <w:t>$181,757</w:t>
            </w:r>
          </w:p>
        </w:tc>
        <w:tc>
          <w:tcPr>
            <w:tcW w:w="1078" w:type="dxa"/>
          </w:tcPr>
          <w:p w14:paraId="5A788A7D" w14:textId="77777777" w:rsidR="00D80861" w:rsidRPr="003D4190" w:rsidRDefault="00D80861" w:rsidP="007A5149">
            <w:pPr>
              <w:pStyle w:val="Tabletextcentred"/>
            </w:pPr>
            <w:r w:rsidRPr="003D4190">
              <w:rPr>
                <w:strike/>
              </w:rPr>
              <w:t>-$29,530</w:t>
            </w:r>
            <w:r w:rsidRPr="003D4190">
              <w:t xml:space="preserve"> </w:t>
            </w:r>
            <w:r w:rsidRPr="003D4190">
              <w:rPr>
                <w:i/>
                <w:iCs/>
              </w:rPr>
              <w:t>$185,211</w:t>
            </w:r>
          </w:p>
        </w:tc>
        <w:tc>
          <w:tcPr>
            <w:tcW w:w="1079" w:type="dxa"/>
          </w:tcPr>
          <w:p w14:paraId="5D65CEB1" w14:textId="77777777" w:rsidR="00D80861" w:rsidRPr="003D4190" w:rsidRDefault="00D80861" w:rsidP="007A5149">
            <w:pPr>
              <w:pStyle w:val="Tabletextcentred"/>
            </w:pPr>
            <w:r w:rsidRPr="003D4190">
              <w:t>A+D</w:t>
            </w:r>
          </w:p>
        </w:tc>
      </w:tr>
      <w:tr w:rsidR="00D80861" w:rsidRPr="003D4190" w14:paraId="045E6B7C" w14:textId="77777777" w:rsidTr="007A5149">
        <w:tc>
          <w:tcPr>
            <w:tcW w:w="703" w:type="dxa"/>
          </w:tcPr>
          <w:p w14:paraId="020944B8" w14:textId="77777777" w:rsidR="00D80861" w:rsidRPr="003D4190" w:rsidRDefault="00D80861" w:rsidP="007A5149">
            <w:pPr>
              <w:pStyle w:val="Tabletextcentred"/>
              <w:jc w:val="left"/>
            </w:pPr>
            <w:r w:rsidRPr="003D4190">
              <w:t>H</w:t>
            </w:r>
          </w:p>
        </w:tc>
        <w:tc>
          <w:tcPr>
            <w:tcW w:w="1844" w:type="dxa"/>
          </w:tcPr>
          <w:p w14:paraId="389DED95" w14:textId="77777777" w:rsidR="00D80861" w:rsidRPr="003D4190" w:rsidRDefault="00D80861" w:rsidP="007A5149">
            <w:pPr>
              <w:pStyle w:val="Tabletextcentred"/>
              <w:jc w:val="left"/>
            </w:pPr>
            <w:r w:rsidRPr="003D4190">
              <w:t>-to MBS</w:t>
            </w:r>
          </w:p>
        </w:tc>
        <w:tc>
          <w:tcPr>
            <w:tcW w:w="1078" w:type="dxa"/>
          </w:tcPr>
          <w:p w14:paraId="1DB04373" w14:textId="77777777" w:rsidR="00D80861" w:rsidRPr="003D4190" w:rsidRDefault="00D80861" w:rsidP="007A5149">
            <w:pPr>
              <w:pStyle w:val="Tabletextcentred"/>
              <w:rPr>
                <w:strike/>
              </w:rPr>
            </w:pPr>
            <w:r w:rsidRPr="003D4190">
              <w:rPr>
                <w:strike/>
              </w:rPr>
              <w:t>-$15,834</w:t>
            </w:r>
            <w:r w:rsidRPr="003D4190">
              <w:t xml:space="preserve"> </w:t>
            </w:r>
            <w:r w:rsidRPr="003D4190">
              <w:rPr>
                <w:i/>
                <w:iCs/>
              </w:rPr>
              <w:t>$64,800</w:t>
            </w:r>
          </w:p>
        </w:tc>
        <w:tc>
          <w:tcPr>
            <w:tcW w:w="1078" w:type="dxa"/>
          </w:tcPr>
          <w:p w14:paraId="0E1866DA" w14:textId="77777777" w:rsidR="00D80861" w:rsidRPr="003D4190" w:rsidRDefault="00D80861" w:rsidP="007A5149">
            <w:pPr>
              <w:pStyle w:val="Tabletextcentred"/>
              <w:rPr>
                <w:strike/>
              </w:rPr>
            </w:pPr>
            <w:r w:rsidRPr="003D4190">
              <w:rPr>
                <w:strike/>
              </w:rPr>
              <w:t>-$22,243</w:t>
            </w:r>
            <w:r w:rsidRPr="003D4190">
              <w:t xml:space="preserve"> </w:t>
            </w:r>
            <w:r w:rsidRPr="003D4190">
              <w:rPr>
                <w:i/>
                <w:iCs/>
              </w:rPr>
              <w:t>$98,678</w:t>
            </w:r>
          </w:p>
        </w:tc>
        <w:tc>
          <w:tcPr>
            <w:tcW w:w="1078" w:type="dxa"/>
          </w:tcPr>
          <w:p w14:paraId="592E6507" w14:textId="77777777" w:rsidR="00D80861" w:rsidRPr="003D4190" w:rsidRDefault="00D80861" w:rsidP="007A5149">
            <w:pPr>
              <w:pStyle w:val="Tabletextcentred"/>
              <w:rPr>
                <w:strike/>
              </w:rPr>
            </w:pPr>
            <w:r w:rsidRPr="003D4190">
              <w:rPr>
                <w:strike/>
              </w:rPr>
              <w:t>-$27,143</w:t>
            </w:r>
            <w:r w:rsidRPr="003D4190">
              <w:t xml:space="preserve"> </w:t>
            </w:r>
            <w:r w:rsidRPr="003D4190">
              <w:rPr>
                <w:i/>
                <w:iCs/>
              </w:rPr>
              <w:t>$134,035</w:t>
            </w:r>
          </w:p>
        </w:tc>
        <w:tc>
          <w:tcPr>
            <w:tcW w:w="1078" w:type="dxa"/>
          </w:tcPr>
          <w:p w14:paraId="63E6A158" w14:textId="77777777" w:rsidR="00D80861" w:rsidRPr="003D4190" w:rsidRDefault="00D80861" w:rsidP="007A5149">
            <w:pPr>
              <w:pStyle w:val="Tabletextcentred"/>
              <w:rPr>
                <w:strike/>
              </w:rPr>
            </w:pPr>
            <w:r w:rsidRPr="003D4190">
              <w:rPr>
                <w:strike/>
              </w:rPr>
              <w:t>-$23,750</w:t>
            </w:r>
            <w:r w:rsidRPr="003D4190">
              <w:t xml:space="preserve"> </w:t>
            </w:r>
            <w:r w:rsidRPr="003D4190">
              <w:rPr>
                <w:i/>
                <w:iCs/>
              </w:rPr>
              <w:t>$137,361</w:t>
            </w:r>
          </w:p>
        </w:tc>
        <w:tc>
          <w:tcPr>
            <w:tcW w:w="1078" w:type="dxa"/>
          </w:tcPr>
          <w:p w14:paraId="21C8AB13" w14:textId="77777777" w:rsidR="00D80861" w:rsidRPr="003D4190" w:rsidRDefault="00D80861" w:rsidP="007A5149">
            <w:pPr>
              <w:pStyle w:val="Tabletextcentred"/>
              <w:rPr>
                <w:strike/>
              </w:rPr>
            </w:pPr>
            <w:r w:rsidRPr="003D4190">
              <w:rPr>
                <w:strike/>
              </w:rPr>
              <w:t>-$21,111</w:t>
            </w:r>
            <w:r w:rsidRPr="003D4190">
              <w:t xml:space="preserve"> </w:t>
            </w:r>
            <w:r w:rsidRPr="003D4190">
              <w:rPr>
                <w:i/>
                <w:iCs/>
              </w:rPr>
              <w:t>$139,948</w:t>
            </w:r>
          </w:p>
        </w:tc>
        <w:tc>
          <w:tcPr>
            <w:tcW w:w="1079" w:type="dxa"/>
          </w:tcPr>
          <w:p w14:paraId="2A57C647" w14:textId="77777777" w:rsidR="00D80861" w:rsidRPr="003D4190" w:rsidRDefault="00D80861" w:rsidP="007A5149">
            <w:pPr>
              <w:pStyle w:val="Tabletextcentred"/>
            </w:pPr>
            <w:r w:rsidRPr="003D4190">
              <w:t>B+E</w:t>
            </w:r>
          </w:p>
        </w:tc>
      </w:tr>
      <w:tr w:rsidR="00D80861" w:rsidRPr="00D900D4" w14:paraId="0A805159" w14:textId="77777777" w:rsidTr="007A5149">
        <w:tc>
          <w:tcPr>
            <w:tcW w:w="703" w:type="dxa"/>
          </w:tcPr>
          <w:p w14:paraId="354E37C8" w14:textId="77777777" w:rsidR="00D80861" w:rsidRPr="003D4190" w:rsidRDefault="00D80861" w:rsidP="007A5149">
            <w:pPr>
              <w:pStyle w:val="Tabletextcentred"/>
              <w:jc w:val="left"/>
            </w:pPr>
            <w:r w:rsidRPr="003D4190">
              <w:t>I</w:t>
            </w:r>
          </w:p>
        </w:tc>
        <w:tc>
          <w:tcPr>
            <w:tcW w:w="1844" w:type="dxa"/>
          </w:tcPr>
          <w:p w14:paraId="14BED54A" w14:textId="77777777" w:rsidR="00D80861" w:rsidRPr="003D4190" w:rsidRDefault="00D80861" w:rsidP="007A5149">
            <w:pPr>
              <w:pStyle w:val="Tabletextcentred"/>
              <w:jc w:val="left"/>
            </w:pPr>
            <w:r w:rsidRPr="003D4190">
              <w:t xml:space="preserve">-to patients </w:t>
            </w:r>
            <w:r w:rsidRPr="003D4190">
              <w:rPr>
                <w:vertAlign w:val="superscript"/>
              </w:rPr>
              <w:t>a</w:t>
            </w:r>
          </w:p>
        </w:tc>
        <w:tc>
          <w:tcPr>
            <w:tcW w:w="1078" w:type="dxa"/>
          </w:tcPr>
          <w:p w14:paraId="7809455B" w14:textId="77777777" w:rsidR="00D80861" w:rsidRPr="003D4190" w:rsidRDefault="00D80861" w:rsidP="007A5149">
            <w:pPr>
              <w:pStyle w:val="Tabletextcentred"/>
              <w:rPr>
                <w:strike/>
              </w:rPr>
            </w:pPr>
            <w:r w:rsidRPr="003D4190">
              <w:rPr>
                <w:strike/>
              </w:rPr>
              <w:t>-$6,581</w:t>
            </w:r>
            <w:r w:rsidRPr="003D4190">
              <w:t xml:space="preserve"> </w:t>
            </w:r>
            <w:r w:rsidRPr="003D4190">
              <w:rPr>
                <w:i/>
                <w:iCs/>
              </w:rPr>
              <w:t>$20,294</w:t>
            </w:r>
          </w:p>
        </w:tc>
        <w:tc>
          <w:tcPr>
            <w:tcW w:w="1078" w:type="dxa"/>
          </w:tcPr>
          <w:p w14:paraId="16B6AD38" w14:textId="77777777" w:rsidR="00D80861" w:rsidRPr="003D4190" w:rsidRDefault="00D80861" w:rsidP="007A5149">
            <w:pPr>
              <w:pStyle w:val="Tabletextcentred"/>
              <w:rPr>
                <w:strike/>
              </w:rPr>
            </w:pPr>
            <w:r w:rsidRPr="003D4190">
              <w:rPr>
                <w:strike/>
              </w:rPr>
              <w:t>-$8,462</w:t>
            </w:r>
            <w:r w:rsidRPr="003D4190">
              <w:t xml:space="preserve"> </w:t>
            </w:r>
            <w:r w:rsidRPr="003D4190">
              <w:rPr>
                <w:i/>
                <w:iCs/>
              </w:rPr>
              <w:t>$31,841</w:t>
            </w:r>
          </w:p>
        </w:tc>
        <w:tc>
          <w:tcPr>
            <w:tcW w:w="1078" w:type="dxa"/>
          </w:tcPr>
          <w:p w14:paraId="79200C3D" w14:textId="77777777" w:rsidR="00D80861" w:rsidRPr="003D4190" w:rsidRDefault="00D80861" w:rsidP="007A5149">
            <w:pPr>
              <w:pStyle w:val="Tabletextcentred"/>
              <w:rPr>
                <w:strike/>
              </w:rPr>
            </w:pPr>
            <w:r w:rsidRPr="003D4190">
              <w:rPr>
                <w:strike/>
              </w:rPr>
              <w:t>-$10,440</w:t>
            </w:r>
            <w:r w:rsidRPr="003D4190">
              <w:t xml:space="preserve"> </w:t>
            </w:r>
            <w:r w:rsidRPr="003D4190">
              <w:rPr>
                <w:i/>
                <w:iCs/>
              </w:rPr>
              <w:t>$43,281</w:t>
            </w:r>
          </w:p>
        </w:tc>
        <w:tc>
          <w:tcPr>
            <w:tcW w:w="1078" w:type="dxa"/>
          </w:tcPr>
          <w:p w14:paraId="5D828AA0" w14:textId="77777777" w:rsidR="00D80861" w:rsidRPr="003D4190" w:rsidRDefault="00D80861" w:rsidP="007A5149">
            <w:pPr>
              <w:pStyle w:val="Tabletextcentred"/>
              <w:rPr>
                <w:strike/>
              </w:rPr>
            </w:pPr>
            <w:r w:rsidRPr="003D4190">
              <w:rPr>
                <w:strike/>
              </w:rPr>
              <w:t>-$9,303</w:t>
            </w:r>
            <w:r w:rsidRPr="003D4190">
              <w:t xml:space="preserve"> </w:t>
            </w:r>
            <w:r w:rsidRPr="003D4190">
              <w:rPr>
                <w:i/>
                <w:iCs/>
              </w:rPr>
              <w:t>$44,396</w:t>
            </w:r>
          </w:p>
        </w:tc>
        <w:tc>
          <w:tcPr>
            <w:tcW w:w="1078" w:type="dxa"/>
          </w:tcPr>
          <w:p w14:paraId="740D0FBD" w14:textId="77777777" w:rsidR="00D80861" w:rsidRPr="003D4190" w:rsidRDefault="00D80861" w:rsidP="007A5149">
            <w:pPr>
              <w:pStyle w:val="Tabletextcentred"/>
              <w:rPr>
                <w:strike/>
              </w:rPr>
            </w:pPr>
            <w:r w:rsidRPr="003D4190">
              <w:rPr>
                <w:strike/>
              </w:rPr>
              <w:t>-$8,419</w:t>
            </w:r>
            <w:r w:rsidRPr="003D4190">
              <w:t xml:space="preserve"> </w:t>
            </w:r>
            <w:r w:rsidRPr="003D4190">
              <w:rPr>
                <w:i/>
                <w:iCs/>
              </w:rPr>
              <w:t>$45,263</w:t>
            </w:r>
          </w:p>
        </w:tc>
        <w:tc>
          <w:tcPr>
            <w:tcW w:w="1079" w:type="dxa"/>
          </w:tcPr>
          <w:p w14:paraId="3421A9EA" w14:textId="77777777" w:rsidR="00D80861" w:rsidRPr="00D900D4" w:rsidRDefault="00D80861" w:rsidP="007A5149">
            <w:pPr>
              <w:pStyle w:val="Tabletextcentred"/>
            </w:pPr>
            <w:r w:rsidRPr="003D4190">
              <w:t>C+F</w:t>
            </w:r>
          </w:p>
        </w:tc>
      </w:tr>
    </w:tbl>
    <w:p w14:paraId="77BD86EA" w14:textId="77777777" w:rsidR="00D80861" w:rsidRPr="00D900D4" w:rsidRDefault="00D80861" w:rsidP="00D80861">
      <w:pPr>
        <w:pStyle w:val="Tablecaption"/>
      </w:pPr>
      <w:r w:rsidRPr="00D900D4">
        <w:t xml:space="preserve">Source: </w:t>
      </w:r>
      <w:r>
        <w:t xml:space="preserve">Table 8, </w:t>
      </w:r>
      <w:proofErr w:type="spellStart"/>
      <w:r>
        <w:t>pxxvi</w:t>
      </w:r>
      <w:proofErr w:type="spellEnd"/>
      <w:r>
        <w:t xml:space="preserve"> of the commentary, based on </w:t>
      </w:r>
      <w:r w:rsidRPr="00D900D4">
        <w:t xml:space="preserve">Table E-3, p.92 of the ADAR, with </w:t>
      </w:r>
      <w:r>
        <w:t>c</w:t>
      </w:r>
      <w:r w:rsidRPr="00D900D4">
        <w:t>ommentary additions in italics and strikethrough</w:t>
      </w:r>
    </w:p>
    <w:p w14:paraId="3CEDB911" w14:textId="77777777" w:rsidR="00D80861" w:rsidRPr="00D80861" w:rsidRDefault="00D80861" w:rsidP="00D80861">
      <w:pPr>
        <w:pStyle w:val="Tablecaption"/>
        <w:rPr>
          <w:iCs/>
          <w:snapToGrid w:val="0"/>
        </w:rPr>
      </w:pPr>
      <w:r w:rsidRPr="00D80861">
        <w:rPr>
          <w:iCs/>
          <w:snapToGrid w:val="0"/>
        </w:rPr>
        <w:t>Abbreviations: MBS=Medicare Benefits Schedule; S-ICD=subcutaneous implantable cardioverter defibrillator</w:t>
      </w:r>
    </w:p>
    <w:p w14:paraId="06E196F9" w14:textId="77777777" w:rsidR="00D80861" w:rsidRPr="00D80861" w:rsidRDefault="00D80861" w:rsidP="00D80861">
      <w:pPr>
        <w:pStyle w:val="Tablecaption"/>
        <w:rPr>
          <w:i/>
          <w:iCs/>
          <w:snapToGrid w:val="0"/>
        </w:rPr>
      </w:pPr>
      <w:proofErr w:type="spellStart"/>
      <w:r w:rsidRPr="00D80861">
        <w:rPr>
          <w:i/>
        </w:rPr>
        <w:t>a</w:t>
      </w:r>
      <w:proofErr w:type="spellEnd"/>
      <w:r w:rsidRPr="00D80861">
        <w:rPr>
          <w:i/>
        </w:rPr>
        <w:t xml:space="preserve"> </w:t>
      </w:r>
      <w:proofErr w:type="gramStart"/>
      <w:r w:rsidRPr="00D80861">
        <w:rPr>
          <w:i/>
        </w:rPr>
        <w:t>The</w:t>
      </w:r>
      <w:proofErr w:type="gramEnd"/>
      <w:r w:rsidRPr="00D80861">
        <w:rPr>
          <w:i/>
        </w:rPr>
        <w:t xml:space="preserve"> total cost over five years is provided by applying 75% of the schedule fee to the MBS and the remaining 25% “to patients”.</w:t>
      </w:r>
    </w:p>
    <w:p w14:paraId="1769811D" w14:textId="77777777" w:rsidR="00D80861" w:rsidRPr="00E43438" w:rsidRDefault="00D80861" w:rsidP="00D80861">
      <w:pPr>
        <w:pStyle w:val="Tablecaption"/>
      </w:pPr>
      <w:r w:rsidRPr="00E43438">
        <w:t>Rounding errors may apply. See ADAR attachment (spreadsheet “</w:t>
      </w:r>
      <w:proofErr w:type="spellStart"/>
      <w:r w:rsidRPr="00E43438">
        <w:t>SICD_Section</w:t>
      </w:r>
      <w:proofErr w:type="spellEnd"/>
      <w:r w:rsidRPr="00E43438">
        <w:t xml:space="preserve"> </w:t>
      </w:r>
      <w:proofErr w:type="spellStart"/>
      <w:r w:rsidRPr="00E43438">
        <w:t>E”xlsx</w:t>
      </w:r>
      <w:proofErr w:type="spellEnd"/>
      <w:r w:rsidRPr="00E43438">
        <w:t>) for complete calculations</w:t>
      </w:r>
    </w:p>
    <w:p w14:paraId="7BE377BA" w14:textId="46E93ADF" w:rsidR="00D80861" w:rsidRPr="00BE4C75" w:rsidRDefault="00D80861" w:rsidP="00443B7C">
      <w:pPr>
        <w:spacing w:before="240"/>
      </w:pPr>
      <w:r w:rsidRPr="00BE4C75">
        <w:t xml:space="preserve">The </w:t>
      </w:r>
      <w:r w:rsidR="00443B7C">
        <w:t>C</w:t>
      </w:r>
      <w:r w:rsidR="00C92CCB">
        <w:t>ommentary</w:t>
      </w:r>
      <w:r w:rsidR="002B07C3" w:rsidRPr="00BE4C75">
        <w:t xml:space="preserve"> </w:t>
      </w:r>
      <w:r w:rsidRPr="00BE4C75">
        <w:t>noted that the proposed MBS listing will impact on the use of S-ICDs on the PL, as there is unlikely to be substantial use of these devices in the private setting at present. The resubmission projects that substitution will result in a net benefit to private health insurers, which is driven by a less expensive S-ICD automatic defibrillator compared with the mean for single chamber TV-ICDs on the PL. The appropriateness of using a mean cost for TV-ICDs is uncertain and depends on relative use of different single chamber devices on the PL, with consideration of the groupings that are likely to be substituted for the S-ICD device. If battery life is shorter for S-ICDs than for TV-ICDs, the total cost to the PL may be higher over the longer term as replacements are needed more frequently. Also, if the proportion of S-ICD patients who develop a pacing indication is larger than expected, then there will be more crossovers to TV-ICDs, and this will increase costs to private health insurers.</w:t>
      </w:r>
    </w:p>
    <w:p w14:paraId="165B6E1E" w14:textId="581D2341" w:rsidR="00443B7C" w:rsidRDefault="00D80861" w:rsidP="00443B7C">
      <w:pPr>
        <w:pStyle w:val="Default"/>
        <w:spacing w:before="240" w:after="240"/>
      </w:pPr>
      <w:r w:rsidRPr="001A7B62">
        <w:t xml:space="preserve">The </w:t>
      </w:r>
      <w:r w:rsidR="00443B7C">
        <w:t>C</w:t>
      </w:r>
      <w:r w:rsidRPr="00BE4C75">
        <w:t>ommentary considered the greatest source of uncertainty is whether the proposed MBS listing will grow the ICD market. This is possible if there are currently patients who are unsuitable or contraindicated TV-ICD, or who are reluctant to attempt (or re-attempt) TV-ICD but would consider S-ICD</w:t>
      </w:r>
      <w:r w:rsidRPr="006B72F3">
        <w:t xml:space="preserve"> therapy.</w:t>
      </w:r>
      <w:r w:rsidR="00443B7C">
        <w:br w:type="page"/>
      </w:r>
    </w:p>
    <w:p w14:paraId="6884C32A" w14:textId="77777777" w:rsidR="006A0D97" w:rsidRPr="00F715D1" w:rsidRDefault="006A0D97" w:rsidP="00F715D1">
      <w:pPr>
        <w:pStyle w:val="Heading1"/>
      </w:pPr>
      <w:r w:rsidRPr="00F715D1">
        <w:lastRenderedPageBreak/>
        <w:t>Key issues from ESC for MSAC</w:t>
      </w:r>
    </w:p>
    <w:tbl>
      <w:tblPr>
        <w:tblStyle w:val="TableGrid"/>
        <w:tblW w:w="0" w:type="auto"/>
        <w:tblLook w:val="04A0" w:firstRow="1" w:lastRow="0" w:firstColumn="1" w:lastColumn="0" w:noHBand="0" w:noVBand="1"/>
        <w:tblDescription w:val="Key issues from ESC for MSAC consideration"/>
      </w:tblPr>
      <w:tblGrid>
        <w:gridCol w:w="2943"/>
        <w:gridCol w:w="6073"/>
      </w:tblGrid>
      <w:tr w:rsidR="00485984" w:rsidRPr="002B5A2B" w14:paraId="44C11B53" w14:textId="77777777" w:rsidTr="00CA49B8">
        <w:trPr>
          <w:tblHeader/>
        </w:trPr>
        <w:tc>
          <w:tcPr>
            <w:tcW w:w="2943" w:type="dxa"/>
          </w:tcPr>
          <w:p w14:paraId="484010C7" w14:textId="77777777" w:rsidR="00485984" w:rsidRPr="002B5A2B" w:rsidRDefault="00485984" w:rsidP="00F01B4A">
            <w:pPr>
              <w:pStyle w:val="TableHeading"/>
              <w:keepNext w:val="0"/>
              <w:rPr>
                <w:rFonts w:ascii="Times New Roman" w:hAnsi="Times New Roman" w:cs="Times New Roman"/>
                <w:sz w:val="21"/>
                <w:szCs w:val="21"/>
              </w:rPr>
            </w:pPr>
            <w:r w:rsidRPr="002B5A2B">
              <w:rPr>
                <w:rFonts w:ascii="Times New Roman" w:hAnsi="Times New Roman" w:cs="Times New Roman"/>
                <w:sz w:val="21"/>
                <w:szCs w:val="21"/>
              </w:rPr>
              <w:t>ESC key issue</w:t>
            </w:r>
          </w:p>
        </w:tc>
        <w:tc>
          <w:tcPr>
            <w:tcW w:w="6073" w:type="dxa"/>
          </w:tcPr>
          <w:p w14:paraId="5CD0790F" w14:textId="77777777" w:rsidR="00485984" w:rsidRPr="002B5A2B" w:rsidRDefault="00485984" w:rsidP="00F01B4A">
            <w:pPr>
              <w:pStyle w:val="TableHeading"/>
              <w:keepNext w:val="0"/>
              <w:rPr>
                <w:rFonts w:ascii="Times New Roman" w:hAnsi="Times New Roman" w:cs="Times New Roman"/>
                <w:sz w:val="21"/>
                <w:szCs w:val="21"/>
              </w:rPr>
            </w:pPr>
            <w:r w:rsidRPr="002B5A2B">
              <w:rPr>
                <w:rFonts w:ascii="Times New Roman" w:hAnsi="Times New Roman" w:cs="Times New Roman"/>
                <w:sz w:val="21"/>
                <w:szCs w:val="21"/>
              </w:rPr>
              <w:t>ESC advice to MSAC</w:t>
            </w:r>
          </w:p>
        </w:tc>
      </w:tr>
      <w:tr w:rsidR="00485984" w:rsidRPr="002B5A2B" w14:paraId="7DF8D653" w14:textId="77777777" w:rsidTr="00F01B4A">
        <w:tc>
          <w:tcPr>
            <w:tcW w:w="2943" w:type="dxa"/>
          </w:tcPr>
          <w:p w14:paraId="3F42280D" w14:textId="77777777" w:rsidR="00485984" w:rsidRDefault="00485984" w:rsidP="00F01B4A">
            <w:pPr>
              <w:pStyle w:val="TableText"/>
              <w:keepNext w:val="0"/>
            </w:pPr>
            <w:r>
              <w:t>Issues previously raised by MSAC</w:t>
            </w:r>
          </w:p>
        </w:tc>
        <w:tc>
          <w:tcPr>
            <w:tcW w:w="6073" w:type="dxa"/>
          </w:tcPr>
          <w:p w14:paraId="68075FF3" w14:textId="77777777" w:rsidR="00485984" w:rsidRPr="00BD5D52" w:rsidRDefault="00485984" w:rsidP="00F01B4A">
            <w:pPr>
              <w:pStyle w:val="TableText"/>
              <w:keepNext w:val="0"/>
            </w:pPr>
            <w:r>
              <w:t xml:space="preserve">The PRAETORIAN </w:t>
            </w:r>
            <w:r w:rsidRPr="00BD5D52">
              <w:t xml:space="preserve">trial appears to address some of the issues previously raised by MSAC </w:t>
            </w:r>
            <w:r>
              <w:t xml:space="preserve">however, </w:t>
            </w:r>
            <w:r w:rsidRPr="00BD5D52">
              <w:t>a number of issues</w:t>
            </w:r>
            <w:r>
              <w:t xml:space="preserve"> remain</w:t>
            </w:r>
            <w:r w:rsidRPr="00BD5D52">
              <w:t>.</w:t>
            </w:r>
          </w:p>
        </w:tc>
      </w:tr>
      <w:tr w:rsidR="00485984" w:rsidRPr="002B5A2B" w14:paraId="345CE6A2" w14:textId="77777777" w:rsidTr="00F01B4A">
        <w:tc>
          <w:tcPr>
            <w:tcW w:w="2943" w:type="dxa"/>
          </w:tcPr>
          <w:p w14:paraId="4E432151" w14:textId="77777777" w:rsidR="00485984" w:rsidRDefault="00485984" w:rsidP="00F01B4A">
            <w:pPr>
              <w:pStyle w:val="TableText"/>
              <w:keepNext w:val="0"/>
            </w:pPr>
            <w:r w:rsidRPr="002B5A2B">
              <w:t>Limited RCT evidence, of uncertain validity; ADAR is based on one trial</w:t>
            </w:r>
          </w:p>
        </w:tc>
        <w:tc>
          <w:tcPr>
            <w:tcW w:w="6073" w:type="dxa"/>
          </w:tcPr>
          <w:p w14:paraId="00620150" w14:textId="77777777" w:rsidR="00485984" w:rsidRPr="002B5A2B" w:rsidRDefault="00485984" w:rsidP="00F01B4A">
            <w:pPr>
              <w:pStyle w:val="TableText"/>
              <w:keepNext w:val="0"/>
            </w:pPr>
            <w:r w:rsidRPr="002B5A2B">
              <w:t xml:space="preserve">The </w:t>
            </w:r>
            <w:r>
              <w:t xml:space="preserve">PRAETORIAN </w:t>
            </w:r>
            <w:r w:rsidRPr="002B5A2B">
              <w:t>trial has risk of:</w:t>
            </w:r>
          </w:p>
          <w:p w14:paraId="4AD90838" w14:textId="77777777" w:rsidR="00485984" w:rsidRPr="002B5A2B" w:rsidRDefault="00485984" w:rsidP="00F01B4A">
            <w:pPr>
              <w:pStyle w:val="TableBullet"/>
              <w:keepNext w:val="0"/>
            </w:pPr>
            <w:r w:rsidRPr="002B5A2B">
              <w:t>selection bias (patients were not screened</w:t>
            </w:r>
            <w:r>
              <w:t xml:space="preserve">, </w:t>
            </w:r>
            <w:r w:rsidRPr="002B5A2B">
              <w:t>groups were not evenly balanced at the start)</w:t>
            </w:r>
          </w:p>
          <w:p w14:paraId="031D21FE" w14:textId="77777777" w:rsidR="00485984" w:rsidRPr="002B5A2B" w:rsidRDefault="00485984" w:rsidP="00F01B4A">
            <w:pPr>
              <w:pStyle w:val="TableBullet"/>
              <w:keepNext w:val="0"/>
            </w:pPr>
            <w:r>
              <w:t>detection</w:t>
            </w:r>
            <w:r w:rsidRPr="002B5A2B">
              <w:t xml:space="preserve"> bias (adjudicators were not blinded)</w:t>
            </w:r>
          </w:p>
          <w:p w14:paraId="0FADC061" w14:textId="77777777" w:rsidR="00485984" w:rsidRDefault="00485984" w:rsidP="00F01B4A">
            <w:pPr>
              <w:pStyle w:val="TableBullet"/>
              <w:keepNext w:val="0"/>
              <w:tabs>
                <w:tab w:val="clear" w:pos="216"/>
                <w:tab w:val="num" w:pos="201"/>
              </w:tabs>
              <w:ind w:left="201" w:hanging="201"/>
            </w:pPr>
            <w:r w:rsidRPr="002B5A2B">
              <w:t xml:space="preserve">attrition bias </w:t>
            </w:r>
            <w:r>
              <w:t>(</w:t>
            </w:r>
            <w:r w:rsidRPr="002B5A2B">
              <w:t>large loss to follow up</w:t>
            </w:r>
            <w:r>
              <w:t>)</w:t>
            </w:r>
          </w:p>
          <w:p w14:paraId="17B9F813" w14:textId="77777777" w:rsidR="00485984" w:rsidRPr="002B5A2B" w:rsidRDefault="00485984" w:rsidP="00F01B4A">
            <w:pPr>
              <w:pStyle w:val="TableBullet"/>
              <w:keepNext w:val="0"/>
              <w:tabs>
                <w:tab w:val="clear" w:pos="216"/>
                <w:tab w:val="num" w:pos="201"/>
              </w:tabs>
              <w:ind w:left="201" w:hanging="201"/>
            </w:pPr>
            <w:r>
              <w:t>performance bias (</w:t>
            </w:r>
            <w:r w:rsidRPr="002B5A2B">
              <w:t>results were not an ITT analysis</w:t>
            </w:r>
            <w:r>
              <w:t>)</w:t>
            </w:r>
          </w:p>
          <w:p w14:paraId="546EA92C" w14:textId="77777777" w:rsidR="00485984" w:rsidRPr="0043359D" w:rsidRDefault="00485984" w:rsidP="00F01B4A">
            <w:pPr>
              <w:pStyle w:val="TableBullet"/>
            </w:pPr>
            <w:r w:rsidRPr="0043359D">
              <w:t>industry bias (the RCT was funded by the applicant).</w:t>
            </w:r>
          </w:p>
        </w:tc>
      </w:tr>
      <w:tr w:rsidR="00485984" w:rsidRPr="002B5A2B" w14:paraId="0FA16082" w14:textId="77777777" w:rsidTr="00F01B4A">
        <w:tc>
          <w:tcPr>
            <w:tcW w:w="2943" w:type="dxa"/>
          </w:tcPr>
          <w:p w14:paraId="6B08B309" w14:textId="77777777" w:rsidR="00485984" w:rsidRPr="002B5A2B" w:rsidRDefault="00485984" w:rsidP="00F01B4A">
            <w:pPr>
              <w:pStyle w:val="TableText"/>
              <w:keepNext w:val="0"/>
            </w:pPr>
            <w:r>
              <w:t>Non-inferior s</w:t>
            </w:r>
            <w:r w:rsidRPr="002B5A2B">
              <w:t>afety of S-ICD is not fully supported by the available evidence</w:t>
            </w:r>
          </w:p>
        </w:tc>
        <w:tc>
          <w:tcPr>
            <w:tcW w:w="6073" w:type="dxa"/>
          </w:tcPr>
          <w:p w14:paraId="47C94679" w14:textId="77777777" w:rsidR="00485984" w:rsidRPr="002B5A2B" w:rsidRDefault="00485984" w:rsidP="00F01B4A">
            <w:pPr>
              <w:pStyle w:val="TableText"/>
              <w:keepNext w:val="0"/>
            </w:pPr>
            <w:r w:rsidRPr="002B5A2B">
              <w:t xml:space="preserve">Safety is uncertain. The trial primary outcome seems underpowered with a wide confidence interval that does not exclude benefit or harm. </w:t>
            </w:r>
          </w:p>
        </w:tc>
      </w:tr>
      <w:tr w:rsidR="00485984" w:rsidRPr="002B5A2B" w14:paraId="5E44707D" w14:textId="77777777" w:rsidTr="00F01B4A">
        <w:tc>
          <w:tcPr>
            <w:tcW w:w="2943" w:type="dxa"/>
          </w:tcPr>
          <w:p w14:paraId="3D0018D1" w14:textId="77777777" w:rsidR="00485984" w:rsidRPr="002B5A2B" w:rsidRDefault="00485984" w:rsidP="00F01B4A">
            <w:pPr>
              <w:pStyle w:val="TableText"/>
              <w:keepNext w:val="0"/>
            </w:pPr>
            <w:r w:rsidRPr="002B5A2B">
              <w:t xml:space="preserve">Safety profile is not comparable between the two devices; difficult to measure without </w:t>
            </w:r>
            <w:proofErr w:type="spellStart"/>
            <w:r w:rsidRPr="002B5A2B">
              <w:t>HRQoL</w:t>
            </w:r>
            <w:proofErr w:type="spellEnd"/>
            <w:r w:rsidRPr="002B5A2B">
              <w:t xml:space="preserve"> data</w:t>
            </w:r>
          </w:p>
        </w:tc>
        <w:tc>
          <w:tcPr>
            <w:tcW w:w="6073" w:type="dxa"/>
          </w:tcPr>
          <w:p w14:paraId="47C4EF9A" w14:textId="77777777" w:rsidR="00485984" w:rsidRPr="002B5A2B" w:rsidRDefault="00485984" w:rsidP="00F01B4A">
            <w:pPr>
              <w:pStyle w:val="TableText"/>
              <w:keepNext w:val="0"/>
            </w:pPr>
            <w:r>
              <w:t xml:space="preserve">The PRAETORIAN trial claimed </w:t>
            </w:r>
            <w:r w:rsidRPr="002B5A2B">
              <w:t>S-ICD has a non</w:t>
            </w:r>
            <w:r>
              <w:t>-</w:t>
            </w:r>
            <w:r w:rsidRPr="002B5A2B">
              <w:t>inferior safety profile, but it is comparing events of different “value”.</w:t>
            </w:r>
          </w:p>
          <w:p w14:paraId="6928D370" w14:textId="77777777" w:rsidR="00485984" w:rsidRPr="002B5A2B" w:rsidRDefault="00485984" w:rsidP="00F01B4A">
            <w:pPr>
              <w:pStyle w:val="TableText"/>
              <w:keepNext w:val="0"/>
            </w:pPr>
            <w:r w:rsidRPr="002B5A2B">
              <w:t xml:space="preserve">There were more shocks with the S-ICD system, and more bleeding in the PRAETORIAN trial. However, the TV-ICD had more lead-related complications including infection, </w:t>
            </w:r>
            <w:proofErr w:type="gramStart"/>
            <w:r w:rsidRPr="002B5A2B">
              <w:t>perforations</w:t>
            </w:r>
            <w:proofErr w:type="gramEnd"/>
            <w:r w:rsidRPr="002B5A2B">
              <w:t xml:space="preserve"> and lead breakage.</w:t>
            </w:r>
          </w:p>
        </w:tc>
      </w:tr>
      <w:tr w:rsidR="00485984" w:rsidRPr="002B5A2B" w14:paraId="1C7F8AA2" w14:textId="77777777" w:rsidTr="00F01B4A">
        <w:tc>
          <w:tcPr>
            <w:tcW w:w="2943" w:type="dxa"/>
          </w:tcPr>
          <w:p w14:paraId="029C4E78" w14:textId="77777777" w:rsidR="00485984" w:rsidRPr="002B5A2B" w:rsidRDefault="00485984" w:rsidP="00F01B4A">
            <w:pPr>
              <w:pStyle w:val="TableText"/>
              <w:keepNext w:val="0"/>
            </w:pPr>
            <w:r w:rsidRPr="002B5A2B">
              <w:t>Lack of long-term data</w:t>
            </w:r>
          </w:p>
        </w:tc>
        <w:tc>
          <w:tcPr>
            <w:tcW w:w="6073" w:type="dxa"/>
          </w:tcPr>
          <w:p w14:paraId="417B0A04" w14:textId="77777777" w:rsidR="00485984" w:rsidRPr="002B5A2B" w:rsidRDefault="00485984" w:rsidP="00F01B4A">
            <w:pPr>
              <w:pStyle w:val="TableText"/>
              <w:keepNext w:val="0"/>
            </w:pPr>
            <w:r w:rsidRPr="002B5A2B">
              <w:t>Lead complications increase over time.</w:t>
            </w:r>
          </w:p>
          <w:p w14:paraId="283C0CAE" w14:textId="77777777" w:rsidR="00485984" w:rsidRPr="002B5A2B" w:rsidRDefault="00485984" w:rsidP="00F01B4A">
            <w:pPr>
              <w:pStyle w:val="TableText"/>
              <w:keepNext w:val="0"/>
            </w:pPr>
            <w:r w:rsidRPr="002B5A2B">
              <w:t>The battery longevity issues for S-ICD have not been seen yet with the 4-year study follow up. The PRAETORIAN-XL observational study is yet to produce data.</w:t>
            </w:r>
          </w:p>
          <w:p w14:paraId="22BF35CC" w14:textId="77777777" w:rsidR="00485984" w:rsidRPr="002B5A2B" w:rsidRDefault="00485984" w:rsidP="00F01B4A">
            <w:pPr>
              <w:pStyle w:val="TableText"/>
              <w:keepNext w:val="0"/>
            </w:pPr>
            <w:r w:rsidRPr="002B5A2B">
              <w:t>The ATLAS S-ICD trial, which initiated enrolment in 2017, will also compare single-chamber TV-ICDs with S-ICDs (NCT02881255).</w:t>
            </w:r>
          </w:p>
        </w:tc>
      </w:tr>
      <w:tr w:rsidR="00485984" w:rsidRPr="002B5A2B" w14:paraId="2D8AF77B" w14:textId="77777777" w:rsidTr="00F01B4A">
        <w:tc>
          <w:tcPr>
            <w:tcW w:w="2943" w:type="dxa"/>
          </w:tcPr>
          <w:p w14:paraId="63F6332E" w14:textId="77777777" w:rsidR="00485984" w:rsidRPr="002B5A2B" w:rsidRDefault="00485984" w:rsidP="00F01B4A">
            <w:pPr>
              <w:pStyle w:val="TableText"/>
              <w:keepNext w:val="0"/>
            </w:pPr>
            <w:r w:rsidRPr="002B5A2B">
              <w:t>Item descriptor provides greater eligibility than trial population</w:t>
            </w:r>
          </w:p>
        </w:tc>
        <w:tc>
          <w:tcPr>
            <w:tcW w:w="6073" w:type="dxa"/>
          </w:tcPr>
          <w:p w14:paraId="77164CBD" w14:textId="77777777" w:rsidR="00485984" w:rsidRPr="002B5A2B" w:rsidRDefault="00485984" w:rsidP="00F01B4A">
            <w:pPr>
              <w:pStyle w:val="TableText"/>
              <w:keepNext w:val="0"/>
            </w:pPr>
            <w:r>
              <w:t xml:space="preserve">The proposed MBS item descriptor is broader than the patient population included in the PRAETORIAN trial. The </w:t>
            </w:r>
            <w:r w:rsidRPr="002B5A2B">
              <w:t>MBS descriptor should contain more detailed inclusion and exclusion criteria. An explanatory note (similar to TN.8.66) may be needed to clarify eligibility expectations for replacement procedures.</w:t>
            </w:r>
          </w:p>
        </w:tc>
      </w:tr>
      <w:tr w:rsidR="00485984" w:rsidRPr="002B5A2B" w14:paraId="587C6904" w14:textId="77777777" w:rsidTr="00F01B4A">
        <w:tc>
          <w:tcPr>
            <w:tcW w:w="2943" w:type="dxa"/>
          </w:tcPr>
          <w:p w14:paraId="4744F73C" w14:textId="77777777" w:rsidR="00485984" w:rsidRPr="002B5A2B" w:rsidRDefault="00485984" w:rsidP="00F01B4A">
            <w:pPr>
              <w:pStyle w:val="TableText"/>
              <w:keepNext w:val="0"/>
            </w:pPr>
            <w:r>
              <w:t>High clinical</w:t>
            </w:r>
            <w:r w:rsidRPr="002B5A2B">
              <w:t xml:space="preserve"> need </w:t>
            </w:r>
            <w:r>
              <w:t>population was not included in the PRAETORIAN trial</w:t>
            </w:r>
          </w:p>
        </w:tc>
        <w:tc>
          <w:tcPr>
            <w:tcW w:w="6073" w:type="dxa"/>
          </w:tcPr>
          <w:p w14:paraId="3BCD9290" w14:textId="77777777" w:rsidR="00485984" w:rsidRPr="002B5A2B" w:rsidRDefault="00485984" w:rsidP="00F01B4A">
            <w:pPr>
              <w:pStyle w:val="TableText"/>
              <w:keepNext w:val="0"/>
            </w:pPr>
            <w:r w:rsidRPr="002B5A2B">
              <w:t>The ADAR claim</w:t>
            </w:r>
            <w:r>
              <w:t>ed</w:t>
            </w:r>
            <w:r w:rsidRPr="002B5A2B">
              <w:t xml:space="preserve"> this device would benefit </w:t>
            </w:r>
            <w:r>
              <w:t xml:space="preserve">patients with high clinical need including </w:t>
            </w:r>
            <w:r w:rsidRPr="002B5A2B">
              <w:t>younger patients</w:t>
            </w:r>
            <w:r>
              <w:t>, patients at risk of infection or patients with complex venous anatomy</w:t>
            </w:r>
            <w:r w:rsidRPr="002B5A2B">
              <w:t xml:space="preserve">; however, these groups were not included in </w:t>
            </w:r>
            <w:r>
              <w:t>PRAETORIAN trial</w:t>
            </w:r>
            <w:r w:rsidRPr="002B5A2B">
              <w:t>.</w:t>
            </w:r>
          </w:p>
        </w:tc>
      </w:tr>
      <w:tr w:rsidR="00485984" w:rsidRPr="002B5A2B" w14:paraId="1067C368" w14:textId="77777777" w:rsidTr="00F01B4A">
        <w:tc>
          <w:tcPr>
            <w:tcW w:w="2943" w:type="dxa"/>
          </w:tcPr>
          <w:p w14:paraId="37D59BF7" w14:textId="77777777" w:rsidR="00485984" w:rsidRPr="002B5A2B" w:rsidRDefault="00485984" w:rsidP="00F01B4A">
            <w:pPr>
              <w:pStyle w:val="TableText"/>
              <w:keepNext w:val="0"/>
              <w:rPr>
                <w:highlight w:val="yellow"/>
              </w:rPr>
            </w:pPr>
            <w:r>
              <w:t>Proposed r</w:t>
            </w:r>
            <w:r w:rsidRPr="002B5A2B">
              <w:t>ebate fee</w:t>
            </w:r>
            <w:r>
              <w:t xml:space="preserve"> for S-ICD is the same as TV-ICD</w:t>
            </w:r>
          </w:p>
        </w:tc>
        <w:tc>
          <w:tcPr>
            <w:tcW w:w="6073" w:type="dxa"/>
          </w:tcPr>
          <w:p w14:paraId="18CD2095" w14:textId="77777777" w:rsidR="00485984" w:rsidRPr="002B5A2B" w:rsidRDefault="00485984" w:rsidP="00F01B4A">
            <w:pPr>
              <w:pStyle w:val="TableText"/>
              <w:keepNext w:val="0"/>
            </w:pPr>
            <w:r w:rsidRPr="002B5A2B">
              <w:t>Previous MSAC feedback was that the proposed fee was too high, compared with TV-ICD. However, ESC considered that the</w:t>
            </w:r>
            <w:r>
              <w:t xml:space="preserve"> procedure times for</w:t>
            </w:r>
            <w:r w:rsidRPr="002B5A2B">
              <w:t xml:space="preserve"> S-ICD </w:t>
            </w:r>
            <w:r>
              <w:t xml:space="preserve">and TV-ICD may in fact be similar and </w:t>
            </w:r>
            <w:r w:rsidRPr="00784532">
              <w:t>justifying the fee based on similar procedure time may be appropriate.</w:t>
            </w:r>
          </w:p>
        </w:tc>
      </w:tr>
      <w:tr w:rsidR="00485984" w:rsidRPr="002B5A2B" w14:paraId="537DD4DA" w14:textId="77777777" w:rsidTr="00F01B4A">
        <w:tc>
          <w:tcPr>
            <w:tcW w:w="2943" w:type="dxa"/>
          </w:tcPr>
          <w:p w14:paraId="77C026FF" w14:textId="77777777" w:rsidR="00485984" w:rsidRPr="00F13A13" w:rsidRDefault="00485984" w:rsidP="00F01B4A">
            <w:pPr>
              <w:pStyle w:val="TableText"/>
              <w:keepNext w:val="0"/>
            </w:pPr>
            <w:r>
              <w:t>Uncertainty regarding a</w:t>
            </w:r>
            <w:r w:rsidRPr="00F13A13">
              <w:t xml:space="preserve">dditional costs related to the procedure </w:t>
            </w:r>
          </w:p>
        </w:tc>
        <w:tc>
          <w:tcPr>
            <w:tcW w:w="6073" w:type="dxa"/>
          </w:tcPr>
          <w:p w14:paraId="21A50A03" w14:textId="77777777" w:rsidR="00485984" w:rsidRPr="00F13A13" w:rsidRDefault="00485984" w:rsidP="00F01B4A">
            <w:pPr>
              <w:pStyle w:val="TableText"/>
              <w:keepNext w:val="0"/>
            </w:pPr>
            <w:r w:rsidRPr="00F13A13">
              <w:t>The ADAR lacked information on the costs (and how these are included/covered) for additional accessories and/or services required for the procedure, for example: programmer, tunnelling tool, general anaesthesia requirement, etc.</w:t>
            </w:r>
          </w:p>
        </w:tc>
      </w:tr>
      <w:tr w:rsidR="00485984" w:rsidRPr="002B5A2B" w14:paraId="74B9CFAF" w14:textId="77777777" w:rsidTr="00F01B4A">
        <w:tc>
          <w:tcPr>
            <w:tcW w:w="2943" w:type="dxa"/>
          </w:tcPr>
          <w:p w14:paraId="1D5B9F24" w14:textId="77777777" w:rsidR="00485984" w:rsidRPr="002B5A2B" w:rsidRDefault="00485984" w:rsidP="00F01B4A">
            <w:pPr>
              <w:pStyle w:val="TableText"/>
              <w:keepNext w:val="0"/>
            </w:pPr>
            <w:r w:rsidRPr="002B5A2B">
              <w:t>ICD market growth</w:t>
            </w:r>
          </w:p>
        </w:tc>
        <w:tc>
          <w:tcPr>
            <w:tcW w:w="6073" w:type="dxa"/>
          </w:tcPr>
          <w:p w14:paraId="5EF4E9CA" w14:textId="77777777" w:rsidR="00485984" w:rsidRPr="002B5A2B" w:rsidRDefault="00485984" w:rsidP="00F01B4A">
            <w:pPr>
              <w:pStyle w:val="TableText"/>
              <w:keepNext w:val="0"/>
            </w:pPr>
            <w:r w:rsidRPr="002B5A2B">
              <w:t xml:space="preserve">It is possible that the availability of an </w:t>
            </w:r>
            <w:r>
              <w:t xml:space="preserve">item </w:t>
            </w:r>
            <w:r w:rsidRPr="002B5A2B">
              <w:t xml:space="preserve">on the MBS </w:t>
            </w:r>
            <w:r>
              <w:t xml:space="preserve">for the S-ICD lead (with electrode) </w:t>
            </w:r>
            <w:r w:rsidRPr="002B5A2B">
              <w:t>could lead to overall market growth in ICDs, which would affect the cost-savings claim of the proposed device.</w:t>
            </w:r>
          </w:p>
        </w:tc>
      </w:tr>
    </w:tbl>
    <w:p w14:paraId="17615C98" w14:textId="77777777" w:rsidR="00485984" w:rsidRPr="00485984" w:rsidRDefault="00485984" w:rsidP="00F715D1">
      <w:pPr>
        <w:spacing w:after="240"/>
      </w:pPr>
    </w:p>
    <w:p w14:paraId="0D29FBFA" w14:textId="77777777" w:rsidR="006A0D97" w:rsidRDefault="00F56D7F" w:rsidP="00F715D1">
      <w:pPr>
        <w:spacing w:after="240"/>
        <w:rPr>
          <w:b/>
        </w:rPr>
      </w:pPr>
      <w:r w:rsidRPr="00F56D7F">
        <w:rPr>
          <w:b/>
        </w:rPr>
        <w:lastRenderedPageBreak/>
        <w:t>ESC discussion</w:t>
      </w:r>
    </w:p>
    <w:p w14:paraId="1EB4679C" w14:textId="77777777" w:rsidR="00485984" w:rsidRDefault="00485984" w:rsidP="00485984">
      <w:r>
        <w:t>ESC noted that this application was a resubmission seeking Medicare Benefits Schedule (MBS) listing for the insertion, removal and replacement of subcutaneous leads (with electrode) that are part of a subcutaneous implantable cardioverter defibrillator (S-ICD) therapy system for the prevention of sudden cardiac death (SCD). The Medical Services Advisory Committee (MSAC) has previously considered this application (MSAC Application 1374) in November 2014. MSAC did not support public funding for S-ICD leads because of uncertain comparative long-term safety and clinical effectiveness, which translated into uncertainty in the economic analysis. MSAC suggested the results from a large, prospective, multi-centre, randomised trial (PRAETORIAN) – which was underway at the time of MSAC consideration – may help to address the uncertainties. ESC noted the findings from the PRAETORIAN trial have now been published (Knops et al. 2020) and that while this trial appears to address some of the issues previously raised by MSAC, a number of issues still remain.</w:t>
      </w:r>
    </w:p>
    <w:p w14:paraId="7998C6A9" w14:textId="1F75398F" w:rsidR="00485984" w:rsidRDefault="00485984" w:rsidP="00443B7C">
      <w:pPr>
        <w:spacing w:before="240"/>
      </w:pPr>
      <w:r>
        <w:t>ESC noted feedback from the consumer representative that consumer organisations reported positive patient experiences with the subcutaneous devices. Organisations emphasised patient choice, and that some patients may prefer a subcutaneous device.</w:t>
      </w:r>
    </w:p>
    <w:p w14:paraId="22FF794D" w14:textId="581DF24D" w:rsidR="00485984" w:rsidRDefault="00485984" w:rsidP="00443B7C">
      <w:pPr>
        <w:spacing w:before="240"/>
      </w:pPr>
      <w:r>
        <w:t>ESC noted that the S-ICD has been designed as an alternative to the traditional defibrillator for prevention of SCD, transvenous ICD (TV-ICD). ESC considered the differences between the S-ICD and TV-ICD systems. It was noted that a benefit of the S-ICD system is that it does not require vascular access but that the S-ICD system</w:t>
      </w:r>
      <w:r w:rsidRPr="00A51025">
        <w:t xml:space="preserve"> cannot provide pacing</w:t>
      </w:r>
      <w:r>
        <w:t>,</w:t>
      </w:r>
      <w:r w:rsidRPr="00A51025">
        <w:t xml:space="preserve"> can only be used for defibrillation</w:t>
      </w:r>
      <w:r>
        <w:t xml:space="preserve">, has a shorter battery life and can result in more inappropriate shocks. ESC noted that the applicant has proposed that S-ICD will substitute TV-ICD in a </w:t>
      </w:r>
      <w:r w:rsidRPr="00A51025">
        <w:t xml:space="preserve">subpopulation of patients </w:t>
      </w:r>
      <w:r>
        <w:t>without a pacing indication. However, ESC was concerned that some patients may not initially require pacing and could be considered suitable for an S-ICD but may develop the need for pacing at a later stage, which would require replacement of the S-ICD with a TV-ICD. ESC noted that it is very difficult to determine which patients will require pacing at a later stage.</w:t>
      </w:r>
    </w:p>
    <w:p w14:paraId="6B3E27EE" w14:textId="53146C09" w:rsidR="00485984" w:rsidRDefault="00485984" w:rsidP="00443B7C">
      <w:pPr>
        <w:spacing w:before="240"/>
      </w:pPr>
      <w:r>
        <w:t xml:space="preserve">ESC considered there was a mis-match between the proposed MBS population, the population included in the key supporting trial (PRAETORIAN trial) and populations described in the Applicant Developed Assessment Report (ADAR) as having a high clinical need for S-ICD that avoids the risks associated with transvenous lead implantation. ESC considered the MBS descriptor population was broader than the population defined in the PRAETORIAN trial; noting some trial exclusions are not currently in the descriptor. ESC advised further detail in the descriptor or an explanatory note would be required to address this. Further, ESC noted that the </w:t>
      </w:r>
      <w:r w:rsidRPr="00AB751E">
        <w:t>ADAR claim</w:t>
      </w:r>
      <w:r>
        <w:t>ed</w:t>
      </w:r>
      <w:r w:rsidRPr="00AB751E">
        <w:t xml:space="preserve"> </w:t>
      </w:r>
      <w:r>
        <w:t xml:space="preserve">there is a high clinical need for S-ICD for </w:t>
      </w:r>
      <w:r w:rsidRPr="00AB751E">
        <w:t>younger patients (children and adolescents)</w:t>
      </w:r>
      <w:r>
        <w:t>, patients at high risk of infection or patients with complex venous anatomy</w:t>
      </w:r>
      <w:r w:rsidRPr="00AB751E">
        <w:t xml:space="preserve">; however, </w:t>
      </w:r>
      <w:r>
        <w:t xml:space="preserve">ESC noted there were no data to support this claim as </w:t>
      </w:r>
      <w:r w:rsidRPr="00AB751E">
        <w:t xml:space="preserve">these groups were not included in </w:t>
      </w:r>
      <w:r>
        <w:t xml:space="preserve">the PRAETORIAN </w:t>
      </w:r>
      <w:r w:rsidRPr="00AB751E">
        <w:t>trial</w:t>
      </w:r>
      <w:r>
        <w:t xml:space="preserve">. </w:t>
      </w:r>
    </w:p>
    <w:p w14:paraId="5F77A840" w14:textId="5383F130" w:rsidR="00485984" w:rsidRDefault="00485984" w:rsidP="00443B7C">
      <w:pPr>
        <w:spacing w:before="240"/>
      </w:pPr>
      <w:r>
        <w:t xml:space="preserve">ESC also noted that </w:t>
      </w:r>
      <w:r w:rsidRPr="00482BA8">
        <w:t xml:space="preserve">a single MBS item for insertion, removal and </w:t>
      </w:r>
      <w:r>
        <w:t xml:space="preserve">replacement </w:t>
      </w:r>
      <w:r w:rsidRPr="00482BA8">
        <w:t>of leads</w:t>
      </w:r>
      <w:r>
        <w:t xml:space="preserve"> was proposed, which is</w:t>
      </w:r>
      <w:r w:rsidRPr="00482BA8">
        <w:t xml:space="preserve"> not consistent with current </w:t>
      </w:r>
      <w:r>
        <w:t>MBS items</w:t>
      </w:r>
      <w:r w:rsidRPr="00482BA8">
        <w:t xml:space="preserve"> for TV-ICD lead insertion</w:t>
      </w:r>
      <w:r>
        <w:t xml:space="preserve"> (i.e. a separate item exists for the removal of a transvenous lead)</w:t>
      </w:r>
      <w:r w:rsidRPr="00482BA8">
        <w:t>.</w:t>
      </w:r>
      <w:r>
        <w:t xml:space="preserve"> ESC was uncertain</w:t>
      </w:r>
      <w:r w:rsidRPr="00482BA8">
        <w:t xml:space="preserve"> whether, for </w:t>
      </w:r>
      <w:r>
        <w:t>replacement</w:t>
      </w:r>
      <w:r w:rsidRPr="00482BA8">
        <w:t xml:space="preserve"> procedures, the proposed MBS item will be claimed</w:t>
      </w:r>
      <w:r>
        <w:t xml:space="preserve"> once or</w:t>
      </w:r>
      <w:r w:rsidRPr="00482BA8">
        <w:t xml:space="preserve"> twice during a single procedure to remove and replace a subcutaneous lead</w:t>
      </w:r>
      <w:r>
        <w:t>.</w:t>
      </w:r>
    </w:p>
    <w:p w14:paraId="6F8FE421" w14:textId="64DE42D6" w:rsidR="00485984" w:rsidRDefault="00485984" w:rsidP="00443B7C">
      <w:pPr>
        <w:spacing w:before="240"/>
      </w:pPr>
      <w:r>
        <w:t xml:space="preserve">ESC discussed whether the proposed rebate fee should be lower. ESC recalled that for the previous submission (MSAC 1374), the applicant proposed fee was based on the fee for TV-ICD lead insertion less 10% in acknowledgment of the difference in procedure duration; and </w:t>
      </w:r>
      <w:r>
        <w:lastRenderedPageBreak/>
        <w:t xml:space="preserve">that MSAC had noted TV-ICD lead insertion was more technically complicated and would take longer compared to S-ICD lead insertion. However, ESC noted that the resubmission has proposed the same MBS fee for S-ICD as TV-ICD lead insertion (i.e. does not include 10% reduction). The justification provided for the fee was based on claimed similar resources and procedure time but did not address difference in procedure complexity. ESC noted that although TV-ICD lead insertion may be more technically complex, the procedure times may be similar as clinical experience with the S-ICD leads has led to additional suturing of S-ICD leads to prevent potential lead fracture. ESC considered that justifying the fee based on similar procedure time may be appropriate. </w:t>
      </w:r>
    </w:p>
    <w:p w14:paraId="0A20B422" w14:textId="0DBD5FAC" w:rsidR="00485984" w:rsidRDefault="00485984" w:rsidP="00443B7C">
      <w:pPr>
        <w:spacing w:before="240"/>
      </w:pPr>
      <w:r>
        <w:t>ESC noted that clinical evidence was limited, based on one non-inferiority trial (PRAETORIAN trial), and did not include any other data (i.e. observation</w:t>
      </w:r>
      <w:r w:rsidR="00655771">
        <w:t>al</w:t>
      </w:r>
      <w:r>
        <w:t xml:space="preserve"> studies/registries such as the EFFORTLESS S-ICD registry and the UNTOUCHED cohort study). ESC noted the primary endpoint in the PRAETORIAN trial was a composite safety endpoint </w:t>
      </w:r>
      <w:r w:rsidRPr="002D4246">
        <w:t>of device</w:t>
      </w:r>
      <w:r>
        <w:t>-</w:t>
      </w:r>
      <w:r w:rsidRPr="002D4246">
        <w:t>related complications and inappropriate shocks</w:t>
      </w:r>
      <w:r>
        <w:t xml:space="preserve"> (i.e. did not include efficacy) and that the primary endpoint was initially superiority but was changed to non-inferiority during the trial. ESC noted that the hazards ratio (</w:t>
      </w:r>
      <w:r w:rsidRPr="002D4246">
        <w:t>HR</w:t>
      </w:r>
      <w:r>
        <w:t xml:space="preserve">) used for the </w:t>
      </w:r>
      <w:r w:rsidRPr="002D4246">
        <w:t>non</w:t>
      </w:r>
      <w:r>
        <w:t>-</w:t>
      </w:r>
      <w:r w:rsidRPr="002D4246">
        <w:t xml:space="preserve">inferiority </w:t>
      </w:r>
      <w:r>
        <w:t xml:space="preserve">claim </w:t>
      </w:r>
      <w:r w:rsidRPr="002D4246">
        <w:t>was 1.45</w:t>
      </w:r>
      <w:r>
        <w:t>, which meant that the S-ICD</w:t>
      </w:r>
      <w:r w:rsidRPr="002D4246">
        <w:t xml:space="preserve"> could be up to 45% worse and still be considered non</w:t>
      </w:r>
      <w:r>
        <w:t>-</w:t>
      </w:r>
      <w:r w:rsidRPr="002D4246">
        <w:t>inferior</w:t>
      </w:r>
      <w:r>
        <w:t xml:space="preserve">. ESC disagreed with the ADAR’s assessment that the PRAETAORIAN trial had a low risk of bias, noting there was high risk of selection bias, likely risk of selective outcome reporting bias and uncertain risk of detection and performance bias due to the trial design. ESC also noted there was uncertain risk of attrition bias due to patients lost to follow up (n=27 following randomisation and n=38 after implantation) and deaths (n=126). </w:t>
      </w:r>
    </w:p>
    <w:p w14:paraId="7BF18BAE" w14:textId="1A0B1A05" w:rsidR="00485984" w:rsidRDefault="00485984" w:rsidP="00443B7C">
      <w:pPr>
        <w:spacing w:before="240"/>
      </w:pPr>
      <w:r>
        <w:t xml:space="preserve">In regard to comparative safety, ESC noted that the results of the PRAETORIAN trial reported there was no difference between S-ICD compared to TV-ICD with respect to the primary composite </w:t>
      </w:r>
      <w:r w:rsidRPr="002D4246">
        <w:t xml:space="preserve">endpoint </w:t>
      </w:r>
      <w:r>
        <w:t>(hazard ratio [HR] = 0.99, CI 0.71–1.39). When analysing the components of the primary endpoint, ESC noted that the safety profile was different for S-ICD and TV-ICD as there were</w:t>
      </w:r>
      <w:r w:rsidRPr="002D4246">
        <w:t xml:space="preserve">: </w:t>
      </w:r>
    </w:p>
    <w:p w14:paraId="7C8894F5" w14:textId="77777777" w:rsidR="00485984" w:rsidRPr="002D4246" w:rsidRDefault="00485984" w:rsidP="00485984">
      <w:pPr>
        <w:pStyle w:val="Bullet"/>
      </w:pPr>
      <w:r>
        <w:t>m</w:t>
      </w:r>
      <w:r w:rsidRPr="002D4246">
        <w:t xml:space="preserve">ore lead complications in </w:t>
      </w:r>
      <w:r>
        <w:t xml:space="preserve">the </w:t>
      </w:r>
      <w:r w:rsidRPr="002D4246">
        <w:t>TV-ICD group (</w:t>
      </w:r>
      <w:r>
        <w:t>9.8%</w:t>
      </w:r>
      <w:r w:rsidRPr="002D4246">
        <w:t xml:space="preserve"> vs </w:t>
      </w:r>
      <w:r>
        <w:t>5.9% for S-ICD</w:t>
      </w:r>
      <w:r w:rsidRPr="002D4246">
        <w:t>)</w:t>
      </w:r>
    </w:p>
    <w:p w14:paraId="1EC779DC" w14:textId="77777777" w:rsidR="00485984" w:rsidRPr="002D4246" w:rsidRDefault="00485984" w:rsidP="00485984">
      <w:pPr>
        <w:pStyle w:val="Bullet"/>
      </w:pPr>
      <w:r>
        <w:t>m</w:t>
      </w:r>
      <w:r w:rsidRPr="002D4246">
        <w:t>ore inappropriate shocks in</w:t>
      </w:r>
      <w:r>
        <w:t xml:space="preserve"> the</w:t>
      </w:r>
      <w:r w:rsidRPr="002D4246">
        <w:t xml:space="preserve"> S-ICD group (</w:t>
      </w:r>
      <w:r>
        <w:t>9.7% vs 7.3% for TV-ICD)</w:t>
      </w:r>
    </w:p>
    <w:p w14:paraId="659AB454" w14:textId="77777777" w:rsidR="00485984" w:rsidRDefault="00485984" w:rsidP="00485984">
      <w:pPr>
        <w:pStyle w:val="Bullet"/>
      </w:pPr>
      <w:r>
        <w:t>m</w:t>
      </w:r>
      <w:r w:rsidRPr="002D4246">
        <w:t>ore overall deaths in S-ICD group</w:t>
      </w:r>
      <w:r>
        <w:t xml:space="preserve"> (but equal </w:t>
      </w:r>
      <w:r w:rsidRPr="002D4246">
        <w:t>sudden cardiac deaths in both groups</w:t>
      </w:r>
      <w:r>
        <w:t>).</w:t>
      </w:r>
    </w:p>
    <w:p w14:paraId="03EBD1E1" w14:textId="25E56F41" w:rsidR="00485984" w:rsidRPr="00DA5EA2" w:rsidRDefault="00485984" w:rsidP="00443B7C">
      <w:pPr>
        <w:spacing w:before="240"/>
      </w:pPr>
      <w:r>
        <w:t xml:space="preserve">ESC also noted that 49% of patients required general anaesthesia for S-ICD implantation compared to 3% for TV-ICD. In addition, 18 patients with S-IC crossed over to TV-ICD compared to 11 patients with TV-ICD crossing over to S-ICD. ESC was concerned with the lack of long-term data and considered the 49-month average follow-up duration </w:t>
      </w:r>
      <w:r w:rsidRPr="00DA5EA2">
        <w:t>may be too short to see revision and replacement procedures</w:t>
      </w:r>
      <w:r>
        <w:t xml:space="preserve">, </w:t>
      </w:r>
      <w:r w:rsidRPr="00DA5EA2">
        <w:t>assess re-implementation risk</w:t>
      </w:r>
      <w:r>
        <w:t xml:space="preserve">, or </w:t>
      </w:r>
      <w:r w:rsidRPr="00DA5EA2">
        <w:t xml:space="preserve">consider patients </w:t>
      </w:r>
      <w:r>
        <w:t>who</w:t>
      </w:r>
      <w:r w:rsidRPr="00DA5EA2">
        <w:t xml:space="preserve"> need to crossover to a TV-ICD due to pacing requirements.</w:t>
      </w:r>
      <w:r>
        <w:t xml:space="preserve"> ESC noted there are ongoing trials that may provide longer term data (e.g. PRAETORIAN-XL trial, ATLAS S-ICD trial</w:t>
      </w:r>
      <w:r>
        <w:rPr>
          <w:rStyle w:val="FootnoteReference"/>
        </w:rPr>
        <w:footnoteReference w:id="10"/>
      </w:r>
      <w:r>
        <w:t>). ESC noted that newer generation</w:t>
      </w:r>
      <w:r w:rsidR="00655771">
        <w:t>s</w:t>
      </w:r>
      <w:r>
        <w:t xml:space="preserve"> of S-ICD devices include a high-pass filter that is claimed to reduce T wave over-sensing, and thus inappropriate shocks. However, ESC considered the efficacy of the high-pass filter, to reduce inappropriate shocks, was unknown as there w</w:t>
      </w:r>
      <w:r w:rsidR="00655771">
        <w:t>ere</w:t>
      </w:r>
      <w:r>
        <w:t xml:space="preserve"> no RCT data to support this claim. </w:t>
      </w:r>
    </w:p>
    <w:p w14:paraId="7CFCF3FE" w14:textId="786E6813" w:rsidR="00485984" w:rsidRDefault="00485984" w:rsidP="00443B7C">
      <w:pPr>
        <w:spacing w:before="240"/>
      </w:pPr>
      <w:r>
        <w:t xml:space="preserve">In regard to comparative efficacy, ESC noted the hazard curve for all-cause mortality from the PRAETORIAN trial, and that the TV-ICD population appeared to be sicker but fared better after 4 years of follow up. The all-cause deaths for S-ICD was 19.5% compared to 16.1% for the TV-ICD study arm (HR = 1.23; 95% CI, 0.89–1.70) but that the rate of SCD was equal between S-ICD and TV-ICD. However, these endpoints were under-powered. </w:t>
      </w:r>
      <w:r>
        <w:lastRenderedPageBreak/>
        <w:t>Overall, ESC considered the claim of non-inferior safety and efficacy of S-ICD compared to TV-ICD was not supported.</w:t>
      </w:r>
    </w:p>
    <w:p w14:paraId="3E198B92" w14:textId="5B350201" w:rsidR="00485984" w:rsidRDefault="00485984" w:rsidP="00443B7C">
      <w:pPr>
        <w:spacing w:before="240"/>
      </w:pPr>
      <w:r>
        <w:t xml:space="preserve">ESC noted the ADAR presented a cost-minimisation analysis comparing S-ICD with TV-ICD, with a 5-year time horizon and based on estimates from the PRAETORIAN trial. ESC considered that if the non-inferiority claim is accepted for effectiveness and safety, then the battery life becomes a significant issue for the economic analysis (and budget impact), as the battery for the S-ICD defibrillator are likely to need replacement more frequently than the lead. ESC noted the average battery life for the S-ICD is 7–8 years (5–6 years is reported in the literature), compared with the TV-ICD average battery life of </w:t>
      </w:r>
      <w:r w:rsidRPr="00A60B0E">
        <w:t>12–14 years</w:t>
      </w:r>
      <w:r>
        <w:t>.</w:t>
      </w:r>
      <w:r w:rsidRPr="00A60B0E">
        <w:t xml:space="preserve"> </w:t>
      </w:r>
      <w:r>
        <w:t xml:space="preserve">ESC considered it inappropriate that the model assumed a similar battery length between the S-ICD and TV-ICD and did not include any costs for battery replacement. </w:t>
      </w:r>
      <w:r w:rsidRPr="00A60B0E">
        <w:t xml:space="preserve">ESC </w:t>
      </w:r>
      <w:r>
        <w:t xml:space="preserve">also </w:t>
      </w:r>
      <w:r w:rsidRPr="00A60B0E">
        <w:t xml:space="preserve">considered that </w:t>
      </w:r>
      <w:r>
        <w:t xml:space="preserve">the difference in battery life </w:t>
      </w:r>
      <w:r w:rsidRPr="00A60B0E">
        <w:t xml:space="preserve">could be significant </w:t>
      </w:r>
      <w:r>
        <w:t>if the device is used in</w:t>
      </w:r>
      <w:r w:rsidRPr="00A60B0E">
        <w:t xml:space="preserve"> younger patients.</w:t>
      </w:r>
    </w:p>
    <w:p w14:paraId="70492797" w14:textId="17C0584B" w:rsidR="00485984" w:rsidRDefault="00485984" w:rsidP="00443B7C">
      <w:pPr>
        <w:spacing w:before="240"/>
      </w:pPr>
      <w:r>
        <w:t>ESC noted that the PRAETORIAN baseline demographics are similar to an Australian and New Zealand population-wide study assessing complication rates for cardiovascular implantable devices identified by the commentary (Ranasinghe et al. 2019</w:t>
      </w:r>
      <w:r>
        <w:rPr>
          <w:rStyle w:val="FootnoteReference"/>
        </w:rPr>
        <w:footnoteReference w:id="11"/>
      </w:r>
      <w:r>
        <w:t>). ESC agreed with the pre-ESC response that although the applicability of the general anaesthesia rates from the PRAETORIAN trial to Australian clinical practice is uncertain, the assumed rates of general anaesthesia (48% and 3% for TV-ICD and S-ICD, respectively) based on the PRAETORIAN trial may be conservative and in this instance appropriate.</w:t>
      </w:r>
    </w:p>
    <w:p w14:paraId="02EDC68C" w14:textId="40C43A8E" w:rsidR="00485984" w:rsidRDefault="00485984" w:rsidP="00443B7C">
      <w:pPr>
        <w:spacing w:before="240"/>
      </w:pPr>
      <w:r>
        <w:t>ESC noted t</w:t>
      </w:r>
      <w:r w:rsidRPr="00A60B0E">
        <w:t>he model also assumed that the</w:t>
      </w:r>
      <w:r w:rsidRPr="0012502A">
        <w:t xml:space="preserve"> device set-up, </w:t>
      </w:r>
      <w:proofErr w:type="gramStart"/>
      <w:r w:rsidRPr="0012502A">
        <w:t>programming</w:t>
      </w:r>
      <w:proofErr w:type="gramEnd"/>
      <w:r w:rsidRPr="0012502A">
        <w:t xml:space="preserve"> and </w:t>
      </w:r>
      <w:r>
        <w:t>d</w:t>
      </w:r>
      <w:r w:rsidRPr="00A60B0E">
        <w:t>efibrillation t</w:t>
      </w:r>
      <w:r>
        <w:t>esting</w:t>
      </w:r>
      <w:r w:rsidRPr="00A60B0E">
        <w:t xml:space="preserve"> (DFT) </w:t>
      </w:r>
      <w:r>
        <w:t>was</w:t>
      </w:r>
      <w:r w:rsidRPr="00A60B0E">
        <w:t xml:space="preserve"> included. </w:t>
      </w:r>
      <w:r>
        <w:t xml:space="preserve">ESC noted that the rate of </w:t>
      </w:r>
      <w:r w:rsidRPr="00A60B0E">
        <w:t xml:space="preserve">DFT </w:t>
      </w:r>
      <w:r>
        <w:t>applied in the model was</w:t>
      </w:r>
      <w:r w:rsidRPr="0012502A">
        <w:t xml:space="preserve"> 3.6% for both S-IC</w:t>
      </w:r>
      <w:r>
        <w:t>D and TV-ICD based on historical MBS item utilisation for TV-ICD</w:t>
      </w:r>
      <w:r w:rsidRPr="0012502A">
        <w:t xml:space="preserve">. </w:t>
      </w:r>
      <w:r>
        <w:t xml:space="preserve">However, the PRAETORIAN trial reported </w:t>
      </w:r>
      <w:r w:rsidRPr="0012502A">
        <w:t xml:space="preserve">DFT was </w:t>
      </w:r>
      <w:r>
        <w:t>conducted for</w:t>
      </w:r>
      <w:r w:rsidRPr="0012502A">
        <w:t xml:space="preserve"> </w:t>
      </w:r>
      <w:r>
        <w:t>~</w:t>
      </w:r>
      <w:r w:rsidRPr="0012502A">
        <w:t xml:space="preserve">90% </w:t>
      </w:r>
      <w:r>
        <w:t>of S-ICD</w:t>
      </w:r>
      <w:r w:rsidRPr="0012502A">
        <w:t xml:space="preserve"> patients</w:t>
      </w:r>
      <w:r>
        <w:t xml:space="preserve"> and ~46% of TV-ICD patients. ESC also noted that in contrast to the PRAETORIAN trial, DFT is not routinely performed following TV-ICD insertion in Australian clinical practice. ESC considered a rate of 3.6% DFT for TV-ICD in the model may be appropriate but that the rate of 3.6% DFT for S-ICD to be inappropriate</w:t>
      </w:r>
      <w:r w:rsidRPr="00A60B0E">
        <w:t>. In addition, the Department confirmed that the DFT</w:t>
      </w:r>
      <w:r w:rsidRPr="0012502A">
        <w:t xml:space="preserve"> MBS item </w:t>
      </w:r>
      <w:r w:rsidRPr="00A60B0E">
        <w:t xml:space="preserve">used in the </w:t>
      </w:r>
      <w:r>
        <w:t>ADAR model</w:t>
      </w:r>
      <w:r w:rsidRPr="00A60B0E">
        <w:t xml:space="preserve"> was </w:t>
      </w:r>
      <w:r w:rsidRPr="0012502A">
        <w:t>incorrect</w:t>
      </w:r>
      <w:r w:rsidRPr="00A60B0E">
        <w:t xml:space="preserve"> (should be MBS item 38212 </w:t>
      </w:r>
      <w:r>
        <w:t xml:space="preserve">- </w:t>
      </w:r>
      <w:r w:rsidRPr="0012502A">
        <w:t>$1,415.30</w:t>
      </w:r>
      <w:r w:rsidRPr="00A60B0E">
        <w:t>, not</w:t>
      </w:r>
      <w:r w:rsidRPr="0012502A">
        <w:t xml:space="preserve"> </w:t>
      </w:r>
      <w:r>
        <w:t xml:space="preserve">MBS item 38213 - </w:t>
      </w:r>
      <w:r w:rsidRPr="0012502A">
        <w:t>$421.50)</w:t>
      </w:r>
      <w:r w:rsidRPr="00A60B0E">
        <w:t xml:space="preserve">. </w:t>
      </w:r>
      <w:r>
        <w:t>ESC noted the revised analysis by the commentary, to correct the rate of DFT for</w:t>
      </w:r>
      <w:r w:rsidRPr="00A60B0E">
        <w:t xml:space="preserve"> S-ICD patients (</w:t>
      </w:r>
      <w:r>
        <w:t xml:space="preserve">to 100% </w:t>
      </w:r>
      <w:r w:rsidRPr="00A60B0E">
        <w:t>as per manufacturer instructions)</w:t>
      </w:r>
      <w:r>
        <w:t xml:space="preserve"> and</w:t>
      </w:r>
      <w:r w:rsidRPr="00A60B0E">
        <w:t xml:space="preserve"> the </w:t>
      </w:r>
      <w:r>
        <w:t>fee</w:t>
      </w:r>
      <w:r w:rsidRPr="00A60B0E">
        <w:t xml:space="preserve"> for DFT</w:t>
      </w:r>
      <w:r>
        <w:t>,</w:t>
      </w:r>
      <w:r w:rsidRPr="00A60B0E">
        <w:t xml:space="preserve"> result</w:t>
      </w:r>
      <w:r>
        <w:t>ed</w:t>
      </w:r>
      <w:r w:rsidRPr="00A60B0E">
        <w:t xml:space="preserve"> in higher cost for the S-ICD</w:t>
      </w:r>
      <w:r>
        <w:t xml:space="preserve"> (changed from a cost </w:t>
      </w:r>
      <w:r w:rsidRPr="003D4190">
        <w:t>difference of $</w:t>
      </w:r>
      <w:r w:rsidR="00FB0137" w:rsidRPr="003D4190">
        <w:rPr>
          <w:b/>
          <w:bCs/>
        </w:rPr>
        <w:t>redacted</w:t>
      </w:r>
      <w:r w:rsidR="00FB0137" w:rsidRPr="003D4190">
        <w:t xml:space="preserve"> </w:t>
      </w:r>
      <w:r w:rsidRPr="003D4190">
        <w:t>to $</w:t>
      </w:r>
      <w:r w:rsidR="00FB0137" w:rsidRPr="003D4190">
        <w:rPr>
          <w:b/>
          <w:bCs/>
        </w:rPr>
        <w:t>redacted</w:t>
      </w:r>
      <w:r w:rsidRPr="003D4190">
        <w:t>.</w:t>
      </w:r>
    </w:p>
    <w:p w14:paraId="0952F20C" w14:textId="16B060A0" w:rsidR="00485984" w:rsidRDefault="00485984" w:rsidP="00443B7C">
      <w:pPr>
        <w:spacing w:before="240"/>
      </w:pPr>
      <w:r>
        <w:t xml:space="preserve">ESC noted sensitivity analyses by the commentary showed a key driver was the cost of the device and the cost of the TV-ICD device. ESC noted that the ADAR did not address other costs such as the tunnelling tool and programming device, leading to uncertainty as to how the costs would be covered.  </w:t>
      </w:r>
    </w:p>
    <w:p w14:paraId="346DF8E5" w14:textId="708F271D" w:rsidR="00485984" w:rsidRPr="00F56D7F" w:rsidRDefault="00485984" w:rsidP="00443B7C">
      <w:pPr>
        <w:spacing w:before="240" w:after="240"/>
        <w:rPr>
          <w:b/>
        </w:rPr>
      </w:pPr>
      <w:r>
        <w:t xml:space="preserve">ESC noted that a market-share approach was used to estimate the budget impact that assumes substitution of the current market. However, ESC noted that suitability was not considered, and did not factor that some patients may fail the manufacturer’s screening, when estimating eligibility for S-ICD. ESC noted the revised financial estimates indicate S-ICD will have a </w:t>
      </w:r>
      <w:r w:rsidRPr="003D4190">
        <w:t>net impact to the MBS of $64,800 in the first year increasing to $139,948 by year 5. ESC</w:t>
      </w:r>
      <w:r>
        <w:t xml:space="preserve"> noted the claim that S-ICD will generate cost savings for the MBS and PL (less expensive device) compared with TV-ICD. However, ESC considered that there is potential for inclusion of S-ICD lead insertion on the MBS to grow the ICD market, due to S-ICD use in </w:t>
      </w:r>
      <w:r>
        <w:lastRenderedPageBreak/>
        <w:t>patients who have complex venous anatomy or who are reluctant to attempt (or reattempt) TV-ICD. ESC considered the assertion that S-ICD will be cost saving is uncertain.</w:t>
      </w:r>
    </w:p>
    <w:p w14:paraId="79F246C6" w14:textId="77777777" w:rsidR="00D90A38" w:rsidRPr="00F715D1" w:rsidRDefault="00BC1364" w:rsidP="00F715D1">
      <w:pPr>
        <w:pStyle w:val="Heading1"/>
      </w:pPr>
      <w:r w:rsidRPr="00F715D1">
        <w:t>Other significant factors</w:t>
      </w:r>
    </w:p>
    <w:p w14:paraId="5E92151C" w14:textId="1BF90682" w:rsidR="00BC1364" w:rsidRPr="0079642F" w:rsidRDefault="0079642F" w:rsidP="00F715D1">
      <w:pPr>
        <w:spacing w:after="240"/>
        <w:rPr>
          <w:szCs w:val="24"/>
        </w:rPr>
      </w:pPr>
      <w:r>
        <w:rPr>
          <w:szCs w:val="24"/>
        </w:rPr>
        <w:t>Nil.</w:t>
      </w:r>
    </w:p>
    <w:p w14:paraId="2540C4B1"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40C674E5" w14:textId="03C30B80" w:rsidR="00BC1364" w:rsidRPr="003D4190" w:rsidRDefault="00FB0137" w:rsidP="00F715D1">
      <w:pPr>
        <w:spacing w:after="240"/>
        <w:rPr>
          <w:szCs w:val="24"/>
        </w:rPr>
      </w:pPr>
      <w:r w:rsidRPr="003D4190">
        <w:rPr>
          <w:szCs w:val="24"/>
        </w:rPr>
        <w:t>The applicant had no comment.</w:t>
      </w:r>
    </w:p>
    <w:p w14:paraId="187F50AE" w14:textId="77777777" w:rsidR="00BC1364" w:rsidRPr="00F715D1" w:rsidRDefault="00271F18" w:rsidP="00F715D1">
      <w:pPr>
        <w:pStyle w:val="Heading1"/>
      </w:pPr>
      <w:r w:rsidRPr="00F715D1">
        <w:t>Further information on MSAC</w:t>
      </w:r>
    </w:p>
    <w:p w14:paraId="6746F4BB" w14:textId="6465127B"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0E813" w14:textId="77777777" w:rsidR="00403187" w:rsidRDefault="00403187" w:rsidP="00065623">
      <w:r>
        <w:separator/>
      </w:r>
    </w:p>
  </w:endnote>
  <w:endnote w:type="continuationSeparator" w:id="0">
    <w:p w14:paraId="7387124A" w14:textId="77777777" w:rsidR="00403187" w:rsidRDefault="0040318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68A2" w14:textId="77777777" w:rsidR="00403187" w:rsidRDefault="00403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70142400" w14:textId="6D1074C8" w:rsidR="00403187" w:rsidRDefault="0040318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FB60943" w14:textId="77777777" w:rsidR="00403187" w:rsidRDefault="00403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6F5E" w14:textId="77777777" w:rsidR="00403187" w:rsidRDefault="0040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9D93B" w14:textId="77777777" w:rsidR="00403187" w:rsidRDefault="00403187" w:rsidP="00065623">
      <w:r>
        <w:separator/>
      </w:r>
    </w:p>
  </w:footnote>
  <w:footnote w:type="continuationSeparator" w:id="0">
    <w:p w14:paraId="19AD7D91" w14:textId="77777777" w:rsidR="00403187" w:rsidRDefault="00403187" w:rsidP="00065623">
      <w:r>
        <w:continuationSeparator/>
      </w:r>
    </w:p>
  </w:footnote>
  <w:footnote w:id="1">
    <w:p w14:paraId="48D919DC" w14:textId="77777777" w:rsidR="00403187" w:rsidRDefault="00403187" w:rsidP="003850EC">
      <w:pPr>
        <w:pStyle w:val="FootnoteText"/>
      </w:pPr>
      <w:r>
        <w:rPr>
          <w:rStyle w:val="FootnoteReference"/>
        </w:rPr>
        <w:footnoteRef/>
      </w:r>
      <w:r>
        <w:t xml:space="preserve"> </w:t>
      </w:r>
      <w:r w:rsidRPr="005504C5">
        <w:t xml:space="preserve">A </w:t>
      </w:r>
      <w:proofErr w:type="spellStart"/>
      <w:r w:rsidRPr="005504C5">
        <w:t>PRospective</w:t>
      </w:r>
      <w:proofErr w:type="spellEnd"/>
      <w:r w:rsidRPr="005504C5">
        <w:t xml:space="preserve">, </w:t>
      </w:r>
      <w:proofErr w:type="spellStart"/>
      <w:r w:rsidRPr="005504C5">
        <w:t>rAndomizEd</w:t>
      </w:r>
      <w:proofErr w:type="spellEnd"/>
      <w:r w:rsidRPr="005504C5">
        <w:t xml:space="preserve"> Comparison of </w:t>
      </w:r>
      <w:proofErr w:type="spellStart"/>
      <w:r w:rsidRPr="005504C5">
        <w:t>subcuTaneOous</w:t>
      </w:r>
      <w:proofErr w:type="spellEnd"/>
      <w:r w:rsidRPr="005504C5">
        <w:t xml:space="preserve"> and </w:t>
      </w:r>
      <w:proofErr w:type="spellStart"/>
      <w:r w:rsidRPr="005504C5">
        <w:t>tRansvenous</w:t>
      </w:r>
      <w:proofErr w:type="spellEnd"/>
      <w:r w:rsidRPr="005504C5">
        <w:t xml:space="preserve"> </w:t>
      </w:r>
      <w:proofErr w:type="spellStart"/>
      <w:r w:rsidRPr="005504C5">
        <w:t>ImplANtable</w:t>
      </w:r>
      <w:proofErr w:type="spellEnd"/>
      <w:r w:rsidRPr="005504C5">
        <w:t xml:space="preserve"> Cardioverter Defibrillator Therapy (PRAETORIAN)</w:t>
      </w:r>
      <w:r>
        <w:t xml:space="preserve"> - </w:t>
      </w:r>
      <w:hyperlink r:id="rId1" w:history="1">
        <w:r w:rsidRPr="005504C5">
          <w:rPr>
            <w:rStyle w:val="Hyperlink"/>
          </w:rPr>
          <w:t>NCT01296022</w:t>
        </w:r>
      </w:hyperlink>
    </w:p>
  </w:footnote>
  <w:footnote w:id="2">
    <w:p w14:paraId="6432C073" w14:textId="38301B42" w:rsidR="00403187" w:rsidRDefault="00403187">
      <w:pPr>
        <w:pStyle w:val="FootnoteText"/>
      </w:pPr>
      <w:r>
        <w:rPr>
          <w:rStyle w:val="FootnoteReference"/>
        </w:rPr>
        <w:footnoteRef/>
      </w:r>
      <w:r>
        <w:t xml:space="preserve"> Al-Khatib SM, et al. (2017) </w:t>
      </w:r>
      <w:r w:rsidRPr="00841887">
        <w:t>J</w:t>
      </w:r>
      <w:r>
        <w:t xml:space="preserve">ournal of the </w:t>
      </w:r>
      <w:r w:rsidRPr="00841887">
        <w:t>Am</w:t>
      </w:r>
      <w:r>
        <w:t>erican</w:t>
      </w:r>
      <w:r w:rsidRPr="00841887">
        <w:t xml:space="preserve"> Coll</w:t>
      </w:r>
      <w:r>
        <w:t>ege of</w:t>
      </w:r>
      <w:r w:rsidRPr="00841887">
        <w:t xml:space="preserve"> Cardiol</w:t>
      </w:r>
      <w:r>
        <w:t>ogy.</w:t>
      </w:r>
      <w:r w:rsidRPr="00841887">
        <w:t>72</w:t>
      </w:r>
      <w:r>
        <w:t>(14</w:t>
      </w:r>
      <w:proofErr w:type="gramStart"/>
      <w:r>
        <w:t>)</w:t>
      </w:r>
      <w:r w:rsidRPr="00841887">
        <w:t>:e</w:t>
      </w:r>
      <w:proofErr w:type="gramEnd"/>
      <w:r w:rsidRPr="00841887">
        <w:t>91–220</w:t>
      </w:r>
    </w:p>
  </w:footnote>
  <w:footnote w:id="3">
    <w:p w14:paraId="01F33DC8" w14:textId="7DB42425" w:rsidR="00403187" w:rsidRDefault="00403187">
      <w:pPr>
        <w:pStyle w:val="FootnoteText"/>
      </w:pPr>
      <w:r>
        <w:rPr>
          <w:rStyle w:val="FootnoteReference"/>
        </w:rPr>
        <w:footnoteRef/>
      </w:r>
      <w:r>
        <w:t xml:space="preserve"> </w:t>
      </w:r>
      <w:hyperlink r:id="rId2" w:history="1">
        <w:r>
          <w:rPr>
            <w:rStyle w:val="Hyperlink"/>
          </w:rPr>
          <w:t>MBS Review Taskforce: F</w:t>
        </w:r>
        <w:r w:rsidRPr="00013317">
          <w:rPr>
            <w:rStyle w:val="Hyperlink"/>
          </w:rPr>
          <w:t>inal Report from the Cardiac Services Clinical Committee [CSCC], 2018</w:t>
        </w:r>
      </w:hyperlink>
    </w:p>
  </w:footnote>
  <w:footnote w:id="4">
    <w:p w14:paraId="0C4FBD12" w14:textId="77777777" w:rsidR="00403187" w:rsidRDefault="00403187" w:rsidP="00AC5AA9">
      <w:pPr>
        <w:pStyle w:val="FootnoteText"/>
        <w:contextualSpacing/>
      </w:pPr>
      <w:r>
        <w:rPr>
          <w:rStyle w:val="FootnoteReference"/>
        </w:rPr>
        <w:footnoteRef/>
      </w:r>
      <w:r>
        <w:t xml:space="preserve"> </w:t>
      </w:r>
      <w:r w:rsidRPr="005504C5">
        <w:t xml:space="preserve">A </w:t>
      </w:r>
      <w:proofErr w:type="spellStart"/>
      <w:r w:rsidRPr="005504C5">
        <w:t>PRospective</w:t>
      </w:r>
      <w:proofErr w:type="spellEnd"/>
      <w:r w:rsidRPr="005504C5">
        <w:t xml:space="preserve">, </w:t>
      </w:r>
      <w:proofErr w:type="spellStart"/>
      <w:r w:rsidRPr="005504C5">
        <w:t>rAndomizEd</w:t>
      </w:r>
      <w:proofErr w:type="spellEnd"/>
      <w:r w:rsidRPr="005504C5">
        <w:t xml:space="preserve"> Comparison of </w:t>
      </w:r>
      <w:proofErr w:type="spellStart"/>
      <w:r w:rsidRPr="005504C5">
        <w:t>subcuTaneOous</w:t>
      </w:r>
      <w:proofErr w:type="spellEnd"/>
      <w:r w:rsidRPr="005504C5">
        <w:t xml:space="preserve"> and </w:t>
      </w:r>
      <w:proofErr w:type="spellStart"/>
      <w:r w:rsidRPr="005504C5">
        <w:t>tRansvenous</w:t>
      </w:r>
      <w:proofErr w:type="spellEnd"/>
      <w:r w:rsidRPr="005504C5">
        <w:t xml:space="preserve"> </w:t>
      </w:r>
      <w:proofErr w:type="spellStart"/>
      <w:r w:rsidRPr="005504C5">
        <w:t>ImplANtable</w:t>
      </w:r>
      <w:proofErr w:type="spellEnd"/>
      <w:r w:rsidRPr="005504C5">
        <w:t xml:space="preserve"> Cardioverter Defibrillator Therapy (PRAETORIAN)</w:t>
      </w:r>
      <w:r>
        <w:t xml:space="preserve"> - </w:t>
      </w:r>
      <w:hyperlink r:id="rId3" w:history="1">
        <w:r w:rsidRPr="005504C5">
          <w:rPr>
            <w:rStyle w:val="Hyperlink"/>
          </w:rPr>
          <w:t>NCT01296022</w:t>
        </w:r>
      </w:hyperlink>
    </w:p>
  </w:footnote>
  <w:footnote w:id="5">
    <w:p w14:paraId="03EC803D" w14:textId="72E7B356" w:rsidR="00403187" w:rsidRPr="00AC5AA9" w:rsidRDefault="00403187" w:rsidP="00AC5AA9">
      <w:pPr>
        <w:pStyle w:val="Heading4"/>
        <w:shd w:val="clear" w:color="auto" w:fill="FFFFFF"/>
        <w:spacing w:before="0" w:line="270" w:lineRule="atLeast"/>
        <w:contextualSpacing/>
        <w:rPr>
          <w:rFonts w:ascii="Times New Roman" w:hAnsi="Times New Roman" w:cs="Times New Roman"/>
          <w:i w:val="0"/>
          <w:color w:val="333333"/>
          <w:sz w:val="20"/>
        </w:rPr>
      </w:pPr>
      <w:r w:rsidRPr="00E426FB">
        <w:rPr>
          <w:rStyle w:val="FootnoteReference"/>
          <w:rFonts w:ascii="Times New Roman" w:hAnsi="Times New Roman"/>
          <w:i w:val="0"/>
          <w:sz w:val="20"/>
        </w:rPr>
        <w:footnoteRef/>
      </w:r>
      <w:r w:rsidRPr="00E426FB">
        <w:rPr>
          <w:rFonts w:ascii="Times New Roman" w:hAnsi="Times New Roman" w:cs="Times New Roman"/>
          <w:i w:val="0"/>
          <w:sz w:val="20"/>
        </w:rPr>
        <w:t xml:space="preserve"> </w:t>
      </w:r>
      <w:proofErr w:type="spellStart"/>
      <w:r w:rsidRPr="00E426FB">
        <w:rPr>
          <w:rFonts w:ascii="Times New Roman" w:hAnsi="Times New Roman" w:cs="Times New Roman"/>
          <w:i w:val="0"/>
          <w:color w:val="333333"/>
          <w:sz w:val="20"/>
        </w:rPr>
        <w:t>Rordorf</w:t>
      </w:r>
      <w:proofErr w:type="spellEnd"/>
      <w:r w:rsidRPr="00E426FB">
        <w:rPr>
          <w:rFonts w:ascii="Times New Roman" w:hAnsi="Times New Roman" w:cs="Times New Roman"/>
          <w:i w:val="0"/>
          <w:color w:val="333333"/>
          <w:sz w:val="20"/>
        </w:rPr>
        <w:t xml:space="preserve"> </w:t>
      </w:r>
      <w:r>
        <w:rPr>
          <w:rFonts w:ascii="Times New Roman" w:hAnsi="Times New Roman" w:cs="Times New Roman"/>
          <w:i w:val="0"/>
          <w:color w:val="333333"/>
          <w:sz w:val="20"/>
        </w:rPr>
        <w:t>R,</w:t>
      </w:r>
      <w:r w:rsidRPr="00E426FB">
        <w:rPr>
          <w:rFonts w:ascii="Times New Roman" w:hAnsi="Times New Roman" w:cs="Times New Roman"/>
          <w:i w:val="0"/>
          <w:color w:val="333333"/>
          <w:sz w:val="20"/>
        </w:rPr>
        <w:t xml:space="preserve"> et al.</w:t>
      </w:r>
      <w:r>
        <w:rPr>
          <w:rFonts w:ascii="Times New Roman" w:hAnsi="Times New Roman" w:cs="Times New Roman"/>
          <w:i w:val="0"/>
          <w:color w:val="333333"/>
          <w:sz w:val="20"/>
        </w:rPr>
        <w:t xml:space="preserve"> (2021) Heart Rhythm. </w:t>
      </w:r>
      <w:r w:rsidRPr="00E426FB">
        <w:rPr>
          <w:rFonts w:ascii="Times New Roman" w:hAnsi="Times New Roman" w:cs="Times New Roman"/>
          <w:i w:val="0"/>
          <w:color w:val="333333"/>
          <w:sz w:val="20"/>
        </w:rPr>
        <w:t>18</w:t>
      </w:r>
      <w:r>
        <w:rPr>
          <w:rFonts w:ascii="Times New Roman" w:hAnsi="Times New Roman" w:cs="Times New Roman"/>
          <w:i w:val="0"/>
          <w:color w:val="333333"/>
          <w:sz w:val="20"/>
        </w:rPr>
        <w:t>(</w:t>
      </w:r>
      <w:r w:rsidRPr="00E426FB">
        <w:rPr>
          <w:rFonts w:ascii="Times New Roman" w:hAnsi="Times New Roman" w:cs="Times New Roman"/>
          <w:i w:val="0"/>
          <w:color w:val="333333"/>
          <w:sz w:val="20"/>
        </w:rPr>
        <w:t>3</w:t>
      </w:r>
      <w:r>
        <w:rPr>
          <w:rFonts w:ascii="Times New Roman" w:hAnsi="Times New Roman" w:cs="Times New Roman"/>
          <w:i w:val="0"/>
          <w:color w:val="333333"/>
          <w:sz w:val="20"/>
        </w:rPr>
        <w:t>):382–</w:t>
      </w:r>
      <w:r w:rsidRPr="00E426FB">
        <w:rPr>
          <w:rFonts w:ascii="Times New Roman" w:hAnsi="Times New Roman" w:cs="Times New Roman"/>
          <w:bCs/>
          <w:i w:val="0"/>
          <w:color w:val="333333"/>
          <w:sz w:val="20"/>
        </w:rPr>
        <w:t xml:space="preserve">391, </w:t>
      </w:r>
      <w:hyperlink r:id="rId4" w:tgtFrame="_blank" w:tooltip="Persistent link using digital object identifier" w:history="1">
        <w:r w:rsidRPr="00E426FB">
          <w:rPr>
            <w:rFonts w:ascii="Times New Roman" w:hAnsi="Times New Roman" w:cs="Times New Roman"/>
            <w:bCs/>
            <w:i w:val="0"/>
            <w:color w:val="333333"/>
            <w:sz w:val="20"/>
          </w:rPr>
          <w:t>https://doi.org/10.1016/j.hrthm.2020.11.013</w:t>
        </w:r>
      </w:hyperlink>
      <w:r>
        <w:rPr>
          <w:rFonts w:ascii="Times New Roman" w:hAnsi="Times New Roman" w:cs="Times New Roman"/>
          <w:bCs/>
          <w:i w:val="0"/>
          <w:color w:val="333333"/>
          <w:sz w:val="20"/>
        </w:rPr>
        <w:t xml:space="preserve"> </w:t>
      </w:r>
    </w:p>
  </w:footnote>
  <w:footnote w:id="6">
    <w:p w14:paraId="4EDAF411" w14:textId="0C0195DD" w:rsidR="00403187" w:rsidRDefault="00403187" w:rsidP="009A1F84">
      <w:pPr>
        <w:pStyle w:val="FootnoteText"/>
        <w:contextualSpacing/>
      </w:pPr>
      <w:r>
        <w:rPr>
          <w:rStyle w:val="FootnoteReference"/>
        </w:rPr>
        <w:footnoteRef/>
      </w:r>
      <w:r>
        <w:t xml:space="preserve"> </w:t>
      </w:r>
      <w:proofErr w:type="spellStart"/>
      <w:r>
        <w:t>Theuns</w:t>
      </w:r>
      <w:proofErr w:type="spellEnd"/>
      <w:r>
        <w:t xml:space="preserve"> D, et al (2018) Heart Rhythm. 15(10):1515-1522</w:t>
      </w:r>
    </w:p>
  </w:footnote>
  <w:footnote w:id="7">
    <w:p w14:paraId="113AF47B" w14:textId="4A9D3700" w:rsidR="00403187" w:rsidRDefault="00403187">
      <w:pPr>
        <w:pStyle w:val="FootnoteText"/>
      </w:pPr>
      <w:r>
        <w:rPr>
          <w:rStyle w:val="FootnoteReference"/>
        </w:rPr>
        <w:footnoteRef/>
      </w:r>
      <w:r>
        <w:t xml:space="preserve"> Pederson SS, et al. (2016) American Journal of Cardiology. 118(4):520-526</w:t>
      </w:r>
    </w:p>
  </w:footnote>
  <w:footnote w:id="8">
    <w:p w14:paraId="322D357B" w14:textId="77777777" w:rsidR="00403187" w:rsidRDefault="00403187" w:rsidP="00F01B4A">
      <w:pPr>
        <w:pStyle w:val="FootnoteText"/>
      </w:pPr>
      <w:r>
        <w:rPr>
          <w:rStyle w:val="FootnoteReference"/>
        </w:rPr>
        <w:footnoteRef/>
      </w:r>
      <w:r>
        <w:t xml:space="preserve"> Knops, RE et al. (2020) </w:t>
      </w:r>
      <w:r w:rsidRPr="005504C5">
        <w:t>The New En</w:t>
      </w:r>
      <w:r>
        <w:t xml:space="preserve">gland Journal of Medicine, </w:t>
      </w:r>
      <w:r w:rsidRPr="005504C5">
        <w:t>383</w:t>
      </w:r>
      <w:r>
        <w:t>:</w:t>
      </w:r>
      <w:r w:rsidRPr="005504C5">
        <w:t>526-536.</w:t>
      </w:r>
    </w:p>
  </w:footnote>
  <w:footnote w:id="9">
    <w:p w14:paraId="0B69882D" w14:textId="77777777" w:rsidR="00403187" w:rsidRDefault="00403187" w:rsidP="00F01B4A">
      <w:pPr>
        <w:pStyle w:val="FootnoteText"/>
      </w:pPr>
      <w:r>
        <w:rPr>
          <w:rStyle w:val="FootnoteReference"/>
        </w:rPr>
        <w:footnoteRef/>
      </w:r>
      <w:r>
        <w:t xml:space="preserve"> Knops, RE et al. (2020) </w:t>
      </w:r>
      <w:r w:rsidRPr="005504C5">
        <w:t>The New En</w:t>
      </w:r>
      <w:r>
        <w:t xml:space="preserve">gland Journal of Medicine, </w:t>
      </w:r>
      <w:r w:rsidRPr="005504C5">
        <w:t>383</w:t>
      </w:r>
      <w:r>
        <w:t>:</w:t>
      </w:r>
      <w:r w:rsidRPr="005504C5">
        <w:t>526-536.</w:t>
      </w:r>
    </w:p>
  </w:footnote>
  <w:footnote w:id="10">
    <w:p w14:paraId="6A99EDAD" w14:textId="77777777" w:rsidR="00403187" w:rsidRDefault="00403187" w:rsidP="00485984">
      <w:pPr>
        <w:pStyle w:val="FootnoteText"/>
      </w:pPr>
      <w:r>
        <w:rPr>
          <w:rStyle w:val="FootnoteReference"/>
        </w:rPr>
        <w:footnoteRef/>
      </w:r>
      <w:r>
        <w:t xml:space="preserve"> </w:t>
      </w:r>
      <w:r w:rsidRPr="0061441D">
        <w:t>Avoid Transvenous Leads in Appropriate Subjects (ATLAS S-ICD)</w:t>
      </w:r>
      <w:r>
        <w:t xml:space="preserve"> - </w:t>
      </w:r>
      <w:hyperlink r:id="rId5" w:history="1">
        <w:r w:rsidRPr="0061441D">
          <w:rPr>
            <w:rStyle w:val="Hyperlink"/>
          </w:rPr>
          <w:t>NCT02881255</w:t>
        </w:r>
      </w:hyperlink>
    </w:p>
  </w:footnote>
  <w:footnote w:id="11">
    <w:p w14:paraId="2E40030E" w14:textId="77777777" w:rsidR="00403187" w:rsidRDefault="00403187" w:rsidP="00485984">
      <w:pPr>
        <w:pStyle w:val="FootnoteText"/>
      </w:pPr>
      <w:r>
        <w:rPr>
          <w:rStyle w:val="FootnoteReference"/>
        </w:rPr>
        <w:footnoteRef/>
      </w:r>
      <w:r>
        <w:t xml:space="preserve"> Ranasinghe et al (2019). </w:t>
      </w:r>
      <w:r w:rsidRPr="00064C78">
        <w:rPr>
          <w:i/>
        </w:rPr>
        <w:t>Annals of Internal Medicine</w:t>
      </w:r>
      <w:r>
        <w:t>. 171:309.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F8F88" w14:textId="77777777" w:rsidR="00403187" w:rsidRDefault="00403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858B" w14:textId="77777777" w:rsidR="00403187" w:rsidRDefault="00403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45486" w14:textId="77777777" w:rsidR="00403187" w:rsidRDefault="0040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204A7"/>
    <w:multiLevelType w:val="hybridMultilevel"/>
    <w:tmpl w:val="3C668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C0E3E"/>
    <w:multiLevelType w:val="hybridMultilevel"/>
    <w:tmpl w:val="606C8504"/>
    <w:lvl w:ilvl="0" w:tplc="58229510">
      <w:start w:val="1"/>
      <w:numFmt w:val="bullet"/>
      <w:lvlText w:val=""/>
      <w:lvlJc w:val="left"/>
      <w:pPr>
        <w:ind w:left="576" w:hanging="360"/>
      </w:pPr>
      <w:rPr>
        <w:rFonts w:ascii="Symbol" w:hAnsi="Symbol" w:hint="default"/>
        <w:sz w:val="18"/>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22A017C"/>
    <w:multiLevelType w:val="hybridMultilevel"/>
    <w:tmpl w:val="ABC677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46330A"/>
    <w:multiLevelType w:val="hybridMultilevel"/>
    <w:tmpl w:val="8284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86B62"/>
    <w:multiLevelType w:val="hybridMultilevel"/>
    <w:tmpl w:val="D3B2F766"/>
    <w:lvl w:ilvl="0" w:tplc="58229510">
      <w:start w:val="1"/>
      <w:numFmt w:val="bullet"/>
      <w:lvlText w:val=""/>
      <w:lvlJc w:val="left"/>
      <w:pPr>
        <w:ind w:left="576"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A3A48"/>
    <w:multiLevelType w:val="hybridMultilevel"/>
    <w:tmpl w:val="26DA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2018AC"/>
    <w:multiLevelType w:val="multilevel"/>
    <w:tmpl w:val="464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F4A0B"/>
    <w:multiLevelType w:val="hybridMultilevel"/>
    <w:tmpl w:val="C298F112"/>
    <w:lvl w:ilvl="0" w:tplc="37762F46">
      <w:start w:val="1"/>
      <w:numFmt w:val="bullet"/>
      <w:pStyle w:val="TableBullet"/>
      <w:lvlText w:val="•"/>
      <w:lvlJc w:val="left"/>
      <w:pPr>
        <w:tabs>
          <w:tab w:val="num" w:pos="576"/>
        </w:tabs>
        <w:ind w:left="576" w:hanging="360"/>
      </w:pPr>
      <w:rPr>
        <w:rFonts w:ascii="Verdana" w:hAnsi="Verdana" w:hint="default"/>
        <w:sz w:val="18"/>
      </w:rPr>
    </w:lvl>
    <w:lvl w:ilvl="1" w:tplc="0C090003" w:tentative="1">
      <w:start w:val="1"/>
      <w:numFmt w:val="bullet"/>
      <w:lvlText w:val="o"/>
      <w:lvlJc w:val="left"/>
      <w:pPr>
        <w:tabs>
          <w:tab w:val="num" w:pos="1656"/>
        </w:tabs>
        <w:ind w:left="1656" w:hanging="360"/>
      </w:pPr>
      <w:rPr>
        <w:rFonts w:ascii="Courier New" w:hAnsi="Courier New" w:cs="Courier New" w:hint="default"/>
      </w:rPr>
    </w:lvl>
    <w:lvl w:ilvl="2" w:tplc="0C090005" w:tentative="1">
      <w:start w:val="1"/>
      <w:numFmt w:val="bullet"/>
      <w:lvlText w:val=""/>
      <w:lvlJc w:val="left"/>
      <w:pPr>
        <w:tabs>
          <w:tab w:val="num" w:pos="2376"/>
        </w:tabs>
        <w:ind w:left="2376" w:hanging="360"/>
      </w:pPr>
      <w:rPr>
        <w:rFonts w:ascii="Wingdings" w:hAnsi="Wingdings" w:hint="default"/>
      </w:rPr>
    </w:lvl>
    <w:lvl w:ilvl="3" w:tplc="0C090001" w:tentative="1">
      <w:start w:val="1"/>
      <w:numFmt w:val="bullet"/>
      <w:lvlText w:val=""/>
      <w:lvlJc w:val="left"/>
      <w:pPr>
        <w:tabs>
          <w:tab w:val="num" w:pos="3096"/>
        </w:tabs>
        <w:ind w:left="3096" w:hanging="360"/>
      </w:pPr>
      <w:rPr>
        <w:rFonts w:ascii="Symbol" w:hAnsi="Symbol" w:hint="default"/>
      </w:rPr>
    </w:lvl>
    <w:lvl w:ilvl="4" w:tplc="0C090003" w:tentative="1">
      <w:start w:val="1"/>
      <w:numFmt w:val="bullet"/>
      <w:lvlText w:val="o"/>
      <w:lvlJc w:val="left"/>
      <w:pPr>
        <w:tabs>
          <w:tab w:val="num" w:pos="3816"/>
        </w:tabs>
        <w:ind w:left="3816" w:hanging="360"/>
      </w:pPr>
      <w:rPr>
        <w:rFonts w:ascii="Courier New" w:hAnsi="Courier New" w:cs="Courier New" w:hint="default"/>
      </w:rPr>
    </w:lvl>
    <w:lvl w:ilvl="5" w:tplc="0C090005" w:tentative="1">
      <w:start w:val="1"/>
      <w:numFmt w:val="bullet"/>
      <w:lvlText w:val=""/>
      <w:lvlJc w:val="left"/>
      <w:pPr>
        <w:tabs>
          <w:tab w:val="num" w:pos="4536"/>
        </w:tabs>
        <w:ind w:left="4536" w:hanging="360"/>
      </w:pPr>
      <w:rPr>
        <w:rFonts w:ascii="Wingdings" w:hAnsi="Wingdings" w:hint="default"/>
      </w:rPr>
    </w:lvl>
    <w:lvl w:ilvl="6" w:tplc="0C090001" w:tentative="1">
      <w:start w:val="1"/>
      <w:numFmt w:val="bullet"/>
      <w:lvlText w:val=""/>
      <w:lvlJc w:val="left"/>
      <w:pPr>
        <w:tabs>
          <w:tab w:val="num" w:pos="5256"/>
        </w:tabs>
        <w:ind w:left="5256" w:hanging="360"/>
      </w:pPr>
      <w:rPr>
        <w:rFonts w:ascii="Symbol" w:hAnsi="Symbol" w:hint="default"/>
      </w:rPr>
    </w:lvl>
    <w:lvl w:ilvl="7" w:tplc="0C090003" w:tentative="1">
      <w:start w:val="1"/>
      <w:numFmt w:val="bullet"/>
      <w:lvlText w:val="o"/>
      <w:lvlJc w:val="left"/>
      <w:pPr>
        <w:tabs>
          <w:tab w:val="num" w:pos="5976"/>
        </w:tabs>
        <w:ind w:left="5976" w:hanging="360"/>
      </w:pPr>
      <w:rPr>
        <w:rFonts w:ascii="Courier New" w:hAnsi="Courier New" w:cs="Courier New" w:hint="default"/>
      </w:rPr>
    </w:lvl>
    <w:lvl w:ilvl="8" w:tplc="0C090005" w:tentative="1">
      <w:start w:val="1"/>
      <w:numFmt w:val="bullet"/>
      <w:lvlText w:val=""/>
      <w:lvlJc w:val="left"/>
      <w:pPr>
        <w:tabs>
          <w:tab w:val="num" w:pos="6696"/>
        </w:tabs>
        <w:ind w:left="6696" w:hanging="360"/>
      </w:pPr>
      <w:rPr>
        <w:rFonts w:ascii="Wingdings" w:hAnsi="Wingdings" w:hint="default"/>
      </w:rPr>
    </w:lvl>
  </w:abstractNum>
  <w:abstractNum w:abstractNumId="18"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530E3"/>
    <w:multiLevelType w:val="hybridMultilevel"/>
    <w:tmpl w:val="86F016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55736F"/>
    <w:multiLevelType w:val="multilevel"/>
    <w:tmpl w:val="56904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51120"/>
    <w:multiLevelType w:val="hybridMultilevel"/>
    <w:tmpl w:val="8A2EB02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91E53"/>
    <w:multiLevelType w:val="multilevel"/>
    <w:tmpl w:val="2EB4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5"/>
  </w:num>
  <w:num w:numId="5">
    <w:abstractNumId w:val="16"/>
  </w:num>
  <w:num w:numId="6">
    <w:abstractNumId w:val="24"/>
  </w:num>
  <w:num w:numId="7">
    <w:abstractNumId w:val="29"/>
  </w:num>
  <w:num w:numId="8">
    <w:abstractNumId w:val="18"/>
  </w:num>
  <w:num w:numId="9">
    <w:abstractNumId w:val="37"/>
  </w:num>
  <w:num w:numId="10">
    <w:abstractNumId w:val="0"/>
  </w:num>
  <w:num w:numId="11">
    <w:abstractNumId w:val="28"/>
  </w:num>
  <w:num w:numId="12">
    <w:abstractNumId w:val="30"/>
  </w:num>
  <w:num w:numId="13">
    <w:abstractNumId w:val="8"/>
  </w:num>
  <w:num w:numId="14">
    <w:abstractNumId w:val="34"/>
  </w:num>
  <w:num w:numId="15">
    <w:abstractNumId w:val="27"/>
  </w:num>
  <w:num w:numId="16">
    <w:abstractNumId w:val="31"/>
  </w:num>
  <w:num w:numId="17">
    <w:abstractNumId w:val="19"/>
  </w:num>
  <w:num w:numId="18">
    <w:abstractNumId w:val="21"/>
  </w:num>
  <w:num w:numId="19">
    <w:abstractNumId w:val="33"/>
  </w:num>
  <w:num w:numId="20">
    <w:abstractNumId w:val="32"/>
  </w:num>
  <w:num w:numId="21">
    <w:abstractNumId w:val="5"/>
  </w:num>
  <w:num w:numId="22">
    <w:abstractNumId w:val="14"/>
  </w:num>
  <w:num w:numId="23">
    <w:abstractNumId w:val="4"/>
  </w:num>
  <w:num w:numId="24">
    <w:abstractNumId w:val="13"/>
  </w:num>
  <w:num w:numId="25">
    <w:abstractNumId w:val="9"/>
  </w:num>
  <w:num w:numId="26">
    <w:abstractNumId w:val="17"/>
  </w:num>
  <w:num w:numId="27">
    <w:abstractNumId w:val="35"/>
  </w:num>
  <w:num w:numId="28">
    <w:abstractNumId w:val="6"/>
  </w:num>
  <w:num w:numId="29">
    <w:abstractNumId w:val="1"/>
  </w:num>
  <w:num w:numId="30">
    <w:abstractNumId w:val="7"/>
  </w:num>
  <w:num w:numId="31">
    <w:abstractNumId w:val="36"/>
  </w:num>
  <w:num w:numId="32">
    <w:abstractNumId w:val="15"/>
  </w:num>
  <w:num w:numId="33">
    <w:abstractNumId w:val="23"/>
  </w:num>
  <w:num w:numId="34">
    <w:abstractNumId w:val="12"/>
  </w:num>
  <w:num w:numId="35">
    <w:abstractNumId w:val="26"/>
  </w:num>
  <w:num w:numId="36">
    <w:abstractNumId w:val="20"/>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11A36"/>
    <w:rsid w:val="000126E4"/>
    <w:rsid w:val="0001311B"/>
    <w:rsid w:val="00013317"/>
    <w:rsid w:val="00031217"/>
    <w:rsid w:val="000317F2"/>
    <w:rsid w:val="00047606"/>
    <w:rsid w:val="00065623"/>
    <w:rsid w:val="00065686"/>
    <w:rsid w:val="000663AA"/>
    <w:rsid w:val="000750B8"/>
    <w:rsid w:val="000756B9"/>
    <w:rsid w:val="00096B67"/>
    <w:rsid w:val="00096DAF"/>
    <w:rsid w:val="00097499"/>
    <w:rsid w:val="000A1A71"/>
    <w:rsid w:val="000C2F47"/>
    <w:rsid w:val="000C494D"/>
    <w:rsid w:val="000C4E79"/>
    <w:rsid w:val="000D07E2"/>
    <w:rsid w:val="000D2B9A"/>
    <w:rsid w:val="000D6C00"/>
    <w:rsid w:val="000E4E04"/>
    <w:rsid w:val="000F14B4"/>
    <w:rsid w:val="000F1D7D"/>
    <w:rsid w:val="000F75DF"/>
    <w:rsid w:val="000F7CD2"/>
    <w:rsid w:val="001001F2"/>
    <w:rsid w:val="001023DC"/>
    <w:rsid w:val="00113B4B"/>
    <w:rsid w:val="001149C5"/>
    <w:rsid w:val="001232CF"/>
    <w:rsid w:val="00131248"/>
    <w:rsid w:val="001328FA"/>
    <w:rsid w:val="00133F1F"/>
    <w:rsid w:val="00143C77"/>
    <w:rsid w:val="00147AAF"/>
    <w:rsid w:val="001552C0"/>
    <w:rsid w:val="001640B1"/>
    <w:rsid w:val="0018435E"/>
    <w:rsid w:val="00185477"/>
    <w:rsid w:val="00191C16"/>
    <w:rsid w:val="001A22C0"/>
    <w:rsid w:val="001C74EA"/>
    <w:rsid w:val="001D1F75"/>
    <w:rsid w:val="001E26AB"/>
    <w:rsid w:val="001F39DD"/>
    <w:rsid w:val="001F620F"/>
    <w:rsid w:val="002041A1"/>
    <w:rsid w:val="002054F0"/>
    <w:rsid w:val="00212232"/>
    <w:rsid w:val="00226ADA"/>
    <w:rsid w:val="00230D6B"/>
    <w:rsid w:val="00232068"/>
    <w:rsid w:val="002330F2"/>
    <w:rsid w:val="00243D9E"/>
    <w:rsid w:val="002525D8"/>
    <w:rsid w:val="00253B66"/>
    <w:rsid w:val="00261DF1"/>
    <w:rsid w:val="00271F18"/>
    <w:rsid w:val="002729B7"/>
    <w:rsid w:val="00274085"/>
    <w:rsid w:val="0028129A"/>
    <w:rsid w:val="00282779"/>
    <w:rsid w:val="0028334D"/>
    <w:rsid w:val="002A646B"/>
    <w:rsid w:val="002B07C3"/>
    <w:rsid w:val="002B7FFA"/>
    <w:rsid w:val="002C032C"/>
    <w:rsid w:val="002C2BCF"/>
    <w:rsid w:val="002C7BAD"/>
    <w:rsid w:val="002D7AC1"/>
    <w:rsid w:val="002D7CC1"/>
    <w:rsid w:val="002E302F"/>
    <w:rsid w:val="002F279D"/>
    <w:rsid w:val="002F43B8"/>
    <w:rsid w:val="00301A2C"/>
    <w:rsid w:val="00304A3C"/>
    <w:rsid w:val="00311A94"/>
    <w:rsid w:val="00333FBD"/>
    <w:rsid w:val="00336856"/>
    <w:rsid w:val="00340DCA"/>
    <w:rsid w:val="0034554D"/>
    <w:rsid w:val="00351275"/>
    <w:rsid w:val="00352224"/>
    <w:rsid w:val="003602D0"/>
    <w:rsid w:val="003671E6"/>
    <w:rsid w:val="00384272"/>
    <w:rsid w:val="003850EC"/>
    <w:rsid w:val="00386D67"/>
    <w:rsid w:val="00393CC4"/>
    <w:rsid w:val="003945B8"/>
    <w:rsid w:val="003D22A1"/>
    <w:rsid w:val="003D4190"/>
    <w:rsid w:val="003D72DF"/>
    <w:rsid w:val="003D7F29"/>
    <w:rsid w:val="003E4D2B"/>
    <w:rsid w:val="003F2500"/>
    <w:rsid w:val="003F5380"/>
    <w:rsid w:val="00403187"/>
    <w:rsid w:val="00405A6B"/>
    <w:rsid w:val="00407B1F"/>
    <w:rsid w:val="0041184F"/>
    <w:rsid w:val="00414C57"/>
    <w:rsid w:val="0041758C"/>
    <w:rsid w:val="004216F2"/>
    <w:rsid w:val="004270FC"/>
    <w:rsid w:val="00443B7C"/>
    <w:rsid w:val="00450CF8"/>
    <w:rsid w:val="00451C58"/>
    <w:rsid w:val="004539DE"/>
    <w:rsid w:val="0046736A"/>
    <w:rsid w:val="00471A5B"/>
    <w:rsid w:val="00485984"/>
    <w:rsid w:val="004967B0"/>
    <w:rsid w:val="004A2CF1"/>
    <w:rsid w:val="004A3087"/>
    <w:rsid w:val="004C3035"/>
    <w:rsid w:val="004C307F"/>
    <w:rsid w:val="004C5A80"/>
    <w:rsid w:val="004D328B"/>
    <w:rsid w:val="004E4BA8"/>
    <w:rsid w:val="004F340F"/>
    <w:rsid w:val="004F6D41"/>
    <w:rsid w:val="004F7B7C"/>
    <w:rsid w:val="00516037"/>
    <w:rsid w:val="0052243D"/>
    <w:rsid w:val="0052541C"/>
    <w:rsid w:val="005278BB"/>
    <w:rsid w:val="00531EA2"/>
    <w:rsid w:val="00532435"/>
    <w:rsid w:val="0054403F"/>
    <w:rsid w:val="00550354"/>
    <w:rsid w:val="00571236"/>
    <w:rsid w:val="00584B1A"/>
    <w:rsid w:val="00587AF6"/>
    <w:rsid w:val="0059064A"/>
    <w:rsid w:val="005921FB"/>
    <w:rsid w:val="005953A1"/>
    <w:rsid w:val="005A4362"/>
    <w:rsid w:val="005B5434"/>
    <w:rsid w:val="005C4F4D"/>
    <w:rsid w:val="005D0332"/>
    <w:rsid w:val="005D0D8C"/>
    <w:rsid w:val="005D3A9A"/>
    <w:rsid w:val="005D4FF5"/>
    <w:rsid w:val="005F2EDA"/>
    <w:rsid w:val="00637874"/>
    <w:rsid w:val="00637FE1"/>
    <w:rsid w:val="006434EF"/>
    <w:rsid w:val="00655771"/>
    <w:rsid w:val="00656315"/>
    <w:rsid w:val="00670943"/>
    <w:rsid w:val="0067624C"/>
    <w:rsid w:val="006776AE"/>
    <w:rsid w:val="006802C8"/>
    <w:rsid w:val="006A0D97"/>
    <w:rsid w:val="006B1F86"/>
    <w:rsid w:val="006C0A91"/>
    <w:rsid w:val="006C0C15"/>
    <w:rsid w:val="006E17C2"/>
    <w:rsid w:val="006F52A4"/>
    <w:rsid w:val="007054BB"/>
    <w:rsid w:val="00707064"/>
    <w:rsid w:val="00723EEC"/>
    <w:rsid w:val="00730683"/>
    <w:rsid w:val="00736C08"/>
    <w:rsid w:val="00740994"/>
    <w:rsid w:val="0074266A"/>
    <w:rsid w:val="0075261F"/>
    <w:rsid w:val="0075468E"/>
    <w:rsid w:val="007554BD"/>
    <w:rsid w:val="007665D8"/>
    <w:rsid w:val="00766E36"/>
    <w:rsid w:val="00774012"/>
    <w:rsid w:val="007765F4"/>
    <w:rsid w:val="00776633"/>
    <w:rsid w:val="00784D53"/>
    <w:rsid w:val="00793D2C"/>
    <w:rsid w:val="007947A6"/>
    <w:rsid w:val="0079642F"/>
    <w:rsid w:val="00797797"/>
    <w:rsid w:val="007A5149"/>
    <w:rsid w:val="007A63C9"/>
    <w:rsid w:val="007A7EF3"/>
    <w:rsid w:val="007B32D1"/>
    <w:rsid w:val="007B7095"/>
    <w:rsid w:val="007C3E7F"/>
    <w:rsid w:val="007D24E1"/>
    <w:rsid w:val="007D51D8"/>
    <w:rsid w:val="007D599B"/>
    <w:rsid w:val="007D5FF0"/>
    <w:rsid w:val="007D6288"/>
    <w:rsid w:val="007D63F2"/>
    <w:rsid w:val="007F2BF0"/>
    <w:rsid w:val="007F4CE9"/>
    <w:rsid w:val="007F4E20"/>
    <w:rsid w:val="008066CE"/>
    <w:rsid w:val="00822C7E"/>
    <w:rsid w:val="008272F4"/>
    <w:rsid w:val="008305FF"/>
    <w:rsid w:val="00830FB6"/>
    <w:rsid w:val="008324EB"/>
    <w:rsid w:val="00841887"/>
    <w:rsid w:val="00846B1E"/>
    <w:rsid w:val="00847060"/>
    <w:rsid w:val="00847A36"/>
    <w:rsid w:val="00850E59"/>
    <w:rsid w:val="00856A33"/>
    <w:rsid w:val="00857EF7"/>
    <w:rsid w:val="008602D2"/>
    <w:rsid w:val="00892620"/>
    <w:rsid w:val="008941EF"/>
    <w:rsid w:val="008A32E8"/>
    <w:rsid w:val="008C778E"/>
    <w:rsid w:val="008C7D37"/>
    <w:rsid w:val="008D5885"/>
    <w:rsid w:val="008E7F8B"/>
    <w:rsid w:val="00904F01"/>
    <w:rsid w:val="00907561"/>
    <w:rsid w:val="00911828"/>
    <w:rsid w:val="009211EA"/>
    <w:rsid w:val="00923FA2"/>
    <w:rsid w:val="00924A69"/>
    <w:rsid w:val="0092625E"/>
    <w:rsid w:val="00926893"/>
    <w:rsid w:val="00930BD4"/>
    <w:rsid w:val="009341BB"/>
    <w:rsid w:val="0096060D"/>
    <w:rsid w:val="009647A2"/>
    <w:rsid w:val="00966FE1"/>
    <w:rsid w:val="00970610"/>
    <w:rsid w:val="00972162"/>
    <w:rsid w:val="00974A50"/>
    <w:rsid w:val="0097585A"/>
    <w:rsid w:val="00990ED8"/>
    <w:rsid w:val="009924B0"/>
    <w:rsid w:val="00993874"/>
    <w:rsid w:val="009942C9"/>
    <w:rsid w:val="0099776F"/>
    <w:rsid w:val="009A16C6"/>
    <w:rsid w:val="009A1F84"/>
    <w:rsid w:val="009B35C4"/>
    <w:rsid w:val="009C630A"/>
    <w:rsid w:val="009D0D88"/>
    <w:rsid w:val="009D5B27"/>
    <w:rsid w:val="009E0D98"/>
    <w:rsid w:val="009E14B8"/>
    <w:rsid w:val="009E5C95"/>
    <w:rsid w:val="009F56C8"/>
    <w:rsid w:val="00A002D3"/>
    <w:rsid w:val="00A03B0C"/>
    <w:rsid w:val="00A04E2D"/>
    <w:rsid w:val="00A056A2"/>
    <w:rsid w:val="00A068A1"/>
    <w:rsid w:val="00A0762D"/>
    <w:rsid w:val="00A1207D"/>
    <w:rsid w:val="00A12FD8"/>
    <w:rsid w:val="00A20241"/>
    <w:rsid w:val="00A346FC"/>
    <w:rsid w:val="00A455C5"/>
    <w:rsid w:val="00A46D77"/>
    <w:rsid w:val="00A53855"/>
    <w:rsid w:val="00A62D84"/>
    <w:rsid w:val="00A6376C"/>
    <w:rsid w:val="00A6381E"/>
    <w:rsid w:val="00A73110"/>
    <w:rsid w:val="00A73799"/>
    <w:rsid w:val="00A75C49"/>
    <w:rsid w:val="00A846F2"/>
    <w:rsid w:val="00A84F93"/>
    <w:rsid w:val="00AB0BE8"/>
    <w:rsid w:val="00AB1AC5"/>
    <w:rsid w:val="00AB3BFC"/>
    <w:rsid w:val="00AB6370"/>
    <w:rsid w:val="00AC4F2E"/>
    <w:rsid w:val="00AC5AA9"/>
    <w:rsid w:val="00AD0C37"/>
    <w:rsid w:val="00AD14FB"/>
    <w:rsid w:val="00AD385F"/>
    <w:rsid w:val="00AE6E2A"/>
    <w:rsid w:val="00AF09CA"/>
    <w:rsid w:val="00AF1BC2"/>
    <w:rsid w:val="00B03EAB"/>
    <w:rsid w:val="00B10FF5"/>
    <w:rsid w:val="00B1313D"/>
    <w:rsid w:val="00B15071"/>
    <w:rsid w:val="00B31E9C"/>
    <w:rsid w:val="00B35595"/>
    <w:rsid w:val="00B37818"/>
    <w:rsid w:val="00B51C6D"/>
    <w:rsid w:val="00B5721E"/>
    <w:rsid w:val="00B628E3"/>
    <w:rsid w:val="00B77F71"/>
    <w:rsid w:val="00B83DD2"/>
    <w:rsid w:val="00B86D64"/>
    <w:rsid w:val="00B91E82"/>
    <w:rsid w:val="00BA4AC5"/>
    <w:rsid w:val="00BA628C"/>
    <w:rsid w:val="00BC1364"/>
    <w:rsid w:val="00BC2667"/>
    <w:rsid w:val="00BC7DE9"/>
    <w:rsid w:val="00BD6DBF"/>
    <w:rsid w:val="00BE2BE6"/>
    <w:rsid w:val="00BF3CF5"/>
    <w:rsid w:val="00BF479B"/>
    <w:rsid w:val="00C02577"/>
    <w:rsid w:val="00C06B0B"/>
    <w:rsid w:val="00C07FC7"/>
    <w:rsid w:val="00C15803"/>
    <w:rsid w:val="00C204FB"/>
    <w:rsid w:val="00C20BEE"/>
    <w:rsid w:val="00C2158D"/>
    <w:rsid w:val="00C55E02"/>
    <w:rsid w:val="00C67DD2"/>
    <w:rsid w:val="00C725CB"/>
    <w:rsid w:val="00C76F5C"/>
    <w:rsid w:val="00C91CCE"/>
    <w:rsid w:val="00C92CCB"/>
    <w:rsid w:val="00C96BAD"/>
    <w:rsid w:val="00CA49B8"/>
    <w:rsid w:val="00CA6371"/>
    <w:rsid w:val="00CA6944"/>
    <w:rsid w:val="00CB0F8E"/>
    <w:rsid w:val="00CB7E7D"/>
    <w:rsid w:val="00CC2911"/>
    <w:rsid w:val="00CD1649"/>
    <w:rsid w:val="00CD678E"/>
    <w:rsid w:val="00CF0C6D"/>
    <w:rsid w:val="00CF2A2B"/>
    <w:rsid w:val="00CF4E81"/>
    <w:rsid w:val="00CF7307"/>
    <w:rsid w:val="00CF7C68"/>
    <w:rsid w:val="00D1083F"/>
    <w:rsid w:val="00D124FA"/>
    <w:rsid w:val="00D15D39"/>
    <w:rsid w:val="00D16F58"/>
    <w:rsid w:val="00D340DE"/>
    <w:rsid w:val="00D45A9E"/>
    <w:rsid w:val="00D55723"/>
    <w:rsid w:val="00D62FAD"/>
    <w:rsid w:val="00D64355"/>
    <w:rsid w:val="00D647AB"/>
    <w:rsid w:val="00D70450"/>
    <w:rsid w:val="00D7058E"/>
    <w:rsid w:val="00D71E11"/>
    <w:rsid w:val="00D7648E"/>
    <w:rsid w:val="00D77D67"/>
    <w:rsid w:val="00D80861"/>
    <w:rsid w:val="00D83BFD"/>
    <w:rsid w:val="00D90267"/>
    <w:rsid w:val="00D90A38"/>
    <w:rsid w:val="00D95739"/>
    <w:rsid w:val="00DA0515"/>
    <w:rsid w:val="00DA171E"/>
    <w:rsid w:val="00DA56AA"/>
    <w:rsid w:val="00DB5833"/>
    <w:rsid w:val="00DB5864"/>
    <w:rsid w:val="00DB7EF0"/>
    <w:rsid w:val="00DC2724"/>
    <w:rsid w:val="00DC7AE4"/>
    <w:rsid w:val="00DD2858"/>
    <w:rsid w:val="00DD5BAE"/>
    <w:rsid w:val="00DE5781"/>
    <w:rsid w:val="00DF489D"/>
    <w:rsid w:val="00DF5051"/>
    <w:rsid w:val="00E03E33"/>
    <w:rsid w:val="00E059E0"/>
    <w:rsid w:val="00E11508"/>
    <w:rsid w:val="00E11BF2"/>
    <w:rsid w:val="00E35815"/>
    <w:rsid w:val="00E3642A"/>
    <w:rsid w:val="00E36BAE"/>
    <w:rsid w:val="00E377CD"/>
    <w:rsid w:val="00E415C4"/>
    <w:rsid w:val="00E426FB"/>
    <w:rsid w:val="00E45E7E"/>
    <w:rsid w:val="00E50016"/>
    <w:rsid w:val="00E50EAA"/>
    <w:rsid w:val="00E656D6"/>
    <w:rsid w:val="00E7311F"/>
    <w:rsid w:val="00E803FC"/>
    <w:rsid w:val="00E900FA"/>
    <w:rsid w:val="00E977EE"/>
    <w:rsid w:val="00EA2F24"/>
    <w:rsid w:val="00EA439E"/>
    <w:rsid w:val="00EA5C0E"/>
    <w:rsid w:val="00EA67A2"/>
    <w:rsid w:val="00EA6F5E"/>
    <w:rsid w:val="00EB2951"/>
    <w:rsid w:val="00EB630F"/>
    <w:rsid w:val="00EB6B6F"/>
    <w:rsid w:val="00EC07EF"/>
    <w:rsid w:val="00EC4F98"/>
    <w:rsid w:val="00ED5DD0"/>
    <w:rsid w:val="00EF2A7F"/>
    <w:rsid w:val="00EF2BBC"/>
    <w:rsid w:val="00F01B4A"/>
    <w:rsid w:val="00F12F02"/>
    <w:rsid w:val="00F32E0D"/>
    <w:rsid w:val="00F35134"/>
    <w:rsid w:val="00F37B9C"/>
    <w:rsid w:val="00F41812"/>
    <w:rsid w:val="00F41BB7"/>
    <w:rsid w:val="00F46BC5"/>
    <w:rsid w:val="00F525FD"/>
    <w:rsid w:val="00F55679"/>
    <w:rsid w:val="00F56D7F"/>
    <w:rsid w:val="00F61C5C"/>
    <w:rsid w:val="00F705E6"/>
    <w:rsid w:val="00F715D1"/>
    <w:rsid w:val="00F719C6"/>
    <w:rsid w:val="00F71B9B"/>
    <w:rsid w:val="00F71E69"/>
    <w:rsid w:val="00F72715"/>
    <w:rsid w:val="00F73333"/>
    <w:rsid w:val="00F90631"/>
    <w:rsid w:val="00F95D8F"/>
    <w:rsid w:val="00FA10C0"/>
    <w:rsid w:val="00FA7E10"/>
    <w:rsid w:val="00FB0137"/>
    <w:rsid w:val="00FB350A"/>
    <w:rsid w:val="00FB4C5D"/>
    <w:rsid w:val="00FB6BAA"/>
    <w:rsid w:val="00FC69F0"/>
    <w:rsid w:val="00FD01B0"/>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6F1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locked/>
    <w:rsid w:val="008305F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485984"/>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485984"/>
    <w:rPr>
      <w:rFonts w:ascii="Arial Narrow" w:eastAsia="Times New Roman" w:hAnsi="Arial Narrow" w:cs="Tahoma"/>
      <w:b/>
      <w:noProof/>
      <w:sz w:val="20"/>
      <w:szCs w:val="20"/>
    </w:rPr>
  </w:style>
  <w:style w:type="paragraph" w:customStyle="1" w:styleId="TableText">
    <w:name w:val="TableText"/>
    <w:basedOn w:val="Normal"/>
    <w:rsid w:val="00485984"/>
    <w:pPr>
      <w:keepNext/>
      <w:spacing w:before="60" w:after="60"/>
    </w:pPr>
    <w:rPr>
      <w:color w:val="000000"/>
      <w:sz w:val="21"/>
      <w:szCs w:val="21"/>
    </w:rPr>
  </w:style>
  <w:style w:type="paragraph" w:customStyle="1" w:styleId="TableBullet">
    <w:name w:val="TableBullet"/>
    <w:basedOn w:val="TableText"/>
    <w:rsid w:val="00485984"/>
    <w:pPr>
      <w:numPr>
        <w:numId w:val="26"/>
      </w:numPr>
      <w:tabs>
        <w:tab w:val="left" w:pos="216"/>
      </w:tabs>
    </w:pPr>
  </w:style>
  <w:style w:type="paragraph" w:customStyle="1" w:styleId="BulletBeforeDash">
    <w:name w:val="BulletBeforeDash"/>
    <w:basedOn w:val="Normal"/>
    <w:rsid w:val="00485984"/>
    <w:pPr>
      <w:numPr>
        <w:numId w:val="27"/>
      </w:numPr>
      <w:ind w:left="720"/>
    </w:pPr>
    <w:rPr>
      <w:color w:val="000000"/>
    </w:rPr>
  </w:style>
  <w:style w:type="paragraph" w:customStyle="1" w:styleId="Bullet">
    <w:name w:val="Bullet"/>
    <w:basedOn w:val="BulletBeforeDash"/>
    <w:qFormat/>
    <w:rsid w:val="00485984"/>
    <w:pPr>
      <w:spacing w:after="120"/>
    </w:pPr>
  </w:style>
  <w:style w:type="paragraph" w:customStyle="1" w:styleId="Tabletext0">
    <w:name w:val="Table text"/>
    <w:basedOn w:val="Normal"/>
    <w:link w:val="TabletextChar"/>
    <w:qFormat/>
    <w:rsid w:val="00F01B4A"/>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F01B4A"/>
    <w:rPr>
      <w:rFonts w:ascii="Arial Narrow" w:eastAsia="Times New Roman" w:hAnsi="Arial Narrow"/>
      <w:sz w:val="20"/>
      <w:szCs w:val="24"/>
      <w:lang w:eastAsia="en-US"/>
    </w:rPr>
  </w:style>
  <w:style w:type="paragraph" w:customStyle="1" w:styleId="Tabletextboldleft">
    <w:name w:val="Table text bold left"/>
    <w:basedOn w:val="Normal"/>
    <w:link w:val="TabletextboldleftChar"/>
    <w:qFormat/>
    <w:rsid w:val="00F01B4A"/>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F01B4A"/>
    <w:rPr>
      <w:rFonts w:ascii="Arial Narrow" w:eastAsia="Times New Roman" w:hAnsi="Arial Narrow" w:cs="Arial"/>
      <w:b/>
      <w:sz w:val="20"/>
      <w:szCs w:val="20"/>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F01B4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F01B4A"/>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F01B4A"/>
    <w:pPr>
      <w:widowControl w:val="0"/>
      <w:spacing w:before="60" w:after="120"/>
      <w:contextualSpacing/>
    </w:pPr>
    <w:rPr>
      <w:rFonts w:ascii="Arial Narrow" w:hAnsi="Arial Narrow" w:cs="Arial"/>
      <w:iCs/>
      <w:snapToGrid w:val="0"/>
      <w:color w:val="1F497D" w:themeColor="text2"/>
      <w:sz w:val="18"/>
      <w:lang w:eastAsia="en-US"/>
    </w:rPr>
  </w:style>
  <w:style w:type="character" w:customStyle="1" w:styleId="TablenotesChar">
    <w:name w:val="Tablenotes Char"/>
    <w:basedOn w:val="DefaultParagraphFont"/>
    <w:link w:val="Tablenotes"/>
    <w:rsid w:val="00F01B4A"/>
    <w:rPr>
      <w:rFonts w:ascii="Arial Narrow" w:eastAsia="Times New Roman" w:hAnsi="Arial Narrow" w:cs="Arial"/>
      <w:iCs/>
      <w:snapToGrid w:val="0"/>
      <w:color w:val="1F497D" w:themeColor="text2"/>
      <w:sz w:val="18"/>
      <w:szCs w:val="20"/>
      <w:lang w:eastAsia="en-US"/>
    </w:rPr>
  </w:style>
  <w:style w:type="paragraph" w:customStyle="1" w:styleId="Tablecaption">
    <w:name w:val="Table caption"/>
    <w:basedOn w:val="Normal"/>
    <w:link w:val="TablecaptionChar"/>
    <w:qFormat/>
    <w:rsid w:val="00F01B4A"/>
    <w:pPr>
      <w:keepNext/>
      <w:keepLines/>
      <w:jc w:val="both"/>
    </w:pPr>
    <w:rPr>
      <w:rFonts w:ascii="Arial Narrow" w:hAnsi="Arial Narrow" w:cs="Arial"/>
      <w:sz w:val="18"/>
      <w:lang w:eastAsia="en-US"/>
    </w:rPr>
  </w:style>
  <w:style w:type="character" w:customStyle="1" w:styleId="TablecaptionChar">
    <w:name w:val="Table caption Char"/>
    <w:basedOn w:val="DefaultParagraphFont"/>
    <w:link w:val="Tablecaption"/>
    <w:rsid w:val="00F01B4A"/>
    <w:rPr>
      <w:rFonts w:ascii="Arial Narrow" w:eastAsia="Times New Roman" w:hAnsi="Arial Narrow" w:cs="Arial"/>
      <w:sz w:val="18"/>
      <w:szCs w:val="20"/>
      <w:lang w:eastAsia="en-US"/>
    </w:rPr>
  </w:style>
  <w:style w:type="paragraph" w:customStyle="1" w:styleId="Comment">
    <w:name w:val="Comment"/>
    <w:basedOn w:val="Normal"/>
    <w:link w:val="CommentChar"/>
    <w:qFormat/>
    <w:rsid w:val="00F01B4A"/>
    <w:pPr>
      <w:tabs>
        <w:tab w:val="num" w:pos="720"/>
      </w:tabs>
      <w:spacing w:after="240" w:line="312" w:lineRule="auto"/>
      <w:jc w:val="both"/>
    </w:pPr>
    <w:rPr>
      <w:rFonts w:ascii="Calibri" w:hAnsi="Calibri" w:cs="Tahoma"/>
      <w:i/>
      <w:color w:val="1F497D" w:themeColor="text2"/>
      <w:sz w:val="22"/>
      <w:szCs w:val="22"/>
    </w:rPr>
  </w:style>
  <w:style w:type="character" w:customStyle="1" w:styleId="CommentChar">
    <w:name w:val="Comment Char"/>
    <w:basedOn w:val="DefaultParagraphFont"/>
    <w:link w:val="Comment"/>
    <w:rsid w:val="00F01B4A"/>
    <w:rPr>
      <w:rFonts w:ascii="Calibri" w:eastAsia="Times New Roman" w:hAnsi="Calibri" w:cs="Tahoma"/>
      <w:i/>
      <w:color w:val="1F497D" w:themeColor="text2"/>
    </w:rPr>
  </w:style>
  <w:style w:type="character" w:customStyle="1" w:styleId="ListParagraphChar">
    <w:name w:val="List Paragraph Char"/>
    <w:aliases w:val="Styl moj Char,Akapit z listą1 Char,Akapit z listą11 Char"/>
    <w:link w:val="ListParagraph"/>
    <w:uiPriority w:val="34"/>
    <w:rsid w:val="00F01B4A"/>
    <w:rPr>
      <w:rFonts w:eastAsia="Times New Roman"/>
      <w:sz w:val="24"/>
      <w:szCs w:val="20"/>
    </w:rPr>
  </w:style>
  <w:style w:type="paragraph" w:customStyle="1" w:styleId="Tablenotes1">
    <w:name w:val="Tablenotes 1"/>
    <w:basedOn w:val="Normal"/>
    <w:link w:val="Tablenotes1Char"/>
    <w:qFormat/>
    <w:rsid w:val="00F01B4A"/>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F01B4A"/>
    <w:rPr>
      <w:rFonts w:ascii="Arial Narrow" w:eastAsia="Times New Roman" w:hAnsi="Arial Narrow" w:cs="Arial"/>
      <w:snapToGrid w:val="0"/>
      <w:sz w:val="18"/>
      <w:szCs w:val="20"/>
      <w:lang w:eastAsia="en-US"/>
    </w:rPr>
  </w:style>
  <w:style w:type="paragraph" w:customStyle="1" w:styleId="TableText1">
    <w:name w:val="Table Text"/>
    <w:basedOn w:val="Normal"/>
    <w:link w:val="TableTextChar0"/>
    <w:qFormat/>
    <w:rsid w:val="00F01B4A"/>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F01B4A"/>
    <w:rPr>
      <w:rFonts w:ascii="Arial Narrow" w:eastAsia="Times New Roman" w:hAnsi="Arial Narrow" w:cs="Tahoma"/>
      <w:sz w:val="20"/>
      <w:lang w:eastAsia="en-US"/>
    </w:rPr>
  </w:style>
  <w:style w:type="table" w:customStyle="1" w:styleId="TableGrid1">
    <w:name w:val="Table Grid1"/>
    <w:basedOn w:val="TableNormal"/>
    <w:next w:val="TableGrid"/>
    <w:rsid w:val="00F01B4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val="0"/>
        <w:sz w:val="20"/>
      </w:rPr>
    </w:tblStylePr>
  </w:style>
  <w:style w:type="table" w:customStyle="1" w:styleId="OPTUMTableNormal">
    <w:name w:val="OPTUM Table Normal"/>
    <w:basedOn w:val="TableNormal"/>
    <w:rsid w:val="00F01B4A"/>
    <w:pPr>
      <w:spacing w:before="40" w:after="20"/>
    </w:pPr>
    <w:rPr>
      <w:rFonts w:ascii="Calibri" w:eastAsia="Times New Roman"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CommentTabletext">
    <w:name w:val="Comment Table text"/>
    <w:basedOn w:val="Comment"/>
    <w:qFormat/>
    <w:rsid w:val="00F01B4A"/>
    <w:pPr>
      <w:spacing w:before="40" w:after="40" w:line="240" w:lineRule="auto"/>
      <w:ind w:left="720"/>
    </w:pPr>
    <w:rPr>
      <w:rFonts w:ascii="Arial Narrow" w:hAnsi="Arial Narrow"/>
      <w:sz w:val="20"/>
      <w:szCs w:val="20"/>
    </w:rPr>
  </w:style>
  <w:style w:type="character" w:styleId="Emphasis">
    <w:name w:val="Emphasis"/>
    <w:uiPriority w:val="20"/>
    <w:qFormat/>
    <w:locked/>
    <w:rsid w:val="00D80861"/>
    <w:rPr>
      <w:rFonts w:ascii="Garamond" w:eastAsia="Times New Roman" w:hAnsi="Garamond" w:cs="Times New Roman"/>
      <w:i/>
      <w:sz w:val="24"/>
      <w:szCs w:val="24"/>
    </w:rPr>
  </w:style>
  <w:style w:type="paragraph" w:customStyle="1" w:styleId="Tabletextcentred">
    <w:name w:val="Table text centred"/>
    <w:basedOn w:val="Tabletext0"/>
    <w:link w:val="TabletextcentredChar"/>
    <w:qFormat/>
    <w:rsid w:val="00D80861"/>
    <w:pPr>
      <w:jc w:val="center"/>
    </w:pPr>
  </w:style>
  <w:style w:type="character" w:customStyle="1" w:styleId="TabletextcentredChar">
    <w:name w:val="Table text centred Char"/>
    <w:basedOn w:val="TabletextChar"/>
    <w:link w:val="Tabletextcentred"/>
    <w:rsid w:val="00D80861"/>
    <w:rPr>
      <w:rFonts w:ascii="Arial Narrow" w:eastAsia="Times New Roman" w:hAnsi="Arial Narrow"/>
      <w:sz w:val="20"/>
      <w:szCs w:val="24"/>
      <w:lang w:eastAsia="en-US"/>
    </w:rPr>
  </w:style>
  <w:style w:type="paragraph" w:styleId="NormalWeb">
    <w:name w:val="Normal (Web)"/>
    <w:basedOn w:val="Normal"/>
    <w:uiPriority w:val="99"/>
    <w:semiHidden/>
    <w:unhideWhenUsed/>
    <w:rsid w:val="009D5B27"/>
    <w:pPr>
      <w:spacing w:before="100" w:beforeAutospacing="1" w:after="100" w:afterAutospacing="1"/>
    </w:pPr>
    <w:rPr>
      <w:szCs w:val="24"/>
    </w:rPr>
  </w:style>
  <w:style w:type="paragraph" w:styleId="Revision">
    <w:name w:val="Revision"/>
    <w:hidden/>
    <w:uiPriority w:val="99"/>
    <w:semiHidden/>
    <w:rsid w:val="008272F4"/>
    <w:rPr>
      <w:rFonts w:eastAsia="Times New Roman"/>
      <w:sz w:val="24"/>
      <w:szCs w:val="20"/>
    </w:rPr>
  </w:style>
  <w:style w:type="character" w:customStyle="1" w:styleId="Heading4Char">
    <w:name w:val="Heading 4 Char"/>
    <w:basedOn w:val="DefaultParagraphFont"/>
    <w:link w:val="Heading4"/>
    <w:rsid w:val="008305FF"/>
    <w:rPr>
      <w:rFonts w:asciiTheme="majorHAnsi" w:eastAsiaTheme="majorEastAsia" w:hAnsiTheme="majorHAnsi" w:cstheme="majorBidi"/>
      <w:i/>
      <w:iCs/>
      <w:color w:val="365F91"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0515">
      <w:bodyDiv w:val="1"/>
      <w:marLeft w:val="0"/>
      <w:marRight w:val="0"/>
      <w:marTop w:val="0"/>
      <w:marBottom w:val="0"/>
      <w:divBdr>
        <w:top w:val="none" w:sz="0" w:space="0" w:color="auto"/>
        <w:left w:val="none" w:sz="0" w:space="0" w:color="auto"/>
        <w:bottom w:val="none" w:sz="0" w:space="0" w:color="auto"/>
        <w:right w:val="none" w:sz="0" w:space="0" w:color="auto"/>
      </w:divBdr>
    </w:div>
    <w:div w:id="24965496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3707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374-publi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sac.gov.au/internet/msac/publishing.nsf/Content/1374-publi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374-publ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sac.gov.au/internet/msac/publishing.nsf/Content/1374-public"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linicaltrials.gov/ct2/show/NCT01296022" TargetMode="External"/><Relationship Id="rId2" Type="http://schemas.openxmlformats.org/officeDocument/2006/relationships/hyperlink" Target="https://www1.health.gov.au/internet/main/publishing.nsf/Content/F9DA276B6A541A82CA2581C2006F875C/%24File/MBS%20Review%20Taskforce%20Recommendations%20-%20Cardiac%20Services%20Report%20PDF%20version.pdf" TargetMode="External"/><Relationship Id="rId1" Type="http://schemas.openxmlformats.org/officeDocument/2006/relationships/hyperlink" Target="https://www.clinicaltrials.gov/ct2/show/NCT01296022" TargetMode="External"/><Relationship Id="rId5" Type="http://schemas.openxmlformats.org/officeDocument/2006/relationships/hyperlink" Target="https://clinicaltrials.gov/ct2/show/NCT02881255" TargetMode="External"/><Relationship Id="rId4" Type="http://schemas.openxmlformats.org/officeDocument/2006/relationships/hyperlink" Target="https://doi.org/10.1016/j.hrthm.2020.1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4BD4-12D9-406F-A0C6-C90C2700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11753</Words>
  <Characters>66376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2021-07-06T05:47:00Z</dcterms:created>
  <dcterms:modified xsi:type="dcterms:W3CDTF">2021-07-06T22:44:00Z</dcterms:modified>
</cp:coreProperties>
</file>